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EastAsia" w:hAnsiTheme="minorHAnsi" w:cstheme="minorBidi"/>
          <w:b w:val="0"/>
          <w:color w:val="181818" w:themeColor="background1" w:themeShade="1A"/>
          <w:spacing w:val="0"/>
          <w:sz w:val="28"/>
          <w:szCs w:val="28"/>
        </w:rPr>
        <w:id w:val="-973058580"/>
        <w:docPartObj>
          <w:docPartGallery w:val="Cover Pages"/>
          <w:docPartUnique/>
        </w:docPartObj>
      </w:sdtPr>
      <w:sdtContent>
        <w:p w14:paraId="01438AE1" w14:textId="19FC5ED4" w:rsidR="00563C1F" w:rsidRDefault="00EC6066" w:rsidP="00F72D28">
          <w:pPr>
            <w:pStyle w:val="Title"/>
          </w:pPr>
          <w:r>
            <w:t>Reply form</w:t>
          </w:r>
        </w:p>
        <w:p w14:paraId="031F2108" w14:textId="0F73999B" w:rsidR="007E7997" w:rsidRDefault="00D77369" w:rsidP="00D77369">
          <w:pPr>
            <w:pStyle w:val="Subtitle"/>
            <w:rPr>
              <w:rFonts w:cs="Arial"/>
            </w:rPr>
          </w:pPr>
          <w:r>
            <w:rPr>
              <w:noProof/>
            </w:rPr>
            <mc:AlternateContent>
              <mc:Choice Requires="wps">
                <w:drawing>
                  <wp:anchor distT="0" distB="0" distL="114300" distR="114300" simplePos="0" relativeHeight="251658240" behindDoc="1" locked="1" layoutInCell="1" allowOverlap="0" wp14:anchorId="72CBE987" wp14:editId="5CFA8051">
                    <wp:simplePos x="0" y="0"/>
                    <wp:positionH relativeFrom="page">
                      <wp:posOffset>17145</wp:posOffset>
                    </wp:positionH>
                    <wp:positionV relativeFrom="paragraph">
                      <wp:posOffset>541020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1"/>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BE51B5" id="Freeform: Shap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CFoGfT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2"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r w:rsidR="008334D4">
            <w:rPr>
              <w:rFonts w:cs="Arial"/>
              <w:b/>
              <w:bCs/>
            </w:rPr>
            <w:t>On the review of the UCITS Eligible Assets Directive</w: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first" r:id="rId13"/>
              <w:pgSz w:w="11906" w:h="16838"/>
              <w:pgMar w:top="1417" w:right="1417" w:bottom="1417" w:left="1417" w:header="862" w:footer="708" w:gutter="0"/>
              <w:pgNumType w:start="0"/>
              <w:cols w:space="708"/>
              <w:titlePg/>
              <w:docGrid w:linePitch="360"/>
            </w:sectPr>
          </w:pPr>
        </w:p>
        <w:p w14:paraId="11777801" w14:textId="77777777" w:rsidR="002533FC" w:rsidRPr="005B6B12" w:rsidRDefault="002533FC" w:rsidP="002533FC">
          <w:pPr>
            <w:pStyle w:val="Subtitle"/>
          </w:pPr>
          <w:r w:rsidRPr="005B6B12">
            <w:lastRenderedPageBreak/>
            <w:t xml:space="preserve">Responding to this paper </w:t>
          </w:r>
        </w:p>
        <w:p w14:paraId="2F436F98" w14:textId="77777777" w:rsidR="002533FC" w:rsidRPr="005B6B12" w:rsidRDefault="002533FC" w:rsidP="002533FC">
          <w:r w:rsidRPr="005B6B12">
            <w:t xml:space="preserve">ESMA invites comments on all matters in this paper and in particular </w:t>
          </w:r>
          <w:r>
            <w:t>on the specific questions summa</w:t>
          </w:r>
          <w:r w:rsidRPr="005B6B12">
            <w:t>rised in Annex 1. Comments are most helpful if they:</w:t>
          </w:r>
        </w:p>
        <w:p w14:paraId="491CDAA8" w14:textId="77777777" w:rsidR="002533FC" w:rsidRPr="00E13D25" w:rsidRDefault="002533FC" w:rsidP="00EC6066">
          <w:pPr>
            <w:pStyle w:val="ListParagraph"/>
          </w:pPr>
          <w:r w:rsidRPr="00E13D25">
            <w:t>respond to the question stated;</w:t>
          </w:r>
        </w:p>
        <w:p w14:paraId="72FD40F6" w14:textId="77777777" w:rsidR="002533FC" w:rsidRPr="00E13D25" w:rsidRDefault="002533FC" w:rsidP="00EC6066">
          <w:pPr>
            <w:pStyle w:val="ListParagraph"/>
          </w:pPr>
          <w:r w:rsidRPr="00E13D25">
            <w:t>indicate the specific question to which the comment relates;</w:t>
          </w:r>
        </w:p>
        <w:p w14:paraId="78B206B7" w14:textId="77777777" w:rsidR="002533FC" w:rsidRPr="00E13D25" w:rsidRDefault="002533FC" w:rsidP="00EC6066">
          <w:pPr>
            <w:pStyle w:val="ListParagraph"/>
          </w:pPr>
          <w:r w:rsidRPr="00E13D25">
            <w:t>contain a clear rationale; and</w:t>
          </w:r>
        </w:p>
        <w:p w14:paraId="60B8834E" w14:textId="77777777" w:rsidR="002533FC" w:rsidRPr="00E13D25" w:rsidRDefault="002533FC" w:rsidP="00EC6066">
          <w:pPr>
            <w:pStyle w:val="ListParagraph"/>
          </w:pPr>
          <w:r w:rsidRPr="00E13D25">
            <w:t>describe any alternatives ESMA should consider.</w:t>
          </w:r>
        </w:p>
        <w:p w14:paraId="219225AC" w14:textId="3A45AF35" w:rsidR="002533FC" w:rsidRPr="005B6B12" w:rsidRDefault="002533FC" w:rsidP="002533FC">
          <w:r w:rsidRPr="005B6B12">
            <w:t>ESMA will consider all comments received by</w:t>
          </w:r>
          <w:r w:rsidR="008334D4">
            <w:t xml:space="preserve"> </w:t>
          </w:r>
          <w:r w:rsidR="008334D4" w:rsidRPr="008334D4">
            <w:rPr>
              <w:b/>
              <w:bCs/>
            </w:rPr>
            <w:t>Wednesday</w:t>
          </w:r>
          <w:r w:rsidRPr="008334D4">
            <w:rPr>
              <w:b/>
              <w:bCs/>
            </w:rPr>
            <w:t xml:space="preserve"> </w:t>
          </w:r>
          <w:r w:rsidR="00667FF6" w:rsidRPr="008334D4">
            <w:rPr>
              <w:b/>
              <w:bCs/>
            </w:rPr>
            <w:t>7 August</w:t>
          </w:r>
          <w:r w:rsidR="00667FF6" w:rsidRPr="00667FF6">
            <w:rPr>
              <w:b/>
              <w:bCs/>
            </w:rPr>
            <w:t xml:space="preserve"> 2024</w:t>
          </w:r>
          <w:r w:rsidRPr="005B6B12">
            <w:rPr>
              <w:b/>
            </w:rPr>
            <w:t xml:space="preserve">. </w:t>
          </w:r>
        </w:p>
        <w:p w14:paraId="7EBC0542" w14:textId="0CD5B31D" w:rsidR="002533FC" w:rsidRDefault="002533FC" w:rsidP="002533FC">
          <w:r w:rsidRPr="005B6B12">
            <w:t xml:space="preserve">All contributions should be submitted online at </w:t>
          </w:r>
          <w:hyperlink r:id="rId14" w:history="1">
            <w:r w:rsidRPr="005B6B12">
              <w:rPr>
                <w:rStyle w:val="Hyperlink"/>
              </w:rPr>
              <w:t>www.esma.europa.eu</w:t>
            </w:r>
          </w:hyperlink>
          <w:r w:rsidRPr="005B6B12">
            <w:t xml:space="preserve"> under the heading ‘Your input - Consultations’. </w:t>
          </w:r>
        </w:p>
        <w:p w14:paraId="5E44C845" w14:textId="77777777" w:rsidR="00EC6066" w:rsidRPr="0026459D" w:rsidRDefault="00EC6066" w:rsidP="00EC6066">
          <w:pPr>
            <w:pStyle w:val="Subtitle"/>
            <w:rPr>
              <w:b/>
              <w:sz w:val="24"/>
              <w:szCs w:val="22"/>
            </w:rPr>
          </w:pPr>
          <w:r w:rsidRPr="00013CA1">
            <w:t>Instructions</w:t>
          </w:r>
        </w:p>
        <w:p w14:paraId="0FC3DC5B" w14:textId="7FC95975" w:rsidR="00EC6066" w:rsidRPr="0026459D" w:rsidRDefault="00EC6066" w:rsidP="00EC6066">
          <w:pPr>
            <w:rPr>
              <w:bCs/>
            </w:rPr>
          </w:pPr>
          <w:r w:rsidRPr="0026459D">
            <w:rPr>
              <w:bCs/>
            </w:rPr>
            <w:t>In order to facilitate analysis of responses to the</w:t>
          </w:r>
          <w:r w:rsidR="003467A2">
            <w:rPr>
              <w:bCs/>
            </w:rPr>
            <w:t xml:space="preserve"> Call for Evidence</w:t>
          </w:r>
          <w:r w:rsidRPr="0026459D">
            <w:rPr>
              <w:bCs/>
            </w:rPr>
            <w:t>, respondents are requested to follow the below steps when preparing and submitting their response:</w:t>
          </w:r>
        </w:p>
        <w:p w14:paraId="67E94801" w14:textId="6A79CAE6" w:rsidR="00EC6066" w:rsidRPr="0026459D" w:rsidRDefault="00EC6066" w:rsidP="001E72A7">
          <w:pPr>
            <w:ind w:left="142"/>
            <w:rPr>
              <w:bCs/>
            </w:rPr>
          </w:pPr>
          <w:r w:rsidRPr="0026459D">
            <w:rPr>
              <w:bCs/>
            </w:rPr>
            <w:t>•</w:t>
          </w:r>
          <w:r w:rsidRPr="0026459D">
            <w:rPr>
              <w:bCs/>
            </w:rPr>
            <w:tab/>
            <w:t xml:space="preserve">Insert your responses to the questions in the </w:t>
          </w:r>
          <w:r w:rsidR="003467A2">
            <w:rPr>
              <w:bCs/>
            </w:rPr>
            <w:t xml:space="preserve">Call for Evidence </w:t>
          </w:r>
          <w:r w:rsidRPr="0026459D">
            <w:rPr>
              <w:bCs/>
            </w:rPr>
            <w:t xml:space="preserve">in this reply form. </w:t>
          </w:r>
        </w:p>
        <w:p w14:paraId="7B7C29FF" w14:textId="2E9458DC" w:rsidR="00EC6066" w:rsidRPr="00C5469A" w:rsidRDefault="00EC6066" w:rsidP="00EC6066">
          <w:pPr>
            <w:ind w:left="142"/>
            <w:rPr>
              <w:bCs/>
            </w:rPr>
          </w:pPr>
          <w:r w:rsidRPr="0026459D">
            <w:rPr>
              <w:bCs/>
            </w:rPr>
            <w:t>•</w:t>
          </w:r>
          <w:r w:rsidRPr="0026459D">
            <w:rPr>
              <w:bCs/>
            </w:rPr>
            <w:tab/>
            <w:t>Please do not remove tags of the type &lt;</w:t>
          </w:r>
          <w:r w:rsidRPr="00557BD2">
            <w:t xml:space="preserve"> </w:t>
          </w:r>
          <w:r w:rsidRPr="00557BD2">
            <w:rPr>
              <w:bCs/>
            </w:rPr>
            <w:t>ESMA_</w:t>
          </w:r>
          <w:r w:rsidRPr="00C5469A">
            <w:rPr>
              <w:bCs/>
            </w:rPr>
            <w:t>QUESTION_</w:t>
          </w:r>
          <w:r w:rsidR="00D07D6E">
            <w:rPr>
              <w:bCs/>
            </w:rPr>
            <w:t>EADC</w:t>
          </w:r>
          <w:r w:rsidRPr="00C5469A">
            <w:rPr>
              <w:bCs/>
            </w:rPr>
            <w:t xml:space="preserve">_0&gt;.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do not delete it but simply </w:t>
          </w:r>
          <w:r w:rsidRPr="00C5469A">
            <w:rPr>
              <w:bCs/>
            </w:rPr>
            <w:tab/>
            <w:t>leave the text “TYPE YOUR TEXT HERE” between the tags.</w:t>
          </w:r>
        </w:p>
        <w:p w14:paraId="4D646F3A" w14:textId="3C336E6E"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w:t>
          </w:r>
          <w:r w:rsidR="009D2592">
            <w:rPr>
              <w:bCs/>
            </w:rPr>
            <w:t>P</w:t>
          </w:r>
          <w:r w:rsidRPr="00C5469A">
            <w:rPr>
              <w:bCs/>
            </w:rPr>
            <w:t>1_</w:t>
          </w:r>
          <w:r w:rsidR="0086332B">
            <w:rPr>
              <w:bCs/>
            </w:rPr>
            <w:t>EADC</w:t>
          </w:r>
          <w:r w:rsidRPr="00C5469A">
            <w:rPr>
              <w:bCs/>
            </w:rPr>
            <w:t xml:space="preserve">_nameofrespondent. </w:t>
          </w:r>
        </w:p>
        <w:p w14:paraId="210BE93A" w14:textId="1C20553E"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w:t>
          </w:r>
          <w:r w:rsidR="009D2592">
            <w:rPr>
              <w:bCs/>
            </w:rPr>
            <w:t>P</w:t>
          </w:r>
          <w:r w:rsidRPr="00C5469A">
            <w:rPr>
              <w:bCs/>
            </w:rPr>
            <w:t>1_</w:t>
          </w:r>
          <w:r w:rsidR="0086332B">
            <w:rPr>
              <w:bCs/>
            </w:rPr>
            <w:t>EADC</w:t>
          </w:r>
          <w:r w:rsidRPr="00C5469A">
            <w:rPr>
              <w:bCs/>
            </w:rPr>
            <w:t xml:space="preserve"> _ABCD.</w:t>
          </w:r>
        </w:p>
        <w:p w14:paraId="60FF11C9" w14:textId="121D1164" w:rsidR="00EC6066" w:rsidRPr="0026459D" w:rsidRDefault="51A403BF" w:rsidP="5788A89C">
          <w:pPr>
            <w:ind w:left="142"/>
            <w:rPr>
              <w:i/>
              <w:iCs/>
            </w:rPr>
          </w:pPr>
          <w:r>
            <w:t>•</w:t>
          </w:r>
          <w:r w:rsidR="00EC6066">
            <w:tab/>
          </w:r>
          <w:r>
            <w:t>Upload the Word reply form containing your responses to ESMA’s website (</w:t>
          </w:r>
          <w:r w:rsidRPr="5788A89C">
            <w:rPr>
              <w:b/>
              <w:bCs/>
            </w:rPr>
            <w:t xml:space="preserve">pdf </w:t>
          </w:r>
          <w:r w:rsidR="00EC6066">
            <w:tab/>
          </w:r>
          <w:r w:rsidRPr="5788A89C">
            <w:rPr>
              <w:b/>
              <w:bCs/>
            </w:rPr>
            <w:t>documents will not be considered except for annexes</w:t>
          </w:r>
          <w:r>
            <w:t xml:space="preserve">). All contributions should be </w:t>
          </w:r>
          <w:r w:rsidR="00EC6066">
            <w:tab/>
          </w:r>
          <w:r>
            <w:t xml:space="preserve">submitted online at </w:t>
          </w:r>
          <w:hyperlink r:id="rId15">
            <w:r w:rsidR="4B7EB2E9" w:rsidRPr="5788A89C">
              <w:rPr>
                <w:rStyle w:val="Hyperlink"/>
                <w:szCs w:val="22"/>
              </w:rPr>
              <w:t>https://www.esma.europa.eu/press-news/consultations/call-evidence-review-ucits-eligible-assets-directive</w:t>
            </w:r>
          </w:hyperlink>
          <w:r>
            <w:t xml:space="preserve"> under the heading </w:t>
          </w:r>
          <w:r w:rsidRPr="5788A89C">
            <w:rPr>
              <w:i/>
              <w:iCs/>
            </w:rPr>
            <w:t xml:space="preserve">‘Your input - </w:t>
          </w:r>
          <w:r w:rsidR="00EC6066">
            <w:tab/>
          </w:r>
          <w:r w:rsidRPr="5788A89C">
            <w:rPr>
              <w:i/>
              <w:iCs/>
            </w:rPr>
            <w:t>Consultations’.</w:t>
          </w:r>
        </w:p>
        <w:p w14:paraId="6B61FE84" w14:textId="77777777" w:rsidR="00EC6066" w:rsidRPr="005B6B12" w:rsidRDefault="00EC6066" w:rsidP="00EC6066">
          <w:pPr>
            <w:rPr>
              <w:b/>
            </w:rPr>
          </w:pPr>
          <w:r w:rsidRPr="005B6B12">
            <w:rPr>
              <w:b/>
            </w:rPr>
            <w:lastRenderedPageBreak/>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6" w:history="1">
            <w:r w:rsidRPr="005B6B12">
              <w:rPr>
                <w:rStyle w:val="Hyperlink"/>
              </w:rPr>
              <w:t>www.esma.europa.eu</w:t>
            </w:r>
          </w:hyperlink>
          <w:r w:rsidRPr="005B6B12">
            <w:t xml:space="preserve"> under the heading </w:t>
          </w:r>
          <w:r w:rsidRPr="00025A7F">
            <w:rPr>
              <w:rStyle w:val="Hyperlink"/>
            </w:rPr>
            <w:t>‘</w:t>
          </w:r>
          <w:hyperlink r:id="rId17" w:history="1">
            <w:r>
              <w:rPr>
                <w:rStyle w:val="Hyperlink"/>
              </w:rPr>
              <w:t>Data protection</w:t>
            </w:r>
          </w:hyperlink>
          <w:r>
            <w:rPr>
              <w:rStyle w:val="Hyperlink"/>
            </w:rPr>
            <w:t>’</w:t>
          </w:r>
          <w:r w:rsidRPr="005B6B12">
            <w:t>.</w:t>
          </w:r>
        </w:p>
        <w:p w14:paraId="57A67DA5" w14:textId="44DBF9D2" w:rsidR="00EC6066" w:rsidRPr="005B6B12" w:rsidRDefault="00EC6066" w:rsidP="00EC6066">
          <w:pPr>
            <w:rPr>
              <w:b/>
            </w:rPr>
          </w:pPr>
          <w:r w:rsidRPr="005B6B12">
            <w:rPr>
              <w:b/>
            </w:rPr>
            <w:t>Who should read this paper?</w:t>
          </w:r>
        </w:p>
      </w:sdtContent>
    </w:sdt>
    <w:p w14:paraId="4690CAFC" w14:textId="460BB8F7" w:rsidR="00EC6066" w:rsidRDefault="00C72E8C" w:rsidP="00EC6066">
      <w:r w:rsidRPr="00C72E8C">
        <w:t xml:space="preserve">This Call for Evidence is of particular interest for investors and consumer groups interested in retail investment products, management companies of Undertakings for Collective Investment in Transferable Securities (UCITS), self-managed UCITS investment companies, depositaries of UCITS and trade associations.  </w:t>
      </w:r>
    </w:p>
    <w:p w14:paraId="50C0B880" w14:textId="17A2407D" w:rsidR="00EC6066" w:rsidRPr="00EC6066" w:rsidRDefault="00EC6066" w:rsidP="00EC6066">
      <w:pPr>
        <w:rPr>
          <w:rFonts w:asciiTheme="majorHAnsi" w:eastAsiaTheme="majorEastAsia" w:hAnsiTheme="majorHAnsi" w:cstheme="majorBidi"/>
          <w:sz w:val="28"/>
          <w:szCs w:val="24"/>
          <w:highlight w:val="yellow"/>
        </w:rPr>
        <w:sectPr w:rsidR="00EC6066" w:rsidRPr="00EC6066" w:rsidSect="0043139E">
          <w:headerReference w:type="default" r:id="rId18"/>
          <w:footerReference w:type="default" r:id="rId19"/>
          <w:headerReference w:type="first" r:id="rId20"/>
          <w:pgSz w:w="11906" w:h="16838"/>
          <w:pgMar w:top="1417" w:right="1417" w:bottom="1417" w:left="1417" w:header="862" w:footer="708" w:gutter="0"/>
          <w:pgNumType w:start="2"/>
          <w:cols w:space="708"/>
          <w:docGrid w:linePitch="360"/>
        </w:sectPr>
      </w:pPr>
    </w:p>
    <w:p w14:paraId="60EF00E1" w14:textId="77777777" w:rsidR="00635BCA" w:rsidRPr="00557BD2" w:rsidRDefault="00635BCA" w:rsidP="00635BCA">
      <w:pPr>
        <w:pStyle w:val="Heading1"/>
        <w:rPr>
          <w:lang w:val="fr-BE"/>
        </w:rPr>
      </w:pPr>
      <w:r>
        <w:rPr>
          <w:lang w:val="fr-BE"/>
        </w:rPr>
        <w:lastRenderedPageBreak/>
        <w:t xml:space="preserve">General information about </w:t>
      </w:r>
      <w:r w:rsidRPr="00501EF4">
        <w:t>respondent</w:t>
      </w:r>
    </w:p>
    <w:tbl>
      <w:tblPr>
        <w:tblStyle w:val="TableGrid"/>
        <w:tblW w:w="0" w:type="auto"/>
        <w:tblLook w:val="04A0" w:firstRow="1" w:lastRow="0" w:firstColumn="1" w:lastColumn="0" w:noHBand="0" w:noVBand="1"/>
      </w:tblPr>
      <w:tblGrid>
        <w:gridCol w:w="4531"/>
        <w:gridCol w:w="4531"/>
      </w:tblGrid>
      <w:tr w:rsidR="00635BCA" w:rsidRPr="00557BD2" w14:paraId="183FA56F" w14:textId="77777777" w:rsidTr="00D21C35">
        <w:tc>
          <w:tcPr>
            <w:tcW w:w="4531" w:type="dxa"/>
          </w:tcPr>
          <w:p w14:paraId="4C01A6C9" w14:textId="77777777" w:rsidR="00635BCA" w:rsidRPr="00557BD2" w:rsidRDefault="00635BCA" w:rsidP="00D21C35">
            <w:pPr>
              <w:rPr>
                <w:color w:val="00379F" w:themeColor="text1"/>
                <w:sz w:val="24"/>
                <w:szCs w:val="22"/>
              </w:rPr>
            </w:pPr>
            <w:r w:rsidRPr="00557BD2">
              <w:rPr>
                <w:color w:val="00379F" w:themeColor="text1"/>
                <w:sz w:val="24"/>
                <w:szCs w:val="22"/>
              </w:rPr>
              <w:t>Name of the company / organisation</w:t>
            </w:r>
          </w:p>
        </w:tc>
        <w:sdt>
          <w:sdtPr>
            <w:id w:val="-803776227"/>
            <w:placeholder>
              <w:docPart w:val="2B0FF21738C1433DBAFB661809AC1F87"/>
            </w:placeholder>
          </w:sdtPr>
          <w:sdtContent>
            <w:permStart w:id="43071050" w:edGrp="everyone" w:displacedByCustomXml="prev"/>
            <w:tc>
              <w:tcPr>
                <w:tcW w:w="4531" w:type="dxa"/>
              </w:tcPr>
              <w:p w14:paraId="76683ED7" w14:textId="66F04874" w:rsidR="00635BCA" w:rsidRPr="00557BD2" w:rsidRDefault="008C7E29" w:rsidP="00D21C35">
                <w:r>
                  <w:t>The International Securities Lending Association (ISLA)</w:t>
                </w:r>
              </w:p>
            </w:tc>
            <w:permEnd w:id="43071050" w:displacedByCustomXml="next"/>
          </w:sdtContent>
        </w:sdt>
      </w:tr>
      <w:tr w:rsidR="00635BCA" w:rsidRPr="00557BD2" w14:paraId="528511B7" w14:textId="77777777" w:rsidTr="00D21C35">
        <w:tc>
          <w:tcPr>
            <w:tcW w:w="4531" w:type="dxa"/>
          </w:tcPr>
          <w:p w14:paraId="5CBA5961" w14:textId="77777777" w:rsidR="00635BCA" w:rsidRPr="00557BD2" w:rsidRDefault="00635BCA" w:rsidP="00D21C35">
            <w:pPr>
              <w:rPr>
                <w:color w:val="00379F" w:themeColor="text1"/>
                <w:sz w:val="24"/>
                <w:szCs w:val="22"/>
              </w:rPr>
            </w:pPr>
            <w:r w:rsidRPr="00557BD2">
              <w:rPr>
                <w:color w:val="00379F" w:themeColor="text1"/>
                <w:sz w:val="24"/>
                <w:szCs w:val="22"/>
              </w:rPr>
              <w:t>Activity</w:t>
            </w:r>
          </w:p>
        </w:tc>
        <w:sdt>
          <w:sdtPr>
            <w:id w:val="-609434665"/>
            <w:placeholder>
              <w:docPart w:val="A63132AB50BF4DFF968146A9E1FDD0A7"/>
            </w:placeholder>
          </w:sdtPr>
          <w:sdtContent>
            <w:permStart w:id="476595074" w:edGrp="everyone" w:displacedByCustomXml="prev"/>
            <w:tc>
              <w:tcPr>
                <w:tcW w:w="4531" w:type="dxa"/>
              </w:tcPr>
              <w:p w14:paraId="7403D812" w14:textId="23052447" w:rsidR="00635BCA" w:rsidRPr="00557BD2" w:rsidRDefault="0081371D" w:rsidP="00D21C35">
                <w:r>
                  <w:t>Trade Association</w:t>
                </w:r>
              </w:p>
            </w:tc>
            <w:permEnd w:id="476595074" w:displacedByCustomXml="next"/>
          </w:sdtContent>
        </w:sdt>
      </w:tr>
      <w:tr w:rsidR="00635BCA" w:rsidRPr="00557BD2" w14:paraId="3D982432" w14:textId="77777777" w:rsidTr="00D21C35">
        <w:tc>
          <w:tcPr>
            <w:tcW w:w="4531" w:type="dxa"/>
          </w:tcPr>
          <w:p w14:paraId="7771F8C5" w14:textId="77777777" w:rsidR="00635BCA" w:rsidRPr="00557BD2" w:rsidRDefault="00635BCA" w:rsidP="00D21C35">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32541635"/>
            <w:placeholder>
              <w:docPart w:val="9CC931E39FC74FAF9E2DD0BCDDF3C57E"/>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1581805691" w:edGrp="everyone" w:displacedByCustomXml="prev"/>
            <w:tc>
              <w:tcPr>
                <w:tcW w:w="4531" w:type="dxa"/>
              </w:tcPr>
              <w:p w14:paraId="6A619B85" w14:textId="10134800" w:rsidR="00635BCA" w:rsidRPr="00557BD2" w:rsidRDefault="0081371D" w:rsidP="00D21C35">
                <w:r>
                  <w:t>Europe</w:t>
                </w:r>
              </w:p>
            </w:tc>
            <w:permEnd w:id="1581805691" w:displacedByCustomXml="next"/>
          </w:sdtContent>
        </w:sdt>
      </w:tr>
    </w:tbl>
    <w:p w14:paraId="687A8108" w14:textId="77777777" w:rsidR="00635BCA" w:rsidRPr="00053B66" w:rsidRDefault="00635BCA" w:rsidP="00635BCA"/>
    <w:p w14:paraId="449AB301" w14:textId="59EF16AD" w:rsidR="00667FF6" w:rsidRDefault="00635BCA" w:rsidP="00667FF6">
      <w:pPr>
        <w:pStyle w:val="Heading1"/>
        <w:rPr>
          <w:lang w:val="fr-BE"/>
        </w:rPr>
      </w:pPr>
      <w:r w:rsidRPr="00557BD2">
        <w:rPr>
          <w:lang w:val="fr-BE"/>
        </w:rPr>
        <w:t xml:space="preserve">Questions </w:t>
      </w:r>
    </w:p>
    <w:p w14:paraId="4CBE5AC1" w14:textId="77777777" w:rsidR="00667FF6" w:rsidRDefault="00667FF6" w:rsidP="00DB686B">
      <w:pPr>
        <w:pStyle w:val="Questionstyle"/>
        <w:numPr>
          <w:ilvl w:val="0"/>
          <w:numId w:val="14"/>
        </w:numPr>
        <w:rPr>
          <w:color w:val="auto"/>
        </w:rPr>
      </w:pPr>
      <w:r>
        <w:t>In your view, what is the most pressing issue to address in the UCITS EAD with a view to improving investor protection, clarity and supervisory convergence across the EU?</w:t>
      </w:r>
    </w:p>
    <w:p w14:paraId="3DAC8524" w14:textId="77777777" w:rsidR="00667FF6" w:rsidRDefault="00667FF6" w:rsidP="00667FF6">
      <w:bookmarkStart w:id="0" w:name="_Hlk166078273"/>
      <w:r>
        <w:t>&lt;ESMA_QUESTION_EADC_1&gt;</w:t>
      </w:r>
    </w:p>
    <w:bookmarkEnd w:id="0"/>
    <w:p w14:paraId="1E7C868E" w14:textId="77777777" w:rsidR="00667FF6" w:rsidRDefault="00667FF6" w:rsidP="00667FF6">
      <w:permStart w:id="1975413025" w:edGrp="everyone"/>
      <w:r>
        <w:t>TYPE YOUR TEXT HERE</w:t>
      </w:r>
    </w:p>
    <w:permEnd w:id="1975413025"/>
    <w:p w14:paraId="2A42AC36" w14:textId="77777777" w:rsidR="00667FF6" w:rsidRDefault="00667FF6" w:rsidP="00667FF6">
      <w:r>
        <w:t>&lt;ESMA_QUESTION_EADC_1&gt;</w:t>
      </w:r>
    </w:p>
    <w:p w14:paraId="5AD5570D" w14:textId="77777777" w:rsidR="00667FF6" w:rsidRDefault="00667FF6" w:rsidP="00667FF6"/>
    <w:p w14:paraId="457979D8" w14:textId="13EE4C5A" w:rsidR="00667FF6" w:rsidRDefault="00667FF6" w:rsidP="00DB686B">
      <w:pPr>
        <w:pStyle w:val="Questionstyle"/>
        <w:numPr>
          <w:ilvl w:val="0"/>
          <w:numId w:val="14"/>
        </w:numPr>
      </w:pPr>
      <w:r>
        <w:t xml:space="preserve">Have you experienced any recurring or significant issues with the interpretation or consistent application of UCITS EAD rules with respect to financial indices? If so, please describe any recurring or significant issues that you have experienced and how you would propose to amend the UCITS EAD to improve investor protection, clarity and supervisory convergence. Where relevant, please specify what indices this relates to and what were the specific characteristics of those indices that raised doubts or concerns. Where possible, please provide data to substantiate the materiality of the issue. </w:t>
      </w:r>
    </w:p>
    <w:p w14:paraId="6044316D" w14:textId="77777777" w:rsidR="00667FF6" w:rsidRDefault="00667FF6" w:rsidP="00667FF6">
      <w:r>
        <w:t>&lt;ESMA_QUESTION_EADC_2&gt;</w:t>
      </w:r>
    </w:p>
    <w:p w14:paraId="33291A42" w14:textId="2AE188F7" w:rsidR="00667FF6" w:rsidRDefault="00667FF6" w:rsidP="00667FF6">
      <w:permStart w:id="85149166" w:edGrp="everyone"/>
      <w:r>
        <w:t>TYPE YOUR TEXT HERE</w:t>
      </w:r>
    </w:p>
    <w:permEnd w:id="85149166"/>
    <w:p w14:paraId="4AE132E3" w14:textId="77777777" w:rsidR="00667FF6" w:rsidRDefault="00667FF6" w:rsidP="00667FF6">
      <w:r>
        <w:t>&lt;ESMA_QUESTION_EADC_2&gt;</w:t>
      </w:r>
    </w:p>
    <w:p w14:paraId="3C6A114C" w14:textId="77777777" w:rsidR="00667FF6" w:rsidRDefault="00667FF6" w:rsidP="00667FF6"/>
    <w:p w14:paraId="4C265A7D" w14:textId="0F8533C1" w:rsidR="00667FF6" w:rsidRDefault="00667FF6" w:rsidP="00DB686B">
      <w:pPr>
        <w:pStyle w:val="Questionstyle"/>
        <w:numPr>
          <w:ilvl w:val="0"/>
          <w:numId w:val="14"/>
        </w:numPr>
      </w:pPr>
      <w:r>
        <w:lastRenderedPageBreak/>
        <w:t>Have you experienced any recurring or significant issues with the interpretation or consistent application of UCITS EAD rules with respect to money market instruments? If so, please describe the issues you have experienced and how you would propose to amend the UCITS EAD to improve investor protection, clarity and supervisory convergence. Where relevant, please describe the specific characteristics of the money market instruments that raised doubts or concerns.</w:t>
      </w:r>
    </w:p>
    <w:p w14:paraId="766A4AFE" w14:textId="77777777" w:rsidR="00667FF6" w:rsidRDefault="00667FF6" w:rsidP="00667FF6">
      <w:r>
        <w:t>&lt;ESMA_QUESTION_EADC_3&gt;</w:t>
      </w:r>
    </w:p>
    <w:p w14:paraId="66CBED74" w14:textId="77777777" w:rsidR="00667FF6" w:rsidRDefault="00667FF6" w:rsidP="00667FF6">
      <w:permStart w:id="1981048397" w:edGrp="everyone"/>
      <w:r>
        <w:t>TYPE YOUR TEXT HERE</w:t>
      </w:r>
    </w:p>
    <w:permEnd w:id="1981048397"/>
    <w:p w14:paraId="38616CA8" w14:textId="77777777" w:rsidR="00667FF6" w:rsidRDefault="00667FF6" w:rsidP="00667FF6">
      <w:r>
        <w:t>&lt;ESMA_QUESTION_EADC_3&gt;</w:t>
      </w:r>
    </w:p>
    <w:p w14:paraId="0C9249FE" w14:textId="77777777" w:rsidR="00667FF6" w:rsidRDefault="00667FF6" w:rsidP="00667FF6"/>
    <w:p w14:paraId="632D4A65" w14:textId="2A356142" w:rsidR="00667FF6" w:rsidRDefault="00667FF6" w:rsidP="00DB686B">
      <w:pPr>
        <w:pStyle w:val="Questionstyle"/>
        <w:numPr>
          <w:ilvl w:val="0"/>
          <w:numId w:val="14"/>
        </w:numPr>
      </w:pPr>
      <w:r>
        <w:t>Have you experienced any recurring or significant issues with the interpretation or consistent application of UCITS EAD provisions using the notions of « liquidity » or « liquid financial assets »? If so, please describe the issues you have experienced and how you would propose to amend the UCITS EAD to better specify these notions with a view to improving investor protection, clarity and supervisory convergence. Where relevant, please explain any differences to be made between the liquidity of different asset.</w:t>
      </w:r>
    </w:p>
    <w:p w14:paraId="5B8BFC93" w14:textId="77777777" w:rsidR="00667FF6" w:rsidRDefault="00667FF6" w:rsidP="00667FF6">
      <w:r>
        <w:t>&lt;ESMA_QUESTION_EADC_4&gt;</w:t>
      </w:r>
    </w:p>
    <w:p w14:paraId="24658538" w14:textId="77777777" w:rsidR="00667FF6" w:rsidRDefault="00667FF6" w:rsidP="00667FF6">
      <w:permStart w:id="1012351271" w:edGrp="everyone"/>
      <w:r>
        <w:t>TYPE YOUR TEXT HERE</w:t>
      </w:r>
    </w:p>
    <w:permEnd w:id="1012351271"/>
    <w:p w14:paraId="65B48BCF" w14:textId="77777777" w:rsidR="00667FF6" w:rsidRDefault="00667FF6" w:rsidP="00667FF6">
      <w:r>
        <w:t>&lt;ESMA_QUESTION_EADC_4&gt;</w:t>
      </w:r>
    </w:p>
    <w:p w14:paraId="5A647590" w14:textId="77777777" w:rsidR="00667FF6" w:rsidRDefault="00667FF6" w:rsidP="00667FF6"/>
    <w:p w14:paraId="5AFF0EB2" w14:textId="77777777" w:rsidR="00667FF6" w:rsidRDefault="00667FF6" w:rsidP="00DB686B">
      <w:pPr>
        <w:pStyle w:val="Questionstyle"/>
        <w:numPr>
          <w:ilvl w:val="0"/>
          <w:numId w:val="14"/>
        </w:numPr>
      </w:pPr>
      <w:r>
        <w:t>The 2020 ESMA CSA on UCITS liquidity risk management identified issues with respect to the presumption of liquidity and negotiability set out in UCITS EAD. In light of the changed market conditions since 2007, do you consider such a presumption of liquidity and negotiability still appropriate? Where possible, please provide views, data or estimates on the possible impact of removing the presumption of liquidity and negotiability set out in the UCITS EAD.</w:t>
      </w:r>
    </w:p>
    <w:p w14:paraId="05E3A666" w14:textId="77777777" w:rsidR="00667FF6" w:rsidRDefault="00667FF6" w:rsidP="00667FF6">
      <w:r>
        <w:t>&lt;ESMA_QUESTION_EADC_5&gt;</w:t>
      </w:r>
    </w:p>
    <w:p w14:paraId="09734178" w14:textId="77777777" w:rsidR="00667FF6" w:rsidRDefault="00667FF6" w:rsidP="00667FF6">
      <w:permStart w:id="1300367218" w:edGrp="everyone"/>
      <w:r>
        <w:t>TYPE YOUR TEXT HERE</w:t>
      </w:r>
    </w:p>
    <w:permEnd w:id="1300367218"/>
    <w:p w14:paraId="25A344BA" w14:textId="77777777" w:rsidR="00667FF6" w:rsidRDefault="00667FF6" w:rsidP="00667FF6">
      <w:r>
        <w:lastRenderedPageBreak/>
        <w:t>&lt;ESMA_QUESTION_EADC_5&gt;</w:t>
      </w:r>
    </w:p>
    <w:p w14:paraId="03906CE4" w14:textId="77777777" w:rsidR="00667FF6" w:rsidRDefault="00667FF6" w:rsidP="00667FF6"/>
    <w:p w14:paraId="56AE07B8" w14:textId="3C764772" w:rsidR="00667FF6" w:rsidRDefault="00667FF6" w:rsidP="00DB686B">
      <w:pPr>
        <w:pStyle w:val="Questionstyle"/>
        <w:numPr>
          <w:ilvl w:val="0"/>
          <w:numId w:val="14"/>
        </w:numPr>
      </w:pPr>
      <w:r>
        <w:t>Please explain your understanding of the notion of ancillary liquid assets and any recurring or significant issues that you might have experienced in this context. Please clarify if these are held as bank deposits at sight and what else is used as ancillary liquid assets. Where relevant, please distinguish between ancillary liquid assets denominated in (1) the base currency of the fund and (2) foreign currencies.</w:t>
      </w:r>
    </w:p>
    <w:p w14:paraId="6D6B1414" w14:textId="77777777" w:rsidR="00667FF6" w:rsidRDefault="00667FF6" w:rsidP="00667FF6">
      <w:r>
        <w:t>&lt;ESMA_QUESTION_EADC_6&gt;</w:t>
      </w:r>
    </w:p>
    <w:p w14:paraId="3FEE353B" w14:textId="77777777" w:rsidR="00667FF6" w:rsidRDefault="00667FF6" w:rsidP="00667FF6">
      <w:permStart w:id="974730357" w:edGrp="everyone"/>
      <w:r>
        <w:t>TYPE YOUR TEXT HERE</w:t>
      </w:r>
    </w:p>
    <w:permEnd w:id="974730357"/>
    <w:p w14:paraId="307CFCEA" w14:textId="77777777" w:rsidR="00667FF6" w:rsidRDefault="00667FF6" w:rsidP="00667FF6">
      <w:r>
        <w:t>&lt;ESMA_QUESTION_EADC_6&gt;</w:t>
      </w:r>
    </w:p>
    <w:p w14:paraId="45FF66BD" w14:textId="77777777" w:rsidR="00667FF6" w:rsidRDefault="00667FF6" w:rsidP="00667FF6"/>
    <w:p w14:paraId="7215304E" w14:textId="40D71168" w:rsidR="00667FF6" w:rsidRDefault="00667FF6" w:rsidP="00DB686B">
      <w:pPr>
        <w:pStyle w:val="Questionstyle"/>
        <w:numPr>
          <w:ilvl w:val="0"/>
          <w:numId w:val="14"/>
        </w:numPr>
      </w:pPr>
      <w:r>
        <w:t>Beyond holding currency for liquidity purposes, do you think UCITS should be permitted to acquire or hold foreign currency also for investment purposes, taking into account the high volatility and devaluation/depreciation of some currencies? Where relevant, please distinguish between direct and indirect investments.</w:t>
      </w:r>
    </w:p>
    <w:p w14:paraId="31EB23C3" w14:textId="77777777" w:rsidR="00667FF6" w:rsidRDefault="00667FF6" w:rsidP="00667FF6">
      <w:r>
        <w:t>&lt;ESMA_QUESTION_EADC_7&gt;</w:t>
      </w:r>
    </w:p>
    <w:p w14:paraId="24C7BA65" w14:textId="77777777" w:rsidR="00667FF6" w:rsidRDefault="00667FF6" w:rsidP="00667FF6">
      <w:permStart w:id="12191390" w:edGrp="everyone"/>
      <w:r>
        <w:t>TYPE YOUR TEXT HERE</w:t>
      </w:r>
    </w:p>
    <w:permEnd w:id="12191390"/>
    <w:p w14:paraId="1D468445" w14:textId="77777777" w:rsidR="00667FF6" w:rsidRDefault="00667FF6" w:rsidP="00667FF6">
      <w:r>
        <w:t>&lt;ESMA_QUESTION_EADC_7&gt;</w:t>
      </w:r>
    </w:p>
    <w:p w14:paraId="354CFACC" w14:textId="77777777" w:rsidR="00667FF6" w:rsidRDefault="00667FF6" w:rsidP="00667FF6"/>
    <w:p w14:paraId="653E32A2" w14:textId="77777777" w:rsidR="00667FF6" w:rsidRDefault="00667FF6" w:rsidP="00DB686B">
      <w:pPr>
        <w:pStyle w:val="Questionstyle"/>
        <w:numPr>
          <w:ilvl w:val="0"/>
          <w:numId w:val="14"/>
        </w:numPr>
      </w:pPr>
      <w:r>
        <w:t>Have you observed any recurring or significant issues with the interpretation or consistent application of the 10% limit set out in the UCITS Directive for investments in transferable securities and money market instruments other than those referred to in Article 50(1) of the UCITS Directive? If so, please explain the issues and how you would propose to address them in the UCITS EAD with a view to improving investor protection, clarity and supervisory convergence.</w:t>
      </w:r>
    </w:p>
    <w:p w14:paraId="1E29587B" w14:textId="77777777" w:rsidR="00667FF6" w:rsidRDefault="00667FF6" w:rsidP="00667FF6">
      <w:r>
        <w:t>&lt;ESMA_QUESTION_EADC_8&gt;</w:t>
      </w:r>
    </w:p>
    <w:p w14:paraId="3334222E" w14:textId="77777777" w:rsidR="00667FF6" w:rsidRDefault="00667FF6" w:rsidP="00667FF6">
      <w:permStart w:id="1602386857" w:edGrp="everyone"/>
      <w:r>
        <w:t>TYPE YOUR TEXT HERE</w:t>
      </w:r>
    </w:p>
    <w:permEnd w:id="1602386857"/>
    <w:p w14:paraId="720FFABA" w14:textId="77777777" w:rsidR="00667FF6" w:rsidRDefault="00667FF6" w:rsidP="00667FF6">
      <w:r>
        <w:lastRenderedPageBreak/>
        <w:t>&lt;ESMA_QUESTION_EADC_8&gt;</w:t>
      </w:r>
    </w:p>
    <w:p w14:paraId="6A129E5D" w14:textId="77777777" w:rsidR="00667FF6" w:rsidRDefault="00667FF6" w:rsidP="00667FF6"/>
    <w:p w14:paraId="67524C18" w14:textId="0AFAC158" w:rsidR="00667FF6" w:rsidRDefault="00667FF6" w:rsidP="00DB686B">
      <w:pPr>
        <w:pStyle w:val="Questionstyle"/>
        <w:numPr>
          <w:ilvl w:val="0"/>
          <w:numId w:val="14"/>
        </w:numPr>
      </w:pPr>
      <w:r>
        <w:t>Are the ‘transferable security’ criteria set out in the UCITS EAD adequate and clear enough? If not, please describe any recurring or significant issues that you have observed and how you would propose to amend the UCITS EAD to improve investor protection, clarity and supervisory convergence.</w:t>
      </w:r>
    </w:p>
    <w:p w14:paraId="5B3E2DA7" w14:textId="77777777" w:rsidR="00667FF6" w:rsidRDefault="00667FF6" w:rsidP="00667FF6">
      <w:r>
        <w:t>&lt;ESMA_QUESTION_EADC_9&gt;</w:t>
      </w:r>
    </w:p>
    <w:p w14:paraId="7B6A3FF3" w14:textId="77777777" w:rsidR="00667FF6" w:rsidRDefault="00667FF6" w:rsidP="00667FF6">
      <w:permStart w:id="1226657538" w:edGrp="everyone"/>
      <w:r>
        <w:t>TYPE YOUR TEXT HERE</w:t>
      </w:r>
    </w:p>
    <w:permEnd w:id="1226657538"/>
    <w:p w14:paraId="362436C7" w14:textId="77777777" w:rsidR="00667FF6" w:rsidRDefault="00667FF6" w:rsidP="00667FF6">
      <w:r>
        <w:t>&lt;ESMA_QUESTION_EADC_9&gt;</w:t>
      </w:r>
    </w:p>
    <w:p w14:paraId="2656408B" w14:textId="77777777" w:rsidR="00667FF6" w:rsidRDefault="00667FF6" w:rsidP="00667FF6"/>
    <w:p w14:paraId="55F6DC93" w14:textId="75E394F8" w:rsidR="00667FF6" w:rsidRDefault="00667FF6" w:rsidP="00DB686B">
      <w:pPr>
        <w:pStyle w:val="Questionstyle"/>
        <w:numPr>
          <w:ilvl w:val="0"/>
          <w:numId w:val="14"/>
        </w:numPr>
      </w:pPr>
      <w:r>
        <w:t>How are the valuation and risk management-related criteria set out in the UCITS EAD interpreted and applied in practice, in particular the need for (1) risks to be “adequately captured” by the risk management process and (2) having “reliable” valuation/prices. Please describe any recurring or significant issues that you have observed with the interpretation or consistent application of these criteria and how you would propose to amend the UCITS EAD to improve investor protection, clarity and supervisory convergence.</w:t>
      </w:r>
    </w:p>
    <w:p w14:paraId="7A78E990" w14:textId="77777777" w:rsidR="00667FF6" w:rsidRDefault="00667FF6" w:rsidP="00667FF6">
      <w:r>
        <w:t>&lt;ESMA_QUESTION_EADC_10&gt;</w:t>
      </w:r>
    </w:p>
    <w:p w14:paraId="0BA52450" w14:textId="77777777" w:rsidR="00667FF6" w:rsidRDefault="00667FF6" w:rsidP="00667FF6">
      <w:permStart w:id="1286214635" w:edGrp="everyone"/>
      <w:r>
        <w:t>TYPE YOUR TEXT HERE</w:t>
      </w:r>
    </w:p>
    <w:permEnd w:id="1286214635"/>
    <w:p w14:paraId="596ED339" w14:textId="77777777" w:rsidR="00667FF6" w:rsidRDefault="00667FF6" w:rsidP="00667FF6">
      <w:r>
        <w:t>&lt;ESMA_QUESTION_EADC_10&gt;</w:t>
      </w:r>
    </w:p>
    <w:p w14:paraId="0BAA1A76" w14:textId="77777777" w:rsidR="00667FF6" w:rsidRDefault="00667FF6" w:rsidP="00667FF6"/>
    <w:p w14:paraId="17C5D1CC" w14:textId="6F44228F" w:rsidR="00667FF6" w:rsidRDefault="00667FF6" w:rsidP="00DB686B">
      <w:pPr>
        <w:pStyle w:val="Questionstyle"/>
        <w:numPr>
          <w:ilvl w:val="0"/>
          <w:numId w:val="14"/>
        </w:numPr>
      </w:pPr>
      <w:r>
        <w:t>Are the UCITS EAD provisions on investments in financial instruments backed by, or linked to the performance of assets other than those listed in Article 50(1) of the UCITS Directive adequate and clear enough? Please describe any recurring or significant issues that you have observed in this respect and how you would propose to amend the UCITS EAD to improve investor protection, clarity and supervisory convergence.</w:t>
      </w:r>
    </w:p>
    <w:p w14:paraId="1B0E4A0A" w14:textId="77777777" w:rsidR="00667FF6" w:rsidRDefault="00667FF6" w:rsidP="00667FF6">
      <w:r>
        <w:t>&lt;ESMA_QUESTION_EADC_11&gt;</w:t>
      </w:r>
    </w:p>
    <w:p w14:paraId="0E3B2DB0" w14:textId="77777777" w:rsidR="00667FF6" w:rsidRDefault="00667FF6" w:rsidP="00667FF6">
      <w:permStart w:id="704664972" w:edGrp="everyone"/>
      <w:r>
        <w:t>TYPE YOUR TEXT HERE</w:t>
      </w:r>
    </w:p>
    <w:permEnd w:id="704664972"/>
    <w:p w14:paraId="0F547A6E" w14:textId="77777777" w:rsidR="00667FF6" w:rsidRDefault="00667FF6" w:rsidP="00667FF6">
      <w:r>
        <w:lastRenderedPageBreak/>
        <w:t>&lt;ESMA_QUESTION_EADC_11&gt;</w:t>
      </w:r>
    </w:p>
    <w:p w14:paraId="36E977FF" w14:textId="77777777" w:rsidR="00667FF6" w:rsidRDefault="00667FF6" w:rsidP="00667FF6"/>
    <w:p w14:paraId="35AD47A8" w14:textId="19BAFAEA" w:rsidR="00667FF6" w:rsidRDefault="00667FF6" w:rsidP="00DB686B">
      <w:pPr>
        <w:pStyle w:val="Questionstyle"/>
        <w:numPr>
          <w:ilvl w:val="0"/>
          <w:numId w:val="14"/>
        </w:numPr>
      </w:pPr>
      <w:r>
        <w:t>Is the concept of « embedded » derivatives set out in the UCITS EAD adequate and clear enough? Please describe any recurring or significant issues that you have observed with the interpretation or consistent application of this concept and how you would propose to amend UCITS EAD to improve investor protection, clarity and supervisory convergence.</w:t>
      </w:r>
    </w:p>
    <w:p w14:paraId="53A2BF96" w14:textId="77777777" w:rsidR="00667FF6" w:rsidRDefault="00667FF6" w:rsidP="00667FF6">
      <w:r>
        <w:t>&lt;ESMA_QUESTION_EADC_12&gt;</w:t>
      </w:r>
    </w:p>
    <w:p w14:paraId="259CC93E" w14:textId="77777777" w:rsidR="00667FF6" w:rsidRDefault="00667FF6" w:rsidP="00667FF6">
      <w:permStart w:id="624035433" w:edGrp="everyone"/>
      <w:r>
        <w:t>TYPE YOUR TEXT HERE</w:t>
      </w:r>
    </w:p>
    <w:permEnd w:id="624035433"/>
    <w:p w14:paraId="0AE10AA5" w14:textId="77777777" w:rsidR="00667FF6" w:rsidRDefault="00667FF6" w:rsidP="00667FF6">
      <w:r>
        <w:t>&lt;ESMA_QUESTION_EADC_12&gt;</w:t>
      </w:r>
    </w:p>
    <w:p w14:paraId="76621B7A" w14:textId="77777777" w:rsidR="00667FF6" w:rsidRDefault="00667FF6" w:rsidP="00667FF6"/>
    <w:p w14:paraId="2CC518B9" w14:textId="77777777" w:rsidR="00667FF6" w:rsidRDefault="00667FF6" w:rsidP="00DB686B">
      <w:pPr>
        <w:pStyle w:val="Questionstyle"/>
        <w:numPr>
          <w:ilvl w:val="0"/>
          <w:numId w:val="14"/>
        </w:numPr>
      </w:pPr>
      <w:r>
        <w:t>Linked to Q11 and Q12, ESMA is aware of diverging interpretations on the treatment of delta-one instruments under the EAD, taking into account that they might provide UCITS with exposures to asset classes that are not eligible for direct investment (see also Section 3.2). How would you propose to amend the UCITS EAD to improve investor protection, clarity and supervisory convergence? Please provide details on the assessment of the eligibility of different types of delta-one instruments, identify the issues per product and provide data to support the reasoning.</w:t>
      </w:r>
    </w:p>
    <w:p w14:paraId="20523F5C" w14:textId="77777777" w:rsidR="00667FF6" w:rsidRDefault="00667FF6" w:rsidP="00667FF6">
      <w:r>
        <w:t>&lt;ESMA_QUESTION_EADC_13&gt;</w:t>
      </w:r>
    </w:p>
    <w:p w14:paraId="0E557136" w14:textId="77777777" w:rsidR="00667FF6" w:rsidRDefault="00667FF6" w:rsidP="00667FF6">
      <w:permStart w:id="1487874619" w:edGrp="everyone"/>
      <w:r>
        <w:t>TYPE YOUR TEXT HERE</w:t>
      </w:r>
    </w:p>
    <w:permEnd w:id="1487874619"/>
    <w:p w14:paraId="7EE4CE59" w14:textId="77777777" w:rsidR="00667FF6" w:rsidRDefault="00667FF6" w:rsidP="00667FF6">
      <w:r>
        <w:t>&lt;ESMA_QUESTION_EADC_13&gt;</w:t>
      </w:r>
    </w:p>
    <w:p w14:paraId="2ACD3334" w14:textId="77777777" w:rsidR="00667FF6" w:rsidRDefault="00667FF6" w:rsidP="00667FF6"/>
    <w:p w14:paraId="1D3229EF" w14:textId="5B55D227" w:rsidR="00667FF6" w:rsidRDefault="00667FF6" w:rsidP="00DB686B">
      <w:pPr>
        <w:pStyle w:val="Questionstyle"/>
        <w:numPr>
          <w:ilvl w:val="0"/>
          <w:numId w:val="14"/>
        </w:numPr>
      </w:pPr>
      <w:r>
        <w:t xml:space="preserve">Have you observed any recurring or significant issues with the interpretation or consistent application of the rules on UCITS investments in other UCITS and alternative investment funds (AIFs)? In this context, have you observed any issues in terms of the clarity, interaction and logical consistency between (1) the rules on investments in UCITS and other open-ended funds set out in the UCITS Directive and (2) the provisions on UCITS investments in closed ended funds set out in the UCITS EAD? Please describe any recurring or significant issues that you have observed in this respect and how you would </w:t>
      </w:r>
      <w:r>
        <w:lastRenderedPageBreak/>
        <w:t>propose to amend the relevant rules to improve investor protection, clarity and supervisory convergence. Where relevant, please distinguish between different types of AIFs (e.g. closed-ended, open-ended), investment strategies (real estate, hedge fund, private equity, venture capital etc.) and location (e.g. EU, non-EU, specific countries). In this context, please also share views on whether there is a need to update the legal wording used in the UCITS EAD and UCITS Directive given the fact that e.g. they refer to ‘open-ended’ and ‘closed ended funds’, whereas it might seem preferable to use the notion of ‘AIFs’ by now given the subsequent introduction of the AIFMD in 2011.</w:t>
      </w:r>
    </w:p>
    <w:p w14:paraId="287F79B6" w14:textId="77777777" w:rsidR="00667FF6" w:rsidRDefault="00667FF6" w:rsidP="00667FF6">
      <w:r>
        <w:t>&lt;ESMA_QUESTION_EADC_14&gt;</w:t>
      </w:r>
    </w:p>
    <w:p w14:paraId="3D6D0453" w14:textId="77777777" w:rsidR="00667FF6" w:rsidRDefault="00667FF6" w:rsidP="00667FF6">
      <w:permStart w:id="1362129429" w:edGrp="everyone"/>
      <w:r>
        <w:t>TYPE YOUR TEXT HERE</w:t>
      </w:r>
    </w:p>
    <w:permEnd w:id="1362129429"/>
    <w:p w14:paraId="1A4BA964" w14:textId="77777777" w:rsidR="00667FF6" w:rsidRDefault="00667FF6" w:rsidP="00667FF6">
      <w:r>
        <w:t>&lt;ESMA_QUESTION_EADC_14&gt;</w:t>
      </w:r>
    </w:p>
    <w:p w14:paraId="63AE0E82" w14:textId="77777777" w:rsidR="00667FF6" w:rsidRDefault="00667FF6" w:rsidP="00667FF6"/>
    <w:p w14:paraId="276F7F5F" w14:textId="77777777" w:rsidR="00667FF6" w:rsidRDefault="00667FF6" w:rsidP="00DB686B">
      <w:pPr>
        <w:pStyle w:val="Questionstyle"/>
        <w:numPr>
          <w:ilvl w:val="0"/>
          <w:numId w:val="14"/>
        </w:numPr>
      </w:pPr>
      <w:r>
        <w:t>More specifically, have you observed any recurring or significant issues with the interpretation or consistent application of the rules on UCITS investments in (1) EU ETFs and (2) non-EU ETFs? Please describe any issues that you have observed in this respect and how you would propose to amend the relevant rules to improve investor protection, clarity and supervisory convergence.</w:t>
      </w:r>
    </w:p>
    <w:p w14:paraId="7B7639CC" w14:textId="77777777" w:rsidR="00667FF6" w:rsidRDefault="00667FF6" w:rsidP="00667FF6">
      <w:r>
        <w:t>&lt;ESMA_QUESTION_EADC_15&gt;</w:t>
      </w:r>
    </w:p>
    <w:p w14:paraId="01944298" w14:textId="77777777" w:rsidR="00667FF6" w:rsidRDefault="00667FF6" w:rsidP="00667FF6">
      <w:permStart w:id="493775816" w:edGrp="everyone"/>
      <w:r>
        <w:t>TYPE YOUR TEXT HERE</w:t>
      </w:r>
    </w:p>
    <w:permEnd w:id="493775816"/>
    <w:p w14:paraId="2FCB81E2" w14:textId="77777777" w:rsidR="00667FF6" w:rsidRDefault="00667FF6" w:rsidP="00667FF6">
      <w:r>
        <w:t>&lt;ESMA_QUESTION_EADC_15&gt;</w:t>
      </w:r>
    </w:p>
    <w:p w14:paraId="2D428B94" w14:textId="77777777" w:rsidR="00667FF6" w:rsidRDefault="00667FF6" w:rsidP="00667FF6"/>
    <w:p w14:paraId="6CF16EE3" w14:textId="09BA8660" w:rsidR="00667FF6" w:rsidRDefault="00667FF6" w:rsidP="00DB686B">
      <w:pPr>
        <w:pStyle w:val="Questionstyle"/>
        <w:numPr>
          <w:ilvl w:val="0"/>
          <w:numId w:val="14"/>
        </w:numPr>
      </w:pPr>
      <w:r>
        <w:t>How would you propose to amend the UCITS EAD to improve investor protection, clarity and supervisory convergence with respect to the Efficient Portfolio Management (EPM)-related issues identified in the following ESMA reports: (1) Peer Review on the ESMA Guidelines on ETFs and other UCITS issues; (2) Follow-up Peer Review on the ETF Guidelines; and (3) CSA on costs and fees. In this context, ESMA is interested in also gathering evidence and views on how to best address the uneven market practices with respect to securities lending fees described in the aforementioned ESMA reports with a view to better protect investors from being overcharged.</w:t>
      </w:r>
    </w:p>
    <w:p w14:paraId="0537F2EA" w14:textId="77777777" w:rsidR="00667FF6" w:rsidRDefault="00667FF6" w:rsidP="00667FF6">
      <w:r>
        <w:lastRenderedPageBreak/>
        <w:t>&lt;ESMA_QUESTION_EADC_16&gt;</w:t>
      </w:r>
    </w:p>
    <w:p w14:paraId="4809F46F" w14:textId="77777777" w:rsidR="003E165D" w:rsidRPr="00A55E4D" w:rsidRDefault="003E165D" w:rsidP="003E165D">
      <w:pPr>
        <w:pStyle w:val="Default"/>
        <w:ind w:right="-46"/>
        <w:jc w:val="both"/>
        <w:rPr>
          <w:rFonts w:asciiTheme="minorHAnsi" w:hAnsiTheme="minorHAnsi" w:cstheme="minorBidi"/>
          <w:color w:val="1E3400" w:themeColor="background2" w:themeShade="40"/>
          <w:sz w:val="22"/>
          <w:szCs w:val="22"/>
        </w:rPr>
      </w:pPr>
      <w:permStart w:id="1032210024" w:edGrp="everyone"/>
      <w:r>
        <w:rPr>
          <w:rFonts w:asciiTheme="minorHAnsi" w:hAnsiTheme="minorHAnsi" w:cstheme="minorBidi"/>
          <w:color w:val="1E3400" w:themeColor="background2" w:themeShade="40"/>
          <w:sz w:val="22"/>
          <w:szCs w:val="22"/>
        </w:rPr>
        <w:t>T</w:t>
      </w:r>
      <w:r w:rsidRPr="00A55E4D">
        <w:rPr>
          <w:rFonts w:asciiTheme="minorHAnsi" w:hAnsiTheme="minorHAnsi" w:cstheme="minorBidi"/>
          <w:color w:val="1E3400" w:themeColor="background2" w:themeShade="40"/>
          <w:sz w:val="22"/>
          <w:szCs w:val="22"/>
        </w:rPr>
        <w:t xml:space="preserve">he International Securities Lending Association (ISLA) would not propose any amendments directly to the UCITS EAD itself, however we would like to take this opportunity to propose changes to relevant guidance, that would increase clarity amongst securities lending market participants, as well as make UCITS more competitive as a global brand. </w:t>
      </w:r>
    </w:p>
    <w:p w14:paraId="40F317EC" w14:textId="77777777" w:rsidR="003E165D" w:rsidRPr="00A55E4D" w:rsidRDefault="003E165D" w:rsidP="003E165D">
      <w:pPr>
        <w:pStyle w:val="Default"/>
        <w:ind w:right="-46"/>
        <w:jc w:val="both"/>
        <w:rPr>
          <w:rFonts w:asciiTheme="minorHAnsi" w:hAnsiTheme="minorHAnsi" w:cstheme="minorBidi"/>
          <w:color w:val="1E3400" w:themeColor="background2" w:themeShade="40"/>
          <w:sz w:val="22"/>
          <w:szCs w:val="22"/>
        </w:rPr>
      </w:pPr>
    </w:p>
    <w:p w14:paraId="48E98B28" w14:textId="1A93F122" w:rsidR="003E165D" w:rsidRPr="00A55E4D" w:rsidRDefault="003E165D" w:rsidP="003E165D">
      <w:pPr>
        <w:pStyle w:val="Default"/>
        <w:ind w:right="-46"/>
        <w:jc w:val="both"/>
        <w:rPr>
          <w:rFonts w:asciiTheme="minorHAnsi" w:hAnsiTheme="minorHAnsi" w:cstheme="minorBidi"/>
          <w:color w:val="1E3400" w:themeColor="background2" w:themeShade="40"/>
          <w:sz w:val="22"/>
          <w:szCs w:val="22"/>
        </w:rPr>
      </w:pPr>
      <w:r w:rsidRPr="00A55E4D">
        <w:rPr>
          <w:rFonts w:asciiTheme="minorHAnsi" w:hAnsiTheme="minorHAnsi" w:cstheme="minorBidi"/>
          <w:color w:val="1E3400" w:themeColor="background2" w:themeShade="40"/>
          <w:sz w:val="22"/>
          <w:szCs w:val="22"/>
        </w:rPr>
        <w:t>Firstly, ISLA would like to highlight the Peer Review on the ESMA Guidelines on ETF’s and other UCITS issues, released in July 2018. As part of the ‘Follow Up Actions with NCA’s’ in point (90), it states that:</w:t>
      </w:r>
    </w:p>
    <w:p w14:paraId="428C4FE1" w14:textId="77777777" w:rsidR="003E165D" w:rsidRPr="00A55E4D" w:rsidRDefault="003E165D" w:rsidP="003E165D">
      <w:pPr>
        <w:pStyle w:val="Default"/>
        <w:ind w:right="-46"/>
        <w:jc w:val="both"/>
        <w:rPr>
          <w:rFonts w:asciiTheme="minorHAnsi" w:hAnsiTheme="minorHAnsi" w:cstheme="minorBidi"/>
          <w:color w:val="1E3400" w:themeColor="background2" w:themeShade="40"/>
          <w:sz w:val="22"/>
          <w:szCs w:val="22"/>
        </w:rPr>
      </w:pPr>
    </w:p>
    <w:p w14:paraId="1BE1361E" w14:textId="77777777" w:rsidR="003E165D" w:rsidRPr="00A55E4D" w:rsidRDefault="003E165D" w:rsidP="003E165D">
      <w:pPr>
        <w:pStyle w:val="Default"/>
        <w:ind w:right="-46"/>
        <w:jc w:val="both"/>
        <w:rPr>
          <w:rFonts w:asciiTheme="minorHAnsi" w:hAnsiTheme="minorHAnsi" w:cstheme="minorHAnsi"/>
          <w:i/>
          <w:iCs/>
          <w:color w:val="1E3400" w:themeColor="background2" w:themeShade="40"/>
          <w:sz w:val="20"/>
          <w:szCs w:val="20"/>
        </w:rPr>
      </w:pPr>
      <w:r w:rsidRPr="00A55E4D">
        <w:rPr>
          <w:rFonts w:asciiTheme="minorHAnsi" w:hAnsiTheme="minorHAnsi" w:cstheme="minorHAnsi"/>
          <w:i/>
          <w:iCs/>
          <w:color w:val="1E3400" w:themeColor="background2" w:themeShade="40"/>
          <w:sz w:val="22"/>
          <w:szCs w:val="22"/>
        </w:rPr>
        <w:t xml:space="preserve">‘In the context of collateral management, there may be an inconsistency between the [2014] Guidelines and Art. 22(7) of the UCITS Directive which was introduced by the UCITS V Directive. While the Guidelines refer to ‘title transfer’ and ‘other types of collateral arrangement’ (such as pledging arrangements) to be permissible for collateral received by the UCITS for its EPM, the text of Art. 22(7) stipulates that the assets held in custody by the depositary are allowed to be reused </w:t>
      </w:r>
      <w:r w:rsidRPr="00A55E4D">
        <w:rPr>
          <w:rFonts w:asciiTheme="minorHAnsi" w:hAnsiTheme="minorHAnsi" w:cstheme="minorHAnsi"/>
          <w:b/>
          <w:bCs/>
          <w:i/>
          <w:iCs/>
          <w:color w:val="1E3400" w:themeColor="background2" w:themeShade="40"/>
          <w:sz w:val="22"/>
          <w:szCs w:val="22"/>
        </w:rPr>
        <w:t>only where the transaction is covered by high-quality and liquid collateral received by the UCITS under a title transfer arrangement</w:t>
      </w:r>
      <w:r w:rsidRPr="00A55E4D">
        <w:rPr>
          <w:rFonts w:asciiTheme="minorHAnsi" w:hAnsiTheme="minorHAnsi" w:cstheme="minorHAnsi"/>
          <w:i/>
          <w:iCs/>
          <w:color w:val="1E3400" w:themeColor="background2" w:themeShade="40"/>
          <w:sz w:val="22"/>
          <w:szCs w:val="22"/>
        </w:rPr>
        <w:t>.’</w:t>
      </w:r>
    </w:p>
    <w:p w14:paraId="29E5EC66" w14:textId="77777777" w:rsidR="003E165D" w:rsidRPr="00A55E4D" w:rsidRDefault="003E165D" w:rsidP="003E165D">
      <w:pPr>
        <w:pStyle w:val="Default"/>
        <w:ind w:right="-46"/>
        <w:jc w:val="both"/>
        <w:rPr>
          <w:rFonts w:asciiTheme="minorHAnsi" w:hAnsiTheme="minorHAnsi" w:cstheme="minorBidi"/>
          <w:color w:val="1E3400" w:themeColor="background2" w:themeShade="40"/>
          <w:sz w:val="22"/>
          <w:szCs w:val="22"/>
        </w:rPr>
      </w:pPr>
    </w:p>
    <w:p w14:paraId="74AAD42D" w14:textId="691DEE47" w:rsidR="003E165D" w:rsidRDefault="003E165D" w:rsidP="003E165D">
      <w:pPr>
        <w:pStyle w:val="Default"/>
        <w:ind w:right="-46"/>
        <w:jc w:val="both"/>
        <w:rPr>
          <w:rFonts w:asciiTheme="minorHAnsi" w:hAnsiTheme="minorHAnsi" w:cstheme="minorBidi"/>
          <w:color w:val="1E3400" w:themeColor="background2" w:themeShade="40"/>
          <w:sz w:val="22"/>
          <w:szCs w:val="22"/>
        </w:rPr>
      </w:pPr>
      <w:r w:rsidRPr="00A55E4D">
        <w:rPr>
          <w:rFonts w:asciiTheme="minorHAnsi" w:hAnsiTheme="minorHAnsi" w:cstheme="minorBidi"/>
          <w:color w:val="1E3400" w:themeColor="background2" w:themeShade="40"/>
          <w:sz w:val="22"/>
          <w:szCs w:val="22"/>
        </w:rPr>
        <w:t>This can be found in Article 22 (7)d of Directive 2014/91/EU, amending Directive 2009/65/EC</w:t>
      </w:r>
      <w:r>
        <w:rPr>
          <w:rFonts w:asciiTheme="minorHAnsi" w:hAnsiTheme="minorHAnsi" w:cstheme="minorBidi"/>
          <w:color w:val="1E3400" w:themeColor="background2" w:themeShade="40"/>
          <w:sz w:val="22"/>
          <w:szCs w:val="22"/>
        </w:rPr>
        <w:t xml:space="preserve"> (UCITS v)</w:t>
      </w:r>
      <w:r w:rsidRPr="00A55E4D">
        <w:rPr>
          <w:rFonts w:asciiTheme="minorHAnsi" w:hAnsiTheme="minorHAnsi" w:cstheme="minorBidi"/>
          <w:color w:val="1E3400" w:themeColor="background2" w:themeShade="40"/>
          <w:sz w:val="22"/>
          <w:szCs w:val="22"/>
        </w:rPr>
        <w:t xml:space="preserve">. </w:t>
      </w:r>
    </w:p>
    <w:p w14:paraId="251D80BF" w14:textId="77777777" w:rsidR="00F57A25" w:rsidRPr="00A55E4D" w:rsidRDefault="00F57A25" w:rsidP="003E165D">
      <w:pPr>
        <w:pStyle w:val="Default"/>
        <w:ind w:right="-46"/>
        <w:jc w:val="both"/>
        <w:rPr>
          <w:rFonts w:asciiTheme="minorHAnsi" w:hAnsiTheme="minorHAnsi" w:cstheme="minorBidi"/>
          <w:color w:val="1E3400" w:themeColor="background2" w:themeShade="40"/>
          <w:sz w:val="22"/>
          <w:szCs w:val="22"/>
        </w:rPr>
      </w:pPr>
    </w:p>
    <w:p w14:paraId="589ABB5B" w14:textId="3E59764F" w:rsidR="003E165D" w:rsidRPr="00A55E4D" w:rsidRDefault="003E165D" w:rsidP="003E165D">
      <w:pPr>
        <w:pStyle w:val="Default"/>
        <w:ind w:right="-46"/>
        <w:jc w:val="both"/>
        <w:rPr>
          <w:rFonts w:asciiTheme="minorHAnsi" w:hAnsiTheme="minorHAnsi" w:cstheme="minorBidi"/>
          <w:color w:val="1E3400" w:themeColor="background2" w:themeShade="40"/>
          <w:sz w:val="22"/>
          <w:szCs w:val="22"/>
        </w:rPr>
      </w:pPr>
      <w:r w:rsidRPr="00A55E4D">
        <w:rPr>
          <w:rFonts w:asciiTheme="minorHAnsi" w:hAnsiTheme="minorHAnsi" w:cstheme="minorBidi"/>
          <w:color w:val="1E3400" w:themeColor="background2" w:themeShade="40"/>
          <w:sz w:val="22"/>
          <w:szCs w:val="22"/>
        </w:rPr>
        <w:t>In addition to this peer review, in 2017, the Securities and Markets Stakeholder group (SMSG) published advice</w:t>
      </w:r>
      <w:r w:rsidR="00F57A25">
        <w:rPr>
          <w:rFonts w:asciiTheme="minorHAnsi" w:hAnsiTheme="minorHAnsi" w:cstheme="minorBidi"/>
          <w:color w:val="1E3400" w:themeColor="background2" w:themeShade="40"/>
          <w:sz w:val="22"/>
          <w:szCs w:val="22"/>
        </w:rPr>
        <w:t xml:space="preserve"> (</w:t>
      </w:r>
      <w:hyperlink r:id="rId21" w:history="1">
        <w:r w:rsidR="00AC7E76" w:rsidRPr="00E1217E">
          <w:rPr>
            <w:rStyle w:val="Hyperlink"/>
            <w:color w:val="009999"/>
          </w:rPr>
          <w:t>https://www.esma.europa.eu/sites/default/files/library/esma22-106-265_smsg_securities_lending_report.pdf</w:t>
        </w:r>
      </w:hyperlink>
      <w:r w:rsidR="00AC7E76">
        <w:rPr>
          <w:rFonts w:asciiTheme="minorHAnsi" w:hAnsiTheme="minorHAnsi" w:cstheme="minorBidi"/>
          <w:color w:val="1E3400" w:themeColor="background2" w:themeShade="40"/>
          <w:sz w:val="22"/>
          <w:szCs w:val="22"/>
        </w:rPr>
        <w:t xml:space="preserve">) </w:t>
      </w:r>
      <w:r w:rsidRPr="00A55E4D">
        <w:rPr>
          <w:rFonts w:asciiTheme="minorHAnsi" w:hAnsiTheme="minorHAnsi" w:cstheme="minorBidi"/>
          <w:color w:val="1E3400" w:themeColor="background2" w:themeShade="40"/>
          <w:sz w:val="22"/>
          <w:szCs w:val="22"/>
        </w:rPr>
        <w:t>in anticipation of a peer-review of UCITS guidelines compliance. The advice directed at ESMA, was to focus their assessment on NCAs compliance with the guidelines, and list those guidelines that should be the priority for their review on securities lending practices by UCITS.</w:t>
      </w:r>
    </w:p>
    <w:p w14:paraId="43127963" w14:textId="77777777" w:rsidR="003E165D" w:rsidRPr="00A55E4D" w:rsidRDefault="003E165D" w:rsidP="003E165D">
      <w:pPr>
        <w:pStyle w:val="Default"/>
        <w:ind w:right="-46"/>
        <w:jc w:val="both"/>
        <w:rPr>
          <w:rFonts w:asciiTheme="minorHAnsi" w:hAnsiTheme="minorHAnsi" w:cstheme="minorBidi"/>
          <w:color w:val="1E3400" w:themeColor="background2" w:themeShade="40"/>
          <w:sz w:val="22"/>
          <w:szCs w:val="22"/>
        </w:rPr>
      </w:pPr>
    </w:p>
    <w:p w14:paraId="36C790F3" w14:textId="2F5D9117" w:rsidR="003E165D" w:rsidRPr="00A55E4D" w:rsidRDefault="003E165D" w:rsidP="003E165D">
      <w:pPr>
        <w:pStyle w:val="Default"/>
        <w:ind w:right="-46"/>
        <w:jc w:val="both"/>
        <w:rPr>
          <w:rFonts w:asciiTheme="minorHAnsi" w:hAnsiTheme="minorHAnsi" w:cstheme="minorBidi"/>
          <w:color w:val="1E3400" w:themeColor="background2" w:themeShade="40"/>
          <w:sz w:val="22"/>
          <w:szCs w:val="22"/>
        </w:rPr>
      </w:pPr>
      <w:r w:rsidRPr="00A55E4D">
        <w:rPr>
          <w:rFonts w:asciiTheme="minorHAnsi" w:hAnsiTheme="minorHAnsi" w:cstheme="minorBidi"/>
          <w:color w:val="1E3400" w:themeColor="background2" w:themeShade="40"/>
          <w:sz w:val="22"/>
          <w:szCs w:val="22"/>
        </w:rPr>
        <w:t>The advice, in relation to Guidelines for competent authorities and UCITS management companies, released in August 2014</w:t>
      </w:r>
      <w:r w:rsidR="00373BC1">
        <w:rPr>
          <w:rFonts w:asciiTheme="minorHAnsi" w:hAnsiTheme="minorHAnsi" w:cstheme="minorBidi"/>
          <w:color w:val="1E3400" w:themeColor="background2" w:themeShade="40"/>
          <w:sz w:val="22"/>
          <w:szCs w:val="22"/>
        </w:rPr>
        <w:t xml:space="preserve"> (</w:t>
      </w:r>
      <w:hyperlink r:id="rId22" w:history="1">
        <w:r w:rsidR="00373BC1" w:rsidRPr="00A87EA0">
          <w:rPr>
            <w:rStyle w:val="Hyperlink"/>
            <w:color w:val="009999"/>
          </w:rPr>
          <w:t>https://www.esma.europa.eu/sites/default/files/library/2015/11/esma-2014-0011-01-00_en_0.pdf</w:t>
        </w:r>
      </w:hyperlink>
      <w:r w:rsidR="00373BC1">
        <w:rPr>
          <w:rStyle w:val="Hyperlink"/>
          <w:color w:val="009999"/>
        </w:rPr>
        <w:t>)</w:t>
      </w:r>
      <w:r w:rsidRPr="00A55E4D">
        <w:rPr>
          <w:rFonts w:asciiTheme="minorHAnsi" w:hAnsiTheme="minorHAnsi" w:cstheme="minorBidi"/>
          <w:color w:val="1E3400" w:themeColor="background2" w:themeShade="40"/>
          <w:sz w:val="22"/>
          <w:szCs w:val="22"/>
        </w:rPr>
        <w:t xml:space="preserve"> states:</w:t>
      </w:r>
    </w:p>
    <w:p w14:paraId="211086C8" w14:textId="77777777" w:rsidR="003E165D" w:rsidRPr="00A55E4D" w:rsidRDefault="003E165D" w:rsidP="003E165D">
      <w:pPr>
        <w:pStyle w:val="Default"/>
        <w:ind w:right="-46"/>
        <w:jc w:val="both"/>
        <w:rPr>
          <w:rFonts w:asciiTheme="minorHAnsi" w:hAnsiTheme="minorHAnsi" w:cstheme="minorBidi"/>
          <w:color w:val="1E3400" w:themeColor="background2" w:themeShade="40"/>
          <w:sz w:val="22"/>
          <w:szCs w:val="22"/>
        </w:rPr>
      </w:pPr>
    </w:p>
    <w:p w14:paraId="120F6B98" w14:textId="77777777" w:rsidR="003E165D" w:rsidRPr="00A55E4D" w:rsidRDefault="003E165D" w:rsidP="003E165D">
      <w:pPr>
        <w:pStyle w:val="Default"/>
        <w:ind w:right="-46"/>
        <w:jc w:val="both"/>
        <w:rPr>
          <w:rFonts w:asciiTheme="minorHAnsi" w:hAnsiTheme="minorHAnsi" w:cstheme="minorHAnsi"/>
          <w:i/>
          <w:iCs/>
          <w:color w:val="1E3400" w:themeColor="background2" w:themeShade="40"/>
          <w:sz w:val="20"/>
          <w:szCs w:val="20"/>
        </w:rPr>
      </w:pPr>
      <w:r w:rsidRPr="00A55E4D">
        <w:rPr>
          <w:rFonts w:asciiTheme="minorHAnsi" w:hAnsiTheme="minorHAnsi" w:cstheme="minorHAnsi"/>
          <w:i/>
          <w:iCs/>
          <w:color w:val="1E3400" w:themeColor="background2" w:themeShade="40"/>
          <w:sz w:val="22"/>
          <w:szCs w:val="22"/>
        </w:rPr>
        <w:t xml:space="preserve">‘Guideline 43, subparagraph (g) offers guidance with respect to title transfer arrangements; however, this has led to uncertainty among market participants as to the nature of “other types of collateral arrangements” which would be suitable. In particular we note recent developments in securities lending via security pledge rather than title transfer. As some security borrowers might have a preference for pledge structures, an absence of guidance with respect to use of pledge structures may be resulting in UCITS investors being disadvantaged in their securities lending activity. </w:t>
      </w:r>
      <w:r w:rsidRPr="00A55E4D">
        <w:rPr>
          <w:rFonts w:asciiTheme="minorHAnsi" w:hAnsiTheme="minorHAnsi" w:cstheme="minorHAnsi"/>
          <w:b/>
          <w:bCs/>
          <w:i/>
          <w:iCs/>
          <w:color w:val="1E3400" w:themeColor="background2" w:themeShade="40"/>
          <w:sz w:val="22"/>
          <w:szCs w:val="22"/>
        </w:rPr>
        <w:t>Additional ESMA guidance on the use of pledge structures by UCITS could also facilitate UCITS participation in CCP-cleared securities lending</w:t>
      </w:r>
      <w:r w:rsidRPr="00A55E4D">
        <w:rPr>
          <w:rFonts w:asciiTheme="minorHAnsi" w:hAnsiTheme="minorHAnsi" w:cstheme="minorHAnsi"/>
          <w:i/>
          <w:iCs/>
          <w:color w:val="1E3400" w:themeColor="background2" w:themeShade="40"/>
          <w:sz w:val="22"/>
          <w:szCs w:val="22"/>
        </w:rPr>
        <w:t>.’</w:t>
      </w:r>
    </w:p>
    <w:p w14:paraId="749F5DE3" w14:textId="77777777" w:rsidR="003E165D" w:rsidRPr="00A55E4D" w:rsidRDefault="003E165D" w:rsidP="003E165D">
      <w:pPr>
        <w:pStyle w:val="Default"/>
        <w:ind w:right="-46"/>
        <w:jc w:val="both"/>
        <w:rPr>
          <w:rFonts w:asciiTheme="minorHAnsi" w:hAnsiTheme="minorHAnsi" w:cstheme="minorBidi"/>
          <w:color w:val="1E3400" w:themeColor="background2" w:themeShade="40"/>
          <w:sz w:val="22"/>
          <w:szCs w:val="22"/>
        </w:rPr>
      </w:pPr>
    </w:p>
    <w:p w14:paraId="20E1CC19" w14:textId="77777777" w:rsidR="003E165D" w:rsidRPr="00A55E4D" w:rsidRDefault="003E165D" w:rsidP="003E165D">
      <w:pPr>
        <w:spacing w:after="120" w:line="240" w:lineRule="auto"/>
        <w:ind w:right="-46"/>
        <w:rPr>
          <w:color w:val="1E3400" w:themeColor="background2" w:themeShade="40"/>
        </w:rPr>
      </w:pPr>
      <w:r w:rsidRPr="00A55E4D">
        <w:rPr>
          <w:color w:val="1E3400" w:themeColor="background2" w:themeShade="40"/>
        </w:rPr>
        <w:t xml:space="preserve">As local NCAs’ legislations are based on UCITS V Article 22(7) and the 2014 ESMA Guidelines, UCITS will be at a significant disadvantage to other lender types, if they are only able to accept collateral under a Title Transfer arrangement, making them less competitive. </w:t>
      </w:r>
    </w:p>
    <w:p w14:paraId="115F8DA9" w14:textId="77777777" w:rsidR="003E165D" w:rsidRPr="00A55E4D" w:rsidRDefault="003E165D" w:rsidP="003E165D">
      <w:pPr>
        <w:spacing w:after="120" w:line="240" w:lineRule="auto"/>
        <w:ind w:right="-46"/>
        <w:rPr>
          <w:color w:val="1E3400" w:themeColor="background2" w:themeShade="40"/>
        </w:rPr>
      </w:pPr>
      <w:r w:rsidRPr="00A55E4D">
        <w:rPr>
          <w:color w:val="1E3400" w:themeColor="background2" w:themeShade="40"/>
        </w:rPr>
        <w:lastRenderedPageBreak/>
        <w:t xml:space="preserve">UCITS V, Article 22(7), which was updated from the UCITS IV, makes clear that a depositary cannot reuse for its own account the assets of a UCITS that it is holding in custody. However, it further states that it can, however, reuse the assets so long as it meets certain requirements’. </w:t>
      </w:r>
    </w:p>
    <w:p w14:paraId="19CA572D" w14:textId="77777777" w:rsidR="003E165D" w:rsidRPr="00A55E4D" w:rsidRDefault="003E165D" w:rsidP="003E165D">
      <w:pPr>
        <w:spacing w:after="120" w:line="240" w:lineRule="auto"/>
        <w:ind w:right="-46"/>
        <w:rPr>
          <w:bCs/>
          <w:color w:val="1E3400" w:themeColor="background2" w:themeShade="40"/>
        </w:rPr>
      </w:pPr>
      <w:r w:rsidRPr="00A55E4D">
        <w:rPr>
          <w:bCs/>
          <w:color w:val="1E3400" w:themeColor="background2" w:themeShade="40"/>
        </w:rPr>
        <w:t xml:space="preserve"> ‘Title Transfer’ and ‘Pledging’ are only mentioned in UCITS V Art.22 ‘Obligations Regarding a depositary’. </w:t>
      </w:r>
    </w:p>
    <w:p w14:paraId="027F1778" w14:textId="77777777" w:rsidR="003E165D" w:rsidRPr="00A55E4D" w:rsidRDefault="003E165D" w:rsidP="003E165D">
      <w:pPr>
        <w:spacing w:after="120" w:line="240" w:lineRule="auto"/>
        <w:ind w:right="-46"/>
        <w:rPr>
          <w:bCs/>
          <w:color w:val="1E3400" w:themeColor="background2" w:themeShade="40"/>
        </w:rPr>
      </w:pPr>
      <w:r w:rsidRPr="00A55E4D">
        <w:rPr>
          <w:bCs/>
          <w:color w:val="1E3400" w:themeColor="background2" w:themeShade="40"/>
        </w:rPr>
        <w:t xml:space="preserve">‘Title Transfer’ is only referenced in Section 43 (g) of the ESMA 2014 revised Guidelines and ‘Pledge’ is only mentioned in Section 43 (i): </w:t>
      </w:r>
    </w:p>
    <w:p w14:paraId="60B3F9F5" w14:textId="77777777" w:rsidR="003E165D" w:rsidRPr="00A55E4D" w:rsidRDefault="003E165D" w:rsidP="003E165D">
      <w:pPr>
        <w:spacing w:after="120" w:line="240" w:lineRule="auto"/>
        <w:ind w:right="-46"/>
        <w:rPr>
          <w:i/>
          <w:color w:val="1E3400" w:themeColor="background2" w:themeShade="40"/>
        </w:rPr>
      </w:pPr>
      <w:r w:rsidRPr="00A55E4D">
        <w:rPr>
          <w:i/>
          <w:color w:val="1E3400" w:themeColor="background2" w:themeShade="40"/>
        </w:rPr>
        <w:t xml:space="preserve">‘g) </w:t>
      </w:r>
      <w:r w:rsidRPr="00A55E4D">
        <w:rPr>
          <w:b/>
          <w:bCs/>
          <w:i/>
          <w:color w:val="1E3400" w:themeColor="background2" w:themeShade="40"/>
        </w:rPr>
        <w:t>Where there is a title transfer</w:t>
      </w:r>
      <w:r w:rsidRPr="00A55E4D">
        <w:rPr>
          <w:i/>
          <w:color w:val="1E3400" w:themeColor="background2" w:themeShade="40"/>
        </w:rPr>
        <w:t xml:space="preserve">, the collateral received should be held by the depositary of the UCITS. </w:t>
      </w:r>
      <w:r w:rsidRPr="00A55E4D">
        <w:rPr>
          <w:b/>
          <w:bCs/>
          <w:i/>
          <w:color w:val="1E3400" w:themeColor="background2" w:themeShade="40"/>
        </w:rPr>
        <w:t>For other types of collateral arrangement</w:t>
      </w:r>
      <w:r w:rsidRPr="00A55E4D">
        <w:rPr>
          <w:i/>
          <w:color w:val="1E3400" w:themeColor="background2" w:themeShade="40"/>
        </w:rPr>
        <w:t>, the collateral can be held by a third-party custodian which is subject to prudential supervision, and which is unrelated to the provider of the collateral.</w:t>
      </w:r>
    </w:p>
    <w:p w14:paraId="73892204" w14:textId="77777777" w:rsidR="003E165D" w:rsidRPr="00A55E4D" w:rsidRDefault="003E165D" w:rsidP="003E165D">
      <w:pPr>
        <w:spacing w:after="120" w:line="240" w:lineRule="auto"/>
        <w:ind w:right="-46"/>
        <w:rPr>
          <w:i/>
          <w:color w:val="1E3400" w:themeColor="background2" w:themeShade="40"/>
        </w:rPr>
      </w:pPr>
      <w:r w:rsidRPr="00A55E4D">
        <w:rPr>
          <w:i/>
          <w:color w:val="1E3400" w:themeColor="background2" w:themeShade="40"/>
        </w:rPr>
        <w:t xml:space="preserve">i) Non-cash collateral received should not be sold, re-invested, or </w:t>
      </w:r>
      <w:r w:rsidRPr="00A55E4D">
        <w:rPr>
          <w:b/>
          <w:bCs/>
          <w:i/>
          <w:color w:val="1E3400" w:themeColor="background2" w:themeShade="40"/>
          <w:u w:val="single"/>
        </w:rPr>
        <w:t>pledged</w:t>
      </w:r>
      <w:r w:rsidRPr="00A55E4D">
        <w:rPr>
          <w:b/>
          <w:bCs/>
          <w:i/>
          <w:color w:val="1E3400" w:themeColor="background2" w:themeShade="40"/>
        </w:rPr>
        <w:t>.</w:t>
      </w:r>
      <w:r w:rsidRPr="00A55E4D">
        <w:rPr>
          <w:i/>
          <w:color w:val="1E3400" w:themeColor="background2" w:themeShade="40"/>
        </w:rPr>
        <w:t>’</w:t>
      </w:r>
    </w:p>
    <w:p w14:paraId="6EEAE784" w14:textId="4077903F" w:rsidR="003E165D" w:rsidRPr="00A55E4D" w:rsidRDefault="003E165D" w:rsidP="003E165D">
      <w:pPr>
        <w:spacing w:after="120" w:line="240" w:lineRule="auto"/>
        <w:ind w:right="-46"/>
        <w:rPr>
          <w:bCs/>
          <w:color w:val="1E3400" w:themeColor="background2" w:themeShade="40"/>
        </w:rPr>
      </w:pPr>
      <w:r w:rsidRPr="00A55E4D">
        <w:rPr>
          <w:bCs/>
          <w:color w:val="1E3400" w:themeColor="background2" w:themeShade="40"/>
        </w:rPr>
        <w:t>ISLA’s market standard legal documentation, the Global Master Securities Lending Agreement  (GMSLA), supports both the Title Transfer (GMSLA 2010)</w:t>
      </w:r>
      <w:r w:rsidR="003541D3">
        <w:rPr>
          <w:bCs/>
          <w:color w:val="1E3400" w:themeColor="background2" w:themeShade="40"/>
        </w:rPr>
        <w:t xml:space="preserve"> (</w:t>
      </w:r>
      <w:hyperlink r:id="rId23" w:history="1">
        <w:r w:rsidR="003541D3" w:rsidRPr="005C1EE7">
          <w:rPr>
            <w:rStyle w:val="Hyperlink"/>
            <w:color w:val="009999"/>
          </w:rPr>
          <w:t>https://www.islaemea.org/gmsla-title-transfer/</w:t>
        </w:r>
      </w:hyperlink>
      <w:r w:rsidR="003541D3">
        <w:rPr>
          <w:bCs/>
          <w:color w:val="1E3400" w:themeColor="background2" w:themeShade="40"/>
        </w:rPr>
        <w:t>)</w:t>
      </w:r>
      <w:r w:rsidRPr="00A55E4D">
        <w:rPr>
          <w:bCs/>
          <w:color w:val="1E3400" w:themeColor="background2" w:themeShade="40"/>
        </w:rPr>
        <w:t xml:space="preserve"> and Security interest over collateral (GMSLA 2018)</w:t>
      </w:r>
      <w:r w:rsidR="00552FE2">
        <w:rPr>
          <w:bCs/>
          <w:color w:val="1E3400" w:themeColor="background2" w:themeShade="40"/>
        </w:rPr>
        <w:t xml:space="preserve"> (</w:t>
      </w:r>
      <w:hyperlink r:id="rId24" w:history="1">
        <w:r w:rsidR="00552FE2" w:rsidRPr="00552285">
          <w:rPr>
            <w:rStyle w:val="Hyperlink"/>
            <w:color w:val="009999"/>
          </w:rPr>
          <w:t>https://www.islaemea.org/gmsla-security-interest/</w:t>
        </w:r>
      </w:hyperlink>
      <w:r w:rsidR="00552FE2">
        <w:rPr>
          <w:bCs/>
          <w:color w:val="1E3400" w:themeColor="background2" w:themeShade="40"/>
        </w:rPr>
        <w:t>)</w:t>
      </w:r>
      <w:r w:rsidRPr="00A55E4D">
        <w:rPr>
          <w:bCs/>
          <w:color w:val="1E3400" w:themeColor="background2" w:themeShade="40"/>
        </w:rPr>
        <w:t xml:space="preserve"> i.e., ‘Pledge’ structures. </w:t>
      </w:r>
    </w:p>
    <w:p w14:paraId="44C09ABB" w14:textId="2771DC86" w:rsidR="003E165D" w:rsidRPr="00A55E4D" w:rsidRDefault="003E165D" w:rsidP="003E165D">
      <w:pPr>
        <w:pStyle w:val="Default"/>
        <w:ind w:right="-46"/>
        <w:jc w:val="both"/>
        <w:rPr>
          <w:rFonts w:asciiTheme="minorHAnsi" w:hAnsiTheme="minorHAnsi" w:cstheme="minorHAnsi"/>
          <w:color w:val="1E3400" w:themeColor="background2" w:themeShade="40"/>
          <w:sz w:val="20"/>
          <w:szCs w:val="20"/>
        </w:rPr>
      </w:pPr>
      <w:r w:rsidRPr="00A55E4D">
        <w:rPr>
          <w:rFonts w:asciiTheme="minorHAnsi" w:hAnsiTheme="minorHAnsi" w:cstheme="minorHAnsi"/>
          <w:color w:val="1E3400" w:themeColor="background2" w:themeShade="40"/>
          <w:sz w:val="22"/>
          <w:szCs w:val="22"/>
        </w:rPr>
        <w:t>Under the GMSLA</w:t>
      </w:r>
      <w:r>
        <w:rPr>
          <w:rFonts w:asciiTheme="minorHAnsi" w:hAnsiTheme="minorHAnsi" w:cstheme="minorHAnsi"/>
          <w:color w:val="1E3400" w:themeColor="background2" w:themeShade="40"/>
          <w:sz w:val="22"/>
          <w:szCs w:val="22"/>
        </w:rPr>
        <w:t xml:space="preserve"> Pledge</w:t>
      </w:r>
      <w:r w:rsidRPr="00A55E4D">
        <w:rPr>
          <w:rFonts w:asciiTheme="minorHAnsi" w:hAnsiTheme="minorHAnsi" w:cstheme="minorHAnsi"/>
          <w:color w:val="1E3400" w:themeColor="background2" w:themeShade="40"/>
          <w:sz w:val="22"/>
          <w:szCs w:val="22"/>
        </w:rPr>
        <w:t xml:space="preserve">, the Lender transfers ownership of the borrowed securities to the Borrower outright (as it would have done under the title transfer version). The collateral provided by the Borrower is, however, not transferred to the Lender outright. Instead, collateral securities are transferred to </w:t>
      </w:r>
      <w:r>
        <w:rPr>
          <w:rFonts w:asciiTheme="minorHAnsi" w:hAnsiTheme="minorHAnsi" w:cstheme="minorHAnsi"/>
          <w:color w:val="1E3400" w:themeColor="background2" w:themeShade="40"/>
          <w:sz w:val="22"/>
          <w:szCs w:val="22"/>
        </w:rPr>
        <w:t>a</w:t>
      </w:r>
      <w:r w:rsidRPr="00A55E4D">
        <w:rPr>
          <w:rFonts w:asciiTheme="minorHAnsi" w:hAnsiTheme="minorHAnsi" w:cstheme="minorHAnsi"/>
          <w:color w:val="1E3400" w:themeColor="background2" w:themeShade="40"/>
          <w:sz w:val="22"/>
          <w:szCs w:val="22"/>
        </w:rPr>
        <w:t xml:space="preserve"> secured account</w:t>
      </w:r>
      <w:r>
        <w:rPr>
          <w:rFonts w:asciiTheme="minorHAnsi" w:hAnsiTheme="minorHAnsi" w:cstheme="minorHAnsi"/>
          <w:color w:val="1E3400" w:themeColor="background2" w:themeShade="40"/>
          <w:sz w:val="22"/>
          <w:szCs w:val="22"/>
        </w:rPr>
        <w:t xml:space="preserve"> with a </w:t>
      </w:r>
      <w:r w:rsidR="00552FE2">
        <w:rPr>
          <w:rFonts w:asciiTheme="minorHAnsi" w:hAnsiTheme="minorHAnsi" w:cstheme="minorHAnsi"/>
          <w:color w:val="1E3400" w:themeColor="background2" w:themeShade="40"/>
          <w:sz w:val="22"/>
          <w:szCs w:val="22"/>
        </w:rPr>
        <w:t>third-party</w:t>
      </w:r>
      <w:r>
        <w:rPr>
          <w:rFonts w:asciiTheme="minorHAnsi" w:hAnsiTheme="minorHAnsi" w:cstheme="minorHAnsi"/>
          <w:color w:val="1E3400" w:themeColor="background2" w:themeShade="40"/>
          <w:sz w:val="22"/>
          <w:szCs w:val="22"/>
        </w:rPr>
        <w:t xml:space="preserve"> custodian,</w:t>
      </w:r>
      <w:r w:rsidRPr="00A55E4D">
        <w:rPr>
          <w:rFonts w:asciiTheme="minorHAnsi" w:hAnsiTheme="minorHAnsi" w:cstheme="minorHAnsi"/>
          <w:color w:val="1E3400" w:themeColor="background2" w:themeShade="40"/>
          <w:sz w:val="22"/>
          <w:szCs w:val="22"/>
        </w:rPr>
        <w:t xml:space="preserve"> and the Borrower grants security of the posted collateral in favour of the Lender. It is important to note that the GMSLA </w:t>
      </w:r>
      <w:r>
        <w:rPr>
          <w:rFonts w:asciiTheme="minorHAnsi" w:hAnsiTheme="minorHAnsi" w:cstheme="minorHAnsi"/>
          <w:color w:val="1E3400" w:themeColor="background2" w:themeShade="40"/>
          <w:sz w:val="22"/>
          <w:szCs w:val="22"/>
        </w:rPr>
        <w:t>P</w:t>
      </w:r>
      <w:r w:rsidRPr="00A55E4D">
        <w:rPr>
          <w:rFonts w:asciiTheme="minorHAnsi" w:hAnsiTheme="minorHAnsi" w:cstheme="minorHAnsi"/>
          <w:color w:val="1E3400" w:themeColor="background2" w:themeShade="40"/>
          <w:sz w:val="22"/>
          <w:szCs w:val="22"/>
        </w:rPr>
        <w:t xml:space="preserve">ledge agreement does not permit the </w:t>
      </w:r>
      <w:r>
        <w:rPr>
          <w:rFonts w:asciiTheme="minorHAnsi" w:hAnsiTheme="minorHAnsi" w:cstheme="minorHAnsi"/>
          <w:color w:val="1E3400" w:themeColor="background2" w:themeShade="40"/>
          <w:sz w:val="22"/>
          <w:szCs w:val="22"/>
        </w:rPr>
        <w:t>L</w:t>
      </w:r>
      <w:r w:rsidRPr="00A55E4D">
        <w:rPr>
          <w:rFonts w:asciiTheme="minorHAnsi" w:hAnsiTheme="minorHAnsi" w:cstheme="minorHAnsi"/>
          <w:color w:val="1E3400" w:themeColor="background2" w:themeShade="40"/>
          <w:sz w:val="22"/>
          <w:szCs w:val="22"/>
        </w:rPr>
        <w:t>ender to rehypothecate or re-use the collateral.</w:t>
      </w:r>
    </w:p>
    <w:p w14:paraId="2BFCC171" w14:textId="77777777" w:rsidR="003E165D" w:rsidRPr="00A55E4D" w:rsidRDefault="003E165D" w:rsidP="003E165D">
      <w:pPr>
        <w:spacing w:after="0" w:line="240" w:lineRule="auto"/>
        <w:ind w:right="-46"/>
        <w:rPr>
          <w:color w:val="1E3400" w:themeColor="background2" w:themeShade="40"/>
        </w:rPr>
      </w:pPr>
    </w:p>
    <w:p w14:paraId="1A95C6CC" w14:textId="77777777" w:rsidR="003E165D" w:rsidRPr="00A55E4D" w:rsidRDefault="003E165D" w:rsidP="003E165D">
      <w:pPr>
        <w:spacing w:after="0" w:line="240" w:lineRule="auto"/>
        <w:ind w:right="-46"/>
        <w:rPr>
          <w:i/>
          <w:iCs/>
          <w:color w:val="1E3400" w:themeColor="background2" w:themeShade="40"/>
        </w:rPr>
      </w:pPr>
      <w:r w:rsidRPr="00A55E4D">
        <w:rPr>
          <w:color w:val="1E3400" w:themeColor="background2" w:themeShade="40"/>
        </w:rPr>
        <w:t>Additionally, as part of the Peer review on the Guidelines on ETFs and other UCITS issues conducted in July 2018, it was noted in ESMA’s report at time of release, that ‘O</w:t>
      </w:r>
      <w:r w:rsidRPr="00A55E4D">
        <w:rPr>
          <w:i/>
          <w:iCs/>
          <w:color w:val="1E3400" w:themeColor="background2" w:themeShade="40"/>
        </w:rPr>
        <w:t xml:space="preserve">ne NCA [DE] confirmed that under its current legal framework as well as its internal and external guidance, </w:t>
      </w:r>
      <w:r w:rsidRPr="00A55E4D">
        <w:rPr>
          <w:b/>
          <w:bCs/>
          <w:i/>
          <w:iCs/>
          <w:color w:val="1E3400" w:themeColor="background2" w:themeShade="40"/>
        </w:rPr>
        <w:t>other collateral arrangements than title transfer arrangements, such as pledging arrangements, are permissible</w:t>
      </w:r>
      <w:r w:rsidRPr="00A55E4D">
        <w:rPr>
          <w:i/>
          <w:iCs/>
          <w:color w:val="1E3400" w:themeColor="background2" w:themeShade="40"/>
        </w:rPr>
        <w:t>.’</w:t>
      </w:r>
    </w:p>
    <w:p w14:paraId="7EF8432B" w14:textId="77777777" w:rsidR="003E165D" w:rsidRPr="00A55E4D" w:rsidRDefault="003E165D" w:rsidP="003E165D">
      <w:pPr>
        <w:spacing w:after="0" w:line="240" w:lineRule="auto"/>
        <w:ind w:right="-46"/>
        <w:rPr>
          <w:color w:val="1E3400" w:themeColor="background2" w:themeShade="40"/>
        </w:rPr>
      </w:pPr>
      <w:r w:rsidRPr="00A55E4D">
        <w:rPr>
          <w:color w:val="1E3400" w:themeColor="background2" w:themeShade="40"/>
        </w:rPr>
        <w:t xml:space="preserve">Germany has since, in 2021, removed this provision, as </w:t>
      </w:r>
      <w:r>
        <w:rPr>
          <w:color w:val="1E3400" w:themeColor="background2" w:themeShade="40"/>
        </w:rPr>
        <w:t>although the guidelines mention ‘other types of collateral arrangement’, ‘pledged collateral’ is not explicitly referenced</w:t>
      </w:r>
      <w:r w:rsidRPr="00A55E4D">
        <w:rPr>
          <w:color w:val="1E3400" w:themeColor="background2" w:themeShade="40"/>
        </w:rPr>
        <w:t>. This clearly demonstrates interpretation</w:t>
      </w:r>
      <w:r>
        <w:rPr>
          <w:color w:val="1E3400" w:themeColor="background2" w:themeShade="40"/>
        </w:rPr>
        <w:t>al challenges</w:t>
      </w:r>
      <w:r w:rsidRPr="00A55E4D">
        <w:rPr>
          <w:color w:val="1E3400" w:themeColor="background2" w:themeShade="40"/>
        </w:rPr>
        <w:t xml:space="preserve"> </w:t>
      </w:r>
      <w:r>
        <w:rPr>
          <w:color w:val="1E3400" w:themeColor="background2" w:themeShade="40"/>
        </w:rPr>
        <w:t>around</w:t>
      </w:r>
      <w:r w:rsidRPr="00A55E4D">
        <w:rPr>
          <w:color w:val="1E3400" w:themeColor="background2" w:themeShade="40"/>
        </w:rPr>
        <w:t xml:space="preserve"> the Guidelines</w:t>
      </w:r>
      <w:r>
        <w:rPr>
          <w:color w:val="1E3400" w:themeColor="background2" w:themeShade="40"/>
        </w:rPr>
        <w:t>. ISLA believes it would be helpful to include</w:t>
      </w:r>
      <w:r w:rsidRPr="00A55E4D">
        <w:rPr>
          <w:color w:val="1E3400" w:themeColor="background2" w:themeShade="40"/>
        </w:rPr>
        <w:t xml:space="preserve"> defined terminology </w:t>
      </w:r>
      <w:r>
        <w:rPr>
          <w:color w:val="1E3400" w:themeColor="background2" w:themeShade="40"/>
        </w:rPr>
        <w:t xml:space="preserve">and provide examples </w:t>
      </w:r>
      <w:r w:rsidRPr="00A55E4D">
        <w:rPr>
          <w:color w:val="1E3400" w:themeColor="background2" w:themeShade="40"/>
        </w:rPr>
        <w:t>for ‘other types of collateral arrangements’</w:t>
      </w:r>
      <w:r>
        <w:rPr>
          <w:color w:val="1E3400" w:themeColor="background2" w:themeShade="40"/>
        </w:rPr>
        <w:t xml:space="preserve"> such as Pledge</w:t>
      </w:r>
      <w:r w:rsidRPr="00A55E4D">
        <w:rPr>
          <w:color w:val="1E3400" w:themeColor="background2" w:themeShade="40"/>
        </w:rPr>
        <w:t xml:space="preserve">. </w:t>
      </w:r>
    </w:p>
    <w:p w14:paraId="1535B844" w14:textId="77777777" w:rsidR="003E165D" w:rsidRPr="00A55E4D" w:rsidRDefault="003E165D" w:rsidP="003E165D">
      <w:pPr>
        <w:spacing w:after="0" w:line="240" w:lineRule="auto"/>
        <w:ind w:right="-46"/>
        <w:rPr>
          <w:color w:val="1E3400" w:themeColor="background2" w:themeShade="40"/>
        </w:rPr>
      </w:pPr>
    </w:p>
    <w:p w14:paraId="48EAD50E" w14:textId="77777777" w:rsidR="003E165D" w:rsidRPr="00A55E4D" w:rsidRDefault="003E165D" w:rsidP="003E165D">
      <w:pPr>
        <w:spacing w:after="0" w:line="240" w:lineRule="auto"/>
        <w:ind w:right="-46"/>
        <w:rPr>
          <w:color w:val="1E3400" w:themeColor="background2" w:themeShade="40"/>
        </w:rPr>
      </w:pPr>
      <w:r w:rsidRPr="00A55E4D">
        <w:rPr>
          <w:color w:val="1E3400" w:themeColor="background2" w:themeShade="40"/>
        </w:rPr>
        <w:t>There has been increased demand for use of pledge structures in recent years, as a result of the Basel III</w:t>
      </w:r>
      <w:r>
        <w:rPr>
          <w:color w:val="1E3400" w:themeColor="background2" w:themeShade="40"/>
        </w:rPr>
        <w:t xml:space="preserve"> implementation</w:t>
      </w:r>
      <w:r w:rsidRPr="00A55E4D">
        <w:rPr>
          <w:color w:val="1E3400" w:themeColor="background2" w:themeShade="40"/>
        </w:rPr>
        <w:t xml:space="preserve">. This is driven by the borrowers’ desire for a more capital efficient structure achievable through providing collateral by way of security interest (where a borrower remains the owner of the collateral, even though it is the subject of security) rather than by way of transferring ownership outright to the lender. </w:t>
      </w:r>
    </w:p>
    <w:p w14:paraId="73FC5772" w14:textId="77777777" w:rsidR="003E165D" w:rsidRPr="00A55E4D" w:rsidRDefault="003E165D" w:rsidP="003E165D">
      <w:pPr>
        <w:spacing w:after="0" w:line="240" w:lineRule="auto"/>
        <w:ind w:right="-46"/>
        <w:rPr>
          <w:color w:val="1E3400" w:themeColor="background2" w:themeShade="40"/>
        </w:rPr>
      </w:pPr>
    </w:p>
    <w:p w14:paraId="32B396B1" w14:textId="77777777" w:rsidR="003E165D" w:rsidRPr="00A55E4D" w:rsidRDefault="003E165D" w:rsidP="003E165D">
      <w:pPr>
        <w:spacing w:after="0" w:line="240" w:lineRule="auto"/>
        <w:ind w:right="-46"/>
        <w:rPr>
          <w:color w:val="1E3400" w:themeColor="background2" w:themeShade="40"/>
        </w:rPr>
      </w:pPr>
      <w:r w:rsidRPr="00A55E4D">
        <w:rPr>
          <w:color w:val="1E3400" w:themeColor="background2" w:themeShade="40"/>
        </w:rPr>
        <w:t xml:space="preserve">It is important to note the Pledge structure is not intended to replace the existing Title Transfer, that is referenced in the guidelines. That document would therefore continue to be available for use between parties who prefer to deal with collateral on a title transfer basis. </w:t>
      </w:r>
    </w:p>
    <w:p w14:paraId="2EA8DBE5" w14:textId="77777777" w:rsidR="003E165D" w:rsidRPr="00A55E4D" w:rsidRDefault="003E165D" w:rsidP="003E165D">
      <w:pPr>
        <w:spacing w:after="0" w:line="240" w:lineRule="auto"/>
        <w:ind w:right="-46"/>
        <w:rPr>
          <w:color w:val="1E3400" w:themeColor="background2" w:themeShade="40"/>
        </w:rPr>
      </w:pPr>
    </w:p>
    <w:p w14:paraId="1F08A0A2" w14:textId="77777777" w:rsidR="003E165D" w:rsidRPr="00A55E4D" w:rsidRDefault="003E165D" w:rsidP="003E165D">
      <w:pPr>
        <w:spacing w:after="0" w:line="240" w:lineRule="auto"/>
        <w:ind w:right="-46"/>
        <w:rPr>
          <w:color w:val="1E3400" w:themeColor="background2" w:themeShade="40"/>
        </w:rPr>
      </w:pPr>
      <w:r w:rsidRPr="00A55E4D">
        <w:rPr>
          <w:color w:val="1E3400" w:themeColor="background2" w:themeShade="40"/>
        </w:rPr>
        <w:t xml:space="preserve">Under the Basel III regime, investment funds such as UCITS, when they serve as counterparties to SFTs with banks and broker-dealers, are captured as unrated entities under the Capital Requirements Regulation, with a risk weight of 100%. </w:t>
      </w:r>
      <w:r w:rsidRPr="00A55E4D">
        <w:rPr>
          <w:rFonts w:ascii="Calibri" w:hAnsi="Calibri" w:cs="Calibri"/>
          <w:color w:val="1E3400" w:themeColor="background2" w:themeShade="40"/>
          <w:lang w:eastAsia="zh-CN"/>
        </w:rPr>
        <w:t xml:space="preserve">The European Commission and the co-legislators have thus far set a </w:t>
      </w:r>
      <w:r w:rsidRPr="00A55E4D">
        <w:rPr>
          <w:rFonts w:ascii="Calibri" w:hAnsi="Calibri" w:cs="Calibri"/>
          <w:color w:val="1E3400" w:themeColor="background2" w:themeShade="40"/>
        </w:rPr>
        <w:t xml:space="preserve">transitional arrangement for unrated entities, such as UCITS, whereby institutions that use an Internal Ratings Based (IRB) approach, would be able to apply a preferential risk weight of 65% to exposures that have a probability of default of less than or equal to 0.5%. </w:t>
      </w:r>
      <w:r w:rsidRPr="00A55E4D">
        <w:rPr>
          <w:color w:val="1E3400" w:themeColor="background2" w:themeShade="40"/>
        </w:rPr>
        <w:t>As a result, the risk-weighting for securities-lending arrangements with funds will rise dramatically for banks, disincentivising such activity, despite</w:t>
      </w:r>
      <w:r>
        <w:rPr>
          <w:color w:val="1E3400" w:themeColor="background2" w:themeShade="40"/>
        </w:rPr>
        <w:t xml:space="preserve"> the fact that UCITS are heavily regulated for investor protection purposes and are regarded as financially sound.</w:t>
      </w:r>
      <w:r w:rsidRPr="00A55E4D">
        <w:rPr>
          <w:color w:val="1E3400" w:themeColor="background2" w:themeShade="40"/>
        </w:rPr>
        <w:t xml:space="preserve"> </w:t>
      </w:r>
    </w:p>
    <w:p w14:paraId="2907226C" w14:textId="77777777" w:rsidR="003E165D" w:rsidRPr="00A55E4D" w:rsidRDefault="003E165D" w:rsidP="003E165D">
      <w:pPr>
        <w:spacing w:after="0" w:line="240" w:lineRule="auto"/>
        <w:ind w:right="-46"/>
        <w:rPr>
          <w:color w:val="1E3400" w:themeColor="background2" w:themeShade="40"/>
        </w:rPr>
      </w:pPr>
    </w:p>
    <w:p w14:paraId="11C04C39" w14:textId="77777777" w:rsidR="003E165D" w:rsidRPr="00A55E4D" w:rsidRDefault="003E165D" w:rsidP="003E165D">
      <w:pPr>
        <w:spacing w:after="0" w:line="240" w:lineRule="auto"/>
        <w:ind w:right="-46"/>
        <w:rPr>
          <w:color w:val="1E3400" w:themeColor="background2" w:themeShade="40"/>
        </w:rPr>
      </w:pPr>
      <w:r w:rsidRPr="00A55E4D">
        <w:rPr>
          <w:color w:val="1E3400" w:themeColor="background2" w:themeShade="40"/>
        </w:rPr>
        <w:t>Use of the GMSLA Pledge agreement potentially enables borrowers to benefit from the better treatment for regulatory capital, as the borrower retains a property interest in the collateral assets and is not exposed to the same risk of non-return of excess collateral by the lender. Therefore, the borrower may be considered to not be taking any exposure to the principal lender, and this potentially eliminates the risk weighted assets and leverage exposure for the borrower, thus making UCITS a more attractive source of supply for borrowers</w:t>
      </w:r>
      <w:r>
        <w:rPr>
          <w:color w:val="1E3400" w:themeColor="background2" w:themeShade="40"/>
        </w:rPr>
        <w:t xml:space="preserve"> if</w:t>
      </w:r>
      <w:r w:rsidRPr="00A55E4D">
        <w:rPr>
          <w:color w:val="1E3400" w:themeColor="background2" w:themeShade="40"/>
        </w:rPr>
        <w:t xml:space="preserve"> they are able accept collateral by way of Pledge. </w:t>
      </w:r>
    </w:p>
    <w:p w14:paraId="1938E905" w14:textId="77777777" w:rsidR="003E165D" w:rsidRPr="00A55E4D" w:rsidRDefault="003E165D" w:rsidP="003E165D">
      <w:pPr>
        <w:spacing w:after="0" w:line="240" w:lineRule="auto"/>
        <w:ind w:right="-46"/>
        <w:rPr>
          <w:color w:val="1E3400" w:themeColor="background2" w:themeShade="40"/>
        </w:rPr>
      </w:pPr>
    </w:p>
    <w:p w14:paraId="37503524" w14:textId="77777777" w:rsidR="003E165D" w:rsidRPr="00FB450B" w:rsidRDefault="003E165D" w:rsidP="003E165D">
      <w:pPr>
        <w:spacing w:after="0" w:line="240" w:lineRule="auto"/>
        <w:ind w:right="-46"/>
        <w:rPr>
          <w:b/>
          <w:bCs/>
          <w:color w:val="1E3400" w:themeColor="background2" w:themeShade="40"/>
        </w:rPr>
      </w:pPr>
      <w:r w:rsidRPr="00FB450B">
        <w:rPr>
          <w:b/>
          <w:bCs/>
          <w:color w:val="1E3400" w:themeColor="background2" w:themeShade="40"/>
        </w:rPr>
        <w:t xml:space="preserve">Allowing UCITS to accept collateral by way of pledge, increases the attractiveness of UCITS as a source for borrowing, without reducing the levels of investor protection and without introducing additional risk to underlying investors. </w:t>
      </w:r>
      <w:r>
        <w:rPr>
          <w:b/>
          <w:bCs/>
          <w:color w:val="1E3400" w:themeColor="background2" w:themeShade="40"/>
        </w:rPr>
        <w:t xml:space="preserve">The GMSLA 2018 Security Interest over collateral ‘Pledge’ document, is widely used across the market and recognised by ESMA in other pieces of legislation, such as SFTR. </w:t>
      </w:r>
    </w:p>
    <w:p w14:paraId="1B137521" w14:textId="77777777" w:rsidR="003E165D" w:rsidRPr="00A55E4D" w:rsidRDefault="003E165D" w:rsidP="003E165D">
      <w:pPr>
        <w:spacing w:after="0" w:line="240" w:lineRule="auto"/>
        <w:ind w:right="-46"/>
        <w:rPr>
          <w:color w:val="1E3400" w:themeColor="background2" w:themeShade="40"/>
        </w:rPr>
      </w:pPr>
    </w:p>
    <w:p w14:paraId="54813EAA" w14:textId="77777777" w:rsidR="003E165D" w:rsidRPr="00A55E4D" w:rsidRDefault="003E165D" w:rsidP="003E165D">
      <w:pPr>
        <w:spacing w:after="0" w:line="240" w:lineRule="auto"/>
        <w:ind w:right="-46"/>
        <w:rPr>
          <w:color w:val="1E3400" w:themeColor="background2" w:themeShade="40"/>
        </w:rPr>
      </w:pPr>
      <w:r w:rsidRPr="00A55E4D">
        <w:rPr>
          <w:color w:val="1E3400" w:themeColor="background2" w:themeShade="40"/>
        </w:rPr>
        <w:t>ISLA proposes that ESMA confirm Security Interest over Collateral structures  ‘Pledge’ as an acceptable type of collateral arrangement as per 43(g) of the ESMA 2014 Guidelines. ISLA has assumed in our interpretation of the guidelines, that ESMA provides for the possibility of other collateral arrangements with the proviso that the collateral be held by a third-party custodian</w:t>
      </w:r>
      <w:r>
        <w:rPr>
          <w:color w:val="1E3400" w:themeColor="background2" w:themeShade="40"/>
        </w:rPr>
        <w:t xml:space="preserve"> </w:t>
      </w:r>
      <w:r w:rsidRPr="00A55E4D">
        <w:rPr>
          <w:color w:val="1E3400" w:themeColor="background2" w:themeShade="40"/>
        </w:rPr>
        <w:t>who is unrelated to the collateral provider and is subject to prudential supervision. Confirmation of this from ESMA via updated guidelines, would be hugely beneficial to market participants. ISLA would then propose NCAs review their local legislation, within their respective jurisdictions to align</w:t>
      </w:r>
      <w:r>
        <w:rPr>
          <w:color w:val="1E3400" w:themeColor="background2" w:themeShade="40"/>
        </w:rPr>
        <w:t xml:space="preserve"> </w:t>
      </w:r>
      <w:r w:rsidRPr="00A55E4D">
        <w:rPr>
          <w:color w:val="1E3400" w:themeColor="background2" w:themeShade="40"/>
        </w:rPr>
        <w:t xml:space="preserve">their national rules accordingly. </w:t>
      </w:r>
    </w:p>
    <w:p w14:paraId="7D4DEB20" w14:textId="77777777" w:rsidR="003E165D" w:rsidRPr="00A55E4D" w:rsidRDefault="003E165D" w:rsidP="003E165D">
      <w:pPr>
        <w:spacing w:after="0" w:line="240" w:lineRule="auto"/>
        <w:ind w:right="-46"/>
        <w:rPr>
          <w:color w:val="1E3400" w:themeColor="background2" w:themeShade="40"/>
        </w:rPr>
      </w:pPr>
    </w:p>
    <w:p w14:paraId="314235FE" w14:textId="1B341D99" w:rsidR="003E165D" w:rsidRPr="00712F41" w:rsidRDefault="003E165D" w:rsidP="003E165D">
      <w:pPr>
        <w:spacing w:after="0" w:line="240" w:lineRule="auto"/>
        <w:ind w:right="-46"/>
        <w:rPr>
          <w:color w:val="1E3400" w:themeColor="background2" w:themeShade="40"/>
        </w:rPr>
      </w:pPr>
      <w:bookmarkStart w:id="1" w:name="_Hlk173943113"/>
      <w:r w:rsidRPr="00712F41">
        <w:rPr>
          <w:color w:val="1E3400" w:themeColor="background2" w:themeShade="40"/>
        </w:rPr>
        <w:t>Secondly, with regards to the Follow-up Peer Review on the ETF Guidelines;</w:t>
      </w:r>
      <w:r w:rsidRPr="00712F41">
        <w:rPr>
          <w:color w:val="1E3400" w:themeColor="background2" w:themeShade="40"/>
          <w:vertAlign w:val="superscript"/>
        </w:rPr>
        <w:t xml:space="preserve"> </w:t>
      </w:r>
      <w:r w:rsidRPr="00712F41">
        <w:rPr>
          <w:color w:val="1E3400" w:themeColor="background2" w:themeShade="40"/>
        </w:rPr>
        <w:t xml:space="preserve">issued in May 2023 and the CSA on costs and fees issued in May 2022, ISLA would like to note the following with regards to securities lending fee splits. </w:t>
      </w:r>
    </w:p>
    <w:p w14:paraId="541E256B" w14:textId="77777777" w:rsidR="003E165D" w:rsidRPr="00712F41" w:rsidRDefault="003E165D" w:rsidP="003E165D">
      <w:pPr>
        <w:spacing w:after="0" w:line="240" w:lineRule="auto"/>
        <w:ind w:right="-46"/>
        <w:rPr>
          <w:color w:val="1E3400" w:themeColor="background2" w:themeShade="40"/>
        </w:rPr>
      </w:pPr>
    </w:p>
    <w:p w14:paraId="238E530A" w14:textId="77777777" w:rsidR="003E165D" w:rsidRDefault="003E165D" w:rsidP="003E165D">
      <w:pPr>
        <w:ind w:right="-46"/>
        <w:rPr>
          <w:rFonts w:cstheme="minorHAnsi"/>
          <w:color w:val="1E3400" w:themeColor="background2" w:themeShade="40"/>
        </w:rPr>
      </w:pPr>
      <w:r w:rsidRPr="00712F41">
        <w:rPr>
          <w:rFonts w:cstheme="minorHAnsi"/>
          <w:color w:val="1E3400" w:themeColor="background2" w:themeShade="40"/>
        </w:rPr>
        <w:t xml:space="preserve">Due to their large portfolios of liquid assets, UCITS offer an ideal supply of in-demand securities, usually through the intermediation of a securities lending (SL) agent. When a SL agent is employed, the direct and indirect costs associated with their services is deducted from the total revenue generated from this activity. </w:t>
      </w:r>
      <w:r>
        <w:rPr>
          <w:rFonts w:cstheme="minorHAnsi"/>
          <w:color w:val="1E3400" w:themeColor="background2" w:themeShade="40"/>
        </w:rPr>
        <w:t xml:space="preserve">The appointment of an SL agent by the UCITS is a commercial arrangement between the parties, and there is often differences in service levels which are agreed depending on the SL agents service offering and the UCITS lending parameters. The appointment of an SL agent will be subject to negotiation between the parties based on varying factors. </w:t>
      </w:r>
    </w:p>
    <w:p w14:paraId="26145FF4" w14:textId="77777777" w:rsidR="003E165D" w:rsidRPr="00712F41" w:rsidRDefault="003E165D" w:rsidP="003E165D">
      <w:pPr>
        <w:ind w:right="-46"/>
        <w:rPr>
          <w:rFonts w:cstheme="minorHAnsi"/>
          <w:color w:val="1E3400" w:themeColor="background2" w:themeShade="40"/>
        </w:rPr>
      </w:pPr>
      <w:r w:rsidRPr="00712F41">
        <w:rPr>
          <w:rFonts w:cstheme="minorHAnsi"/>
          <w:color w:val="1E3400" w:themeColor="background2" w:themeShade="40"/>
        </w:rPr>
        <w:lastRenderedPageBreak/>
        <w:t>The following are examples of the different services typically provided to UCITS:</w:t>
      </w:r>
    </w:p>
    <w:p w14:paraId="76B1EBC1" w14:textId="77777777" w:rsidR="003E165D" w:rsidRPr="00712F41" w:rsidRDefault="003E165D" w:rsidP="003E165D">
      <w:pPr>
        <w:spacing w:line="240" w:lineRule="auto"/>
        <w:ind w:right="-46"/>
        <w:rPr>
          <w:rFonts w:cstheme="minorHAnsi"/>
          <w:b/>
          <w:bCs/>
          <w:color w:val="1E3400" w:themeColor="background2" w:themeShade="40"/>
        </w:rPr>
      </w:pPr>
      <w:r w:rsidRPr="00712F41">
        <w:rPr>
          <w:rFonts w:cstheme="minorHAnsi"/>
          <w:b/>
          <w:bCs/>
          <w:color w:val="1E3400" w:themeColor="background2" w:themeShade="40"/>
        </w:rPr>
        <w:t xml:space="preserve">Service level: </w:t>
      </w:r>
    </w:p>
    <w:p w14:paraId="22AE3C55" w14:textId="77777777" w:rsidR="003E165D" w:rsidRPr="00712F41" w:rsidRDefault="003E165D" w:rsidP="003E165D">
      <w:pPr>
        <w:pStyle w:val="ListParagraph"/>
        <w:widowControl w:val="0"/>
        <w:numPr>
          <w:ilvl w:val="0"/>
          <w:numId w:val="18"/>
        </w:numPr>
        <w:autoSpaceDE w:val="0"/>
        <w:autoSpaceDN w:val="0"/>
        <w:spacing w:after="0" w:line="240" w:lineRule="auto"/>
        <w:ind w:left="0" w:right="-46"/>
        <w:rPr>
          <w:rFonts w:asciiTheme="minorHAnsi" w:hAnsiTheme="minorHAnsi" w:cstheme="minorHAnsi"/>
          <w:color w:val="1E3400" w:themeColor="background2" w:themeShade="40"/>
        </w:rPr>
      </w:pPr>
      <w:r w:rsidRPr="00712F41">
        <w:rPr>
          <w:rFonts w:asciiTheme="minorHAnsi" w:hAnsiTheme="minorHAnsi" w:cstheme="minorHAnsi"/>
          <w:color w:val="1E3400" w:themeColor="background2" w:themeShade="40"/>
        </w:rPr>
        <w:t xml:space="preserve">Bespoke client reporting: Some lending agents may offer reporting in accordance with the clients’ ESG guidelines or </w:t>
      </w:r>
      <w:r w:rsidRPr="00712F41">
        <w:rPr>
          <w:rFonts w:cstheme="minorHAnsi"/>
          <w:color w:val="1E3400" w:themeColor="background2" w:themeShade="40"/>
        </w:rPr>
        <w:t>regulatory reporting such as SFTR.</w:t>
      </w:r>
    </w:p>
    <w:p w14:paraId="114D4E0A" w14:textId="77777777" w:rsidR="003E165D" w:rsidRPr="00712F41" w:rsidRDefault="003E165D" w:rsidP="003E165D">
      <w:pPr>
        <w:pStyle w:val="ListParagraph"/>
        <w:widowControl w:val="0"/>
        <w:numPr>
          <w:ilvl w:val="0"/>
          <w:numId w:val="18"/>
        </w:numPr>
        <w:autoSpaceDE w:val="0"/>
        <w:autoSpaceDN w:val="0"/>
        <w:spacing w:after="0" w:line="240" w:lineRule="auto"/>
        <w:ind w:left="0" w:right="-46"/>
        <w:rPr>
          <w:rFonts w:asciiTheme="minorHAnsi" w:hAnsiTheme="minorHAnsi" w:cstheme="minorHAnsi"/>
          <w:color w:val="1E3400" w:themeColor="background2" w:themeShade="40"/>
        </w:rPr>
      </w:pPr>
      <w:r w:rsidRPr="00712F41">
        <w:rPr>
          <w:rFonts w:asciiTheme="minorHAnsi" w:hAnsiTheme="minorHAnsi" w:cstheme="minorHAnsi"/>
          <w:color w:val="1E3400" w:themeColor="background2" w:themeShade="40"/>
        </w:rPr>
        <w:t>Coverage of penalties under the Settlement Discipline Regime of the Central Securities Depositary Regulation (CSDR).</w:t>
      </w:r>
    </w:p>
    <w:p w14:paraId="5DB7A235" w14:textId="77777777" w:rsidR="003E165D" w:rsidRPr="00712F41" w:rsidRDefault="003E165D" w:rsidP="003E165D">
      <w:pPr>
        <w:pStyle w:val="ListParagraph"/>
        <w:widowControl w:val="0"/>
        <w:numPr>
          <w:ilvl w:val="0"/>
          <w:numId w:val="18"/>
        </w:numPr>
        <w:autoSpaceDE w:val="0"/>
        <w:autoSpaceDN w:val="0"/>
        <w:spacing w:after="0" w:line="240" w:lineRule="auto"/>
        <w:ind w:left="0" w:right="-46"/>
        <w:rPr>
          <w:rFonts w:asciiTheme="minorHAnsi" w:hAnsiTheme="minorHAnsi" w:cstheme="minorHAnsi"/>
          <w:color w:val="1E3400" w:themeColor="background2" w:themeShade="40"/>
        </w:rPr>
      </w:pPr>
      <w:r w:rsidRPr="00712F41">
        <w:rPr>
          <w:rFonts w:asciiTheme="minorHAnsi" w:hAnsiTheme="minorHAnsi" w:cstheme="minorHAnsi"/>
          <w:color w:val="1E3400" w:themeColor="background2" w:themeShade="40"/>
        </w:rPr>
        <w:t xml:space="preserve">Transaction costs may be passed to the underlying lender or be absorbed by the lending agent. </w:t>
      </w:r>
    </w:p>
    <w:p w14:paraId="1131713C" w14:textId="7054E256" w:rsidR="003E165D" w:rsidRDefault="003E165D" w:rsidP="00BC4FFD">
      <w:pPr>
        <w:pStyle w:val="ListParagraph"/>
        <w:widowControl w:val="0"/>
        <w:numPr>
          <w:ilvl w:val="0"/>
          <w:numId w:val="18"/>
        </w:numPr>
        <w:autoSpaceDE w:val="0"/>
        <w:autoSpaceDN w:val="0"/>
        <w:spacing w:after="0" w:line="240" w:lineRule="auto"/>
        <w:ind w:left="0" w:right="-46"/>
        <w:rPr>
          <w:rFonts w:asciiTheme="minorHAnsi" w:hAnsiTheme="minorHAnsi" w:cstheme="minorHAnsi"/>
          <w:color w:val="1E3400" w:themeColor="background2" w:themeShade="40"/>
        </w:rPr>
      </w:pPr>
      <w:r w:rsidRPr="00712F41">
        <w:rPr>
          <w:rFonts w:asciiTheme="minorHAnsi" w:hAnsiTheme="minorHAnsi" w:cstheme="minorHAnsi"/>
          <w:color w:val="1E3400" w:themeColor="background2" w:themeShade="40"/>
        </w:rPr>
        <w:t xml:space="preserve">A more comprehensive service level generates higher costs for the lending agent, which in turn </w:t>
      </w:r>
      <w:r>
        <w:rPr>
          <w:rFonts w:asciiTheme="minorHAnsi" w:hAnsiTheme="minorHAnsi" w:cstheme="minorHAnsi"/>
          <w:color w:val="1E3400" w:themeColor="background2" w:themeShade="40"/>
        </w:rPr>
        <w:t xml:space="preserve">may be </w:t>
      </w:r>
      <w:r w:rsidRPr="00712F41">
        <w:rPr>
          <w:rFonts w:asciiTheme="minorHAnsi" w:hAnsiTheme="minorHAnsi" w:cstheme="minorHAnsi"/>
          <w:color w:val="1E3400" w:themeColor="background2" w:themeShade="40"/>
        </w:rPr>
        <w:t>passed to the UCITS.</w:t>
      </w:r>
      <w:r>
        <w:rPr>
          <w:rFonts w:asciiTheme="minorHAnsi" w:hAnsiTheme="minorHAnsi" w:cstheme="minorHAnsi"/>
          <w:color w:val="1E3400" w:themeColor="background2" w:themeShade="40"/>
        </w:rPr>
        <w:t xml:space="preserve"> </w:t>
      </w:r>
    </w:p>
    <w:p w14:paraId="45B41BCD" w14:textId="77777777" w:rsidR="00BC4FFD" w:rsidRPr="00BC4FFD" w:rsidRDefault="00BC4FFD" w:rsidP="00BC4FFD">
      <w:pPr>
        <w:pStyle w:val="ListParagraph"/>
        <w:widowControl w:val="0"/>
        <w:numPr>
          <w:ilvl w:val="0"/>
          <w:numId w:val="0"/>
        </w:numPr>
        <w:autoSpaceDE w:val="0"/>
        <w:autoSpaceDN w:val="0"/>
        <w:spacing w:after="0" w:line="240" w:lineRule="auto"/>
        <w:ind w:right="-46"/>
        <w:rPr>
          <w:rFonts w:asciiTheme="minorHAnsi" w:hAnsiTheme="minorHAnsi" w:cstheme="minorHAnsi"/>
          <w:color w:val="1E3400" w:themeColor="background2" w:themeShade="40"/>
        </w:rPr>
      </w:pPr>
    </w:p>
    <w:p w14:paraId="794F572B" w14:textId="2187AFC3" w:rsidR="003E165D" w:rsidRPr="00712F41" w:rsidRDefault="003E165D" w:rsidP="00BC4FFD">
      <w:pPr>
        <w:pStyle w:val="ListParagraph"/>
        <w:widowControl w:val="0"/>
        <w:numPr>
          <w:ilvl w:val="0"/>
          <w:numId w:val="0"/>
        </w:numPr>
        <w:autoSpaceDE w:val="0"/>
        <w:autoSpaceDN w:val="0"/>
        <w:ind w:right="-46"/>
        <w:rPr>
          <w:rFonts w:asciiTheme="minorHAnsi" w:hAnsiTheme="minorHAnsi" w:cstheme="minorHAnsi"/>
          <w:color w:val="1E3400" w:themeColor="background2" w:themeShade="40"/>
        </w:rPr>
      </w:pPr>
      <w:r>
        <w:rPr>
          <w:rFonts w:asciiTheme="minorHAnsi" w:hAnsiTheme="minorHAnsi" w:cstheme="minorHAnsi"/>
          <w:color w:val="1E3400" w:themeColor="background2" w:themeShade="40"/>
        </w:rPr>
        <w:t xml:space="preserve">ISLA agrees that all costs and charges should always be communicated to the UCITS in a clear manner allowing full transparency. </w:t>
      </w:r>
    </w:p>
    <w:p w14:paraId="73D00195" w14:textId="77777777" w:rsidR="003E165D" w:rsidRPr="00712F41" w:rsidRDefault="003E165D" w:rsidP="003E165D">
      <w:pPr>
        <w:spacing w:line="240" w:lineRule="auto"/>
        <w:ind w:right="-46"/>
        <w:rPr>
          <w:rFonts w:cstheme="minorHAnsi"/>
          <w:b/>
          <w:bCs/>
          <w:color w:val="1E3400" w:themeColor="background2" w:themeShade="40"/>
        </w:rPr>
      </w:pPr>
      <w:r w:rsidRPr="00712F41">
        <w:rPr>
          <w:rFonts w:cstheme="minorHAnsi"/>
          <w:b/>
          <w:bCs/>
          <w:color w:val="1E3400" w:themeColor="background2" w:themeShade="40"/>
        </w:rPr>
        <w:t>Return generation:</w:t>
      </w:r>
    </w:p>
    <w:p w14:paraId="0DD99FCD" w14:textId="77777777" w:rsidR="003E165D" w:rsidRPr="00712F41" w:rsidRDefault="003E165D" w:rsidP="003E165D">
      <w:pPr>
        <w:pStyle w:val="ListParagraph"/>
        <w:widowControl w:val="0"/>
        <w:numPr>
          <w:ilvl w:val="0"/>
          <w:numId w:val="19"/>
        </w:numPr>
        <w:autoSpaceDE w:val="0"/>
        <w:autoSpaceDN w:val="0"/>
        <w:spacing w:after="0" w:line="240" w:lineRule="auto"/>
        <w:ind w:left="0" w:right="-46"/>
        <w:rPr>
          <w:rFonts w:asciiTheme="minorHAnsi" w:hAnsiTheme="minorHAnsi" w:cstheme="minorHAnsi"/>
          <w:color w:val="1E3400" w:themeColor="background2" w:themeShade="40"/>
        </w:rPr>
      </w:pPr>
      <w:r w:rsidRPr="00712F41">
        <w:rPr>
          <w:rFonts w:asciiTheme="minorHAnsi" w:hAnsiTheme="minorHAnsi" w:cstheme="minorHAnsi"/>
          <w:color w:val="1E3400" w:themeColor="background2" w:themeShade="40"/>
        </w:rPr>
        <w:t xml:space="preserve">Securities lending is an over-the-counter market activity with lending fees reflecting the bespoke structure of the individual loan transaction and can vary by the type of securities on loan, type of collateral and duration of the loan. </w:t>
      </w:r>
    </w:p>
    <w:p w14:paraId="70D439E3" w14:textId="77777777" w:rsidR="003E165D" w:rsidRPr="00712F41" w:rsidRDefault="003E165D" w:rsidP="003E165D">
      <w:pPr>
        <w:pStyle w:val="ListParagraph"/>
        <w:widowControl w:val="0"/>
        <w:numPr>
          <w:ilvl w:val="0"/>
          <w:numId w:val="19"/>
        </w:numPr>
        <w:autoSpaceDE w:val="0"/>
        <w:autoSpaceDN w:val="0"/>
        <w:spacing w:after="0" w:line="240" w:lineRule="auto"/>
        <w:ind w:left="0" w:right="-46"/>
        <w:rPr>
          <w:rFonts w:asciiTheme="minorHAnsi" w:hAnsiTheme="minorHAnsi" w:cstheme="minorHAnsi"/>
          <w:color w:val="1E3400" w:themeColor="background2" w:themeShade="40"/>
        </w:rPr>
      </w:pPr>
      <w:r w:rsidRPr="00712F41">
        <w:rPr>
          <w:rFonts w:asciiTheme="minorHAnsi" w:hAnsiTheme="minorHAnsi" w:cstheme="minorHAnsi"/>
          <w:color w:val="1E3400" w:themeColor="background2" w:themeShade="40"/>
        </w:rPr>
        <w:t>Investor outcomes in securities lending programs vary significantly and limiting or capping the percentage fee the lending agent can charge, may restrict investment in technology and hinder the innovation necessary to deliver the best outcomes for underlying investors.</w:t>
      </w:r>
    </w:p>
    <w:p w14:paraId="46CEBBF3" w14:textId="77777777" w:rsidR="003E165D" w:rsidRPr="00BC4FFD" w:rsidRDefault="003E165D" w:rsidP="00BC4FFD">
      <w:pPr>
        <w:pStyle w:val="ListParagraph"/>
        <w:numPr>
          <w:ilvl w:val="0"/>
          <w:numId w:val="0"/>
        </w:numPr>
        <w:ind w:right="-46"/>
        <w:rPr>
          <w:rFonts w:asciiTheme="minorHAnsi" w:hAnsiTheme="minorHAnsi" w:cstheme="minorHAnsi"/>
          <w:color w:val="1E3400" w:themeColor="background2" w:themeShade="40"/>
        </w:rPr>
      </w:pPr>
    </w:p>
    <w:p w14:paraId="040D3BF6" w14:textId="77777777" w:rsidR="003E165D" w:rsidRPr="00712F41" w:rsidRDefault="003E165D" w:rsidP="003E165D">
      <w:pPr>
        <w:spacing w:line="240" w:lineRule="auto"/>
        <w:ind w:right="-46"/>
        <w:rPr>
          <w:rFonts w:cstheme="minorHAnsi"/>
          <w:b/>
          <w:bCs/>
          <w:color w:val="1E3400" w:themeColor="background2" w:themeShade="40"/>
        </w:rPr>
      </w:pPr>
      <w:r w:rsidRPr="00712F41">
        <w:rPr>
          <w:rFonts w:cstheme="minorHAnsi"/>
          <w:b/>
          <w:bCs/>
          <w:color w:val="1E3400" w:themeColor="background2" w:themeShade="40"/>
        </w:rPr>
        <w:t>Risk Management:</w:t>
      </w:r>
    </w:p>
    <w:p w14:paraId="0AC20850" w14:textId="77777777" w:rsidR="003E165D" w:rsidRPr="00712F41" w:rsidRDefault="003E165D" w:rsidP="003E165D">
      <w:pPr>
        <w:pStyle w:val="ListParagraph"/>
        <w:widowControl w:val="0"/>
        <w:numPr>
          <w:ilvl w:val="0"/>
          <w:numId w:val="20"/>
        </w:numPr>
        <w:autoSpaceDE w:val="0"/>
        <w:autoSpaceDN w:val="0"/>
        <w:spacing w:after="0" w:line="240" w:lineRule="auto"/>
        <w:ind w:left="0" w:right="-46"/>
        <w:rPr>
          <w:rFonts w:asciiTheme="minorHAnsi" w:hAnsiTheme="minorHAnsi" w:cstheme="minorHAnsi"/>
          <w:color w:val="1E3400" w:themeColor="background2" w:themeShade="40"/>
        </w:rPr>
      </w:pPr>
      <w:r w:rsidRPr="00712F41">
        <w:rPr>
          <w:rFonts w:asciiTheme="minorHAnsi" w:hAnsiTheme="minorHAnsi" w:cstheme="minorHAnsi"/>
          <w:color w:val="1E3400" w:themeColor="background2" w:themeShade="40"/>
        </w:rPr>
        <w:t>Most investors’ primary consideration when engaging in securities lending, is risk management. Considerable expertise and resource are expended to protect underlying investors.</w:t>
      </w:r>
    </w:p>
    <w:p w14:paraId="50C5A487" w14:textId="77777777" w:rsidR="003E165D" w:rsidRPr="00712F41" w:rsidRDefault="003E165D" w:rsidP="003E165D">
      <w:pPr>
        <w:pStyle w:val="ListParagraph"/>
        <w:widowControl w:val="0"/>
        <w:numPr>
          <w:ilvl w:val="0"/>
          <w:numId w:val="20"/>
        </w:numPr>
        <w:autoSpaceDE w:val="0"/>
        <w:autoSpaceDN w:val="0"/>
        <w:spacing w:after="0" w:line="240" w:lineRule="auto"/>
        <w:ind w:left="0" w:right="-46"/>
        <w:rPr>
          <w:rFonts w:asciiTheme="minorHAnsi" w:hAnsiTheme="minorHAnsi" w:cstheme="minorHAnsi"/>
          <w:color w:val="1E3400" w:themeColor="background2" w:themeShade="40"/>
        </w:rPr>
      </w:pPr>
      <w:r w:rsidRPr="00712F41">
        <w:rPr>
          <w:rFonts w:asciiTheme="minorHAnsi" w:hAnsiTheme="minorHAnsi" w:cstheme="minorHAnsi"/>
          <w:color w:val="1E3400" w:themeColor="background2" w:themeShade="40"/>
        </w:rPr>
        <w:t xml:space="preserve">Levels of protection offered, such as a borrower default indemnification may come at an additional cost. This is an extra safeguard, benefitting UCITS in the event of a borrower default where a shortfall between the value of the collateral and the cost to repurchase the loaned securities, would be covered by the lending agent. </w:t>
      </w:r>
    </w:p>
    <w:p w14:paraId="4945A31D" w14:textId="77777777" w:rsidR="003E165D" w:rsidRPr="00712F41" w:rsidRDefault="003E165D" w:rsidP="00BC4FFD">
      <w:pPr>
        <w:pStyle w:val="ListParagraph"/>
        <w:widowControl w:val="0"/>
        <w:numPr>
          <w:ilvl w:val="0"/>
          <w:numId w:val="0"/>
        </w:numPr>
        <w:autoSpaceDE w:val="0"/>
        <w:autoSpaceDN w:val="0"/>
        <w:ind w:right="-46"/>
        <w:rPr>
          <w:rFonts w:asciiTheme="minorHAnsi" w:hAnsiTheme="minorHAnsi" w:cstheme="minorHAnsi"/>
          <w:color w:val="1E3400" w:themeColor="background2" w:themeShade="40"/>
        </w:rPr>
      </w:pPr>
    </w:p>
    <w:p w14:paraId="0F8F61BC" w14:textId="77777777" w:rsidR="003E165D" w:rsidRPr="00712F41" w:rsidRDefault="003E165D" w:rsidP="003E165D">
      <w:pPr>
        <w:ind w:right="-46"/>
        <w:rPr>
          <w:rFonts w:cstheme="minorHAnsi"/>
          <w:color w:val="1E3400" w:themeColor="background2" w:themeShade="40"/>
        </w:rPr>
      </w:pPr>
      <w:r w:rsidRPr="00712F41">
        <w:rPr>
          <w:rFonts w:cstheme="minorHAnsi"/>
          <w:color w:val="1E3400" w:themeColor="background2" w:themeShade="40"/>
        </w:rPr>
        <w:t xml:space="preserve">Similar to fees for other investment management services, securities lending fees are negotiated between the relevant parties, taking into consideration a number of factors. It is imperative that securities lending transactions be treated in the same manner as other capital markets products, which permit costs to be negotiated commercially between the relevant parties. </w:t>
      </w:r>
    </w:p>
    <w:p w14:paraId="0AA526BE" w14:textId="77777777" w:rsidR="003E165D" w:rsidRPr="00712F41" w:rsidRDefault="003E165D" w:rsidP="003E165D">
      <w:pPr>
        <w:pStyle w:val="Default"/>
        <w:ind w:right="-46"/>
        <w:jc w:val="both"/>
        <w:rPr>
          <w:rFonts w:asciiTheme="minorHAnsi" w:hAnsiTheme="minorHAnsi" w:cstheme="minorHAnsi"/>
          <w:color w:val="1E3400" w:themeColor="background2" w:themeShade="40"/>
          <w:sz w:val="22"/>
          <w:szCs w:val="22"/>
        </w:rPr>
      </w:pPr>
      <w:r w:rsidRPr="00712F41">
        <w:rPr>
          <w:rFonts w:asciiTheme="minorHAnsi" w:hAnsiTheme="minorHAnsi" w:cstheme="minorHAnsi"/>
          <w:color w:val="1E3400" w:themeColor="background2" w:themeShade="40"/>
          <w:sz w:val="22"/>
          <w:szCs w:val="22"/>
        </w:rPr>
        <w:t>It is also important to note, that there are various models in the market that ESMA should be aware of, when considering securities lending:</w:t>
      </w:r>
    </w:p>
    <w:p w14:paraId="7CCBF866" w14:textId="77777777" w:rsidR="003E165D" w:rsidRPr="00712F41" w:rsidRDefault="003E165D" w:rsidP="003E165D">
      <w:pPr>
        <w:pStyle w:val="Default"/>
        <w:ind w:right="-46"/>
        <w:jc w:val="both"/>
        <w:rPr>
          <w:rFonts w:asciiTheme="minorHAnsi" w:hAnsiTheme="minorHAnsi" w:cstheme="minorHAnsi"/>
          <w:color w:val="1E3400" w:themeColor="background2" w:themeShade="40"/>
          <w:sz w:val="22"/>
          <w:szCs w:val="22"/>
        </w:rPr>
      </w:pPr>
    </w:p>
    <w:p w14:paraId="380555CB" w14:textId="77777777" w:rsidR="003E165D" w:rsidRPr="00712F41" w:rsidRDefault="003E165D" w:rsidP="003E165D">
      <w:pPr>
        <w:pStyle w:val="ListParagraph"/>
        <w:numPr>
          <w:ilvl w:val="0"/>
          <w:numId w:val="17"/>
        </w:numPr>
        <w:spacing w:after="0" w:line="240" w:lineRule="auto"/>
        <w:ind w:left="0" w:right="-46"/>
        <w:rPr>
          <w:rFonts w:asciiTheme="minorHAnsi" w:hAnsiTheme="minorHAnsi" w:cstheme="minorHAnsi"/>
          <w:color w:val="1E3400" w:themeColor="background2" w:themeShade="40"/>
        </w:rPr>
      </w:pPr>
      <w:r w:rsidRPr="00712F41">
        <w:rPr>
          <w:rFonts w:asciiTheme="minorHAnsi" w:hAnsiTheme="minorHAnsi" w:cstheme="minorHAnsi"/>
          <w:color w:val="1E3400" w:themeColor="background2" w:themeShade="40"/>
        </w:rPr>
        <w:lastRenderedPageBreak/>
        <w:t>Direct Lending – Where an asset manager appoints an in-house securities lending agent or affiliate. The in-house lending agent acts on behalf of the UCITS and lends their securities directly to borrowers.</w:t>
      </w:r>
    </w:p>
    <w:p w14:paraId="3FB92696" w14:textId="77777777" w:rsidR="003E165D" w:rsidRPr="00712F41" w:rsidRDefault="003E165D" w:rsidP="003E165D">
      <w:pPr>
        <w:pStyle w:val="ListParagraph"/>
        <w:numPr>
          <w:ilvl w:val="0"/>
          <w:numId w:val="17"/>
        </w:numPr>
        <w:spacing w:after="0" w:line="240" w:lineRule="auto"/>
        <w:ind w:left="0" w:right="-46"/>
        <w:rPr>
          <w:rFonts w:asciiTheme="minorHAnsi" w:hAnsiTheme="minorHAnsi" w:cstheme="minorHAnsi"/>
          <w:color w:val="1E3400" w:themeColor="background2" w:themeShade="40"/>
        </w:rPr>
      </w:pPr>
      <w:r w:rsidRPr="00712F41">
        <w:rPr>
          <w:rFonts w:asciiTheme="minorHAnsi" w:hAnsiTheme="minorHAnsi" w:cstheme="minorHAnsi"/>
          <w:color w:val="1E3400" w:themeColor="background2" w:themeShade="40"/>
        </w:rPr>
        <w:t xml:space="preserve">Custodial Agency Lending - Most large custodian banks offer agency lending services for their custody clients. In this model, the custodian of the UCITS is appointed as lending agent to lend UCITS’ securities to borrowers. </w:t>
      </w:r>
    </w:p>
    <w:p w14:paraId="3D0A1A2A" w14:textId="77777777" w:rsidR="003E165D" w:rsidRPr="00712F41" w:rsidRDefault="003E165D" w:rsidP="003E165D">
      <w:pPr>
        <w:pStyle w:val="ListParagraph"/>
        <w:numPr>
          <w:ilvl w:val="0"/>
          <w:numId w:val="17"/>
        </w:numPr>
        <w:spacing w:after="0" w:line="240" w:lineRule="auto"/>
        <w:ind w:left="0" w:right="-46"/>
        <w:rPr>
          <w:rFonts w:asciiTheme="minorHAnsi" w:hAnsiTheme="minorHAnsi" w:cstheme="minorHAnsi"/>
          <w:color w:val="1E3400" w:themeColor="background2" w:themeShade="40"/>
        </w:rPr>
      </w:pPr>
      <w:r w:rsidRPr="00712F41">
        <w:rPr>
          <w:rFonts w:asciiTheme="minorHAnsi" w:hAnsiTheme="minorHAnsi" w:cstheme="minorHAnsi"/>
          <w:color w:val="1E3400" w:themeColor="background2" w:themeShade="40"/>
        </w:rPr>
        <w:t xml:space="preserve">Third Party Lending - A lending agent other than the UCITS’ custodian (or depositary) is appointed to lend the UCITS’ securities. </w:t>
      </w:r>
    </w:p>
    <w:p w14:paraId="479A96A6" w14:textId="77777777" w:rsidR="003E165D" w:rsidRPr="00712F41" w:rsidRDefault="003E165D" w:rsidP="003E165D">
      <w:pPr>
        <w:spacing w:after="0" w:line="240" w:lineRule="auto"/>
        <w:ind w:right="-46"/>
        <w:rPr>
          <w:rFonts w:cstheme="minorHAnsi"/>
          <w:color w:val="1E3400" w:themeColor="background2" w:themeShade="40"/>
        </w:rPr>
      </w:pPr>
    </w:p>
    <w:p w14:paraId="10922C88" w14:textId="77777777" w:rsidR="003E165D" w:rsidRDefault="003E165D" w:rsidP="003E165D">
      <w:pPr>
        <w:spacing w:after="0" w:line="240" w:lineRule="auto"/>
        <w:ind w:right="-46"/>
        <w:rPr>
          <w:rFonts w:cstheme="minorHAnsi"/>
          <w:b/>
          <w:bCs/>
          <w:color w:val="1E3400" w:themeColor="background2" w:themeShade="40"/>
        </w:rPr>
      </w:pPr>
      <w:r w:rsidRPr="00712F41">
        <w:rPr>
          <w:rFonts w:cstheme="minorHAnsi"/>
          <w:b/>
          <w:bCs/>
          <w:color w:val="1E3400" w:themeColor="background2" w:themeShade="40"/>
        </w:rPr>
        <w:t>ISLA would like to note that SL agents providing a lower cost for their services does not directly result in higher securities lending returns for the UCITS. There is no direct correlation between the two, as performance of the SL agent in generating returns can vary.</w:t>
      </w:r>
      <w:r>
        <w:rPr>
          <w:rFonts w:cstheme="minorHAnsi"/>
          <w:b/>
          <w:bCs/>
          <w:color w:val="1E3400" w:themeColor="background2" w:themeShade="40"/>
        </w:rPr>
        <w:t xml:space="preserve"> </w:t>
      </w:r>
    </w:p>
    <w:bookmarkEnd w:id="1"/>
    <w:p w14:paraId="52C32928" w14:textId="77777777" w:rsidR="003E165D" w:rsidRDefault="003E165D" w:rsidP="003E165D">
      <w:pPr>
        <w:spacing w:after="0" w:line="240" w:lineRule="auto"/>
        <w:ind w:right="-46"/>
        <w:rPr>
          <w:rFonts w:cstheme="minorHAnsi"/>
          <w:b/>
          <w:bCs/>
          <w:color w:val="1E3400" w:themeColor="background2" w:themeShade="40"/>
        </w:rPr>
      </w:pPr>
    </w:p>
    <w:p w14:paraId="240ED5E0" w14:textId="77777777" w:rsidR="003E165D" w:rsidRDefault="003E165D" w:rsidP="003E165D">
      <w:pPr>
        <w:spacing w:after="0" w:line="240" w:lineRule="auto"/>
        <w:ind w:right="-46"/>
        <w:rPr>
          <w:rFonts w:cstheme="minorHAnsi"/>
          <w:b/>
          <w:bCs/>
          <w:color w:val="1E3400" w:themeColor="background2" w:themeShade="40"/>
        </w:rPr>
      </w:pPr>
      <w:r w:rsidRPr="00A0748F">
        <w:rPr>
          <w:rFonts w:cstheme="minorHAnsi"/>
          <w:color w:val="1E3400" w:themeColor="background2" w:themeShade="40"/>
        </w:rPr>
        <w:t xml:space="preserve">Lastly, </w:t>
      </w:r>
      <w:r w:rsidRPr="00A55E4D">
        <w:rPr>
          <w:rFonts w:cstheme="minorHAnsi"/>
          <w:color w:val="1E3400" w:themeColor="background2" w:themeShade="40"/>
        </w:rPr>
        <w:t>in 2020, the reporting of securities finance transactions, including securities lending came into force under the EU’s Securities Finance Transaction Regulation (SFTR) which has substantially increased transparency of the securities lending activity conducted by UCITS to regulators, including the disclosure of borrowing fees.</w:t>
      </w:r>
    </w:p>
    <w:p w14:paraId="682FACE4" w14:textId="77777777" w:rsidR="003E165D" w:rsidRPr="00C32513" w:rsidRDefault="003E165D" w:rsidP="003E165D">
      <w:pPr>
        <w:spacing w:after="0" w:line="240" w:lineRule="auto"/>
        <w:ind w:right="-46"/>
        <w:rPr>
          <w:rFonts w:cstheme="minorHAnsi"/>
          <w:b/>
          <w:bCs/>
          <w:color w:val="1E3400" w:themeColor="background2" w:themeShade="40"/>
        </w:rPr>
      </w:pPr>
    </w:p>
    <w:p w14:paraId="0808A1B7" w14:textId="77777777" w:rsidR="003E165D" w:rsidRPr="00A55E4D" w:rsidRDefault="003E165D" w:rsidP="003E165D">
      <w:pPr>
        <w:spacing w:line="240" w:lineRule="auto"/>
        <w:ind w:right="-46"/>
        <w:rPr>
          <w:rFonts w:cstheme="minorHAnsi"/>
          <w:color w:val="1E3400" w:themeColor="background2" w:themeShade="40"/>
        </w:rPr>
      </w:pPr>
      <w:r w:rsidRPr="00A55E4D">
        <w:rPr>
          <w:rFonts w:cstheme="minorHAnsi"/>
          <w:color w:val="1E3400" w:themeColor="background2" w:themeShade="40"/>
        </w:rPr>
        <w:t xml:space="preserve">ISLA endorses transparency in the disclosure of fees deducted from the gross securities lending income as well as returns generated for investor portfolios. ISLA encourages regular reviews of securities lending arrangements and believe that in order to provide maximum protection to </w:t>
      </w:r>
      <w:r>
        <w:rPr>
          <w:rFonts w:cstheme="minorHAnsi"/>
          <w:color w:val="1E3400" w:themeColor="background2" w:themeShade="40"/>
        </w:rPr>
        <w:t>underlying</w:t>
      </w:r>
      <w:r w:rsidRPr="00A55E4D">
        <w:rPr>
          <w:rFonts w:cstheme="minorHAnsi"/>
          <w:color w:val="1E3400" w:themeColor="background2" w:themeShade="40"/>
        </w:rPr>
        <w:t xml:space="preserve"> investors, there must be choice; this will help to support a commercially viable securities lending market for UCITS and allow them to maintain their ability to earn revenue for the benefit of their underlying investors. </w:t>
      </w:r>
    </w:p>
    <w:p w14:paraId="4E6EC137" w14:textId="155816EA" w:rsidR="00667FF6" w:rsidRDefault="00667FF6" w:rsidP="00667FF6"/>
    <w:permEnd w:id="1032210024"/>
    <w:p w14:paraId="09F73C64" w14:textId="77777777" w:rsidR="00667FF6" w:rsidRDefault="00667FF6" w:rsidP="00667FF6">
      <w:r>
        <w:t>&lt;ESMA_QUESTION_EADC_16&gt;</w:t>
      </w:r>
    </w:p>
    <w:p w14:paraId="6CD480E6" w14:textId="77777777" w:rsidR="00667FF6" w:rsidRDefault="00667FF6" w:rsidP="00667FF6"/>
    <w:p w14:paraId="2F61D6B7" w14:textId="43620DB9" w:rsidR="00667FF6" w:rsidRDefault="00667FF6" w:rsidP="00DB686B">
      <w:pPr>
        <w:pStyle w:val="Questionstyle"/>
        <w:numPr>
          <w:ilvl w:val="0"/>
          <w:numId w:val="14"/>
        </w:numPr>
      </w:pPr>
      <w:r>
        <w:t>Would you see merit in linking or replacing the notion of EPM techniques set out in the UCITS Directive and UCITS EAD with the notion of securities financing transaction (SFT) set out in the SFTR? Beyond the notions of EPM and SFT, are there any other notions or issues raising concerns in terms of transversal consistency between the UCITS and SFTR frameworks?</w:t>
      </w:r>
    </w:p>
    <w:p w14:paraId="5776F854" w14:textId="77777777" w:rsidR="00667FF6" w:rsidRDefault="00667FF6" w:rsidP="00667FF6">
      <w:r>
        <w:t>&lt;ESMA_QUESTION_EADC_17&gt;</w:t>
      </w:r>
    </w:p>
    <w:p w14:paraId="5255CAFD" w14:textId="77777777" w:rsidR="00115761" w:rsidRPr="00A55E4D" w:rsidRDefault="00115761" w:rsidP="00115761">
      <w:pPr>
        <w:pStyle w:val="Default"/>
        <w:ind w:right="-46"/>
        <w:jc w:val="both"/>
        <w:rPr>
          <w:rFonts w:asciiTheme="minorHAnsi" w:hAnsiTheme="minorHAnsi" w:cstheme="minorHAnsi"/>
          <w:color w:val="1E3400" w:themeColor="background2" w:themeShade="40"/>
          <w:sz w:val="22"/>
          <w:szCs w:val="22"/>
        </w:rPr>
      </w:pPr>
      <w:permStart w:id="589041498" w:edGrp="everyone"/>
      <w:r w:rsidRPr="00A55E4D">
        <w:rPr>
          <w:rFonts w:asciiTheme="minorHAnsi" w:hAnsiTheme="minorHAnsi" w:cstheme="minorHAnsi"/>
          <w:color w:val="1E3400" w:themeColor="background2" w:themeShade="40"/>
          <w:sz w:val="22"/>
          <w:szCs w:val="22"/>
        </w:rPr>
        <w:t xml:space="preserve">ISLA would </w:t>
      </w:r>
      <w:r w:rsidRPr="00A55E4D">
        <w:rPr>
          <w:rFonts w:asciiTheme="minorHAnsi" w:hAnsiTheme="minorHAnsi" w:cstheme="minorHAnsi"/>
          <w:b/>
          <w:bCs/>
          <w:color w:val="1E3400" w:themeColor="background2" w:themeShade="40"/>
          <w:sz w:val="22"/>
          <w:szCs w:val="22"/>
        </w:rPr>
        <w:t>not</w:t>
      </w:r>
      <w:r w:rsidRPr="00A55E4D">
        <w:rPr>
          <w:rFonts w:asciiTheme="minorHAnsi" w:hAnsiTheme="minorHAnsi" w:cstheme="minorHAnsi"/>
          <w:color w:val="1E3400" w:themeColor="background2" w:themeShade="40"/>
          <w:sz w:val="22"/>
          <w:szCs w:val="22"/>
        </w:rPr>
        <w:t xml:space="preserve"> propose replacing the notion of EPM techniques set out in the UCITS Directive and the UCITS EAD with the notion of securities financing transactions as set out in SFTR, as Efficient Portfolio Management techniques are not limited to SFTs and constitutes a much broader range of activities for example; the use of derivatives, within the parameters of Art. 11 of the EAD.  </w:t>
      </w:r>
    </w:p>
    <w:p w14:paraId="40593F60" w14:textId="77777777" w:rsidR="00115761" w:rsidRPr="00A55E4D" w:rsidRDefault="00115761" w:rsidP="00115761">
      <w:pPr>
        <w:pStyle w:val="Default"/>
        <w:ind w:right="-46"/>
        <w:jc w:val="both"/>
        <w:rPr>
          <w:rFonts w:asciiTheme="minorHAnsi" w:hAnsiTheme="minorHAnsi" w:cstheme="minorHAnsi"/>
          <w:color w:val="1E3400" w:themeColor="background2" w:themeShade="40"/>
          <w:sz w:val="22"/>
          <w:szCs w:val="22"/>
        </w:rPr>
      </w:pPr>
    </w:p>
    <w:p w14:paraId="3AE11C31" w14:textId="77777777" w:rsidR="00115761" w:rsidRPr="00A55E4D" w:rsidRDefault="00115761" w:rsidP="00115761">
      <w:pPr>
        <w:pStyle w:val="Default"/>
        <w:ind w:right="-46"/>
        <w:jc w:val="both"/>
        <w:rPr>
          <w:rFonts w:asciiTheme="minorHAnsi" w:hAnsiTheme="minorHAnsi" w:cstheme="minorHAnsi"/>
          <w:color w:val="1E3400" w:themeColor="background2" w:themeShade="40"/>
          <w:sz w:val="22"/>
          <w:szCs w:val="22"/>
        </w:rPr>
      </w:pPr>
      <w:r w:rsidRPr="00A55E4D">
        <w:rPr>
          <w:rFonts w:asciiTheme="minorHAnsi" w:hAnsiTheme="minorHAnsi" w:cstheme="minorHAnsi"/>
          <w:color w:val="1E3400" w:themeColor="background2" w:themeShade="40"/>
          <w:sz w:val="22"/>
          <w:szCs w:val="22"/>
        </w:rPr>
        <w:t xml:space="preserve">Although it is widely accepted that securities lending is one of the most common forms of EPM techniques, it is important to acknowledge that EPM does still exist for funds that do not engage in securities </w:t>
      </w:r>
      <w:r>
        <w:rPr>
          <w:rFonts w:asciiTheme="minorHAnsi" w:hAnsiTheme="minorHAnsi" w:cstheme="minorHAnsi"/>
          <w:color w:val="1E3400" w:themeColor="background2" w:themeShade="40"/>
          <w:sz w:val="22"/>
          <w:szCs w:val="22"/>
        </w:rPr>
        <w:t>financing</w:t>
      </w:r>
      <w:r w:rsidRPr="00A55E4D">
        <w:rPr>
          <w:rFonts w:asciiTheme="minorHAnsi" w:hAnsiTheme="minorHAnsi" w:cstheme="minorHAnsi"/>
          <w:color w:val="1E3400" w:themeColor="background2" w:themeShade="40"/>
          <w:sz w:val="22"/>
          <w:szCs w:val="22"/>
        </w:rPr>
        <w:t xml:space="preserve">. Neither the Directives nor the ESMA Guidelines provide for an exhaustive list of techniques and instruments that are to be considered as EPM. </w:t>
      </w:r>
    </w:p>
    <w:p w14:paraId="6903673A" w14:textId="77777777" w:rsidR="00115761" w:rsidRPr="00A55E4D" w:rsidRDefault="00115761" w:rsidP="00115761">
      <w:pPr>
        <w:pStyle w:val="Default"/>
        <w:ind w:right="-46"/>
        <w:jc w:val="both"/>
        <w:rPr>
          <w:rFonts w:asciiTheme="minorHAnsi" w:hAnsiTheme="minorHAnsi" w:cstheme="minorHAnsi"/>
          <w:color w:val="1E3400" w:themeColor="background2" w:themeShade="40"/>
          <w:sz w:val="22"/>
          <w:szCs w:val="22"/>
        </w:rPr>
      </w:pPr>
    </w:p>
    <w:p w14:paraId="429C1DB2" w14:textId="77777777" w:rsidR="00115761" w:rsidRPr="00A55E4D" w:rsidRDefault="00115761" w:rsidP="00115761">
      <w:pPr>
        <w:pStyle w:val="Default"/>
        <w:ind w:right="-46"/>
        <w:jc w:val="both"/>
        <w:rPr>
          <w:rFonts w:asciiTheme="minorHAnsi" w:hAnsiTheme="minorHAnsi" w:cstheme="minorHAnsi"/>
          <w:color w:val="1E3400" w:themeColor="background2" w:themeShade="40"/>
          <w:sz w:val="22"/>
          <w:szCs w:val="22"/>
        </w:rPr>
      </w:pPr>
      <w:r w:rsidRPr="00A55E4D">
        <w:rPr>
          <w:rFonts w:asciiTheme="minorHAnsi" w:hAnsiTheme="minorHAnsi" w:cstheme="minorHAnsi"/>
          <w:color w:val="1E3400" w:themeColor="background2" w:themeShade="40"/>
          <w:sz w:val="22"/>
          <w:szCs w:val="22"/>
        </w:rPr>
        <w:t>Additionally, the concept of a securities financing transaction as defined in SFTR, Regulation (EU) 2015/2365 under Article 3(11) is as follows:</w:t>
      </w:r>
    </w:p>
    <w:p w14:paraId="7A2C18A4" w14:textId="77777777" w:rsidR="00115761" w:rsidRPr="00A55E4D" w:rsidRDefault="00115761" w:rsidP="00115761">
      <w:pPr>
        <w:pStyle w:val="Default"/>
        <w:ind w:right="-46"/>
        <w:jc w:val="both"/>
        <w:rPr>
          <w:rFonts w:asciiTheme="minorHAnsi" w:hAnsiTheme="minorHAnsi" w:cstheme="minorHAnsi"/>
          <w:color w:val="1E3400" w:themeColor="background2" w:themeShade="40"/>
          <w:sz w:val="22"/>
          <w:szCs w:val="22"/>
        </w:rPr>
      </w:pPr>
    </w:p>
    <w:p w14:paraId="08BA49C3" w14:textId="77777777" w:rsidR="00115761" w:rsidRPr="00A55E4D" w:rsidRDefault="00115761" w:rsidP="00115761">
      <w:pPr>
        <w:pStyle w:val="Default"/>
        <w:numPr>
          <w:ilvl w:val="0"/>
          <w:numId w:val="16"/>
        </w:numPr>
        <w:ind w:left="0" w:right="-46"/>
        <w:jc w:val="both"/>
        <w:rPr>
          <w:rFonts w:asciiTheme="minorHAnsi" w:hAnsiTheme="minorHAnsi" w:cstheme="minorHAnsi"/>
          <w:i/>
          <w:iCs/>
          <w:color w:val="1E3400" w:themeColor="background2" w:themeShade="40"/>
          <w:sz w:val="22"/>
          <w:szCs w:val="22"/>
        </w:rPr>
      </w:pPr>
      <w:r w:rsidRPr="00A55E4D">
        <w:rPr>
          <w:rFonts w:asciiTheme="minorHAnsi" w:hAnsiTheme="minorHAnsi" w:cstheme="minorHAnsi"/>
          <w:i/>
          <w:iCs/>
          <w:color w:val="1E3400" w:themeColor="background2" w:themeShade="40"/>
          <w:sz w:val="22"/>
          <w:szCs w:val="22"/>
        </w:rPr>
        <w:t>a repurchase transaction;</w:t>
      </w:r>
    </w:p>
    <w:p w14:paraId="6DAC6CD1" w14:textId="77777777" w:rsidR="00115761" w:rsidRPr="00A55E4D" w:rsidRDefault="00115761" w:rsidP="00115761">
      <w:pPr>
        <w:pStyle w:val="Default"/>
        <w:numPr>
          <w:ilvl w:val="0"/>
          <w:numId w:val="16"/>
        </w:numPr>
        <w:ind w:left="0" w:right="-46"/>
        <w:jc w:val="both"/>
        <w:rPr>
          <w:rFonts w:asciiTheme="minorHAnsi" w:hAnsiTheme="minorHAnsi" w:cstheme="minorHAnsi"/>
          <w:i/>
          <w:iCs/>
          <w:color w:val="1E3400" w:themeColor="background2" w:themeShade="40"/>
          <w:sz w:val="20"/>
          <w:szCs w:val="20"/>
        </w:rPr>
      </w:pPr>
      <w:r w:rsidRPr="00A55E4D">
        <w:rPr>
          <w:rFonts w:asciiTheme="minorHAnsi" w:hAnsiTheme="minorHAnsi" w:cstheme="minorHAnsi"/>
          <w:i/>
          <w:iCs/>
          <w:color w:val="1E3400" w:themeColor="background2" w:themeShade="40"/>
          <w:sz w:val="22"/>
          <w:szCs w:val="22"/>
        </w:rPr>
        <w:t xml:space="preserve">securities or commodities lending </w:t>
      </w:r>
      <w:r w:rsidRPr="00A55E4D">
        <w:rPr>
          <w:rFonts w:asciiTheme="minorHAnsi" w:hAnsiTheme="minorHAnsi" w:cstheme="minorHAnsi"/>
          <w:b/>
          <w:bCs/>
          <w:i/>
          <w:iCs/>
          <w:color w:val="1E3400" w:themeColor="background2" w:themeShade="40"/>
          <w:sz w:val="22"/>
          <w:szCs w:val="22"/>
        </w:rPr>
        <w:t>and securities or commodities borrowing</w:t>
      </w:r>
      <w:r>
        <w:rPr>
          <w:rFonts w:asciiTheme="minorHAnsi" w:hAnsiTheme="minorHAnsi" w:cstheme="minorHAnsi"/>
          <w:b/>
          <w:bCs/>
          <w:i/>
          <w:iCs/>
          <w:color w:val="1E3400" w:themeColor="background2" w:themeShade="40"/>
          <w:sz w:val="22"/>
          <w:szCs w:val="22"/>
        </w:rPr>
        <w:t xml:space="preserve"> transaction</w:t>
      </w:r>
      <w:r w:rsidRPr="00A55E4D">
        <w:rPr>
          <w:rFonts w:asciiTheme="minorHAnsi" w:hAnsiTheme="minorHAnsi" w:cstheme="minorHAnsi"/>
          <w:i/>
          <w:iCs/>
          <w:color w:val="1E3400" w:themeColor="background2" w:themeShade="40"/>
          <w:sz w:val="22"/>
          <w:szCs w:val="22"/>
        </w:rPr>
        <w:t xml:space="preserve">; </w:t>
      </w:r>
    </w:p>
    <w:p w14:paraId="0AD789DC" w14:textId="77777777" w:rsidR="00115761" w:rsidRPr="00A55E4D" w:rsidRDefault="00115761" w:rsidP="00115761">
      <w:pPr>
        <w:pStyle w:val="Default"/>
        <w:numPr>
          <w:ilvl w:val="0"/>
          <w:numId w:val="16"/>
        </w:numPr>
        <w:ind w:left="0" w:right="-46"/>
        <w:jc w:val="both"/>
        <w:rPr>
          <w:rFonts w:asciiTheme="minorHAnsi" w:hAnsiTheme="minorHAnsi" w:cstheme="minorHAnsi"/>
          <w:i/>
          <w:iCs/>
          <w:color w:val="1E3400" w:themeColor="background2" w:themeShade="40"/>
          <w:sz w:val="20"/>
          <w:szCs w:val="20"/>
        </w:rPr>
      </w:pPr>
      <w:r w:rsidRPr="00A55E4D">
        <w:rPr>
          <w:rFonts w:asciiTheme="minorHAnsi" w:hAnsiTheme="minorHAnsi" w:cstheme="minorHAnsi"/>
          <w:i/>
          <w:iCs/>
          <w:color w:val="1E3400" w:themeColor="background2" w:themeShade="40"/>
          <w:sz w:val="22"/>
          <w:szCs w:val="22"/>
        </w:rPr>
        <w:t xml:space="preserve">a buy-sell back transaction or sell-buy back transaction; </w:t>
      </w:r>
    </w:p>
    <w:p w14:paraId="09D0812F" w14:textId="77777777" w:rsidR="00115761" w:rsidRPr="00A55E4D" w:rsidRDefault="00115761" w:rsidP="00115761">
      <w:pPr>
        <w:pStyle w:val="Default"/>
        <w:numPr>
          <w:ilvl w:val="0"/>
          <w:numId w:val="16"/>
        </w:numPr>
        <w:ind w:left="0" w:right="-46"/>
        <w:jc w:val="both"/>
        <w:rPr>
          <w:rFonts w:asciiTheme="minorHAnsi" w:hAnsiTheme="minorHAnsi" w:cstheme="minorHAnsi"/>
          <w:i/>
          <w:iCs/>
          <w:color w:val="1E3400" w:themeColor="background2" w:themeShade="40"/>
          <w:sz w:val="20"/>
          <w:szCs w:val="20"/>
        </w:rPr>
      </w:pPr>
      <w:r w:rsidRPr="00A55E4D">
        <w:rPr>
          <w:rFonts w:asciiTheme="minorHAnsi" w:hAnsiTheme="minorHAnsi" w:cstheme="minorHAnsi"/>
          <w:i/>
          <w:iCs/>
          <w:color w:val="1E3400" w:themeColor="background2" w:themeShade="40"/>
          <w:sz w:val="22"/>
          <w:szCs w:val="22"/>
        </w:rPr>
        <w:t>a margin lending transaction;</w:t>
      </w:r>
    </w:p>
    <w:p w14:paraId="1EF8ADC3" w14:textId="77777777" w:rsidR="00115761" w:rsidRPr="00A55E4D" w:rsidRDefault="00115761" w:rsidP="00115761">
      <w:pPr>
        <w:pStyle w:val="Default"/>
        <w:ind w:right="-46"/>
        <w:jc w:val="both"/>
        <w:rPr>
          <w:rFonts w:asciiTheme="minorHAnsi" w:hAnsiTheme="minorHAnsi" w:cstheme="minorHAnsi"/>
          <w:color w:val="1E3400" w:themeColor="background2" w:themeShade="40"/>
          <w:sz w:val="22"/>
          <w:szCs w:val="22"/>
        </w:rPr>
      </w:pPr>
    </w:p>
    <w:p w14:paraId="452EC278" w14:textId="77777777" w:rsidR="00115761" w:rsidRPr="00A55E4D" w:rsidRDefault="00115761" w:rsidP="00115761">
      <w:pPr>
        <w:pStyle w:val="Default"/>
        <w:ind w:right="-46"/>
        <w:jc w:val="both"/>
        <w:rPr>
          <w:rFonts w:asciiTheme="minorHAnsi" w:hAnsiTheme="minorHAnsi" w:cstheme="minorHAnsi"/>
          <w:color w:val="1E3400" w:themeColor="background2" w:themeShade="40"/>
          <w:sz w:val="22"/>
          <w:szCs w:val="22"/>
        </w:rPr>
      </w:pPr>
      <w:r w:rsidRPr="00A55E4D">
        <w:rPr>
          <w:rFonts w:asciiTheme="minorHAnsi" w:hAnsiTheme="minorHAnsi" w:cstheme="minorHAnsi"/>
          <w:color w:val="1E3400" w:themeColor="background2" w:themeShade="40"/>
          <w:sz w:val="22"/>
          <w:szCs w:val="22"/>
        </w:rPr>
        <w:t xml:space="preserve">Under SFTR, both securities lending and securities borrowing are defined as an </w:t>
      </w:r>
      <w:r>
        <w:rPr>
          <w:rFonts w:asciiTheme="minorHAnsi" w:hAnsiTheme="minorHAnsi" w:cstheme="minorHAnsi"/>
          <w:color w:val="1E3400" w:themeColor="background2" w:themeShade="40"/>
          <w:sz w:val="22"/>
          <w:szCs w:val="22"/>
        </w:rPr>
        <w:t>‘</w:t>
      </w:r>
      <w:r w:rsidRPr="00A55E4D">
        <w:rPr>
          <w:rFonts w:asciiTheme="minorHAnsi" w:hAnsiTheme="minorHAnsi" w:cstheme="minorHAnsi"/>
          <w:color w:val="1E3400" w:themeColor="background2" w:themeShade="40"/>
          <w:sz w:val="22"/>
          <w:szCs w:val="22"/>
        </w:rPr>
        <w:t>SFT</w:t>
      </w:r>
      <w:r>
        <w:rPr>
          <w:rFonts w:asciiTheme="minorHAnsi" w:hAnsiTheme="minorHAnsi" w:cstheme="minorHAnsi"/>
          <w:color w:val="1E3400" w:themeColor="background2" w:themeShade="40"/>
          <w:sz w:val="22"/>
          <w:szCs w:val="22"/>
        </w:rPr>
        <w:t>’</w:t>
      </w:r>
      <w:r w:rsidRPr="00A55E4D">
        <w:rPr>
          <w:rFonts w:asciiTheme="minorHAnsi" w:hAnsiTheme="minorHAnsi" w:cstheme="minorHAnsi"/>
          <w:color w:val="1E3400" w:themeColor="background2" w:themeShade="40"/>
          <w:sz w:val="22"/>
          <w:szCs w:val="22"/>
        </w:rPr>
        <w:t xml:space="preserve">, however, UCITS funds are only able to lend their securities and are not currently able to borrow, therefore it would not be appropriate to replace the notion of EPM with SFT on this basis.  </w:t>
      </w:r>
    </w:p>
    <w:p w14:paraId="2DE74B03" w14:textId="77777777" w:rsidR="00115761" w:rsidRPr="00A55E4D" w:rsidRDefault="00115761" w:rsidP="00115761">
      <w:pPr>
        <w:pStyle w:val="Default"/>
        <w:ind w:right="-46"/>
        <w:jc w:val="both"/>
        <w:rPr>
          <w:rFonts w:asciiTheme="minorHAnsi" w:hAnsiTheme="minorHAnsi" w:cstheme="minorHAnsi"/>
          <w:color w:val="1E3400" w:themeColor="background2" w:themeShade="40"/>
          <w:sz w:val="22"/>
          <w:szCs w:val="22"/>
        </w:rPr>
      </w:pPr>
    </w:p>
    <w:p w14:paraId="1D358EA1" w14:textId="77777777" w:rsidR="00115761" w:rsidRPr="00A55E4D" w:rsidRDefault="00115761" w:rsidP="00115761">
      <w:pPr>
        <w:pStyle w:val="Default"/>
        <w:ind w:right="-46"/>
        <w:jc w:val="both"/>
        <w:rPr>
          <w:rFonts w:asciiTheme="minorHAnsi" w:hAnsiTheme="minorHAnsi" w:cstheme="minorHAnsi"/>
          <w:color w:val="1E3400" w:themeColor="background2" w:themeShade="40"/>
          <w:sz w:val="20"/>
          <w:szCs w:val="20"/>
        </w:rPr>
      </w:pPr>
      <w:r w:rsidRPr="00A55E4D">
        <w:rPr>
          <w:rFonts w:asciiTheme="minorHAnsi" w:hAnsiTheme="minorHAnsi" w:cstheme="minorHAnsi"/>
          <w:color w:val="1E3400" w:themeColor="background2" w:themeShade="40"/>
          <w:sz w:val="22"/>
          <w:szCs w:val="22"/>
        </w:rPr>
        <w:t xml:space="preserve">ISLA would see merit in ESMA acknowledging in the UCITS EAD or guidelines, that under SFTR, there is a reportable field (field 20) that provides an </w:t>
      </w:r>
      <w:r w:rsidRPr="00135442">
        <w:rPr>
          <w:rStyle w:val="Strong"/>
          <w:rFonts w:asciiTheme="minorHAnsi" w:hAnsiTheme="minorHAnsi" w:cstheme="minorHAnsi"/>
          <w:b w:val="0"/>
          <w:bCs w:val="0"/>
          <w:color w:val="1E3400" w:themeColor="background2" w:themeShade="40"/>
          <w:sz w:val="22"/>
          <w:szCs w:val="22"/>
        </w:rPr>
        <w:t>indication of whether the collateral in an SFT is subject to a Title Transfer collateral arrangement or a Security Financial Collateral Arrangement i.e., a Pledge, which is a well-established and recognised structure for securities financing transactions. For transversal consistency between the two frameworks, ISLA would further encourage recognition from ESMA of this type of collateral arrangement. UCITS that could potentially engage in securities lending, and accept collateral by way of a pledge, would also be mandated to report under SFTR, to the respective NCA, as is done today with securities lending transactions involving title transfer.</w:t>
      </w:r>
      <w:r w:rsidRPr="00A55E4D">
        <w:rPr>
          <w:rStyle w:val="Strong"/>
          <w:rFonts w:asciiTheme="minorHAnsi" w:hAnsiTheme="minorHAnsi" w:cstheme="minorHAnsi"/>
          <w:color w:val="1E3400" w:themeColor="background2" w:themeShade="40"/>
          <w:sz w:val="22"/>
          <w:szCs w:val="22"/>
        </w:rPr>
        <w:t xml:space="preserve"> </w:t>
      </w:r>
    </w:p>
    <w:p w14:paraId="0A21A428" w14:textId="18460C62" w:rsidR="00667FF6" w:rsidRDefault="00667FF6" w:rsidP="00667FF6"/>
    <w:permEnd w:id="589041498"/>
    <w:p w14:paraId="47A34CC0" w14:textId="77777777" w:rsidR="00667FF6" w:rsidRDefault="00667FF6" w:rsidP="00667FF6">
      <w:r>
        <w:t>&lt;ESMA_QUESTION_EADC_17&gt;</w:t>
      </w:r>
    </w:p>
    <w:p w14:paraId="5EC440C2" w14:textId="77777777" w:rsidR="00667FF6" w:rsidRDefault="00667FF6" w:rsidP="00667FF6"/>
    <w:p w14:paraId="29F5389B" w14:textId="7E9A699E" w:rsidR="00667FF6" w:rsidRDefault="00667FF6" w:rsidP="00DB686B">
      <w:pPr>
        <w:pStyle w:val="Questionstyle"/>
        <w:numPr>
          <w:ilvl w:val="0"/>
          <w:numId w:val="14"/>
        </w:numPr>
      </w:pPr>
      <w:r>
        <w:t>Apart from the definitions and concepts covered above, are there any other definitions, notions or concepts used in the UCITS EAD that may require updates, further clarification or better consistency with definitions and concepts used in other pieces of EU financial legislation, e.g. MiFID II, EMIR, Benchmark Regulation and MMFR? If so, please provide details on the issues you have observed and how you would propose to clarify or link the relevant definitions or concepts.</w:t>
      </w:r>
    </w:p>
    <w:p w14:paraId="3F895BE3" w14:textId="77777777" w:rsidR="00667FF6" w:rsidRDefault="00667FF6" w:rsidP="00667FF6">
      <w:r>
        <w:t>&lt;ESMA_QUESTION_EADC_18&gt;</w:t>
      </w:r>
    </w:p>
    <w:p w14:paraId="45B1D965" w14:textId="77777777" w:rsidR="00103B8A" w:rsidRDefault="00103B8A" w:rsidP="00103B8A">
      <w:pPr>
        <w:pStyle w:val="Default"/>
        <w:ind w:right="-46"/>
        <w:jc w:val="both"/>
        <w:rPr>
          <w:rFonts w:asciiTheme="minorHAnsi" w:hAnsiTheme="minorHAnsi" w:cstheme="minorHAnsi"/>
          <w:color w:val="1E3400" w:themeColor="background2" w:themeShade="40"/>
          <w:sz w:val="22"/>
          <w:szCs w:val="22"/>
        </w:rPr>
      </w:pPr>
      <w:permStart w:id="1158356501" w:edGrp="everyone"/>
      <w:r w:rsidRPr="00A55E4D">
        <w:rPr>
          <w:rFonts w:asciiTheme="minorHAnsi" w:hAnsiTheme="minorHAnsi" w:cstheme="minorHAnsi"/>
          <w:color w:val="1E3400" w:themeColor="background2" w:themeShade="40"/>
          <w:sz w:val="22"/>
          <w:szCs w:val="22"/>
        </w:rPr>
        <w:t xml:space="preserve">ISLA would like to further reiterate, in addition to our responses to questions 16 &amp; 17, that we encourage ESMA to acknowledge the use of Security Interest over Collateral ‘Pledge’ as an </w:t>
      </w:r>
      <w:r w:rsidRPr="00A55E4D">
        <w:rPr>
          <w:rFonts w:asciiTheme="minorHAnsi" w:hAnsiTheme="minorHAnsi" w:cstheme="minorHAnsi"/>
          <w:color w:val="1E3400" w:themeColor="background2" w:themeShade="40"/>
          <w:sz w:val="22"/>
          <w:szCs w:val="22"/>
        </w:rPr>
        <w:lastRenderedPageBreak/>
        <w:t xml:space="preserve">additional form of collateral arrangement, as well as Title Transfer. This is because the EU’s Uncleared Margin Rules under EMIR, have already introduced the concept of UCITS being able to accept collateral in other ways that are not via Title Transfer. This concept should be brought across in the context of UCITS engaging in securities lending transactions. </w:t>
      </w:r>
    </w:p>
    <w:p w14:paraId="52EDBF3F" w14:textId="77777777" w:rsidR="00103B8A" w:rsidRDefault="00103B8A" w:rsidP="00103B8A">
      <w:pPr>
        <w:pStyle w:val="Default"/>
        <w:ind w:right="-46"/>
        <w:jc w:val="both"/>
        <w:rPr>
          <w:rFonts w:asciiTheme="minorHAnsi" w:hAnsiTheme="minorHAnsi" w:cstheme="minorHAnsi"/>
          <w:color w:val="1E3400" w:themeColor="background2" w:themeShade="40"/>
          <w:sz w:val="22"/>
          <w:szCs w:val="22"/>
        </w:rPr>
      </w:pPr>
    </w:p>
    <w:p w14:paraId="05CEBFA3" w14:textId="77777777" w:rsidR="00103B8A" w:rsidRPr="00C53E8A" w:rsidRDefault="00103B8A" w:rsidP="00103B8A">
      <w:pPr>
        <w:rPr>
          <w:rFonts w:cstheme="minorHAnsi"/>
          <w:color w:val="1E3400" w:themeColor="background2" w:themeShade="40"/>
        </w:rPr>
      </w:pPr>
      <w:r w:rsidRPr="00C53E8A">
        <w:rPr>
          <w:rFonts w:cstheme="minorHAnsi"/>
          <w:color w:val="1E3400" w:themeColor="background2" w:themeShade="40"/>
        </w:rPr>
        <w:t xml:space="preserve">UCITS which enter into uncleared OTC derivatives are subject to an obligation under EMIR to exchange collateral to mitigate the risks of one of the counterparties defaulting on their obligations. The exchange of collateral must comply with detailed requirements set out in Commission Delegated Regulation (EU) 2016/2251 (the Margin RTS). All UCITS are required under the Margin RTS to exchange variation margin (VM), which protects counterparties against exposures related to the current market value of their OTC derivatives. UCITS which have larger derivatives portfolios (i.e., UCITS which have an aggregate month-end average notional amount of uncleared OTC derivatives of 8 billion </w:t>
      </w:r>
      <w:r>
        <w:rPr>
          <w:rFonts w:cstheme="minorHAnsi"/>
          <w:color w:val="1E3400" w:themeColor="background2" w:themeShade="40"/>
        </w:rPr>
        <w:t xml:space="preserve">EUR </w:t>
      </w:r>
      <w:r w:rsidRPr="00C53E8A">
        <w:rPr>
          <w:rFonts w:cstheme="minorHAnsi"/>
          <w:color w:val="1E3400" w:themeColor="background2" w:themeShade="40"/>
        </w:rPr>
        <w:t xml:space="preserve">or more) are also required to exchange initial margin (IM), which protects counterparties against potential losses </w:t>
      </w:r>
      <w:r>
        <w:rPr>
          <w:rFonts w:cstheme="minorHAnsi"/>
          <w:color w:val="1E3400" w:themeColor="background2" w:themeShade="40"/>
        </w:rPr>
        <w:t>that</w:t>
      </w:r>
      <w:r w:rsidRPr="00C53E8A">
        <w:rPr>
          <w:rFonts w:cstheme="minorHAnsi"/>
          <w:color w:val="1E3400" w:themeColor="background2" w:themeShade="40"/>
        </w:rPr>
        <w:t xml:space="preserve"> could stem from movements in the market value of the OTC derivatives occurring between the last exchange of VM before the default of a counterparty and the time that the OTC derivatives are replaced or the corresponding risk is hedged. </w:t>
      </w:r>
    </w:p>
    <w:p w14:paraId="679A8B55" w14:textId="77777777" w:rsidR="00103B8A" w:rsidRDefault="00103B8A" w:rsidP="00103B8A">
      <w:pPr>
        <w:rPr>
          <w:rFonts w:cstheme="minorHAnsi"/>
          <w:color w:val="1E3400" w:themeColor="background2" w:themeShade="40"/>
        </w:rPr>
      </w:pPr>
      <w:r w:rsidRPr="00C53E8A">
        <w:rPr>
          <w:rFonts w:cstheme="minorHAnsi"/>
          <w:color w:val="1E3400" w:themeColor="background2" w:themeShade="40"/>
        </w:rPr>
        <w:t>The Margin RTS does not explicitly require counterparties to use title-transfer collateral arrangements or security interest collateral arrangements</w:t>
      </w:r>
      <w:r>
        <w:rPr>
          <w:rFonts w:cstheme="minorHAnsi"/>
          <w:color w:val="1E3400" w:themeColor="background2" w:themeShade="40"/>
        </w:rPr>
        <w:t xml:space="preserve">, </w:t>
      </w:r>
      <w:r w:rsidRPr="00C53E8A">
        <w:rPr>
          <w:rFonts w:cstheme="minorHAnsi"/>
          <w:color w:val="1E3400" w:themeColor="background2" w:themeShade="40"/>
        </w:rPr>
        <w:t>such as pledges to meet the requirements to exchange VM or IM</w:t>
      </w:r>
      <w:r>
        <w:rPr>
          <w:rFonts w:cstheme="minorHAnsi"/>
          <w:color w:val="1E3400" w:themeColor="background2" w:themeShade="40"/>
        </w:rPr>
        <w:t>, however, b</w:t>
      </w:r>
      <w:r w:rsidRPr="00C53E8A">
        <w:rPr>
          <w:rFonts w:cstheme="minorHAnsi"/>
          <w:color w:val="1E3400" w:themeColor="background2" w:themeShade="40"/>
        </w:rPr>
        <w:t xml:space="preserve">oth types of collateral arrangements can be used to meet the requirements in the Margin RTS relating to VM and both are used in practice (although title-transfer collateral arrangements are more prevalent). </w:t>
      </w:r>
    </w:p>
    <w:p w14:paraId="2EE021C8" w14:textId="77777777" w:rsidR="00103B8A" w:rsidRPr="00C53E8A" w:rsidRDefault="00103B8A" w:rsidP="00103B8A">
      <w:pPr>
        <w:rPr>
          <w:rFonts w:cstheme="minorHAnsi"/>
          <w:color w:val="1E3400" w:themeColor="background2" w:themeShade="40"/>
        </w:rPr>
      </w:pPr>
      <w:r w:rsidRPr="00C53E8A">
        <w:rPr>
          <w:rFonts w:cstheme="minorHAnsi"/>
          <w:color w:val="1E3400" w:themeColor="background2" w:themeShade="40"/>
        </w:rPr>
        <w:t>In contrast, it is commonly accepted in the market that title-transfer collateral arrangements cannot meet the more stringent requirements in the Margin RTS for IM. In particular, the Margin RTS requires that IM must be protected from the default or insolvency of the collecting counterparty. This cannot be achieved using a title-transfer collateral arrangement as the collateral becomes part of the proprietary assets of the collecting counterparty and, therefore, would not be protected from the default or insolvency of the collecting counterparty. Therefore, in practice, UCITS which are subject to the obligation to exchange IM must use security interest collateral arrangements such as pledges to comply with the IM requirements in the Margin RTS.</w:t>
      </w:r>
    </w:p>
    <w:p w14:paraId="1396FB8B" w14:textId="677CD0B1" w:rsidR="00667FF6" w:rsidRDefault="00103B8A" w:rsidP="00103B8A">
      <w:r w:rsidRPr="00C53E8A">
        <w:rPr>
          <w:rFonts w:cstheme="minorHAnsi"/>
          <w:color w:val="1E3400" w:themeColor="background2" w:themeShade="40"/>
        </w:rPr>
        <w:t xml:space="preserve">The UCITS Directive permits UCITS to use both OTC derivatives and securities lending arrangements for efficient portfolio management ("EPM"). </w:t>
      </w:r>
      <w:r>
        <w:rPr>
          <w:rFonts w:cstheme="minorHAnsi"/>
          <w:color w:val="1E3400" w:themeColor="background2" w:themeShade="40"/>
        </w:rPr>
        <w:t>ISLA proposes that there</w:t>
      </w:r>
      <w:r w:rsidRPr="00C53E8A">
        <w:rPr>
          <w:rFonts w:cstheme="minorHAnsi"/>
          <w:color w:val="1E3400" w:themeColor="background2" w:themeShade="40"/>
        </w:rPr>
        <w:t xml:space="preserve"> should be consistency between both types of EPM techniques as to the permissible ways in which UCITS can accept collateral. Given that UCITS are permitted to accept collateral subject to security interest arrangements such as pledges</w:t>
      </w:r>
      <w:r>
        <w:rPr>
          <w:rFonts w:cstheme="minorHAnsi"/>
          <w:color w:val="1E3400" w:themeColor="background2" w:themeShade="40"/>
        </w:rPr>
        <w:t>,</w:t>
      </w:r>
      <w:r w:rsidRPr="00C53E8A">
        <w:rPr>
          <w:rFonts w:cstheme="minorHAnsi"/>
          <w:color w:val="1E3400" w:themeColor="background2" w:themeShade="40"/>
        </w:rPr>
        <w:t xml:space="preserve"> to meet their obligations under the Margin RTS for uncleared OTC derivatives and, as a practical matter</w:t>
      </w:r>
      <w:r>
        <w:rPr>
          <w:rFonts w:cstheme="minorHAnsi"/>
          <w:color w:val="1E3400" w:themeColor="background2" w:themeShade="40"/>
        </w:rPr>
        <w:t>,</w:t>
      </w:r>
      <w:r w:rsidRPr="00C53E8A">
        <w:rPr>
          <w:rFonts w:cstheme="minorHAnsi"/>
          <w:color w:val="1E3400" w:themeColor="background2" w:themeShade="40"/>
        </w:rPr>
        <w:t xml:space="preserve"> have to accept collateral under such arrangements if they are subject to the requirement to exchange IM, it should also be possible </w:t>
      </w:r>
      <w:r w:rsidRPr="00C53E8A">
        <w:rPr>
          <w:rFonts w:cstheme="minorHAnsi"/>
          <w:color w:val="1E3400" w:themeColor="background2" w:themeShade="40"/>
        </w:rPr>
        <w:lastRenderedPageBreak/>
        <w:t>for UCITS to accept collateral under security interest collateral arrangements (such as pledges) where this relates to their securities lending activities.</w:t>
      </w:r>
    </w:p>
    <w:permEnd w:id="1158356501"/>
    <w:p w14:paraId="223CC270" w14:textId="77777777" w:rsidR="00667FF6" w:rsidRDefault="00667FF6" w:rsidP="00667FF6">
      <w:r>
        <w:t>&lt;ESMA_QUESTION_EADC_18&gt;</w:t>
      </w:r>
    </w:p>
    <w:p w14:paraId="0FFC0C58" w14:textId="77777777" w:rsidR="00667FF6" w:rsidRDefault="00667FF6" w:rsidP="00667FF6"/>
    <w:p w14:paraId="537254A6" w14:textId="77777777" w:rsidR="00667FF6" w:rsidRDefault="00667FF6" w:rsidP="00DB686B">
      <w:pPr>
        <w:pStyle w:val="Questionstyle"/>
        <w:numPr>
          <w:ilvl w:val="0"/>
          <w:numId w:val="14"/>
        </w:numPr>
      </w:pPr>
      <w:r>
        <w:t>Are there any national rules, guidance, definitions or concepts in national regulatory frameworks that go beyond (‘gold-plating’), diverge or are more detailed than what is set out in the UCITS EAD? If so, please elaborate whether these are causing any recurring or significant practical issues or challenges.</w:t>
      </w:r>
    </w:p>
    <w:p w14:paraId="6426457C" w14:textId="77777777" w:rsidR="00667FF6" w:rsidRDefault="00667FF6" w:rsidP="00667FF6">
      <w:r>
        <w:t>&lt;ESMA_QUESTION_EADC_19&gt;</w:t>
      </w:r>
    </w:p>
    <w:p w14:paraId="2B449671" w14:textId="77777777" w:rsidR="00667FF6" w:rsidRDefault="00667FF6" w:rsidP="00667FF6">
      <w:permStart w:id="784558918" w:edGrp="everyone"/>
      <w:r>
        <w:t>TYPE YOUR TEXT HERE</w:t>
      </w:r>
    </w:p>
    <w:permEnd w:id="784558918"/>
    <w:p w14:paraId="014C3237" w14:textId="77777777" w:rsidR="00667FF6" w:rsidRDefault="00667FF6" w:rsidP="00667FF6">
      <w:r>
        <w:t>&lt;ESMA_QUESTION_EADC_19&gt;</w:t>
      </w:r>
    </w:p>
    <w:p w14:paraId="632F0E31" w14:textId="77777777" w:rsidR="00667FF6" w:rsidRDefault="00667FF6" w:rsidP="00667FF6"/>
    <w:p w14:paraId="1F406012" w14:textId="53EE10DD" w:rsidR="00DE0869" w:rsidRPr="00DE0869" w:rsidRDefault="00667FF6" w:rsidP="00DB686B">
      <w:pPr>
        <w:pStyle w:val="Questionstyle"/>
        <w:numPr>
          <w:ilvl w:val="0"/>
          <w:numId w:val="14"/>
        </w:numPr>
      </w:pPr>
      <w:r>
        <w:t xml:space="preserve">Please fill in the table </w:t>
      </w:r>
      <w:r w:rsidR="005A6012">
        <w:t xml:space="preserve">in </w:t>
      </w:r>
      <w:r w:rsidR="00A258F7">
        <w:t xml:space="preserve">the </w:t>
      </w:r>
      <w:r w:rsidR="005A6012">
        <w:t xml:space="preserve">Annex </w:t>
      </w:r>
      <w:r w:rsidR="00336C52">
        <w:t>to</w:t>
      </w:r>
      <w:r w:rsidR="001F768F">
        <w:t xml:space="preserve"> this</w:t>
      </w:r>
      <w:r w:rsidR="00DB686B">
        <w:t xml:space="preserve"> document </w:t>
      </w:r>
      <w:r>
        <w:t>on the merits of allowing direct or indirect UCITS exposures to the asset classes listed therein, taking into account the instructions provided in</w:t>
      </w:r>
      <w:r w:rsidR="00DB686B">
        <w:t xml:space="preserve"> </w:t>
      </w:r>
      <w:r w:rsidR="00A258F7">
        <w:t xml:space="preserve">the </w:t>
      </w:r>
      <w:r w:rsidR="00B1309C">
        <w:t xml:space="preserve">same </w:t>
      </w:r>
      <w:r w:rsidR="008B5F45">
        <w:t>Annex</w:t>
      </w:r>
      <w:r>
        <w:t>. Please assess and provide evidence on the merits of such exposures in light of their risks and benefits taking into account the characteristics of the underlying markets (e.g. availability of reliable valuation information, liquidity, safekeeping). To substantiate your position, please fill the table with any available data and evidence (e.g. on liquidity or valuation of the relevant asset classes and underlying markets). ESMA acknowledges that the availability of data on direct/indirect exposures to some of the asset classes listed in this table is limited and would welcome receiving any available data (whether on individual market participants and products or market-wide) and even rough estimates that help to understand the practical relevance of the relevant asset class for UCITS and the possible impact of any future policy measures.</w:t>
      </w:r>
    </w:p>
    <w:p w14:paraId="03B2518F" w14:textId="77777777" w:rsidR="00667FF6" w:rsidRDefault="00667FF6" w:rsidP="00667FF6">
      <w:r>
        <w:t>&lt;ESMA_QUESTION_EADC_20&gt;</w:t>
      </w:r>
    </w:p>
    <w:p w14:paraId="6AEF8535" w14:textId="77777777" w:rsidR="00667FF6" w:rsidRDefault="00667FF6" w:rsidP="00667FF6">
      <w:permStart w:id="1828006997" w:edGrp="everyone"/>
      <w:r>
        <w:t>TYPE YOUR TEXT HERE</w:t>
      </w:r>
    </w:p>
    <w:permEnd w:id="1828006997"/>
    <w:p w14:paraId="01D62D2E" w14:textId="77777777" w:rsidR="00667FF6" w:rsidRDefault="00667FF6" w:rsidP="00667FF6">
      <w:r>
        <w:t>&lt;ESMA_QUESTION_EADC_20&gt;</w:t>
      </w:r>
    </w:p>
    <w:p w14:paraId="108FF8FC" w14:textId="77777777" w:rsidR="00667FF6" w:rsidRDefault="00667FF6" w:rsidP="00667FF6"/>
    <w:p w14:paraId="7E4F82A9" w14:textId="77777777" w:rsidR="00667FF6" w:rsidRDefault="00667FF6" w:rsidP="00DB686B">
      <w:pPr>
        <w:pStyle w:val="Questionstyle"/>
        <w:numPr>
          <w:ilvl w:val="0"/>
          <w:numId w:val="14"/>
        </w:numPr>
      </w:pPr>
      <w:r>
        <w:lastRenderedPageBreak/>
        <w:t>Please elaborate and provide evidence on how indirect exposures to the aforementioned asset classes (e.g. through delta-one instruments, ETNs, derivatives) increase or decrease costs and/or risks borne by UCITS and their investors compared to direct investments.</w:t>
      </w:r>
    </w:p>
    <w:p w14:paraId="4B547731" w14:textId="77777777" w:rsidR="00667FF6" w:rsidRDefault="00667FF6" w:rsidP="00667FF6">
      <w:r>
        <w:t>&lt;ESMA_QUESTION_EADC_21&gt;</w:t>
      </w:r>
    </w:p>
    <w:p w14:paraId="026D7EED" w14:textId="77777777" w:rsidR="00667FF6" w:rsidRDefault="00667FF6" w:rsidP="00667FF6">
      <w:permStart w:id="199050040" w:edGrp="everyone"/>
      <w:r>
        <w:t>TYPE YOUR TEXT HERE</w:t>
      </w:r>
    </w:p>
    <w:permEnd w:id="199050040"/>
    <w:p w14:paraId="3DAB01B2" w14:textId="77777777" w:rsidR="00667FF6" w:rsidRDefault="00667FF6" w:rsidP="00667FF6">
      <w:r>
        <w:t>&lt;ESMA_QUESTION_EADC_21&gt;</w:t>
      </w:r>
    </w:p>
    <w:p w14:paraId="646CDAF6" w14:textId="77777777" w:rsidR="00667FF6" w:rsidRDefault="00667FF6" w:rsidP="00667FF6"/>
    <w:p w14:paraId="3F190348" w14:textId="002D0356" w:rsidR="00667FF6" w:rsidRDefault="00667FF6" w:rsidP="00DB686B">
      <w:pPr>
        <w:pStyle w:val="Questionstyle"/>
        <w:numPr>
          <w:ilvl w:val="0"/>
          <w:numId w:val="14"/>
        </w:numPr>
      </w:pPr>
      <w:r>
        <w:t>Under the EAD, should a look-through approach be required to determine the eligibility of assets? Please explain your position taking into account the aforementioned risks and benefits of UCITS gaining exposures to asset classes that are not directly investible as well as the increased/decreased costs associated with such indirect investments. A look-through approach would aim to ensure that the list of eligible asset classes set out in the UCITS Level 1 Directive would be deemed exhaustive and reduce risk of circumvention by gaining indirect exposures to ineligible asset classes via instruments such as delta-one instruments, exchange-traded products or derivatives. Where possible, please provide views, data or estimates on the possible impact of such a possible policy measure.</w:t>
      </w:r>
    </w:p>
    <w:p w14:paraId="3D9FBAEC" w14:textId="77777777" w:rsidR="00667FF6" w:rsidRDefault="00667FF6" w:rsidP="00667FF6">
      <w:r>
        <w:t>&lt;ESMA_QUESTION_EADC_22&gt;</w:t>
      </w:r>
    </w:p>
    <w:p w14:paraId="33D2BA70" w14:textId="77777777" w:rsidR="00667FF6" w:rsidRDefault="00667FF6" w:rsidP="00667FF6">
      <w:permStart w:id="1004748421" w:edGrp="everyone"/>
      <w:r>
        <w:t>TYPE YOUR TEXT HERE</w:t>
      </w:r>
    </w:p>
    <w:permEnd w:id="1004748421"/>
    <w:p w14:paraId="36473833" w14:textId="77777777" w:rsidR="00667FF6" w:rsidRDefault="00667FF6" w:rsidP="00667FF6">
      <w:r>
        <w:t>&lt;ESMA_QUESTION_EADC_22&gt;</w:t>
      </w:r>
    </w:p>
    <w:p w14:paraId="6543CA60" w14:textId="77777777" w:rsidR="00667FF6" w:rsidRDefault="00667FF6" w:rsidP="00667FF6"/>
    <w:p w14:paraId="74B7BA82" w14:textId="77777777" w:rsidR="00667FF6" w:rsidRDefault="00667FF6" w:rsidP="00DB686B">
      <w:pPr>
        <w:pStyle w:val="Questionstyle"/>
        <w:numPr>
          <w:ilvl w:val="0"/>
          <w:numId w:val="14"/>
        </w:numPr>
      </w:pPr>
      <w:r>
        <w:t>What are the risks and benefits of UCITS investments in securities issued by securitisation vehicles? Please share evidence and experiences on current market practices and views on a possible need for legislative clarifications or amendments.</w:t>
      </w:r>
    </w:p>
    <w:p w14:paraId="477B142C" w14:textId="77777777" w:rsidR="00667FF6" w:rsidRDefault="00667FF6" w:rsidP="00667FF6">
      <w:r>
        <w:t>&lt;ESMA_QUESTION_EADC_23&gt;</w:t>
      </w:r>
    </w:p>
    <w:p w14:paraId="57C1BB11" w14:textId="77777777" w:rsidR="00667FF6" w:rsidRDefault="00667FF6" w:rsidP="00667FF6">
      <w:permStart w:id="1208368603" w:edGrp="everyone"/>
      <w:r>
        <w:t>TYPE YOUR TEXT HERE</w:t>
      </w:r>
    </w:p>
    <w:permEnd w:id="1208368603"/>
    <w:p w14:paraId="3E326846" w14:textId="77777777" w:rsidR="00667FF6" w:rsidRDefault="00667FF6" w:rsidP="00667FF6">
      <w:r>
        <w:t>&lt;ESMA_QUESTION_EADC_23&gt;</w:t>
      </w:r>
    </w:p>
    <w:p w14:paraId="2ED70AE4" w14:textId="77777777" w:rsidR="00667FF6" w:rsidRDefault="00667FF6" w:rsidP="00667FF6"/>
    <w:p w14:paraId="0AC98EEB" w14:textId="77777777" w:rsidR="00667FF6" w:rsidRDefault="00667FF6" w:rsidP="00DB686B">
      <w:pPr>
        <w:pStyle w:val="Questionstyle"/>
        <w:numPr>
          <w:ilvl w:val="0"/>
          <w:numId w:val="14"/>
        </w:numPr>
      </w:pPr>
      <w:r>
        <w:t>What are the risks and benefits of permitting UCITS to build up short positions through the use of (embedded) derivatives, delta-one instruments or other instruments/tools? Please share evidence and experiences on current market practice and views on a possible need for legislative clarifications or amendments.</w:t>
      </w:r>
    </w:p>
    <w:p w14:paraId="717C88C9" w14:textId="77777777" w:rsidR="00667FF6" w:rsidRDefault="00667FF6" w:rsidP="00667FF6">
      <w:r>
        <w:t>&lt;ESMA_QUESTION_EADC_24&gt;</w:t>
      </w:r>
    </w:p>
    <w:p w14:paraId="519888CB" w14:textId="77777777" w:rsidR="00667FF6" w:rsidRDefault="00667FF6" w:rsidP="00667FF6">
      <w:permStart w:id="160252285" w:edGrp="everyone"/>
      <w:r>
        <w:t>TYPE YOUR TEXT HERE</w:t>
      </w:r>
    </w:p>
    <w:permEnd w:id="160252285"/>
    <w:p w14:paraId="63C4C4A9" w14:textId="77777777" w:rsidR="00667FF6" w:rsidRDefault="00667FF6" w:rsidP="00667FF6">
      <w:r>
        <w:t>&lt;ESMA_QUESTION_EADC_24&gt;</w:t>
      </w:r>
    </w:p>
    <w:p w14:paraId="0EB97D56" w14:textId="77777777" w:rsidR="00667FF6" w:rsidRDefault="00667FF6" w:rsidP="00667FF6"/>
    <w:p w14:paraId="7D09FBF8" w14:textId="77777777" w:rsidR="00667FF6" w:rsidRDefault="00667FF6" w:rsidP="00DB686B">
      <w:pPr>
        <w:pStyle w:val="Questionstyle"/>
        <w:numPr>
          <w:ilvl w:val="0"/>
          <w:numId w:val="14"/>
        </w:numPr>
      </w:pPr>
      <w:r>
        <w:t>Apart from the topics covered in the above sections, have you observed any other issues with respect to the interpretation or consistent application of the UCITS EAD? If so, please describe the issues and how you would propose to revise the UCITS EAD or UCITS Directive with a view to improve investor protection, clarity and supervisory convergence.</w:t>
      </w:r>
    </w:p>
    <w:p w14:paraId="03144DFC" w14:textId="77777777" w:rsidR="00667FF6" w:rsidRDefault="00667FF6" w:rsidP="00667FF6">
      <w:r>
        <w:t>&lt;ESMA_QUESTION_EADC_25&gt;</w:t>
      </w:r>
    </w:p>
    <w:p w14:paraId="3D007DCF" w14:textId="77777777" w:rsidR="00667FF6" w:rsidRDefault="00667FF6" w:rsidP="00667FF6">
      <w:permStart w:id="478484191" w:edGrp="everyone"/>
      <w:r>
        <w:t>TYPE YOUR TEXT HERE</w:t>
      </w:r>
    </w:p>
    <w:permEnd w:id="478484191"/>
    <w:p w14:paraId="56E7500F" w14:textId="77777777" w:rsidR="00667FF6" w:rsidRDefault="00667FF6" w:rsidP="00667FF6">
      <w:r>
        <w:t>&lt;ESMA_QUESTION_EADC_25&gt;</w:t>
      </w:r>
    </w:p>
    <w:p w14:paraId="02F72279" w14:textId="77777777" w:rsidR="00667FF6" w:rsidRDefault="00667FF6" w:rsidP="00667FF6"/>
    <w:p w14:paraId="5DF23952" w14:textId="77777777" w:rsidR="00667FF6" w:rsidRDefault="00667FF6" w:rsidP="00667FF6"/>
    <w:p w14:paraId="30524E68" w14:textId="77777777" w:rsidR="00667FF6" w:rsidRPr="00667FF6" w:rsidRDefault="00667FF6" w:rsidP="00667FF6">
      <w:pPr>
        <w:rPr>
          <w:lang w:val="fr-BE"/>
        </w:rPr>
      </w:pPr>
    </w:p>
    <w:p w14:paraId="04595985" w14:textId="3EBFBF7B" w:rsidR="00B15C0B" w:rsidRPr="00C5469A" w:rsidRDefault="00B15C0B" w:rsidP="00B15C0B"/>
    <w:sectPr w:rsidR="00B15C0B" w:rsidRPr="00C5469A" w:rsidSect="00AD0B10">
      <w:headerReference w:type="default" r:id="rId25"/>
      <w:footerReference w:type="default" r:id="rId26"/>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AD511" w14:textId="77777777" w:rsidR="00914B21" w:rsidRDefault="00914B21" w:rsidP="007E7997">
      <w:pPr>
        <w:spacing w:line="240" w:lineRule="auto"/>
      </w:pPr>
      <w:r>
        <w:separator/>
      </w:r>
    </w:p>
  </w:endnote>
  <w:endnote w:type="continuationSeparator" w:id="0">
    <w:p w14:paraId="1C5FDFA0" w14:textId="77777777" w:rsidR="00914B21" w:rsidRDefault="00914B21" w:rsidP="007E7997">
      <w:pPr>
        <w:spacing w:line="240" w:lineRule="auto"/>
      </w:pPr>
      <w:r>
        <w:continuationSeparator/>
      </w:r>
    </w:p>
  </w:endnote>
  <w:endnote w:type="continuationNotice" w:id="1">
    <w:p w14:paraId="5AC2C1F5" w14:textId="77777777" w:rsidR="00914B21" w:rsidRDefault="00914B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1B4F" w:themeColor="text1" w:themeShade="80"/>
        <w:sz w:val="16"/>
        <w:szCs w:val="16"/>
      </w:rPr>
      <w:id w:val="-1421483652"/>
      <w:docPartObj>
        <w:docPartGallery w:val="Page Numbers (Bottom of Page)"/>
        <w:docPartUnique/>
      </w:docPartObj>
    </w:sdtPr>
    <w:sdtContent>
      <w:p w14:paraId="70AFCDE4" w14:textId="77777777" w:rsidR="00045BA9" w:rsidRDefault="00045BA9" w:rsidP="002533FC">
        <w:pPr>
          <w:rPr>
            <w:i/>
            <w:iCs/>
          </w:rPr>
        </w:pPr>
      </w:p>
      <w:p w14:paraId="237A920D" w14:textId="56870BC6" w:rsidR="00787413" w:rsidRPr="004E5FF8" w:rsidRDefault="0043139E" w:rsidP="004E5FF8">
        <w:pPr>
          <w:pStyle w:val="Footer"/>
          <w:rPr>
            <w:rFonts w:ascii="Arial" w:hAnsi="Arial" w:cs="Arial"/>
            <w:lang w:val="fr-FR"/>
          </w:rPr>
        </w:pPr>
        <w:r w:rsidRPr="00A8626B">
          <w:rPr>
            <w:rFonts w:ascii="Arial" w:hAnsi="Arial" w:cs="Arial"/>
            <w:sz w:val="15"/>
            <w:szCs w:val="15"/>
            <w:lang w:val="fr-FR"/>
          </w:rPr>
          <w:t xml:space="preserve">ESMA - </w:t>
        </w:r>
        <w:r w:rsidRPr="00A8626B">
          <w:rPr>
            <w:sz w:val="15"/>
            <w:szCs w:val="15"/>
            <w:lang w:val="fr-FR"/>
          </w:rPr>
          <w:t>201-203 rue de Bercy - CS 80910 - 75589 Paris Cedex 12 -</w:t>
        </w:r>
        <w:r w:rsidRPr="00A8626B">
          <w:rPr>
            <w:rFonts w:ascii="Arial" w:hAnsi="Arial" w:cs="Arial"/>
            <w:sz w:val="15"/>
            <w:szCs w:val="15"/>
            <w:lang w:val="fr-FR"/>
          </w:rPr>
          <w:t xml:space="preserve"> France -</w:t>
        </w:r>
        <w:r w:rsidRPr="00A8626B">
          <w:rPr>
            <w:rFonts w:ascii="Arial" w:hAnsi="Arial" w:cs="Arial"/>
            <w:color w:val="3E3F90"/>
            <w:sz w:val="15"/>
            <w:szCs w:val="15"/>
            <w:lang w:val="fr-FR"/>
          </w:rPr>
          <w:t xml:space="preserve"> </w:t>
        </w:r>
        <w:r w:rsidRPr="00A8626B">
          <w:rPr>
            <w:rFonts w:ascii="Arial" w:hAnsi="Arial" w:cs="Arial"/>
            <w:sz w:val="15"/>
            <w:szCs w:val="15"/>
            <w:lang w:val="fr-FR"/>
          </w:rPr>
          <w:t xml:space="preserve">Tel. </w:t>
        </w:r>
        <w:r w:rsidRPr="00A8626B">
          <w:rPr>
            <w:rFonts w:ascii="Arial" w:hAnsi="Arial" w:cs="Arial"/>
            <w:sz w:val="15"/>
            <w:szCs w:val="15"/>
            <w:lang w:val="fr-BE"/>
          </w:rPr>
          <w:t xml:space="preserve">+33 (0) 1 58 36 43 21 - </w:t>
        </w:r>
        <w:hyperlink r:id="rId1" w:history="1">
          <w:r w:rsidRPr="00A8626B">
            <w:rPr>
              <w:rStyle w:val="Hyperlink"/>
              <w:rFonts w:ascii="Arial" w:hAnsi="Arial" w:cs="Arial"/>
              <w:sz w:val="15"/>
              <w:szCs w:val="15"/>
              <w:lang w:val="fr-FR"/>
            </w:rPr>
            <w:t>www.esma.</w:t>
          </w:r>
          <w:r w:rsidRPr="00A8626B">
            <w:rPr>
              <w:rStyle w:val="Hyperlink"/>
              <w:sz w:val="15"/>
              <w:szCs w:val="15"/>
              <w:lang w:val="fr-BE"/>
            </w:rPr>
            <w:t>europa</w:t>
          </w:r>
          <w:r w:rsidRPr="00A8626B">
            <w:rPr>
              <w:rStyle w:val="Hyperlink"/>
              <w:rFonts w:ascii="Arial" w:hAnsi="Arial" w:cs="Arial"/>
              <w:sz w:val="15"/>
              <w:szCs w:val="15"/>
              <w:lang w:val="fr-FR"/>
            </w:rPr>
            <w:t>.eu</w:t>
          </w:r>
        </w:hyperlink>
        <w:r w:rsidR="004E5FF8">
          <w:rPr>
            <w:rFonts w:ascii="Arial" w:hAnsi="Arial" w:cs="Arial"/>
            <w:lang w:val="fr-FR"/>
          </w:rPr>
          <w:tab/>
        </w:r>
        <w:r w:rsidR="006A44DA" w:rsidRPr="00B73281">
          <w:rPr>
            <w:lang w:val="fr-BE"/>
          </w:rPr>
          <w:t xml:space="preserve"> </w:t>
        </w:r>
        <w:r w:rsidR="006A44DA">
          <w:fldChar w:fldCharType="begin"/>
        </w:r>
        <w:r w:rsidR="006A44DA" w:rsidRPr="002537CE">
          <w:rPr>
            <w:lang w:val="fr-FR"/>
          </w:rPr>
          <w:instrText xml:space="preserve"> PAGE   \* MERGEFORMAT </w:instrText>
        </w:r>
        <w:r w:rsidR="006A44DA">
          <w:fldChar w:fldCharType="separate"/>
        </w:r>
        <w:r w:rsidR="006A44DA" w:rsidRPr="002537CE">
          <w:rPr>
            <w:noProof/>
            <w:lang w:val="fr-FR"/>
          </w:rPr>
          <w:t>2</w:t>
        </w:r>
        <w:r w:rsidR="006A44DA">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Footer"/>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AF154" w14:textId="77777777" w:rsidR="00914B21" w:rsidRDefault="00914B21" w:rsidP="007E7997">
      <w:pPr>
        <w:spacing w:line="240" w:lineRule="auto"/>
      </w:pPr>
      <w:r>
        <w:separator/>
      </w:r>
    </w:p>
  </w:footnote>
  <w:footnote w:type="continuationSeparator" w:id="0">
    <w:p w14:paraId="42575AD5" w14:textId="77777777" w:rsidR="00914B21" w:rsidRDefault="00914B21" w:rsidP="007E7997">
      <w:pPr>
        <w:spacing w:line="240" w:lineRule="auto"/>
      </w:pPr>
      <w:r>
        <w:continuationSeparator/>
      </w:r>
    </w:p>
  </w:footnote>
  <w:footnote w:type="continuationNotice" w:id="1">
    <w:p w14:paraId="5B00181C" w14:textId="77777777" w:rsidR="00914B21" w:rsidRDefault="00914B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42034" w14:textId="0E930342" w:rsidR="00D77369" w:rsidRPr="008858FE" w:rsidRDefault="00D77369" w:rsidP="008858FE">
    <w:pPr>
      <w:pStyle w:val="Header"/>
      <w:rPr>
        <w:bCs/>
        <w:caps/>
        <w:color w:val="FF0000" w:themeColor="accent6"/>
        <w:sz w:val="22"/>
      </w:rPr>
    </w:pPr>
    <w:r w:rsidRPr="008858FE">
      <w:rPr>
        <w:rStyle w:val="ESMAConfidentialRestricted"/>
        <w:noProof/>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667FF6">
      <w:t xml:space="preserve">7 May </w:t>
    </w:r>
    <w:r w:rsidR="00282901">
      <w:t>202</w:t>
    </w:r>
    <w:r w:rsidR="00667FF6">
      <w:t>4</w:t>
    </w:r>
  </w:p>
  <w:p w14:paraId="471D4524" w14:textId="24711CA4" w:rsidR="004E5FF8" w:rsidRDefault="00B03969" w:rsidP="00BD20AC">
    <w:pPr>
      <w:pStyle w:val="Header"/>
    </w:pPr>
    <w:r w:rsidRPr="00B03969">
      <w:t>ESMA</w:t>
    </w:r>
    <w:r w:rsidR="00667FF6">
      <w:t xml:space="preserve"> </w:t>
    </w:r>
    <w:r w:rsidR="00667FF6" w:rsidRPr="00667FF6">
      <w:t>34-1270380148-103</w:t>
    </w:r>
    <w:r w:rsidR="00BD20AC">
      <w:t>3</w:t>
    </w:r>
  </w:p>
  <w:p w14:paraId="48F2413B" w14:textId="77777777" w:rsidR="004E5FF8" w:rsidRDefault="004E5FF8" w:rsidP="004E5FF8"/>
  <w:p w14:paraId="10BD5565" w14:textId="77777777" w:rsidR="008858FE" w:rsidRDefault="008858FE" w:rsidP="004E5F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BFB72" w14:textId="122D2DD4" w:rsidR="006A44DA" w:rsidRDefault="006A44DA" w:rsidP="0043139E">
    <w:pPr>
      <w:pStyle w:val="Header"/>
    </w:pPr>
  </w:p>
  <w:p w14:paraId="6A43EA5E" w14:textId="4A830C83" w:rsidR="00AD0B10" w:rsidRDefault="00AD0B10" w:rsidP="0043139E">
    <w:pPr>
      <w:pStyle w:val="Header"/>
    </w:pPr>
  </w:p>
  <w:p w14:paraId="2083DACE" w14:textId="77777777" w:rsidR="00AD0B10" w:rsidRPr="0043139E" w:rsidRDefault="00AD0B10" w:rsidP="0043139E">
    <w:pPr>
      <w:pStyle w:val="Header"/>
    </w:pPr>
  </w:p>
  <w:p w14:paraId="140A363C" w14:textId="77777777" w:rsidR="006A44DA" w:rsidRPr="0043139E" w:rsidRDefault="006A44DA" w:rsidP="0043139E">
    <w:pPr>
      <w:pStyle w:val="Header"/>
    </w:pPr>
  </w:p>
  <w:p w14:paraId="66CF4BF9" w14:textId="4F625EE8" w:rsidR="006A44DA" w:rsidRPr="0043139E" w:rsidRDefault="008858FE" w:rsidP="0043139E">
    <w:pPr>
      <w:pStyle w:val="Header"/>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43B59946" wp14:editId="1140D658">
          <wp:simplePos x="0" y="0"/>
          <wp:positionH relativeFrom="page">
            <wp:posOffset>892810</wp:posOffset>
          </wp:positionH>
          <wp:positionV relativeFrom="page">
            <wp:posOffset>547370</wp:posOffset>
          </wp:positionV>
          <wp:extent cx="1807200" cy="475200"/>
          <wp:effectExtent l="0" t="0" r="0" b="0"/>
          <wp:wrapNone/>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5BBCAF0B" w14:textId="77777777" w:rsidR="00787413" w:rsidRPr="0043139E" w:rsidRDefault="00787413" w:rsidP="0043139E">
    <w:pPr>
      <w:pStyle w:val="Header"/>
    </w:pPr>
  </w:p>
  <w:p w14:paraId="70942C9C" w14:textId="77777777" w:rsidR="00672010" w:rsidRPr="0043139E" w:rsidRDefault="00672010" w:rsidP="0043139E">
    <w:pPr>
      <w:pStyle w:val="Header"/>
    </w:pPr>
  </w:p>
  <w:p w14:paraId="7F8040EC" w14:textId="77777777" w:rsidR="0018540C" w:rsidRPr="0043139E" w:rsidRDefault="0018540C" w:rsidP="0043139E">
    <w:pPr>
      <w:pStyle w:val="Header"/>
    </w:pPr>
  </w:p>
  <w:p w14:paraId="76479F6F" w14:textId="77777777" w:rsidR="00CA565A" w:rsidRPr="0043139E" w:rsidRDefault="00CA565A" w:rsidP="0043139E">
    <w:pPr>
      <w:pStyle w:val="Header"/>
    </w:pPr>
  </w:p>
  <w:p w14:paraId="34BC4F59" w14:textId="77777777" w:rsidR="00CA565A" w:rsidRPr="0043139E" w:rsidRDefault="00CA565A" w:rsidP="0043139E">
    <w:pPr>
      <w:pStyle w:val="Header"/>
    </w:pPr>
  </w:p>
  <w:p w14:paraId="373CE412" w14:textId="77777777" w:rsidR="0018540C" w:rsidRPr="0043139E" w:rsidRDefault="0018540C" w:rsidP="0043139E">
    <w:pPr>
      <w:pStyle w:val="Header"/>
    </w:pPr>
  </w:p>
  <w:p w14:paraId="36065F1B" w14:textId="154438DA" w:rsidR="0018540C" w:rsidRDefault="0018540C" w:rsidP="0043139E">
    <w:pPr>
      <w:pStyle w:val="Header"/>
    </w:pPr>
  </w:p>
  <w:p w14:paraId="7545C91A" w14:textId="77777777" w:rsidR="0043139E" w:rsidRPr="0043139E" w:rsidRDefault="0043139E" w:rsidP="004313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0D944" w14:textId="77777777" w:rsidR="006A44DA" w:rsidRDefault="006A44DA">
    <w:pPr>
      <w:pStyle w:val="Header"/>
    </w:pPr>
  </w:p>
  <w:p w14:paraId="410BE8FC" w14:textId="77777777" w:rsidR="006A44DA" w:rsidRDefault="006A44DA">
    <w:pPr>
      <w:pStyle w:val="Header"/>
    </w:pPr>
  </w:p>
  <w:p w14:paraId="00F5D8E1" w14:textId="77777777" w:rsidR="006A44DA" w:rsidRDefault="006A44DA">
    <w:pPr>
      <w:pStyle w:val="Header"/>
    </w:pPr>
    <w:r>
      <w:rPr>
        <w:noProof/>
        <w:lang w:val="en-US"/>
      </w:rPr>
      <w:drawing>
        <wp:anchor distT="0" distB="0" distL="114300" distR="114300" simplePos="0" relativeHeight="251658242" behindDoc="0" locked="0" layoutInCell="1" allowOverlap="1" wp14:anchorId="4A201A98" wp14:editId="4CA91887">
          <wp:simplePos x="0" y="0"/>
          <wp:positionH relativeFrom="page">
            <wp:posOffset>366395</wp:posOffset>
          </wp:positionH>
          <wp:positionV relativeFrom="page">
            <wp:posOffset>372745</wp:posOffset>
          </wp:positionV>
          <wp:extent cx="2209800" cy="904875"/>
          <wp:effectExtent l="0" t="0" r="0" b="9525"/>
          <wp:wrapNone/>
          <wp:docPr id="12" name="Picture 4"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p>
  <w:p w14:paraId="728DCE3B" w14:textId="77777777" w:rsidR="00787413" w:rsidRDefault="00787413"/>
  <w:p w14:paraId="452DAADD" w14:textId="77777777" w:rsidR="00787413" w:rsidRDefault="0078741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34B74" w14:textId="7D6DC2CF" w:rsidR="00AD0B10" w:rsidRDefault="00AD0B10" w:rsidP="00AD0B10">
    <w:pPr>
      <w:pStyle w:val="Header"/>
    </w:pPr>
  </w:p>
  <w:p w14:paraId="76D78551" w14:textId="45227A06" w:rsidR="00AD0B10" w:rsidRDefault="00AD0B10" w:rsidP="00AD0B10">
    <w:pPr>
      <w:pStyle w:val="Header"/>
    </w:pPr>
  </w:p>
  <w:p w14:paraId="56B00CEC" w14:textId="77777777" w:rsidR="00AD0B10" w:rsidRPr="0043139E" w:rsidRDefault="00AD0B10" w:rsidP="00AD0B10">
    <w:pPr>
      <w:pStyle w:val="Header"/>
    </w:pPr>
  </w:p>
  <w:p w14:paraId="68227DE6" w14:textId="77777777" w:rsidR="00AD0B10" w:rsidRPr="0043139E" w:rsidRDefault="00AD0B10" w:rsidP="00AD0B10">
    <w:pPr>
      <w:pStyle w:val="Header"/>
    </w:pPr>
  </w:p>
  <w:p w14:paraId="0E44DBD1" w14:textId="77777777" w:rsidR="00AD0B10" w:rsidRPr="0043139E" w:rsidRDefault="00AD0B10" w:rsidP="00AD0B10">
    <w:pPr>
      <w:pStyle w:val="Header"/>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3"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Header"/>
    </w:pPr>
  </w:p>
  <w:p w14:paraId="706EF268" w14:textId="77777777" w:rsidR="00AD0B10" w:rsidRPr="0043139E" w:rsidRDefault="00AD0B10" w:rsidP="00AD0B10">
    <w:pPr>
      <w:pStyle w:val="Header"/>
    </w:pPr>
  </w:p>
  <w:p w14:paraId="6B568202" w14:textId="77777777" w:rsidR="00AD0B10" w:rsidRPr="0043139E" w:rsidRDefault="00AD0B10" w:rsidP="00AD0B10">
    <w:pPr>
      <w:pStyle w:val="Header"/>
    </w:pPr>
  </w:p>
  <w:p w14:paraId="70C66BCD" w14:textId="77777777" w:rsidR="00AD0B10" w:rsidRPr="0043139E" w:rsidRDefault="00AD0B10" w:rsidP="00AD0B10">
    <w:pPr>
      <w:pStyle w:val="Header"/>
    </w:pPr>
  </w:p>
  <w:p w14:paraId="07229907" w14:textId="77777777" w:rsidR="00AD0B10" w:rsidRPr="0043139E" w:rsidRDefault="00AD0B10" w:rsidP="00AD0B10">
    <w:pPr>
      <w:pStyle w:val="Header"/>
    </w:pPr>
  </w:p>
  <w:p w14:paraId="55555744" w14:textId="77777777" w:rsidR="00AD0B10" w:rsidRPr="0043139E" w:rsidRDefault="00AD0B10" w:rsidP="00AD0B10">
    <w:pPr>
      <w:pStyle w:val="Header"/>
    </w:pPr>
  </w:p>
  <w:p w14:paraId="4601AE9C" w14:textId="77777777" w:rsidR="00AD0B10" w:rsidRDefault="00AD0B10" w:rsidP="00AD0B10">
    <w:pPr>
      <w:pStyle w:val="Header"/>
    </w:pPr>
  </w:p>
  <w:p w14:paraId="49946785" w14:textId="77777777" w:rsidR="00AD0B10" w:rsidRPr="0043139E" w:rsidRDefault="00AD0B10" w:rsidP="00AD0B10">
    <w:pPr>
      <w:pStyle w:val="Header"/>
    </w:pPr>
  </w:p>
  <w:p w14:paraId="72BAD19F" w14:textId="77777777" w:rsidR="008858FE" w:rsidRPr="00AD0B10" w:rsidRDefault="008858FE" w:rsidP="00AD0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3E5F"/>
    <w:multiLevelType w:val="multilevel"/>
    <w:tmpl w:val="63DC6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C53C10"/>
    <w:multiLevelType w:val="hybridMultilevel"/>
    <w:tmpl w:val="3974991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A52232B"/>
    <w:multiLevelType w:val="hybridMultilevel"/>
    <w:tmpl w:val="E474F29A"/>
    <w:lvl w:ilvl="0" w:tplc="91A4A3F4">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EA61840"/>
    <w:multiLevelType w:val="hybridMultilevel"/>
    <w:tmpl w:val="6624CD50"/>
    <w:lvl w:ilvl="0" w:tplc="30EC5BE8">
      <w:start w:val="1"/>
      <w:numFmt w:val="bullet"/>
      <w:pStyle w:val="ListParagraph"/>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9" w15:restartNumberingAfterBreak="0">
    <w:nsid w:val="407B7E80"/>
    <w:multiLevelType w:val="hybridMultilevel"/>
    <w:tmpl w:val="A72607D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25E5783"/>
    <w:multiLevelType w:val="hybridMultilevel"/>
    <w:tmpl w:val="10EC6AE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BAD1101"/>
    <w:multiLevelType w:val="multilevel"/>
    <w:tmpl w:val="647663A2"/>
    <w:lvl w:ilvl="0">
      <w:start w:val="1"/>
      <w:numFmt w:val="decimal"/>
      <w:pStyle w:val="Heading1"/>
      <w:lvlText w:val="%1"/>
      <w:lvlJc w:val="left"/>
      <w:pPr>
        <w:ind w:left="4686" w:hanging="432"/>
      </w:pPr>
    </w:lvl>
    <w:lvl w:ilvl="1">
      <w:start w:val="1"/>
      <w:numFmt w:val="decimal"/>
      <w:pStyle w:val="Heading2"/>
      <w:lvlText w:val="%1.%2"/>
      <w:lvlJc w:val="left"/>
      <w:pPr>
        <w:ind w:left="823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6CD034EF"/>
    <w:multiLevelType w:val="hybridMultilevel"/>
    <w:tmpl w:val="BF9093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A768BE"/>
    <w:multiLevelType w:val="hybridMultilevel"/>
    <w:tmpl w:val="CF9E6C8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23801430">
    <w:abstractNumId w:val="14"/>
  </w:num>
  <w:num w:numId="2" w16cid:durableId="1144354351">
    <w:abstractNumId w:val="5"/>
  </w:num>
  <w:num w:numId="3" w16cid:durableId="1006909420">
    <w:abstractNumId w:val="12"/>
  </w:num>
  <w:num w:numId="4" w16cid:durableId="569996677">
    <w:abstractNumId w:val="4"/>
  </w:num>
  <w:num w:numId="5" w16cid:durableId="807014924">
    <w:abstractNumId w:val="0"/>
  </w:num>
  <w:num w:numId="6" w16cid:durableId="310985182">
    <w:abstractNumId w:val="6"/>
  </w:num>
  <w:num w:numId="7" w16cid:durableId="492061559">
    <w:abstractNumId w:val="16"/>
  </w:num>
  <w:num w:numId="8" w16cid:durableId="2063743978">
    <w:abstractNumId w:val="2"/>
  </w:num>
  <w:num w:numId="9" w16cid:durableId="1378703109">
    <w:abstractNumId w:val="13"/>
  </w:num>
  <w:num w:numId="10" w16cid:durableId="632100844">
    <w:abstractNumId w:val="11"/>
  </w:num>
  <w:num w:numId="11" w16cid:durableId="1573200029">
    <w:abstractNumId w:val="8"/>
  </w:num>
  <w:num w:numId="12" w16cid:durableId="1587836858">
    <w:abstractNumId w:val="8"/>
    <w:lvlOverride w:ilvl="0">
      <w:startOverride w:val="1"/>
    </w:lvlOverride>
  </w:num>
  <w:num w:numId="13" w16cid:durableId="1548224532">
    <w:abstractNumId w:val="1"/>
  </w:num>
  <w:num w:numId="14" w16cid:durableId="5014318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979209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58732456">
    <w:abstractNumId w:val="15"/>
  </w:num>
  <w:num w:numId="17" w16cid:durableId="1762872185">
    <w:abstractNumId w:val="10"/>
  </w:num>
  <w:num w:numId="18" w16cid:durableId="570576748">
    <w:abstractNumId w:val="3"/>
  </w:num>
  <w:num w:numId="19" w16cid:durableId="528180873">
    <w:abstractNumId w:val="9"/>
  </w:num>
  <w:num w:numId="20" w16cid:durableId="1600260564">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htnnydkVRpkIDi1nG0yBaAOhsWlc5Ozk2cfGgI0xzGgw9B+9mjrsPky3NRq+3MmQN6fUOXcIDSYF4yl3c8YJZA==" w:salt="XLRoLlSEie4cU7yFeSZJSw=="/>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4D39"/>
    <w:rsid w:val="00025363"/>
    <w:rsid w:val="00025631"/>
    <w:rsid w:val="00025A7F"/>
    <w:rsid w:val="00025C8C"/>
    <w:rsid w:val="00026016"/>
    <w:rsid w:val="0002607B"/>
    <w:rsid w:val="00026E1C"/>
    <w:rsid w:val="000271F8"/>
    <w:rsid w:val="000275A0"/>
    <w:rsid w:val="000275BD"/>
    <w:rsid w:val="000279E9"/>
    <w:rsid w:val="00030900"/>
    <w:rsid w:val="00030B38"/>
    <w:rsid w:val="00030CFE"/>
    <w:rsid w:val="00030EF6"/>
    <w:rsid w:val="000312A6"/>
    <w:rsid w:val="00031738"/>
    <w:rsid w:val="00031FBC"/>
    <w:rsid w:val="0003232A"/>
    <w:rsid w:val="00032C68"/>
    <w:rsid w:val="00033108"/>
    <w:rsid w:val="000332F2"/>
    <w:rsid w:val="00033318"/>
    <w:rsid w:val="000333F7"/>
    <w:rsid w:val="00033696"/>
    <w:rsid w:val="00033B3C"/>
    <w:rsid w:val="00033DE1"/>
    <w:rsid w:val="00034017"/>
    <w:rsid w:val="000340CE"/>
    <w:rsid w:val="000340EB"/>
    <w:rsid w:val="000341C3"/>
    <w:rsid w:val="00034277"/>
    <w:rsid w:val="000351AB"/>
    <w:rsid w:val="00035C05"/>
    <w:rsid w:val="000372BF"/>
    <w:rsid w:val="00037FBD"/>
    <w:rsid w:val="0004027B"/>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2CD"/>
    <w:rsid w:val="00044364"/>
    <w:rsid w:val="00044845"/>
    <w:rsid w:val="000448B4"/>
    <w:rsid w:val="00044C5A"/>
    <w:rsid w:val="00045B6B"/>
    <w:rsid w:val="00045BA9"/>
    <w:rsid w:val="00045CED"/>
    <w:rsid w:val="000463FB"/>
    <w:rsid w:val="000469D2"/>
    <w:rsid w:val="00047270"/>
    <w:rsid w:val="000504AC"/>
    <w:rsid w:val="000509A0"/>
    <w:rsid w:val="00050C75"/>
    <w:rsid w:val="0005116F"/>
    <w:rsid w:val="000516AB"/>
    <w:rsid w:val="000518C1"/>
    <w:rsid w:val="00052218"/>
    <w:rsid w:val="00052934"/>
    <w:rsid w:val="00052CB6"/>
    <w:rsid w:val="000531B4"/>
    <w:rsid w:val="00053346"/>
    <w:rsid w:val="00053B49"/>
    <w:rsid w:val="0005431E"/>
    <w:rsid w:val="00054555"/>
    <w:rsid w:val="000546CD"/>
    <w:rsid w:val="000547CC"/>
    <w:rsid w:val="00054C9F"/>
    <w:rsid w:val="00054DE5"/>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846"/>
    <w:rsid w:val="0007285E"/>
    <w:rsid w:val="00072E43"/>
    <w:rsid w:val="00073FFD"/>
    <w:rsid w:val="00074344"/>
    <w:rsid w:val="00074E30"/>
    <w:rsid w:val="00075014"/>
    <w:rsid w:val="000759A3"/>
    <w:rsid w:val="00075DA6"/>
    <w:rsid w:val="00076B7A"/>
    <w:rsid w:val="00076BC7"/>
    <w:rsid w:val="00076DE8"/>
    <w:rsid w:val="00077859"/>
    <w:rsid w:val="00077BA1"/>
    <w:rsid w:val="00077BDF"/>
    <w:rsid w:val="00077C57"/>
    <w:rsid w:val="000801E8"/>
    <w:rsid w:val="00080709"/>
    <w:rsid w:val="00080D13"/>
    <w:rsid w:val="00080DC3"/>
    <w:rsid w:val="00080FC3"/>
    <w:rsid w:val="000812C7"/>
    <w:rsid w:val="00081841"/>
    <w:rsid w:val="00081F58"/>
    <w:rsid w:val="0008237A"/>
    <w:rsid w:val="00082E89"/>
    <w:rsid w:val="000831F3"/>
    <w:rsid w:val="00083DAE"/>
    <w:rsid w:val="00084FC1"/>
    <w:rsid w:val="00085AA4"/>
    <w:rsid w:val="00085B24"/>
    <w:rsid w:val="00085EFA"/>
    <w:rsid w:val="000860D3"/>
    <w:rsid w:val="000866B2"/>
    <w:rsid w:val="00086783"/>
    <w:rsid w:val="00086BAC"/>
    <w:rsid w:val="000874BC"/>
    <w:rsid w:val="00087745"/>
    <w:rsid w:val="00087D2D"/>
    <w:rsid w:val="000900C6"/>
    <w:rsid w:val="00090912"/>
    <w:rsid w:val="00091203"/>
    <w:rsid w:val="00091B09"/>
    <w:rsid w:val="00091BB5"/>
    <w:rsid w:val="00092AA2"/>
    <w:rsid w:val="0009321F"/>
    <w:rsid w:val="000934DC"/>
    <w:rsid w:val="000934FD"/>
    <w:rsid w:val="0009362A"/>
    <w:rsid w:val="00093884"/>
    <w:rsid w:val="000942EA"/>
    <w:rsid w:val="0009498D"/>
    <w:rsid w:val="00094C24"/>
    <w:rsid w:val="00095712"/>
    <w:rsid w:val="0009597A"/>
    <w:rsid w:val="00095E39"/>
    <w:rsid w:val="00096AAC"/>
    <w:rsid w:val="00096B28"/>
    <w:rsid w:val="00096D55"/>
    <w:rsid w:val="00096D57"/>
    <w:rsid w:val="00097CBF"/>
    <w:rsid w:val="000A081E"/>
    <w:rsid w:val="000A0C5A"/>
    <w:rsid w:val="000A0FB7"/>
    <w:rsid w:val="000A10FD"/>
    <w:rsid w:val="000A17B4"/>
    <w:rsid w:val="000A1DBC"/>
    <w:rsid w:val="000A2058"/>
    <w:rsid w:val="000A2A7D"/>
    <w:rsid w:val="000A2CFA"/>
    <w:rsid w:val="000A2F1D"/>
    <w:rsid w:val="000A3326"/>
    <w:rsid w:val="000A35C8"/>
    <w:rsid w:val="000A3CDE"/>
    <w:rsid w:val="000A54CD"/>
    <w:rsid w:val="000A55CE"/>
    <w:rsid w:val="000A5820"/>
    <w:rsid w:val="000A6117"/>
    <w:rsid w:val="000A6616"/>
    <w:rsid w:val="000A6786"/>
    <w:rsid w:val="000A756F"/>
    <w:rsid w:val="000A7600"/>
    <w:rsid w:val="000A7CF6"/>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B7C84"/>
    <w:rsid w:val="000C009C"/>
    <w:rsid w:val="000C0745"/>
    <w:rsid w:val="000C07C6"/>
    <w:rsid w:val="000C08C5"/>
    <w:rsid w:val="000C0AF3"/>
    <w:rsid w:val="000C0CE0"/>
    <w:rsid w:val="000C1066"/>
    <w:rsid w:val="000C11BC"/>
    <w:rsid w:val="000C1CB2"/>
    <w:rsid w:val="000C1E78"/>
    <w:rsid w:val="000C380D"/>
    <w:rsid w:val="000C3858"/>
    <w:rsid w:val="000C3B2A"/>
    <w:rsid w:val="000C3FEB"/>
    <w:rsid w:val="000C40F1"/>
    <w:rsid w:val="000C4CAD"/>
    <w:rsid w:val="000C567A"/>
    <w:rsid w:val="000C5886"/>
    <w:rsid w:val="000C5A4E"/>
    <w:rsid w:val="000C5C41"/>
    <w:rsid w:val="000C5FB4"/>
    <w:rsid w:val="000C6025"/>
    <w:rsid w:val="000C654E"/>
    <w:rsid w:val="000C660F"/>
    <w:rsid w:val="000C6631"/>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12B"/>
    <w:rsid w:val="000D2604"/>
    <w:rsid w:val="000D27F3"/>
    <w:rsid w:val="000D2C4F"/>
    <w:rsid w:val="000D2CBC"/>
    <w:rsid w:val="000D3569"/>
    <w:rsid w:val="000D3661"/>
    <w:rsid w:val="000D42F2"/>
    <w:rsid w:val="000D48AC"/>
    <w:rsid w:val="000D4B4E"/>
    <w:rsid w:val="000D4E31"/>
    <w:rsid w:val="000D4E48"/>
    <w:rsid w:val="000D5244"/>
    <w:rsid w:val="000D529F"/>
    <w:rsid w:val="000D5598"/>
    <w:rsid w:val="000D6245"/>
    <w:rsid w:val="000D78CF"/>
    <w:rsid w:val="000E00D9"/>
    <w:rsid w:val="000E02A3"/>
    <w:rsid w:val="000E03E9"/>
    <w:rsid w:val="000E07ED"/>
    <w:rsid w:val="000E0ECD"/>
    <w:rsid w:val="000E10A4"/>
    <w:rsid w:val="000E19CE"/>
    <w:rsid w:val="000E1A33"/>
    <w:rsid w:val="000E23D5"/>
    <w:rsid w:val="000E330E"/>
    <w:rsid w:val="000E384D"/>
    <w:rsid w:val="000E4100"/>
    <w:rsid w:val="000E4207"/>
    <w:rsid w:val="000E42A2"/>
    <w:rsid w:val="000E4875"/>
    <w:rsid w:val="000E492C"/>
    <w:rsid w:val="000E49FC"/>
    <w:rsid w:val="000E4A13"/>
    <w:rsid w:val="000E4B31"/>
    <w:rsid w:val="000E4B48"/>
    <w:rsid w:val="000E5313"/>
    <w:rsid w:val="000E539E"/>
    <w:rsid w:val="000E5B21"/>
    <w:rsid w:val="000E6341"/>
    <w:rsid w:val="000E686A"/>
    <w:rsid w:val="000E6879"/>
    <w:rsid w:val="000E70F7"/>
    <w:rsid w:val="000E75F0"/>
    <w:rsid w:val="000E77EF"/>
    <w:rsid w:val="000E7879"/>
    <w:rsid w:val="000F042B"/>
    <w:rsid w:val="000F0535"/>
    <w:rsid w:val="000F1AC6"/>
    <w:rsid w:val="000F1AF5"/>
    <w:rsid w:val="000F3148"/>
    <w:rsid w:val="000F3473"/>
    <w:rsid w:val="000F4BF0"/>
    <w:rsid w:val="000F4C18"/>
    <w:rsid w:val="000F52DD"/>
    <w:rsid w:val="000F541A"/>
    <w:rsid w:val="000F57B6"/>
    <w:rsid w:val="000F5B7D"/>
    <w:rsid w:val="000F6036"/>
    <w:rsid w:val="000F66F0"/>
    <w:rsid w:val="000F683D"/>
    <w:rsid w:val="000F690E"/>
    <w:rsid w:val="000F6FF0"/>
    <w:rsid w:val="000F71FE"/>
    <w:rsid w:val="000F7766"/>
    <w:rsid w:val="000F7954"/>
    <w:rsid w:val="000F7EAE"/>
    <w:rsid w:val="00100177"/>
    <w:rsid w:val="001004FA"/>
    <w:rsid w:val="00100A48"/>
    <w:rsid w:val="00100D19"/>
    <w:rsid w:val="00100EAE"/>
    <w:rsid w:val="00101225"/>
    <w:rsid w:val="0010144C"/>
    <w:rsid w:val="0010181A"/>
    <w:rsid w:val="00101986"/>
    <w:rsid w:val="00101B11"/>
    <w:rsid w:val="00101DAD"/>
    <w:rsid w:val="00102675"/>
    <w:rsid w:val="00103513"/>
    <w:rsid w:val="0010390A"/>
    <w:rsid w:val="00103B8A"/>
    <w:rsid w:val="001040CF"/>
    <w:rsid w:val="00104265"/>
    <w:rsid w:val="0010473F"/>
    <w:rsid w:val="00104DFF"/>
    <w:rsid w:val="00104FD6"/>
    <w:rsid w:val="00105115"/>
    <w:rsid w:val="0010560D"/>
    <w:rsid w:val="001058E6"/>
    <w:rsid w:val="00105B37"/>
    <w:rsid w:val="00106494"/>
    <w:rsid w:val="00106799"/>
    <w:rsid w:val="001067FA"/>
    <w:rsid w:val="001069C1"/>
    <w:rsid w:val="00106CF2"/>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403D"/>
    <w:rsid w:val="001141FB"/>
    <w:rsid w:val="001143E4"/>
    <w:rsid w:val="00114B49"/>
    <w:rsid w:val="00114ED5"/>
    <w:rsid w:val="00115648"/>
    <w:rsid w:val="00115761"/>
    <w:rsid w:val="00115EA1"/>
    <w:rsid w:val="0011604D"/>
    <w:rsid w:val="00116558"/>
    <w:rsid w:val="00116FEC"/>
    <w:rsid w:val="00117269"/>
    <w:rsid w:val="001174A8"/>
    <w:rsid w:val="00117CA3"/>
    <w:rsid w:val="00117E46"/>
    <w:rsid w:val="00117FB3"/>
    <w:rsid w:val="00120222"/>
    <w:rsid w:val="001204FC"/>
    <w:rsid w:val="00120548"/>
    <w:rsid w:val="00120B7D"/>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30851"/>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442"/>
    <w:rsid w:val="00135DB5"/>
    <w:rsid w:val="00135E08"/>
    <w:rsid w:val="0013656A"/>
    <w:rsid w:val="00136B4D"/>
    <w:rsid w:val="00137264"/>
    <w:rsid w:val="00137E61"/>
    <w:rsid w:val="001406D6"/>
    <w:rsid w:val="00140BD4"/>
    <w:rsid w:val="0014136E"/>
    <w:rsid w:val="00142E4A"/>
    <w:rsid w:val="00142FBA"/>
    <w:rsid w:val="00143112"/>
    <w:rsid w:val="00143116"/>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029"/>
    <w:rsid w:val="001471A9"/>
    <w:rsid w:val="0014759E"/>
    <w:rsid w:val="0014796F"/>
    <w:rsid w:val="00147E4E"/>
    <w:rsid w:val="001504A4"/>
    <w:rsid w:val="001509B2"/>
    <w:rsid w:val="001519C2"/>
    <w:rsid w:val="00151A73"/>
    <w:rsid w:val="00151CE1"/>
    <w:rsid w:val="00151FBE"/>
    <w:rsid w:val="0015215A"/>
    <w:rsid w:val="00152DA0"/>
    <w:rsid w:val="00152DE0"/>
    <w:rsid w:val="0015349D"/>
    <w:rsid w:val="00153A29"/>
    <w:rsid w:val="00153E86"/>
    <w:rsid w:val="0015410F"/>
    <w:rsid w:val="00155685"/>
    <w:rsid w:val="00155EE0"/>
    <w:rsid w:val="00156067"/>
    <w:rsid w:val="00156071"/>
    <w:rsid w:val="001561CF"/>
    <w:rsid w:val="001562B9"/>
    <w:rsid w:val="00156538"/>
    <w:rsid w:val="0015657B"/>
    <w:rsid w:val="00157562"/>
    <w:rsid w:val="00157895"/>
    <w:rsid w:val="00157B19"/>
    <w:rsid w:val="00157E2B"/>
    <w:rsid w:val="001612BB"/>
    <w:rsid w:val="00162033"/>
    <w:rsid w:val="00162660"/>
    <w:rsid w:val="00162BE2"/>
    <w:rsid w:val="00162E45"/>
    <w:rsid w:val="0016313B"/>
    <w:rsid w:val="0016369E"/>
    <w:rsid w:val="0016408C"/>
    <w:rsid w:val="00164153"/>
    <w:rsid w:val="001646B2"/>
    <w:rsid w:val="00165834"/>
    <w:rsid w:val="00165987"/>
    <w:rsid w:val="00165B05"/>
    <w:rsid w:val="00165F27"/>
    <w:rsid w:val="00166381"/>
    <w:rsid w:val="00166568"/>
    <w:rsid w:val="00166ED0"/>
    <w:rsid w:val="001675D5"/>
    <w:rsid w:val="001678F4"/>
    <w:rsid w:val="001706ED"/>
    <w:rsid w:val="00170D35"/>
    <w:rsid w:val="00170D8A"/>
    <w:rsid w:val="00171149"/>
    <w:rsid w:val="00171343"/>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9B2"/>
    <w:rsid w:val="00183AE7"/>
    <w:rsid w:val="00183C99"/>
    <w:rsid w:val="00183CE7"/>
    <w:rsid w:val="00184017"/>
    <w:rsid w:val="00184589"/>
    <w:rsid w:val="0018540C"/>
    <w:rsid w:val="00185A90"/>
    <w:rsid w:val="00185C4C"/>
    <w:rsid w:val="001865B6"/>
    <w:rsid w:val="001865EF"/>
    <w:rsid w:val="00186932"/>
    <w:rsid w:val="00186BAD"/>
    <w:rsid w:val="0018704D"/>
    <w:rsid w:val="001872C8"/>
    <w:rsid w:val="001879C7"/>
    <w:rsid w:val="0019085F"/>
    <w:rsid w:val="00190FCF"/>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117"/>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47B"/>
    <w:rsid w:val="001B01C1"/>
    <w:rsid w:val="001B0951"/>
    <w:rsid w:val="001B0AE5"/>
    <w:rsid w:val="001B0EFC"/>
    <w:rsid w:val="001B0FDF"/>
    <w:rsid w:val="001B0FE0"/>
    <w:rsid w:val="001B172E"/>
    <w:rsid w:val="001B187F"/>
    <w:rsid w:val="001B1DD9"/>
    <w:rsid w:val="001B1DEB"/>
    <w:rsid w:val="001B2151"/>
    <w:rsid w:val="001B22E3"/>
    <w:rsid w:val="001B2388"/>
    <w:rsid w:val="001B25A1"/>
    <w:rsid w:val="001B31B1"/>
    <w:rsid w:val="001B31BE"/>
    <w:rsid w:val="001B32D3"/>
    <w:rsid w:val="001B3347"/>
    <w:rsid w:val="001B39F8"/>
    <w:rsid w:val="001B3AF8"/>
    <w:rsid w:val="001B4086"/>
    <w:rsid w:val="001B4996"/>
    <w:rsid w:val="001B4AE1"/>
    <w:rsid w:val="001B5730"/>
    <w:rsid w:val="001B57ED"/>
    <w:rsid w:val="001B5DCD"/>
    <w:rsid w:val="001B6AE1"/>
    <w:rsid w:val="001B7063"/>
    <w:rsid w:val="001B73E7"/>
    <w:rsid w:val="001B767E"/>
    <w:rsid w:val="001B7F20"/>
    <w:rsid w:val="001C0461"/>
    <w:rsid w:val="001C088C"/>
    <w:rsid w:val="001C13FA"/>
    <w:rsid w:val="001C1457"/>
    <w:rsid w:val="001C163F"/>
    <w:rsid w:val="001C2017"/>
    <w:rsid w:val="001C2134"/>
    <w:rsid w:val="001C2186"/>
    <w:rsid w:val="001C2AC2"/>
    <w:rsid w:val="001C34BB"/>
    <w:rsid w:val="001C389D"/>
    <w:rsid w:val="001C3B72"/>
    <w:rsid w:val="001C3B81"/>
    <w:rsid w:val="001C41D7"/>
    <w:rsid w:val="001C4F22"/>
    <w:rsid w:val="001C5579"/>
    <w:rsid w:val="001C65B7"/>
    <w:rsid w:val="001C660F"/>
    <w:rsid w:val="001C66BA"/>
    <w:rsid w:val="001C69A8"/>
    <w:rsid w:val="001C6A07"/>
    <w:rsid w:val="001C6D50"/>
    <w:rsid w:val="001C7507"/>
    <w:rsid w:val="001C7877"/>
    <w:rsid w:val="001C78F4"/>
    <w:rsid w:val="001C7D48"/>
    <w:rsid w:val="001D00BD"/>
    <w:rsid w:val="001D07B9"/>
    <w:rsid w:val="001D090B"/>
    <w:rsid w:val="001D0F87"/>
    <w:rsid w:val="001D1701"/>
    <w:rsid w:val="001D1AA0"/>
    <w:rsid w:val="001D1B5D"/>
    <w:rsid w:val="001D21CE"/>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3356"/>
    <w:rsid w:val="001E36EC"/>
    <w:rsid w:val="001E49FD"/>
    <w:rsid w:val="001E4E68"/>
    <w:rsid w:val="001E5253"/>
    <w:rsid w:val="001E599B"/>
    <w:rsid w:val="001E5BDC"/>
    <w:rsid w:val="001E63FF"/>
    <w:rsid w:val="001E66EC"/>
    <w:rsid w:val="001E72A7"/>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811"/>
    <w:rsid w:val="001F6936"/>
    <w:rsid w:val="001F6DD6"/>
    <w:rsid w:val="001F711E"/>
    <w:rsid w:val="001F759B"/>
    <w:rsid w:val="001F768F"/>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D26"/>
    <w:rsid w:val="00221728"/>
    <w:rsid w:val="0022181F"/>
    <w:rsid w:val="002218C3"/>
    <w:rsid w:val="00221B56"/>
    <w:rsid w:val="0022214D"/>
    <w:rsid w:val="002227CF"/>
    <w:rsid w:val="002236FA"/>
    <w:rsid w:val="00224440"/>
    <w:rsid w:val="00224667"/>
    <w:rsid w:val="002247AF"/>
    <w:rsid w:val="0022488F"/>
    <w:rsid w:val="00224ABF"/>
    <w:rsid w:val="002255A5"/>
    <w:rsid w:val="00227538"/>
    <w:rsid w:val="00227964"/>
    <w:rsid w:val="00227A16"/>
    <w:rsid w:val="00227A98"/>
    <w:rsid w:val="00227E47"/>
    <w:rsid w:val="00227F6F"/>
    <w:rsid w:val="00227FD5"/>
    <w:rsid w:val="0023008B"/>
    <w:rsid w:val="00230BBE"/>
    <w:rsid w:val="00230FA9"/>
    <w:rsid w:val="00231643"/>
    <w:rsid w:val="00231659"/>
    <w:rsid w:val="00231966"/>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5E18"/>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51067"/>
    <w:rsid w:val="00251A27"/>
    <w:rsid w:val="00251F26"/>
    <w:rsid w:val="00252076"/>
    <w:rsid w:val="00252A09"/>
    <w:rsid w:val="002533FC"/>
    <w:rsid w:val="0025354A"/>
    <w:rsid w:val="00253719"/>
    <w:rsid w:val="002537CE"/>
    <w:rsid w:val="00253AF4"/>
    <w:rsid w:val="00253BF8"/>
    <w:rsid w:val="00253F4A"/>
    <w:rsid w:val="0025474C"/>
    <w:rsid w:val="0025491B"/>
    <w:rsid w:val="002549E6"/>
    <w:rsid w:val="002553BA"/>
    <w:rsid w:val="00255849"/>
    <w:rsid w:val="00255B29"/>
    <w:rsid w:val="00256077"/>
    <w:rsid w:val="00256437"/>
    <w:rsid w:val="00256780"/>
    <w:rsid w:val="0025725E"/>
    <w:rsid w:val="002574D1"/>
    <w:rsid w:val="00257FBF"/>
    <w:rsid w:val="002614EA"/>
    <w:rsid w:val="00261D1C"/>
    <w:rsid w:val="00261ED0"/>
    <w:rsid w:val="002621C0"/>
    <w:rsid w:val="0026242D"/>
    <w:rsid w:val="0026299A"/>
    <w:rsid w:val="00262C4D"/>
    <w:rsid w:val="0026331D"/>
    <w:rsid w:val="00263A72"/>
    <w:rsid w:val="00263AFF"/>
    <w:rsid w:val="0026408E"/>
    <w:rsid w:val="0026480C"/>
    <w:rsid w:val="00264D17"/>
    <w:rsid w:val="002653AF"/>
    <w:rsid w:val="00265A85"/>
    <w:rsid w:val="00266352"/>
    <w:rsid w:val="0026653F"/>
    <w:rsid w:val="0026725A"/>
    <w:rsid w:val="00267D21"/>
    <w:rsid w:val="00270200"/>
    <w:rsid w:val="00270564"/>
    <w:rsid w:val="002708B8"/>
    <w:rsid w:val="00270D4E"/>
    <w:rsid w:val="002711D5"/>
    <w:rsid w:val="002714FA"/>
    <w:rsid w:val="00271B03"/>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7CB"/>
    <w:rsid w:val="00280F3B"/>
    <w:rsid w:val="00281840"/>
    <w:rsid w:val="00281851"/>
    <w:rsid w:val="00281870"/>
    <w:rsid w:val="00281C2C"/>
    <w:rsid w:val="0028218D"/>
    <w:rsid w:val="00282901"/>
    <w:rsid w:val="002838EF"/>
    <w:rsid w:val="00283FA7"/>
    <w:rsid w:val="00284237"/>
    <w:rsid w:val="00284DE2"/>
    <w:rsid w:val="00285354"/>
    <w:rsid w:val="002853B1"/>
    <w:rsid w:val="002857DE"/>
    <w:rsid w:val="00285A45"/>
    <w:rsid w:val="00285CFF"/>
    <w:rsid w:val="00285D15"/>
    <w:rsid w:val="00286CCF"/>
    <w:rsid w:val="00287171"/>
    <w:rsid w:val="00287D8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2D48"/>
    <w:rsid w:val="002A2D63"/>
    <w:rsid w:val="002A3076"/>
    <w:rsid w:val="002A32CD"/>
    <w:rsid w:val="002A4C6E"/>
    <w:rsid w:val="002A4F46"/>
    <w:rsid w:val="002A54D9"/>
    <w:rsid w:val="002A55C5"/>
    <w:rsid w:val="002A5751"/>
    <w:rsid w:val="002A5753"/>
    <w:rsid w:val="002A6E54"/>
    <w:rsid w:val="002A742E"/>
    <w:rsid w:val="002A7B5A"/>
    <w:rsid w:val="002A7F2B"/>
    <w:rsid w:val="002B003D"/>
    <w:rsid w:val="002B036C"/>
    <w:rsid w:val="002B04BE"/>
    <w:rsid w:val="002B06CD"/>
    <w:rsid w:val="002B1143"/>
    <w:rsid w:val="002B159F"/>
    <w:rsid w:val="002B1BEA"/>
    <w:rsid w:val="002B1E5E"/>
    <w:rsid w:val="002B1FBE"/>
    <w:rsid w:val="002B20CA"/>
    <w:rsid w:val="002B2422"/>
    <w:rsid w:val="002B2467"/>
    <w:rsid w:val="002B2D98"/>
    <w:rsid w:val="002B30BB"/>
    <w:rsid w:val="002B342E"/>
    <w:rsid w:val="002B358A"/>
    <w:rsid w:val="002B35CC"/>
    <w:rsid w:val="002B4AD7"/>
    <w:rsid w:val="002B59F0"/>
    <w:rsid w:val="002B5B01"/>
    <w:rsid w:val="002B6654"/>
    <w:rsid w:val="002B698F"/>
    <w:rsid w:val="002B73FB"/>
    <w:rsid w:val="002B7497"/>
    <w:rsid w:val="002B76FE"/>
    <w:rsid w:val="002B7955"/>
    <w:rsid w:val="002B7F6D"/>
    <w:rsid w:val="002C06CE"/>
    <w:rsid w:val="002C1530"/>
    <w:rsid w:val="002C2175"/>
    <w:rsid w:val="002C2940"/>
    <w:rsid w:val="002C2CE1"/>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9A6"/>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25"/>
    <w:rsid w:val="002D3881"/>
    <w:rsid w:val="002D3ADD"/>
    <w:rsid w:val="002D3D91"/>
    <w:rsid w:val="002D425B"/>
    <w:rsid w:val="002D557C"/>
    <w:rsid w:val="002D5768"/>
    <w:rsid w:val="002D6291"/>
    <w:rsid w:val="002D7205"/>
    <w:rsid w:val="002D750A"/>
    <w:rsid w:val="002D772D"/>
    <w:rsid w:val="002E0065"/>
    <w:rsid w:val="002E04A9"/>
    <w:rsid w:val="002E1045"/>
    <w:rsid w:val="002E12EF"/>
    <w:rsid w:val="002E1BB9"/>
    <w:rsid w:val="002E1C11"/>
    <w:rsid w:val="002E1DF2"/>
    <w:rsid w:val="002E257D"/>
    <w:rsid w:val="002E28DB"/>
    <w:rsid w:val="002E359D"/>
    <w:rsid w:val="002E35C7"/>
    <w:rsid w:val="002E3EAA"/>
    <w:rsid w:val="002E401D"/>
    <w:rsid w:val="002E4311"/>
    <w:rsid w:val="002E43B9"/>
    <w:rsid w:val="002E576A"/>
    <w:rsid w:val="002E5B28"/>
    <w:rsid w:val="002E606F"/>
    <w:rsid w:val="002E62B3"/>
    <w:rsid w:val="002E6311"/>
    <w:rsid w:val="002E649A"/>
    <w:rsid w:val="002E6556"/>
    <w:rsid w:val="002E65F2"/>
    <w:rsid w:val="002E6F9C"/>
    <w:rsid w:val="002E7268"/>
    <w:rsid w:val="002E7B59"/>
    <w:rsid w:val="002E7D02"/>
    <w:rsid w:val="002F01DC"/>
    <w:rsid w:val="002F065D"/>
    <w:rsid w:val="002F07C6"/>
    <w:rsid w:val="002F0A8F"/>
    <w:rsid w:val="002F0F94"/>
    <w:rsid w:val="002F12CD"/>
    <w:rsid w:val="002F1B0E"/>
    <w:rsid w:val="002F1CD3"/>
    <w:rsid w:val="002F1E0B"/>
    <w:rsid w:val="002F289C"/>
    <w:rsid w:val="002F3073"/>
    <w:rsid w:val="002F347A"/>
    <w:rsid w:val="002F37C2"/>
    <w:rsid w:val="002F3F3B"/>
    <w:rsid w:val="002F4938"/>
    <w:rsid w:val="002F4A56"/>
    <w:rsid w:val="002F4D0C"/>
    <w:rsid w:val="002F557B"/>
    <w:rsid w:val="002F57EB"/>
    <w:rsid w:val="002F5A3C"/>
    <w:rsid w:val="002F66CA"/>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BDC"/>
    <w:rsid w:val="00304CD4"/>
    <w:rsid w:val="00304ED0"/>
    <w:rsid w:val="00305609"/>
    <w:rsid w:val="0030562A"/>
    <w:rsid w:val="003057A5"/>
    <w:rsid w:val="00305B3B"/>
    <w:rsid w:val="00305D1F"/>
    <w:rsid w:val="00305E9C"/>
    <w:rsid w:val="00306780"/>
    <w:rsid w:val="00306B81"/>
    <w:rsid w:val="0030704A"/>
    <w:rsid w:val="003070F2"/>
    <w:rsid w:val="00310314"/>
    <w:rsid w:val="0031033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54E2"/>
    <w:rsid w:val="003155BD"/>
    <w:rsid w:val="0031613D"/>
    <w:rsid w:val="003161E9"/>
    <w:rsid w:val="00316BB2"/>
    <w:rsid w:val="00316DD2"/>
    <w:rsid w:val="00317540"/>
    <w:rsid w:val="003176ED"/>
    <w:rsid w:val="00317AC2"/>
    <w:rsid w:val="00317BBF"/>
    <w:rsid w:val="00317DF8"/>
    <w:rsid w:val="00317EDF"/>
    <w:rsid w:val="00320060"/>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C52"/>
    <w:rsid w:val="00336D33"/>
    <w:rsid w:val="00336E3A"/>
    <w:rsid w:val="003370C9"/>
    <w:rsid w:val="00337129"/>
    <w:rsid w:val="00337317"/>
    <w:rsid w:val="00337A21"/>
    <w:rsid w:val="00337DA3"/>
    <w:rsid w:val="00340073"/>
    <w:rsid w:val="0034050B"/>
    <w:rsid w:val="00340B10"/>
    <w:rsid w:val="00341B6E"/>
    <w:rsid w:val="00342050"/>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7A2"/>
    <w:rsid w:val="003469AF"/>
    <w:rsid w:val="00346AA2"/>
    <w:rsid w:val="00346AB8"/>
    <w:rsid w:val="00346CB2"/>
    <w:rsid w:val="00347121"/>
    <w:rsid w:val="00347367"/>
    <w:rsid w:val="00347403"/>
    <w:rsid w:val="00347534"/>
    <w:rsid w:val="00347D6A"/>
    <w:rsid w:val="00350CA1"/>
    <w:rsid w:val="00350D45"/>
    <w:rsid w:val="003510C9"/>
    <w:rsid w:val="00351757"/>
    <w:rsid w:val="003519DA"/>
    <w:rsid w:val="00351BE3"/>
    <w:rsid w:val="003523B3"/>
    <w:rsid w:val="00352433"/>
    <w:rsid w:val="00352A2C"/>
    <w:rsid w:val="00352DA9"/>
    <w:rsid w:val="00353629"/>
    <w:rsid w:val="00353E8B"/>
    <w:rsid w:val="003540E9"/>
    <w:rsid w:val="00354133"/>
    <w:rsid w:val="003541D3"/>
    <w:rsid w:val="00355569"/>
    <w:rsid w:val="0035556C"/>
    <w:rsid w:val="003564FA"/>
    <w:rsid w:val="00356903"/>
    <w:rsid w:val="00356CAF"/>
    <w:rsid w:val="00357571"/>
    <w:rsid w:val="00357712"/>
    <w:rsid w:val="00357AD6"/>
    <w:rsid w:val="00360D72"/>
    <w:rsid w:val="00360FBD"/>
    <w:rsid w:val="00361255"/>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5B"/>
    <w:rsid w:val="0037020E"/>
    <w:rsid w:val="00370671"/>
    <w:rsid w:val="00370DC9"/>
    <w:rsid w:val="00371A95"/>
    <w:rsid w:val="00371C57"/>
    <w:rsid w:val="00371CBD"/>
    <w:rsid w:val="00372038"/>
    <w:rsid w:val="0037245E"/>
    <w:rsid w:val="00372594"/>
    <w:rsid w:val="00372E44"/>
    <w:rsid w:val="00372E8A"/>
    <w:rsid w:val="00373429"/>
    <w:rsid w:val="0037344E"/>
    <w:rsid w:val="00373811"/>
    <w:rsid w:val="00373928"/>
    <w:rsid w:val="00373BC1"/>
    <w:rsid w:val="00373D64"/>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BC6"/>
    <w:rsid w:val="00385F5C"/>
    <w:rsid w:val="00387A6C"/>
    <w:rsid w:val="00390E7C"/>
    <w:rsid w:val="00391E8C"/>
    <w:rsid w:val="003923A0"/>
    <w:rsid w:val="00392652"/>
    <w:rsid w:val="003929A1"/>
    <w:rsid w:val="00392A6B"/>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44E9"/>
    <w:rsid w:val="003A5382"/>
    <w:rsid w:val="003A575A"/>
    <w:rsid w:val="003A5900"/>
    <w:rsid w:val="003A5C1D"/>
    <w:rsid w:val="003A5DB4"/>
    <w:rsid w:val="003A5F34"/>
    <w:rsid w:val="003A6085"/>
    <w:rsid w:val="003A6E3B"/>
    <w:rsid w:val="003A75C1"/>
    <w:rsid w:val="003A7718"/>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803"/>
    <w:rsid w:val="003B3A84"/>
    <w:rsid w:val="003B40A3"/>
    <w:rsid w:val="003B4656"/>
    <w:rsid w:val="003B56AF"/>
    <w:rsid w:val="003B6135"/>
    <w:rsid w:val="003B6E20"/>
    <w:rsid w:val="003B6F36"/>
    <w:rsid w:val="003B79FB"/>
    <w:rsid w:val="003B7D3F"/>
    <w:rsid w:val="003B7FBE"/>
    <w:rsid w:val="003C059F"/>
    <w:rsid w:val="003C16C6"/>
    <w:rsid w:val="003C1710"/>
    <w:rsid w:val="003C1D0D"/>
    <w:rsid w:val="003C232C"/>
    <w:rsid w:val="003C2E99"/>
    <w:rsid w:val="003C3001"/>
    <w:rsid w:val="003C35E6"/>
    <w:rsid w:val="003C397B"/>
    <w:rsid w:val="003C43CD"/>
    <w:rsid w:val="003C4629"/>
    <w:rsid w:val="003C484E"/>
    <w:rsid w:val="003C4EB5"/>
    <w:rsid w:val="003C5050"/>
    <w:rsid w:val="003C50CE"/>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7321"/>
    <w:rsid w:val="003E014B"/>
    <w:rsid w:val="003E038A"/>
    <w:rsid w:val="003E0405"/>
    <w:rsid w:val="003E0CF9"/>
    <w:rsid w:val="003E1371"/>
    <w:rsid w:val="003E165D"/>
    <w:rsid w:val="003E196A"/>
    <w:rsid w:val="003E2368"/>
    <w:rsid w:val="003E24CC"/>
    <w:rsid w:val="003E2717"/>
    <w:rsid w:val="003E2E2E"/>
    <w:rsid w:val="003E3AC0"/>
    <w:rsid w:val="003E3C5D"/>
    <w:rsid w:val="003E3D78"/>
    <w:rsid w:val="003E3DBA"/>
    <w:rsid w:val="003E4571"/>
    <w:rsid w:val="003E48D0"/>
    <w:rsid w:val="003E4CE0"/>
    <w:rsid w:val="003E4CF1"/>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651"/>
    <w:rsid w:val="003F2C8D"/>
    <w:rsid w:val="003F33D3"/>
    <w:rsid w:val="003F39B1"/>
    <w:rsid w:val="003F3E4C"/>
    <w:rsid w:val="003F3F14"/>
    <w:rsid w:val="003F4824"/>
    <w:rsid w:val="003F4AFE"/>
    <w:rsid w:val="003F5A11"/>
    <w:rsid w:val="003F5B77"/>
    <w:rsid w:val="003F61D7"/>
    <w:rsid w:val="003F6288"/>
    <w:rsid w:val="003F6714"/>
    <w:rsid w:val="003F6AD4"/>
    <w:rsid w:val="003F7008"/>
    <w:rsid w:val="003F70E0"/>
    <w:rsid w:val="003F7508"/>
    <w:rsid w:val="003F7C9B"/>
    <w:rsid w:val="003F7F1F"/>
    <w:rsid w:val="004003A2"/>
    <w:rsid w:val="00400EC1"/>
    <w:rsid w:val="00401185"/>
    <w:rsid w:val="00401CF2"/>
    <w:rsid w:val="0040211B"/>
    <w:rsid w:val="0040236B"/>
    <w:rsid w:val="00402635"/>
    <w:rsid w:val="0040265D"/>
    <w:rsid w:val="00402A43"/>
    <w:rsid w:val="00402AD3"/>
    <w:rsid w:val="00402FF5"/>
    <w:rsid w:val="0040305B"/>
    <w:rsid w:val="00403C9F"/>
    <w:rsid w:val="004045CC"/>
    <w:rsid w:val="00404638"/>
    <w:rsid w:val="004048DD"/>
    <w:rsid w:val="00404A27"/>
    <w:rsid w:val="00405453"/>
    <w:rsid w:val="00405739"/>
    <w:rsid w:val="00406853"/>
    <w:rsid w:val="00406988"/>
    <w:rsid w:val="00406A35"/>
    <w:rsid w:val="00406C0C"/>
    <w:rsid w:val="004075C4"/>
    <w:rsid w:val="004102A7"/>
    <w:rsid w:val="00410993"/>
    <w:rsid w:val="0041139A"/>
    <w:rsid w:val="004115D4"/>
    <w:rsid w:val="004123D9"/>
    <w:rsid w:val="004128F8"/>
    <w:rsid w:val="00412957"/>
    <w:rsid w:val="00412C02"/>
    <w:rsid w:val="00412D6D"/>
    <w:rsid w:val="0041367F"/>
    <w:rsid w:val="0041372D"/>
    <w:rsid w:val="00413E2B"/>
    <w:rsid w:val="00414537"/>
    <w:rsid w:val="004149C3"/>
    <w:rsid w:val="00414AB2"/>
    <w:rsid w:val="00415010"/>
    <w:rsid w:val="004151EB"/>
    <w:rsid w:val="004156B6"/>
    <w:rsid w:val="00415B87"/>
    <w:rsid w:val="00415BBD"/>
    <w:rsid w:val="00415C97"/>
    <w:rsid w:val="00416058"/>
    <w:rsid w:val="004166CF"/>
    <w:rsid w:val="00416841"/>
    <w:rsid w:val="00416B17"/>
    <w:rsid w:val="004171A6"/>
    <w:rsid w:val="00417427"/>
    <w:rsid w:val="00417571"/>
    <w:rsid w:val="004178E6"/>
    <w:rsid w:val="00417AFB"/>
    <w:rsid w:val="0042013D"/>
    <w:rsid w:val="00422198"/>
    <w:rsid w:val="00422251"/>
    <w:rsid w:val="004222BC"/>
    <w:rsid w:val="004224B0"/>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AA4"/>
    <w:rsid w:val="00430B18"/>
    <w:rsid w:val="00430B37"/>
    <w:rsid w:val="004311C5"/>
    <w:rsid w:val="0043139E"/>
    <w:rsid w:val="004319ED"/>
    <w:rsid w:val="00431A08"/>
    <w:rsid w:val="0043235B"/>
    <w:rsid w:val="0043242D"/>
    <w:rsid w:val="004325FF"/>
    <w:rsid w:val="00432848"/>
    <w:rsid w:val="0043284D"/>
    <w:rsid w:val="00432AC4"/>
    <w:rsid w:val="00432FC9"/>
    <w:rsid w:val="0043354B"/>
    <w:rsid w:val="00433A3D"/>
    <w:rsid w:val="00433AD8"/>
    <w:rsid w:val="00433CA1"/>
    <w:rsid w:val="00434E72"/>
    <w:rsid w:val="00435473"/>
    <w:rsid w:val="0043576B"/>
    <w:rsid w:val="004357B4"/>
    <w:rsid w:val="0043580D"/>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714"/>
    <w:rsid w:val="00444F94"/>
    <w:rsid w:val="00445696"/>
    <w:rsid w:val="00445B7E"/>
    <w:rsid w:val="00445BC4"/>
    <w:rsid w:val="00445E7B"/>
    <w:rsid w:val="004468C4"/>
    <w:rsid w:val="00447737"/>
    <w:rsid w:val="00447D0D"/>
    <w:rsid w:val="00450412"/>
    <w:rsid w:val="004504AA"/>
    <w:rsid w:val="00450C2E"/>
    <w:rsid w:val="00450DA2"/>
    <w:rsid w:val="004510EA"/>
    <w:rsid w:val="004515DA"/>
    <w:rsid w:val="00451618"/>
    <w:rsid w:val="00451A0B"/>
    <w:rsid w:val="004537A0"/>
    <w:rsid w:val="00453CC2"/>
    <w:rsid w:val="00453DB6"/>
    <w:rsid w:val="00453F33"/>
    <w:rsid w:val="00453F82"/>
    <w:rsid w:val="00454257"/>
    <w:rsid w:val="00454259"/>
    <w:rsid w:val="004551C0"/>
    <w:rsid w:val="004553BE"/>
    <w:rsid w:val="00455A10"/>
    <w:rsid w:val="00456142"/>
    <w:rsid w:val="00456B62"/>
    <w:rsid w:val="00456EC6"/>
    <w:rsid w:val="00456F0B"/>
    <w:rsid w:val="00456F7D"/>
    <w:rsid w:val="004573EF"/>
    <w:rsid w:val="004573F5"/>
    <w:rsid w:val="0045752E"/>
    <w:rsid w:val="00457C7B"/>
    <w:rsid w:val="0046083D"/>
    <w:rsid w:val="00461564"/>
    <w:rsid w:val="00461937"/>
    <w:rsid w:val="004620A0"/>
    <w:rsid w:val="004620D1"/>
    <w:rsid w:val="004624D5"/>
    <w:rsid w:val="0046275B"/>
    <w:rsid w:val="00462824"/>
    <w:rsid w:val="00463479"/>
    <w:rsid w:val="0046375A"/>
    <w:rsid w:val="004638D4"/>
    <w:rsid w:val="00463C52"/>
    <w:rsid w:val="00463D90"/>
    <w:rsid w:val="0046412D"/>
    <w:rsid w:val="00464135"/>
    <w:rsid w:val="004644C4"/>
    <w:rsid w:val="00464D47"/>
    <w:rsid w:val="0046503C"/>
    <w:rsid w:val="0046520D"/>
    <w:rsid w:val="004652F0"/>
    <w:rsid w:val="00465643"/>
    <w:rsid w:val="00465759"/>
    <w:rsid w:val="00465CFA"/>
    <w:rsid w:val="00465DA9"/>
    <w:rsid w:val="004667CC"/>
    <w:rsid w:val="004668D2"/>
    <w:rsid w:val="00466A61"/>
    <w:rsid w:val="00467114"/>
    <w:rsid w:val="00467529"/>
    <w:rsid w:val="0046754B"/>
    <w:rsid w:val="00467E2E"/>
    <w:rsid w:val="0047019B"/>
    <w:rsid w:val="004707A5"/>
    <w:rsid w:val="00470E87"/>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13F4"/>
    <w:rsid w:val="0048206D"/>
    <w:rsid w:val="00482387"/>
    <w:rsid w:val="00482A83"/>
    <w:rsid w:val="00483D55"/>
    <w:rsid w:val="00484023"/>
    <w:rsid w:val="0048418C"/>
    <w:rsid w:val="00484323"/>
    <w:rsid w:val="004844C5"/>
    <w:rsid w:val="00484B3B"/>
    <w:rsid w:val="00484C1E"/>
    <w:rsid w:val="00485A4C"/>
    <w:rsid w:val="00485DFE"/>
    <w:rsid w:val="00485E4F"/>
    <w:rsid w:val="00485F56"/>
    <w:rsid w:val="00485FC8"/>
    <w:rsid w:val="00486663"/>
    <w:rsid w:val="00486D9D"/>
    <w:rsid w:val="0048731C"/>
    <w:rsid w:val="00487E3F"/>
    <w:rsid w:val="00490282"/>
    <w:rsid w:val="0049046F"/>
    <w:rsid w:val="0049054B"/>
    <w:rsid w:val="004907D8"/>
    <w:rsid w:val="00491092"/>
    <w:rsid w:val="0049131A"/>
    <w:rsid w:val="004914E1"/>
    <w:rsid w:val="00491546"/>
    <w:rsid w:val="0049159C"/>
    <w:rsid w:val="004916FC"/>
    <w:rsid w:val="00491908"/>
    <w:rsid w:val="00492F3A"/>
    <w:rsid w:val="0049349D"/>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4B3"/>
    <w:rsid w:val="004A166D"/>
    <w:rsid w:val="004A1B24"/>
    <w:rsid w:val="004A1EF4"/>
    <w:rsid w:val="004A20DC"/>
    <w:rsid w:val="004A2BD3"/>
    <w:rsid w:val="004A2F2B"/>
    <w:rsid w:val="004A2FA8"/>
    <w:rsid w:val="004A3946"/>
    <w:rsid w:val="004A4BA2"/>
    <w:rsid w:val="004A4EAC"/>
    <w:rsid w:val="004A50D2"/>
    <w:rsid w:val="004A55CE"/>
    <w:rsid w:val="004A5696"/>
    <w:rsid w:val="004A57CE"/>
    <w:rsid w:val="004A5B6B"/>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17E"/>
    <w:rsid w:val="004C47F3"/>
    <w:rsid w:val="004C4E07"/>
    <w:rsid w:val="004C4E65"/>
    <w:rsid w:val="004C5070"/>
    <w:rsid w:val="004C5846"/>
    <w:rsid w:val="004C5959"/>
    <w:rsid w:val="004C59B8"/>
    <w:rsid w:val="004C5B35"/>
    <w:rsid w:val="004C5DDC"/>
    <w:rsid w:val="004C5E29"/>
    <w:rsid w:val="004C6917"/>
    <w:rsid w:val="004C6B8C"/>
    <w:rsid w:val="004C6EA9"/>
    <w:rsid w:val="004C76FF"/>
    <w:rsid w:val="004C7E96"/>
    <w:rsid w:val="004C7EE2"/>
    <w:rsid w:val="004D028A"/>
    <w:rsid w:val="004D031E"/>
    <w:rsid w:val="004D0744"/>
    <w:rsid w:val="004D1042"/>
    <w:rsid w:val="004D1073"/>
    <w:rsid w:val="004D1B9D"/>
    <w:rsid w:val="004D1C01"/>
    <w:rsid w:val="004D2C6E"/>
    <w:rsid w:val="004D2ED6"/>
    <w:rsid w:val="004D30FA"/>
    <w:rsid w:val="004D3758"/>
    <w:rsid w:val="004D40C7"/>
    <w:rsid w:val="004D4117"/>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D1C"/>
    <w:rsid w:val="004E5F2A"/>
    <w:rsid w:val="004E5FA3"/>
    <w:rsid w:val="004E5FF8"/>
    <w:rsid w:val="004E617E"/>
    <w:rsid w:val="004E61AC"/>
    <w:rsid w:val="004E723E"/>
    <w:rsid w:val="004E741E"/>
    <w:rsid w:val="004E7753"/>
    <w:rsid w:val="004E7F43"/>
    <w:rsid w:val="004F01A2"/>
    <w:rsid w:val="004F02D7"/>
    <w:rsid w:val="004F0326"/>
    <w:rsid w:val="004F0331"/>
    <w:rsid w:val="004F03A9"/>
    <w:rsid w:val="004F05EF"/>
    <w:rsid w:val="004F13B9"/>
    <w:rsid w:val="004F17A3"/>
    <w:rsid w:val="004F18EB"/>
    <w:rsid w:val="004F19E6"/>
    <w:rsid w:val="004F1A10"/>
    <w:rsid w:val="004F30AE"/>
    <w:rsid w:val="004F3BEE"/>
    <w:rsid w:val="004F4117"/>
    <w:rsid w:val="004F4161"/>
    <w:rsid w:val="004F4296"/>
    <w:rsid w:val="004F452E"/>
    <w:rsid w:val="004F4EB7"/>
    <w:rsid w:val="004F5AC2"/>
    <w:rsid w:val="004F5C2F"/>
    <w:rsid w:val="004F5F52"/>
    <w:rsid w:val="004F641D"/>
    <w:rsid w:val="004F64A1"/>
    <w:rsid w:val="004F6BEB"/>
    <w:rsid w:val="004F6FEB"/>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5098"/>
    <w:rsid w:val="00515530"/>
    <w:rsid w:val="00515ACC"/>
    <w:rsid w:val="005164B3"/>
    <w:rsid w:val="00516989"/>
    <w:rsid w:val="00516CBA"/>
    <w:rsid w:val="00516F67"/>
    <w:rsid w:val="005174F3"/>
    <w:rsid w:val="00517932"/>
    <w:rsid w:val="00517E1C"/>
    <w:rsid w:val="00520271"/>
    <w:rsid w:val="0052073A"/>
    <w:rsid w:val="00520976"/>
    <w:rsid w:val="00520CF7"/>
    <w:rsid w:val="00520F1A"/>
    <w:rsid w:val="005210B7"/>
    <w:rsid w:val="005211A8"/>
    <w:rsid w:val="005212F7"/>
    <w:rsid w:val="005212FC"/>
    <w:rsid w:val="0052136F"/>
    <w:rsid w:val="00521E11"/>
    <w:rsid w:val="005223DF"/>
    <w:rsid w:val="005229DC"/>
    <w:rsid w:val="00522FCC"/>
    <w:rsid w:val="0052328E"/>
    <w:rsid w:val="005241B3"/>
    <w:rsid w:val="00524770"/>
    <w:rsid w:val="00524C3E"/>
    <w:rsid w:val="00524D37"/>
    <w:rsid w:val="00524E9C"/>
    <w:rsid w:val="005250DA"/>
    <w:rsid w:val="005251EB"/>
    <w:rsid w:val="00525584"/>
    <w:rsid w:val="005264C5"/>
    <w:rsid w:val="00526E5D"/>
    <w:rsid w:val="00526FDB"/>
    <w:rsid w:val="005279B7"/>
    <w:rsid w:val="00527C09"/>
    <w:rsid w:val="00527F8C"/>
    <w:rsid w:val="005300C2"/>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390"/>
    <w:rsid w:val="00536714"/>
    <w:rsid w:val="00536DA6"/>
    <w:rsid w:val="005372CD"/>
    <w:rsid w:val="00537328"/>
    <w:rsid w:val="00540A41"/>
    <w:rsid w:val="00540F1E"/>
    <w:rsid w:val="00540F95"/>
    <w:rsid w:val="005413DF"/>
    <w:rsid w:val="0054184A"/>
    <w:rsid w:val="00542CB3"/>
    <w:rsid w:val="00543344"/>
    <w:rsid w:val="005434A0"/>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2FE2"/>
    <w:rsid w:val="00553278"/>
    <w:rsid w:val="005532C4"/>
    <w:rsid w:val="005533B0"/>
    <w:rsid w:val="0055373D"/>
    <w:rsid w:val="00553D6F"/>
    <w:rsid w:val="00553F8A"/>
    <w:rsid w:val="00554037"/>
    <w:rsid w:val="005551C3"/>
    <w:rsid w:val="00555ED6"/>
    <w:rsid w:val="00555F0B"/>
    <w:rsid w:val="005566AB"/>
    <w:rsid w:val="00556B3C"/>
    <w:rsid w:val="00556CB0"/>
    <w:rsid w:val="00557275"/>
    <w:rsid w:val="005572DC"/>
    <w:rsid w:val="00557349"/>
    <w:rsid w:val="00557442"/>
    <w:rsid w:val="005579EE"/>
    <w:rsid w:val="00560149"/>
    <w:rsid w:val="00560364"/>
    <w:rsid w:val="00560E0B"/>
    <w:rsid w:val="00561168"/>
    <w:rsid w:val="005611C2"/>
    <w:rsid w:val="00561211"/>
    <w:rsid w:val="005613CF"/>
    <w:rsid w:val="00561A32"/>
    <w:rsid w:val="005621EC"/>
    <w:rsid w:val="0056227D"/>
    <w:rsid w:val="005625F4"/>
    <w:rsid w:val="005631E8"/>
    <w:rsid w:val="00563221"/>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7272"/>
    <w:rsid w:val="00570B0A"/>
    <w:rsid w:val="00570FC2"/>
    <w:rsid w:val="005715F2"/>
    <w:rsid w:val="00571F2D"/>
    <w:rsid w:val="00571F95"/>
    <w:rsid w:val="00572241"/>
    <w:rsid w:val="005722E9"/>
    <w:rsid w:val="0057279C"/>
    <w:rsid w:val="00572A06"/>
    <w:rsid w:val="00572C8A"/>
    <w:rsid w:val="0057314E"/>
    <w:rsid w:val="00573205"/>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7BE"/>
    <w:rsid w:val="00587A9F"/>
    <w:rsid w:val="00587C4F"/>
    <w:rsid w:val="00587D65"/>
    <w:rsid w:val="00587D78"/>
    <w:rsid w:val="00587DC3"/>
    <w:rsid w:val="005903A2"/>
    <w:rsid w:val="005906A5"/>
    <w:rsid w:val="00590CB3"/>
    <w:rsid w:val="00590F50"/>
    <w:rsid w:val="00591402"/>
    <w:rsid w:val="0059173E"/>
    <w:rsid w:val="00592E55"/>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8DF"/>
    <w:rsid w:val="005A20CE"/>
    <w:rsid w:val="005A20ED"/>
    <w:rsid w:val="005A23F8"/>
    <w:rsid w:val="005A2535"/>
    <w:rsid w:val="005A2AAB"/>
    <w:rsid w:val="005A2B38"/>
    <w:rsid w:val="005A2C9B"/>
    <w:rsid w:val="005A2EFA"/>
    <w:rsid w:val="005A3372"/>
    <w:rsid w:val="005A3640"/>
    <w:rsid w:val="005A4B5B"/>
    <w:rsid w:val="005A4CE2"/>
    <w:rsid w:val="005A5012"/>
    <w:rsid w:val="005A5116"/>
    <w:rsid w:val="005A554D"/>
    <w:rsid w:val="005A59EB"/>
    <w:rsid w:val="005A5D59"/>
    <w:rsid w:val="005A6012"/>
    <w:rsid w:val="005A601B"/>
    <w:rsid w:val="005A6830"/>
    <w:rsid w:val="005A6CA3"/>
    <w:rsid w:val="005A6F5C"/>
    <w:rsid w:val="005A773A"/>
    <w:rsid w:val="005A7EDB"/>
    <w:rsid w:val="005B0195"/>
    <w:rsid w:val="005B08A7"/>
    <w:rsid w:val="005B11CF"/>
    <w:rsid w:val="005B12C1"/>
    <w:rsid w:val="005B1BB5"/>
    <w:rsid w:val="005B1D17"/>
    <w:rsid w:val="005B1EFA"/>
    <w:rsid w:val="005B22E8"/>
    <w:rsid w:val="005B2828"/>
    <w:rsid w:val="005B2D1C"/>
    <w:rsid w:val="005B324C"/>
    <w:rsid w:val="005B3725"/>
    <w:rsid w:val="005B3BA8"/>
    <w:rsid w:val="005B3BE6"/>
    <w:rsid w:val="005B3E6A"/>
    <w:rsid w:val="005B4260"/>
    <w:rsid w:val="005B470A"/>
    <w:rsid w:val="005B4D2B"/>
    <w:rsid w:val="005B52B4"/>
    <w:rsid w:val="005B534D"/>
    <w:rsid w:val="005B54F6"/>
    <w:rsid w:val="005B5505"/>
    <w:rsid w:val="005B59D9"/>
    <w:rsid w:val="005B5DC1"/>
    <w:rsid w:val="005B5F6B"/>
    <w:rsid w:val="005B6026"/>
    <w:rsid w:val="005B64AF"/>
    <w:rsid w:val="005B6597"/>
    <w:rsid w:val="005B6695"/>
    <w:rsid w:val="005B6B12"/>
    <w:rsid w:val="005B6BF6"/>
    <w:rsid w:val="005B76F0"/>
    <w:rsid w:val="005B7B88"/>
    <w:rsid w:val="005C0061"/>
    <w:rsid w:val="005C03CA"/>
    <w:rsid w:val="005C0DB8"/>
    <w:rsid w:val="005C0EF0"/>
    <w:rsid w:val="005C12B2"/>
    <w:rsid w:val="005C1E6C"/>
    <w:rsid w:val="005C217D"/>
    <w:rsid w:val="005C30F3"/>
    <w:rsid w:val="005C3690"/>
    <w:rsid w:val="005C36DC"/>
    <w:rsid w:val="005C3848"/>
    <w:rsid w:val="005C38AE"/>
    <w:rsid w:val="005C393F"/>
    <w:rsid w:val="005C4107"/>
    <w:rsid w:val="005C4703"/>
    <w:rsid w:val="005C493D"/>
    <w:rsid w:val="005C51C5"/>
    <w:rsid w:val="005C53F5"/>
    <w:rsid w:val="005C56A5"/>
    <w:rsid w:val="005C56B4"/>
    <w:rsid w:val="005C56F8"/>
    <w:rsid w:val="005C578B"/>
    <w:rsid w:val="005C58B7"/>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5E9E"/>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2969"/>
    <w:rsid w:val="005F32BC"/>
    <w:rsid w:val="005F32FB"/>
    <w:rsid w:val="005F37A0"/>
    <w:rsid w:val="005F37AE"/>
    <w:rsid w:val="005F37FB"/>
    <w:rsid w:val="005F3BBA"/>
    <w:rsid w:val="005F4337"/>
    <w:rsid w:val="005F49ED"/>
    <w:rsid w:val="005F4CCD"/>
    <w:rsid w:val="005F4E6E"/>
    <w:rsid w:val="005F4E92"/>
    <w:rsid w:val="005F50D8"/>
    <w:rsid w:val="005F5760"/>
    <w:rsid w:val="005F58D7"/>
    <w:rsid w:val="005F59C5"/>
    <w:rsid w:val="005F59EC"/>
    <w:rsid w:val="005F5BEC"/>
    <w:rsid w:val="005F6233"/>
    <w:rsid w:val="005F6510"/>
    <w:rsid w:val="005F68E0"/>
    <w:rsid w:val="005F6AAE"/>
    <w:rsid w:val="005F7491"/>
    <w:rsid w:val="005F7800"/>
    <w:rsid w:val="006014B2"/>
    <w:rsid w:val="00601C34"/>
    <w:rsid w:val="006035B0"/>
    <w:rsid w:val="00604082"/>
    <w:rsid w:val="006042FF"/>
    <w:rsid w:val="006045A7"/>
    <w:rsid w:val="006045B5"/>
    <w:rsid w:val="00604890"/>
    <w:rsid w:val="006057B4"/>
    <w:rsid w:val="00605A19"/>
    <w:rsid w:val="00605D4D"/>
    <w:rsid w:val="006064CF"/>
    <w:rsid w:val="006067B5"/>
    <w:rsid w:val="00606BC7"/>
    <w:rsid w:val="00606C6D"/>
    <w:rsid w:val="00607B16"/>
    <w:rsid w:val="00607B3D"/>
    <w:rsid w:val="006101EB"/>
    <w:rsid w:val="00610410"/>
    <w:rsid w:val="00610796"/>
    <w:rsid w:val="0061079A"/>
    <w:rsid w:val="00610943"/>
    <w:rsid w:val="00610A03"/>
    <w:rsid w:val="00610B07"/>
    <w:rsid w:val="00610E14"/>
    <w:rsid w:val="0061103E"/>
    <w:rsid w:val="0061114B"/>
    <w:rsid w:val="006111CC"/>
    <w:rsid w:val="006118FF"/>
    <w:rsid w:val="00611988"/>
    <w:rsid w:val="00611B42"/>
    <w:rsid w:val="00612216"/>
    <w:rsid w:val="0061233E"/>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4F2"/>
    <w:rsid w:val="00617CA1"/>
    <w:rsid w:val="00617D5D"/>
    <w:rsid w:val="0062012F"/>
    <w:rsid w:val="00620238"/>
    <w:rsid w:val="006203BE"/>
    <w:rsid w:val="0062182D"/>
    <w:rsid w:val="00621C85"/>
    <w:rsid w:val="00621DF5"/>
    <w:rsid w:val="00622240"/>
    <w:rsid w:val="006223C3"/>
    <w:rsid w:val="00622A73"/>
    <w:rsid w:val="00622F0B"/>
    <w:rsid w:val="00623808"/>
    <w:rsid w:val="0062382F"/>
    <w:rsid w:val="00623868"/>
    <w:rsid w:val="00623A46"/>
    <w:rsid w:val="006245EB"/>
    <w:rsid w:val="00624A50"/>
    <w:rsid w:val="00624BB9"/>
    <w:rsid w:val="006250A4"/>
    <w:rsid w:val="00625B11"/>
    <w:rsid w:val="0062601B"/>
    <w:rsid w:val="0062631D"/>
    <w:rsid w:val="006263CE"/>
    <w:rsid w:val="00626CA4"/>
    <w:rsid w:val="00626D32"/>
    <w:rsid w:val="0062734D"/>
    <w:rsid w:val="00627D59"/>
    <w:rsid w:val="00630165"/>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3A5"/>
    <w:rsid w:val="00645858"/>
    <w:rsid w:val="00645CBC"/>
    <w:rsid w:val="00645CD1"/>
    <w:rsid w:val="00645E58"/>
    <w:rsid w:val="006462D0"/>
    <w:rsid w:val="00646C0F"/>
    <w:rsid w:val="00646CE6"/>
    <w:rsid w:val="00646D3F"/>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C7A"/>
    <w:rsid w:val="00656E93"/>
    <w:rsid w:val="0065741F"/>
    <w:rsid w:val="00657B80"/>
    <w:rsid w:val="00657BE7"/>
    <w:rsid w:val="00657C00"/>
    <w:rsid w:val="00657D50"/>
    <w:rsid w:val="00660052"/>
    <w:rsid w:val="00660190"/>
    <w:rsid w:val="006603D3"/>
    <w:rsid w:val="006604BE"/>
    <w:rsid w:val="006604CC"/>
    <w:rsid w:val="00660D82"/>
    <w:rsid w:val="006611BF"/>
    <w:rsid w:val="00661706"/>
    <w:rsid w:val="0066176B"/>
    <w:rsid w:val="0066185A"/>
    <w:rsid w:val="00661B12"/>
    <w:rsid w:val="006623DF"/>
    <w:rsid w:val="00662882"/>
    <w:rsid w:val="00663072"/>
    <w:rsid w:val="006630E0"/>
    <w:rsid w:val="006631EB"/>
    <w:rsid w:val="00663691"/>
    <w:rsid w:val="00663F4C"/>
    <w:rsid w:val="006644F7"/>
    <w:rsid w:val="00665825"/>
    <w:rsid w:val="00665A7C"/>
    <w:rsid w:val="00665CF5"/>
    <w:rsid w:val="00665DEC"/>
    <w:rsid w:val="006667A8"/>
    <w:rsid w:val="0066774F"/>
    <w:rsid w:val="00667827"/>
    <w:rsid w:val="00667FF6"/>
    <w:rsid w:val="006709B7"/>
    <w:rsid w:val="00671363"/>
    <w:rsid w:val="006719CC"/>
    <w:rsid w:val="00672010"/>
    <w:rsid w:val="0067221D"/>
    <w:rsid w:val="00672C04"/>
    <w:rsid w:val="00672D1B"/>
    <w:rsid w:val="006731AA"/>
    <w:rsid w:val="00673206"/>
    <w:rsid w:val="00673563"/>
    <w:rsid w:val="0067394F"/>
    <w:rsid w:val="00673AC8"/>
    <w:rsid w:val="00673C5E"/>
    <w:rsid w:val="00673FAB"/>
    <w:rsid w:val="00674523"/>
    <w:rsid w:val="00674831"/>
    <w:rsid w:val="00674956"/>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A0D"/>
    <w:rsid w:val="00691B63"/>
    <w:rsid w:val="00692214"/>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98C"/>
    <w:rsid w:val="006A5314"/>
    <w:rsid w:val="006A60C9"/>
    <w:rsid w:val="006A61AC"/>
    <w:rsid w:val="006A6374"/>
    <w:rsid w:val="006A64F6"/>
    <w:rsid w:val="006A658C"/>
    <w:rsid w:val="006A66BF"/>
    <w:rsid w:val="006A6A45"/>
    <w:rsid w:val="006A7238"/>
    <w:rsid w:val="006A756A"/>
    <w:rsid w:val="006A797D"/>
    <w:rsid w:val="006A7A10"/>
    <w:rsid w:val="006A7E92"/>
    <w:rsid w:val="006B005C"/>
    <w:rsid w:val="006B09E2"/>
    <w:rsid w:val="006B0DA4"/>
    <w:rsid w:val="006B1220"/>
    <w:rsid w:val="006B145F"/>
    <w:rsid w:val="006B14EC"/>
    <w:rsid w:val="006B1786"/>
    <w:rsid w:val="006B17F1"/>
    <w:rsid w:val="006B1B6B"/>
    <w:rsid w:val="006B2757"/>
    <w:rsid w:val="006B28B3"/>
    <w:rsid w:val="006B2B20"/>
    <w:rsid w:val="006B30A1"/>
    <w:rsid w:val="006B36B2"/>
    <w:rsid w:val="006B3D9E"/>
    <w:rsid w:val="006B4616"/>
    <w:rsid w:val="006B492E"/>
    <w:rsid w:val="006B4D0F"/>
    <w:rsid w:val="006B4FF4"/>
    <w:rsid w:val="006B5605"/>
    <w:rsid w:val="006B5E18"/>
    <w:rsid w:val="006B654F"/>
    <w:rsid w:val="006B677A"/>
    <w:rsid w:val="006B6CDB"/>
    <w:rsid w:val="006B7B72"/>
    <w:rsid w:val="006C0189"/>
    <w:rsid w:val="006C0925"/>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591"/>
    <w:rsid w:val="006D7696"/>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968"/>
    <w:rsid w:val="006E39B5"/>
    <w:rsid w:val="006E4086"/>
    <w:rsid w:val="006E443B"/>
    <w:rsid w:val="006E48AA"/>
    <w:rsid w:val="006E492E"/>
    <w:rsid w:val="006E4A3E"/>
    <w:rsid w:val="006E4C43"/>
    <w:rsid w:val="006E4ED0"/>
    <w:rsid w:val="006E508A"/>
    <w:rsid w:val="006E54A6"/>
    <w:rsid w:val="006E55E7"/>
    <w:rsid w:val="006E56E1"/>
    <w:rsid w:val="006E5CFD"/>
    <w:rsid w:val="006E5D35"/>
    <w:rsid w:val="006E5FD9"/>
    <w:rsid w:val="006E6300"/>
    <w:rsid w:val="006E65C6"/>
    <w:rsid w:val="006E6651"/>
    <w:rsid w:val="006E66F1"/>
    <w:rsid w:val="006E6A98"/>
    <w:rsid w:val="006E6AF5"/>
    <w:rsid w:val="006E6F60"/>
    <w:rsid w:val="006E77B5"/>
    <w:rsid w:val="006E785C"/>
    <w:rsid w:val="006F01FB"/>
    <w:rsid w:val="006F025C"/>
    <w:rsid w:val="006F0524"/>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7009D6"/>
    <w:rsid w:val="00700F4C"/>
    <w:rsid w:val="00700FC6"/>
    <w:rsid w:val="00701127"/>
    <w:rsid w:val="0070137A"/>
    <w:rsid w:val="0070175C"/>
    <w:rsid w:val="0070177E"/>
    <w:rsid w:val="0070204F"/>
    <w:rsid w:val="007023F5"/>
    <w:rsid w:val="00702CC5"/>
    <w:rsid w:val="00702EA4"/>
    <w:rsid w:val="00702FCA"/>
    <w:rsid w:val="00703376"/>
    <w:rsid w:val="0070342E"/>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6C1C"/>
    <w:rsid w:val="00707074"/>
    <w:rsid w:val="007076DA"/>
    <w:rsid w:val="00707C4A"/>
    <w:rsid w:val="00707CD5"/>
    <w:rsid w:val="007101F0"/>
    <w:rsid w:val="007106C0"/>
    <w:rsid w:val="00710E18"/>
    <w:rsid w:val="007118DF"/>
    <w:rsid w:val="00711E12"/>
    <w:rsid w:val="00712300"/>
    <w:rsid w:val="00713061"/>
    <w:rsid w:val="00713399"/>
    <w:rsid w:val="00713FB1"/>
    <w:rsid w:val="007140FD"/>
    <w:rsid w:val="007147A4"/>
    <w:rsid w:val="007151BF"/>
    <w:rsid w:val="00715FE1"/>
    <w:rsid w:val="007161B4"/>
    <w:rsid w:val="00716342"/>
    <w:rsid w:val="007164BF"/>
    <w:rsid w:val="007165A5"/>
    <w:rsid w:val="00716759"/>
    <w:rsid w:val="007167DE"/>
    <w:rsid w:val="00717B52"/>
    <w:rsid w:val="007203BF"/>
    <w:rsid w:val="0072056B"/>
    <w:rsid w:val="007205F7"/>
    <w:rsid w:val="00720850"/>
    <w:rsid w:val="00720A99"/>
    <w:rsid w:val="00720E44"/>
    <w:rsid w:val="00721031"/>
    <w:rsid w:val="00721178"/>
    <w:rsid w:val="00721767"/>
    <w:rsid w:val="00721CB3"/>
    <w:rsid w:val="007223F7"/>
    <w:rsid w:val="00722E94"/>
    <w:rsid w:val="00722F17"/>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163D"/>
    <w:rsid w:val="00731684"/>
    <w:rsid w:val="007318E3"/>
    <w:rsid w:val="00731D04"/>
    <w:rsid w:val="00732295"/>
    <w:rsid w:val="0073230C"/>
    <w:rsid w:val="0073260F"/>
    <w:rsid w:val="00732E6A"/>
    <w:rsid w:val="0073302D"/>
    <w:rsid w:val="007330FF"/>
    <w:rsid w:val="007333C0"/>
    <w:rsid w:val="007333E9"/>
    <w:rsid w:val="0073380E"/>
    <w:rsid w:val="00733A79"/>
    <w:rsid w:val="00733D35"/>
    <w:rsid w:val="00733F83"/>
    <w:rsid w:val="00734107"/>
    <w:rsid w:val="007341E4"/>
    <w:rsid w:val="00734573"/>
    <w:rsid w:val="00734F2C"/>
    <w:rsid w:val="00734F43"/>
    <w:rsid w:val="00735382"/>
    <w:rsid w:val="00735451"/>
    <w:rsid w:val="007354B6"/>
    <w:rsid w:val="00735657"/>
    <w:rsid w:val="00735C87"/>
    <w:rsid w:val="00740229"/>
    <w:rsid w:val="00740703"/>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575"/>
    <w:rsid w:val="00747785"/>
    <w:rsid w:val="0075066B"/>
    <w:rsid w:val="00750BE1"/>
    <w:rsid w:val="0075129A"/>
    <w:rsid w:val="007520A8"/>
    <w:rsid w:val="00752244"/>
    <w:rsid w:val="007529E5"/>
    <w:rsid w:val="00752DE9"/>
    <w:rsid w:val="007531C1"/>
    <w:rsid w:val="00753542"/>
    <w:rsid w:val="00753870"/>
    <w:rsid w:val="0075447C"/>
    <w:rsid w:val="007549AC"/>
    <w:rsid w:val="00754C78"/>
    <w:rsid w:val="0075532F"/>
    <w:rsid w:val="00755C9A"/>
    <w:rsid w:val="00756B73"/>
    <w:rsid w:val="00756E8A"/>
    <w:rsid w:val="00757140"/>
    <w:rsid w:val="00757219"/>
    <w:rsid w:val="0075725E"/>
    <w:rsid w:val="0075730C"/>
    <w:rsid w:val="007574CF"/>
    <w:rsid w:val="0075786E"/>
    <w:rsid w:val="0076041E"/>
    <w:rsid w:val="00760C2F"/>
    <w:rsid w:val="0076123B"/>
    <w:rsid w:val="007613B2"/>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6174"/>
    <w:rsid w:val="00766648"/>
    <w:rsid w:val="00766742"/>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2158"/>
    <w:rsid w:val="0077218E"/>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2D9D"/>
    <w:rsid w:val="00783055"/>
    <w:rsid w:val="00783135"/>
    <w:rsid w:val="00783154"/>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60DB"/>
    <w:rsid w:val="007960DE"/>
    <w:rsid w:val="007971C4"/>
    <w:rsid w:val="007974C1"/>
    <w:rsid w:val="007979BE"/>
    <w:rsid w:val="00797A44"/>
    <w:rsid w:val="00797E0C"/>
    <w:rsid w:val="007A02AF"/>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668"/>
    <w:rsid w:val="007A4EF9"/>
    <w:rsid w:val="007A51AC"/>
    <w:rsid w:val="007A51C5"/>
    <w:rsid w:val="007A5AB6"/>
    <w:rsid w:val="007A5D93"/>
    <w:rsid w:val="007A6114"/>
    <w:rsid w:val="007A6940"/>
    <w:rsid w:val="007A6EEF"/>
    <w:rsid w:val="007A7881"/>
    <w:rsid w:val="007B0A46"/>
    <w:rsid w:val="007B1037"/>
    <w:rsid w:val="007B1175"/>
    <w:rsid w:val="007B1975"/>
    <w:rsid w:val="007B198E"/>
    <w:rsid w:val="007B28C4"/>
    <w:rsid w:val="007B2E4F"/>
    <w:rsid w:val="007B2EFF"/>
    <w:rsid w:val="007B2F1D"/>
    <w:rsid w:val="007B2F22"/>
    <w:rsid w:val="007B30F5"/>
    <w:rsid w:val="007B338B"/>
    <w:rsid w:val="007B36C1"/>
    <w:rsid w:val="007B398A"/>
    <w:rsid w:val="007B42C3"/>
    <w:rsid w:val="007B4656"/>
    <w:rsid w:val="007B4676"/>
    <w:rsid w:val="007B4E95"/>
    <w:rsid w:val="007B56BB"/>
    <w:rsid w:val="007B59C8"/>
    <w:rsid w:val="007B5C15"/>
    <w:rsid w:val="007B5DFE"/>
    <w:rsid w:val="007B6711"/>
    <w:rsid w:val="007B6BFC"/>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FC"/>
    <w:rsid w:val="007C4804"/>
    <w:rsid w:val="007C511F"/>
    <w:rsid w:val="007C53B9"/>
    <w:rsid w:val="007C57C2"/>
    <w:rsid w:val="007C5F63"/>
    <w:rsid w:val="007C6471"/>
    <w:rsid w:val="007C6578"/>
    <w:rsid w:val="007C74B1"/>
    <w:rsid w:val="007C75BF"/>
    <w:rsid w:val="007C778D"/>
    <w:rsid w:val="007C7E56"/>
    <w:rsid w:val="007D07E4"/>
    <w:rsid w:val="007D0991"/>
    <w:rsid w:val="007D0BC2"/>
    <w:rsid w:val="007D0DC1"/>
    <w:rsid w:val="007D1523"/>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4E5E"/>
    <w:rsid w:val="007E4EBC"/>
    <w:rsid w:val="007E56C7"/>
    <w:rsid w:val="007E57C1"/>
    <w:rsid w:val="007E61F1"/>
    <w:rsid w:val="007E6346"/>
    <w:rsid w:val="007E6672"/>
    <w:rsid w:val="007E66F8"/>
    <w:rsid w:val="007E6B8B"/>
    <w:rsid w:val="007E6FFB"/>
    <w:rsid w:val="007E70E1"/>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5030"/>
    <w:rsid w:val="008051D7"/>
    <w:rsid w:val="008053EC"/>
    <w:rsid w:val="008054C6"/>
    <w:rsid w:val="00806632"/>
    <w:rsid w:val="00806858"/>
    <w:rsid w:val="00806C5A"/>
    <w:rsid w:val="00806C73"/>
    <w:rsid w:val="0080734D"/>
    <w:rsid w:val="008073AD"/>
    <w:rsid w:val="00807984"/>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8F4"/>
    <w:rsid w:val="00812BDB"/>
    <w:rsid w:val="0081371D"/>
    <w:rsid w:val="0081382C"/>
    <w:rsid w:val="00813A7F"/>
    <w:rsid w:val="00813AE8"/>
    <w:rsid w:val="0081423D"/>
    <w:rsid w:val="00814D97"/>
    <w:rsid w:val="008150BD"/>
    <w:rsid w:val="008156D0"/>
    <w:rsid w:val="008158E9"/>
    <w:rsid w:val="00815910"/>
    <w:rsid w:val="00815C61"/>
    <w:rsid w:val="00816183"/>
    <w:rsid w:val="008163AA"/>
    <w:rsid w:val="00816716"/>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00C"/>
    <w:rsid w:val="0082744A"/>
    <w:rsid w:val="0082792D"/>
    <w:rsid w:val="008279C0"/>
    <w:rsid w:val="00827B60"/>
    <w:rsid w:val="00827E04"/>
    <w:rsid w:val="00830842"/>
    <w:rsid w:val="0083092F"/>
    <w:rsid w:val="00830FB8"/>
    <w:rsid w:val="00831719"/>
    <w:rsid w:val="00831FC0"/>
    <w:rsid w:val="00832DD0"/>
    <w:rsid w:val="00833405"/>
    <w:rsid w:val="008334D4"/>
    <w:rsid w:val="0083411D"/>
    <w:rsid w:val="00834649"/>
    <w:rsid w:val="0083488C"/>
    <w:rsid w:val="0083548F"/>
    <w:rsid w:val="00835949"/>
    <w:rsid w:val="00835A34"/>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AC5"/>
    <w:rsid w:val="00842D60"/>
    <w:rsid w:val="0084305D"/>
    <w:rsid w:val="00843982"/>
    <w:rsid w:val="008439AB"/>
    <w:rsid w:val="00843BB9"/>
    <w:rsid w:val="00843C16"/>
    <w:rsid w:val="008445CC"/>
    <w:rsid w:val="008446F9"/>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1620"/>
    <w:rsid w:val="00851A97"/>
    <w:rsid w:val="00851ABE"/>
    <w:rsid w:val="008524C4"/>
    <w:rsid w:val="00852CC8"/>
    <w:rsid w:val="00852E76"/>
    <w:rsid w:val="008530DC"/>
    <w:rsid w:val="0085338D"/>
    <w:rsid w:val="008536EB"/>
    <w:rsid w:val="00853B1A"/>
    <w:rsid w:val="00853B56"/>
    <w:rsid w:val="00854AAE"/>
    <w:rsid w:val="00854CA0"/>
    <w:rsid w:val="0085559D"/>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32B"/>
    <w:rsid w:val="008634F3"/>
    <w:rsid w:val="00863708"/>
    <w:rsid w:val="00863879"/>
    <w:rsid w:val="008639EF"/>
    <w:rsid w:val="00863F1C"/>
    <w:rsid w:val="0086476C"/>
    <w:rsid w:val="00865852"/>
    <w:rsid w:val="0086587C"/>
    <w:rsid w:val="00865D34"/>
    <w:rsid w:val="00865DC6"/>
    <w:rsid w:val="0086668A"/>
    <w:rsid w:val="008673FA"/>
    <w:rsid w:val="00867707"/>
    <w:rsid w:val="00867794"/>
    <w:rsid w:val="00867919"/>
    <w:rsid w:val="00871562"/>
    <w:rsid w:val="00871720"/>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77DE3"/>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3A1"/>
    <w:rsid w:val="00883A29"/>
    <w:rsid w:val="00883CEC"/>
    <w:rsid w:val="00884291"/>
    <w:rsid w:val="00884667"/>
    <w:rsid w:val="008846D7"/>
    <w:rsid w:val="008849C6"/>
    <w:rsid w:val="00884A20"/>
    <w:rsid w:val="00885582"/>
    <w:rsid w:val="00885700"/>
    <w:rsid w:val="008858FE"/>
    <w:rsid w:val="00885E31"/>
    <w:rsid w:val="00886163"/>
    <w:rsid w:val="00886450"/>
    <w:rsid w:val="008867EC"/>
    <w:rsid w:val="008869C2"/>
    <w:rsid w:val="00886E55"/>
    <w:rsid w:val="00886F8F"/>
    <w:rsid w:val="0088749B"/>
    <w:rsid w:val="0088758F"/>
    <w:rsid w:val="00890389"/>
    <w:rsid w:val="0089075A"/>
    <w:rsid w:val="00890E73"/>
    <w:rsid w:val="00890FE2"/>
    <w:rsid w:val="008911C4"/>
    <w:rsid w:val="00891391"/>
    <w:rsid w:val="00891B8F"/>
    <w:rsid w:val="00891FE5"/>
    <w:rsid w:val="0089277A"/>
    <w:rsid w:val="00892A2C"/>
    <w:rsid w:val="00892DCB"/>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8D0"/>
    <w:rsid w:val="008A29E6"/>
    <w:rsid w:val="008A2A45"/>
    <w:rsid w:val="008A391C"/>
    <w:rsid w:val="008A4053"/>
    <w:rsid w:val="008A4474"/>
    <w:rsid w:val="008A44F9"/>
    <w:rsid w:val="008A4D40"/>
    <w:rsid w:val="008A4F10"/>
    <w:rsid w:val="008A5324"/>
    <w:rsid w:val="008A623F"/>
    <w:rsid w:val="008A6DDE"/>
    <w:rsid w:val="008A6E9C"/>
    <w:rsid w:val="008A7EE3"/>
    <w:rsid w:val="008B0044"/>
    <w:rsid w:val="008B03F7"/>
    <w:rsid w:val="008B04E2"/>
    <w:rsid w:val="008B0AA5"/>
    <w:rsid w:val="008B0B02"/>
    <w:rsid w:val="008B0F46"/>
    <w:rsid w:val="008B0FBC"/>
    <w:rsid w:val="008B10FD"/>
    <w:rsid w:val="008B1EC4"/>
    <w:rsid w:val="008B202B"/>
    <w:rsid w:val="008B2871"/>
    <w:rsid w:val="008B2B5A"/>
    <w:rsid w:val="008B2F71"/>
    <w:rsid w:val="008B3F9D"/>
    <w:rsid w:val="008B4234"/>
    <w:rsid w:val="008B47D3"/>
    <w:rsid w:val="008B4D80"/>
    <w:rsid w:val="008B4F8C"/>
    <w:rsid w:val="008B5250"/>
    <w:rsid w:val="008B5599"/>
    <w:rsid w:val="008B58CB"/>
    <w:rsid w:val="008B5E1C"/>
    <w:rsid w:val="008B5F45"/>
    <w:rsid w:val="008B6140"/>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3F94"/>
    <w:rsid w:val="008C4169"/>
    <w:rsid w:val="008C49EB"/>
    <w:rsid w:val="008C4C28"/>
    <w:rsid w:val="008C4D68"/>
    <w:rsid w:val="008C503A"/>
    <w:rsid w:val="008C5A41"/>
    <w:rsid w:val="008C6A59"/>
    <w:rsid w:val="008C6B22"/>
    <w:rsid w:val="008C767A"/>
    <w:rsid w:val="008C7BD3"/>
    <w:rsid w:val="008C7C6F"/>
    <w:rsid w:val="008C7E29"/>
    <w:rsid w:val="008D03BE"/>
    <w:rsid w:val="008D073F"/>
    <w:rsid w:val="008D0C5F"/>
    <w:rsid w:val="008D0E55"/>
    <w:rsid w:val="008D0E92"/>
    <w:rsid w:val="008D0EAE"/>
    <w:rsid w:val="008D127D"/>
    <w:rsid w:val="008D13EB"/>
    <w:rsid w:val="008D1A97"/>
    <w:rsid w:val="008D2642"/>
    <w:rsid w:val="008D3190"/>
    <w:rsid w:val="008D38E9"/>
    <w:rsid w:val="008D3FBB"/>
    <w:rsid w:val="008D402B"/>
    <w:rsid w:val="008D4142"/>
    <w:rsid w:val="008D4264"/>
    <w:rsid w:val="008D4358"/>
    <w:rsid w:val="008D4CDF"/>
    <w:rsid w:val="008D5790"/>
    <w:rsid w:val="008D5C28"/>
    <w:rsid w:val="008D60F2"/>
    <w:rsid w:val="008D6386"/>
    <w:rsid w:val="008D6716"/>
    <w:rsid w:val="008D7023"/>
    <w:rsid w:val="008D7161"/>
    <w:rsid w:val="008D71B6"/>
    <w:rsid w:val="008D7909"/>
    <w:rsid w:val="008E018E"/>
    <w:rsid w:val="008E03EF"/>
    <w:rsid w:val="008E0644"/>
    <w:rsid w:val="008E1371"/>
    <w:rsid w:val="008E1DB0"/>
    <w:rsid w:val="008E1F2B"/>
    <w:rsid w:val="008E2159"/>
    <w:rsid w:val="008E240F"/>
    <w:rsid w:val="008E2597"/>
    <w:rsid w:val="008E2890"/>
    <w:rsid w:val="008E2B78"/>
    <w:rsid w:val="008E32E8"/>
    <w:rsid w:val="008E35F6"/>
    <w:rsid w:val="008E376F"/>
    <w:rsid w:val="008E3B82"/>
    <w:rsid w:val="008E3BF2"/>
    <w:rsid w:val="008E3EC0"/>
    <w:rsid w:val="008E3F55"/>
    <w:rsid w:val="008E4A94"/>
    <w:rsid w:val="008E4F52"/>
    <w:rsid w:val="008E52DF"/>
    <w:rsid w:val="008E585D"/>
    <w:rsid w:val="008E5FFC"/>
    <w:rsid w:val="008E687B"/>
    <w:rsid w:val="008E6A8C"/>
    <w:rsid w:val="008E6AC0"/>
    <w:rsid w:val="008E6B8F"/>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03"/>
    <w:rsid w:val="008F54C4"/>
    <w:rsid w:val="008F591C"/>
    <w:rsid w:val="008F59AE"/>
    <w:rsid w:val="008F5C27"/>
    <w:rsid w:val="008F789B"/>
    <w:rsid w:val="00900377"/>
    <w:rsid w:val="009005DD"/>
    <w:rsid w:val="00900900"/>
    <w:rsid w:val="00900ABF"/>
    <w:rsid w:val="00901581"/>
    <w:rsid w:val="00901940"/>
    <w:rsid w:val="009020A8"/>
    <w:rsid w:val="00902FED"/>
    <w:rsid w:val="00903D72"/>
    <w:rsid w:val="009040B1"/>
    <w:rsid w:val="00904F85"/>
    <w:rsid w:val="009058E0"/>
    <w:rsid w:val="00905D92"/>
    <w:rsid w:val="00906383"/>
    <w:rsid w:val="009063F1"/>
    <w:rsid w:val="00906775"/>
    <w:rsid w:val="00906D18"/>
    <w:rsid w:val="00906DB4"/>
    <w:rsid w:val="00906EB5"/>
    <w:rsid w:val="00907153"/>
    <w:rsid w:val="00907F26"/>
    <w:rsid w:val="009109D2"/>
    <w:rsid w:val="009112EF"/>
    <w:rsid w:val="00911732"/>
    <w:rsid w:val="00911828"/>
    <w:rsid w:val="00911AC6"/>
    <w:rsid w:val="00911F2E"/>
    <w:rsid w:val="0091204F"/>
    <w:rsid w:val="009121C2"/>
    <w:rsid w:val="00912A82"/>
    <w:rsid w:val="00913079"/>
    <w:rsid w:val="009134CE"/>
    <w:rsid w:val="009140E6"/>
    <w:rsid w:val="009141A8"/>
    <w:rsid w:val="009147E6"/>
    <w:rsid w:val="00914AD2"/>
    <w:rsid w:val="00914B21"/>
    <w:rsid w:val="00914B40"/>
    <w:rsid w:val="00914BBA"/>
    <w:rsid w:val="00914E6C"/>
    <w:rsid w:val="009150C8"/>
    <w:rsid w:val="00915375"/>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0E4"/>
    <w:rsid w:val="009246E2"/>
    <w:rsid w:val="00925034"/>
    <w:rsid w:val="009250BC"/>
    <w:rsid w:val="009259B1"/>
    <w:rsid w:val="00925E04"/>
    <w:rsid w:val="00925E8F"/>
    <w:rsid w:val="00927C2A"/>
    <w:rsid w:val="00927E87"/>
    <w:rsid w:val="009302F8"/>
    <w:rsid w:val="009306FE"/>
    <w:rsid w:val="00932787"/>
    <w:rsid w:val="00932A30"/>
    <w:rsid w:val="00932A63"/>
    <w:rsid w:val="0093345C"/>
    <w:rsid w:val="0093391C"/>
    <w:rsid w:val="00934587"/>
    <w:rsid w:val="00934C0B"/>
    <w:rsid w:val="00934DDB"/>
    <w:rsid w:val="00934E44"/>
    <w:rsid w:val="0093507B"/>
    <w:rsid w:val="0093555E"/>
    <w:rsid w:val="0093610A"/>
    <w:rsid w:val="00936BBF"/>
    <w:rsid w:val="00937290"/>
    <w:rsid w:val="00937301"/>
    <w:rsid w:val="00937342"/>
    <w:rsid w:val="009373BE"/>
    <w:rsid w:val="00937519"/>
    <w:rsid w:val="00937CA9"/>
    <w:rsid w:val="00937EE2"/>
    <w:rsid w:val="00940055"/>
    <w:rsid w:val="009402EC"/>
    <w:rsid w:val="0094081B"/>
    <w:rsid w:val="00940A60"/>
    <w:rsid w:val="00940F8E"/>
    <w:rsid w:val="00941681"/>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A09"/>
    <w:rsid w:val="00950011"/>
    <w:rsid w:val="00950B2F"/>
    <w:rsid w:val="00950E68"/>
    <w:rsid w:val="00950F6E"/>
    <w:rsid w:val="009521F2"/>
    <w:rsid w:val="009523FC"/>
    <w:rsid w:val="00953951"/>
    <w:rsid w:val="00953FA6"/>
    <w:rsid w:val="009541EB"/>
    <w:rsid w:val="0095445E"/>
    <w:rsid w:val="00954598"/>
    <w:rsid w:val="009545F9"/>
    <w:rsid w:val="00954691"/>
    <w:rsid w:val="00954772"/>
    <w:rsid w:val="00954B8E"/>
    <w:rsid w:val="009550E0"/>
    <w:rsid w:val="0095511D"/>
    <w:rsid w:val="00955915"/>
    <w:rsid w:val="00955BEB"/>
    <w:rsid w:val="00955E3B"/>
    <w:rsid w:val="0095696D"/>
    <w:rsid w:val="00956A2D"/>
    <w:rsid w:val="00956AB7"/>
    <w:rsid w:val="00957D5F"/>
    <w:rsid w:val="009604E8"/>
    <w:rsid w:val="0096082D"/>
    <w:rsid w:val="00960AC4"/>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5764"/>
    <w:rsid w:val="00966824"/>
    <w:rsid w:val="00967052"/>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4B81"/>
    <w:rsid w:val="00974C56"/>
    <w:rsid w:val="009757FB"/>
    <w:rsid w:val="00975981"/>
    <w:rsid w:val="00975AB2"/>
    <w:rsid w:val="00976526"/>
    <w:rsid w:val="009768B2"/>
    <w:rsid w:val="00976C8F"/>
    <w:rsid w:val="00976E83"/>
    <w:rsid w:val="00976F71"/>
    <w:rsid w:val="009770A3"/>
    <w:rsid w:val="00977A54"/>
    <w:rsid w:val="00980251"/>
    <w:rsid w:val="00980DB0"/>
    <w:rsid w:val="00980E3A"/>
    <w:rsid w:val="00980E8B"/>
    <w:rsid w:val="009814A9"/>
    <w:rsid w:val="009817EE"/>
    <w:rsid w:val="00981B56"/>
    <w:rsid w:val="00981F6A"/>
    <w:rsid w:val="00982D0F"/>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526D"/>
    <w:rsid w:val="00995354"/>
    <w:rsid w:val="009954AA"/>
    <w:rsid w:val="009959E3"/>
    <w:rsid w:val="00995D7F"/>
    <w:rsid w:val="00995DC1"/>
    <w:rsid w:val="0099632D"/>
    <w:rsid w:val="0099699E"/>
    <w:rsid w:val="0099702F"/>
    <w:rsid w:val="00997CAB"/>
    <w:rsid w:val="009A0166"/>
    <w:rsid w:val="009A082B"/>
    <w:rsid w:val="009A0F6E"/>
    <w:rsid w:val="009A16E5"/>
    <w:rsid w:val="009A1FD2"/>
    <w:rsid w:val="009A24D8"/>
    <w:rsid w:val="009A274A"/>
    <w:rsid w:val="009A27A3"/>
    <w:rsid w:val="009A27DB"/>
    <w:rsid w:val="009A27DE"/>
    <w:rsid w:val="009A2D10"/>
    <w:rsid w:val="009A30FC"/>
    <w:rsid w:val="009A3551"/>
    <w:rsid w:val="009A376C"/>
    <w:rsid w:val="009A3B8D"/>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1082"/>
    <w:rsid w:val="009B1617"/>
    <w:rsid w:val="009B1705"/>
    <w:rsid w:val="009B19E3"/>
    <w:rsid w:val="009B1BFE"/>
    <w:rsid w:val="009B1F19"/>
    <w:rsid w:val="009B23F5"/>
    <w:rsid w:val="009B240B"/>
    <w:rsid w:val="009B2BFF"/>
    <w:rsid w:val="009B2FD0"/>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63"/>
    <w:rsid w:val="009B7753"/>
    <w:rsid w:val="009B7EEA"/>
    <w:rsid w:val="009C0D0A"/>
    <w:rsid w:val="009C0EB5"/>
    <w:rsid w:val="009C0F5C"/>
    <w:rsid w:val="009C1132"/>
    <w:rsid w:val="009C1A3D"/>
    <w:rsid w:val="009C1AFC"/>
    <w:rsid w:val="009C2046"/>
    <w:rsid w:val="009C2AA0"/>
    <w:rsid w:val="009C2AEA"/>
    <w:rsid w:val="009C2DAE"/>
    <w:rsid w:val="009C42C5"/>
    <w:rsid w:val="009C4305"/>
    <w:rsid w:val="009C44EB"/>
    <w:rsid w:val="009C4A3F"/>
    <w:rsid w:val="009C4AB2"/>
    <w:rsid w:val="009C58D4"/>
    <w:rsid w:val="009C62B8"/>
    <w:rsid w:val="009C66AD"/>
    <w:rsid w:val="009C66E0"/>
    <w:rsid w:val="009C6EBB"/>
    <w:rsid w:val="009C704F"/>
    <w:rsid w:val="009C70A1"/>
    <w:rsid w:val="009C7693"/>
    <w:rsid w:val="009C7694"/>
    <w:rsid w:val="009C794D"/>
    <w:rsid w:val="009C7E2D"/>
    <w:rsid w:val="009C7F08"/>
    <w:rsid w:val="009D010F"/>
    <w:rsid w:val="009D026F"/>
    <w:rsid w:val="009D05E2"/>
    <w:rsid w:val="009D0622"/>
    <w:rsid w:val="009D0652"/>
    <w:rsid w:val="009D0DC3"/>
    <w:rsid w:val="009D0E05"/>
    <w:rsid w:val="009D10D9"/>
    <w:rsid w:val="009D154C"/>
    <w:rsid w:val="009D19E7"/>
    <w:rsid w:val="009D1D84"/>
    <w:rsid w:val="009D2034"/>
    <w:rsid w:val="009D23AB"/>
    <w:rsid w:val="009D2592"/>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FA4"/>
    <w:rsid w:val="009E020B"/>
    <w:rsid w:val="009E03BA"/>
    <w:rsid w:val="009E03E3"/>
    <w:rsid w:val="009E0A1A"/>
    <w:rsid w:val="009E0F47"/>
    <w:rsid w:val="009E129F"/>
    <w:rsid w:val="009E1425"/>
    <w:rsid w:val="009E15F3"/>
    <w:rsid w:val="009E176E"/>
    <w:rsid w:val="009E1DBD"/>
    <w:rsid w:val="009E1FDF"/>
    <w:rsid w:val="009E2BDE"/>
    <w:rsid w:val="009E3CFE"/>
    <w:rsid w:val="009E3E86"/>
    <w:rsid w:val="009E4454"/>
    <w:rsid w:val="009E4F1A"/>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1997"/>
    <w:rsid w:val="009F2098"/>
    <w:rsid w:val="009F26C1"/>
    <w:rsid w:val="009F2B45"/>
    <w:rsid w:val="009F34D6"/>
    <w:rsid w:val="009F3A1F"/>
    <w:rsid w:val="009F3C54"/>
    <w:rsid w:val="009F4246"/>
    <w:rsid w:val="009F43DB"/>
    <w:rsid w:val="009F43EE"/>
    <w:rsid w:val="009F4730"/>
    <w:rsid w:val="009F4ACC"/>
    <w:rsid w:val="009F4F0A"/>
    <w:rsid w:val="009F4FA0"/>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835"/>
    <w:rsid w:val="00A03F4B"/>
    <w:rsid w:val="00A04085"/>
    <w:rsid w:val="00A044EC"/>
    <w:rsid w:val="00A047E7"/>
    <w:rsid w:val="00A04B6B"/>
    <w:rsid w:val="00A04D01"/>
    <w:rsid w:val="00A052FF"/>
    <w:rsid w:val="00A06211"/>
    <w:rsid w:val="00A06C5E"/>
    <w:rsid w:val="00A06F50"/>
    <w:rsid w:val="00A06FEA"/>
    <w:rsid w:val="00A07028"/>
    <w:rsid w:val="00A07FB6"/>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8C8"/>
    <w:rsid w:val="00A250B4"/>
    <w:rsid w:val="00A2537E"/>
    <w:rsid w:val="00A255CC"/>
    <w:rsid w:val="00A25625"/>
    <w:rsid w:val="00A2573D"/>
    <w:rsid w:val="00A258F7"/>
    <w:rsid w:val="00A25EDC"/>
    <w:rsid w:val="00A25F3F"/>
    <w:rsid w:val="00A267C2"/>
    <w:rsid w:val="00A269F7"/>
    <w:rsid w:val="00A27AD9"/>
    <w:rsid w:val="00A27B86"/>
    <w:rsid w:val="00A27D22"/>
    <w:rsid w:val="00A27D7A"/>
    <w:rsid w:val="00A308E0"/>
    <w:rsid w:val="00A30B49"/>
    <w:rsid w:val="00A30BE4"/>
    <w:rsid w:val="00A30E0C"/>
    <w:rsid w:val="00A30F11"/>
    <w:rsid w:val="00A31618"/>
    <w:rsid w:val="00A316B4"/>
    <w:rsid w:val="00A317D6"/>
    <w:rsid w:val="00A326AD"/>
    <w:rsid w:val="00A33092"/>
    <w:rsid w:val="00A33263"/>
    <w:rsid w:val="00A3340B"/>
    <w:rsid w:val="00A33D53"/>
    <w:rsid w:val="00A351FC"/>
    <w:rsid w:val="00A352F0"/>
    <w:rsid w:val="00A35AA9"/>
    <w:rsid w:val="00A35F13"/>
    <w:rsid w:val="00A36067"/>
    <w:rsid w:val="00A36114"/>
    <w:rsid w:val="00A36247"/>
    <w:rsid w:val="00A36324"/>
    <w:rsid w:val="00A36497"/>
    <w:rsid w:val="00A365BA"/>
    <w:rsid w:val="00A36CD9"/>
    <w:rsid w:val="00A370C3"/>
    <w:rsid w:val="00A379B0"/>
    <w:rsid w:val="00A37E93"/>
    <w:rsid w:val="00A40419"/>
    <w:rsid w:val="00A404E2"/>
    <w:rsid w:val="00A405BB"/>
    <w:rsid w:val="00A408D7"/>
    <w:rsid w:val="00A410CC"/>
    <w:rsid w:val="00A4135F"/>
    <w:rsid w:val="00A413C0"/>
    <w:rsid w:val="00A41834"/>
    <w:rsid w:val="00A41C79"/>
    <w:rsid w:val="00A42C6D"/>
    <w:rsid w:val="00A42D9D"/>
    <w:rsid w:val="00A43A35"/>
    <w:rsid w:val="00A43BD4"/>
    <w:rsid w:val="00A4401A"/>
    <w:rsid w:val="00A445C6"/>
    <w:rsid w:val="00A44D8D"/>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D32"/>
    <w:rsid w:val="00A520F5"/>
    <w:rsid w:val="00A52152"/>
    <w:rsid w:val="00A521EA"/>
    <w:rsid w:val="00A521ED"/>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C5A"/>
    <w:rsid w:val="00A66D2C"/>
    <w:rsid w:val="00A66DB9"/>
    <w:rsid w:val="00A66DBF"/>
    <w:rsid w:val="00A66EE1"/>
    <w:rsid w:val="00A67451"/>
    <w:rsid w:val="00A674E9"/>
    <w:rsid w:val="00A6785E"/>
    <w:rsid w:val="00A67F30"/>
    <w:rsid w:val="00A67F82"/>
    <w:rsid w:val="00A70BA6"/>
    <w:rsid w:val="00A71171"/>
    <w:rsid w:val="00A712FC"/>
    <w:rsid w:val="00A71306"/>
    <w:rsid w:val="00A73D62"/>
    <w:rsid w:val="00A7505B"/>
    <w:rsid w:val="00A75A15"/>
    <w:rsid w:val="00A75C4C"/>
    <w:rsid w:val="00A76335"/>
    <w:rsid w:val="00A7664A"/>
    <w:rsid w:val="00A767FC"/>
    <w:rsid w:val="00A76A15"/>
    <w:rsid w:val="00A76A1B"/>
    <w:rsid w:val="00A76AD8"/>
    <w:rsid w:val="00A76EDB"/>
    <w:rsid w:val="00A772D0"/>
    <w:rsid w:val="00A773DC"/>
    <w:rsid w:val="00A778BC"/>
    <w:rsid w:val="00A80505"/>
    <w:rsid w:val="00A80BC1"/>
    <w:rsid w:val="00A80EA7"/>
    <w:rsid w:val="00A80FEE"/>
    <w:rsid w:val="00A81081"/>
    <w:rsid w:val="00A812E6"/>
    <w:rsid w:val="00A818EB"/>
    <w:rsid w:val="00A81BC7"/>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0C5"/>
    <w:rsid w:val="00A9038C"/>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AAE"/>
    <w:rsid w:val="00A9464B"/>
    <w:rsid w:val="00A9465B"/>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16D7"/>
    <w:rsid w:val="00AB2227"/>
    <w:rsid w:val="00AB225F"/>
    <w:rsid w:val="00AB29B4"/>
    <w:rsid w:val="00AB2AC8"/>
    <w:rsid w:val="00AB2B0B"/>
    <w:rsid w:val="00AB2C34"/>
    <w:rsid w:val="00AB3628"/>
    <w:rsid w:val="00AB385A"/>
    <w:rsid w:val="00AB3D7D"/>
    <w:rsid w:val="00AB3DBE"/>
    <w:rsid w:val="00AB3E54"/>
    <w:rsid w:val="00AB3E9E"/>
    <w:rsid w:val="00AB3F7F"/>
    <w:rsid w:val="00AB411F"/>
    <w:rsid w:val="00AB51C0"/>
    <w:rsid w:val="00AB534C"/>
    <w:rsid w:val="00AB5D7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6BB"/>
    <w:rsid w:val="00AC2758"/>
    <w:rsid w:val="00AC2D66"/>
    <w:rsid w:val="00AC2EC4"/>
    <w:rsid w:val="00AC3E22"/>
    <w:rsid w:val="00AC4A8E"/>
    <w:rsid w:val="00AC4B1C"/>
    <w:rsid w:val="00AC50E9"/>
    <w:rsid w:val="00AC50FD"/>
    <w:rsid w:val="00AC5949"/>
    <w:rsid w:val="00AC5AED"/>
    <w:rsid w:val="00AC5CCD"/>
    <w:rsid w:val="00AC5CED"/>
    <w:rsid w:val="00AC631D"/>
    <w:rsid w:val="00AC670D"/>
    <w:rsid w:val="00AC6BA0"/>
    <w:rsid w:val="00AC71B2"/>
    <w:rsid w:val="00AC7635"/>
    <w:rsid w:val="00AC774B"/>
    <w:rsid w:val="00AC7764"/>
    <w:rsid w:val="00AC77A8"/>
    <w:rsid w:val="00AC79E0"/>
    <w:rsid w:val="00AC7BCD"/>
    <w:rsid w:val="00AC7E76"/>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94C"/>
    <w:rsid w:val="00AD6CD5"/>
    <w:rsid w:val="00AE0E18"/>
    <w:rsid w:val="00AE0F32"/>
    <w:rsid w:val="00AE24F3"/>
    <w:rsid w:val="00AE2CC4"/>
    <w:rsid w:val="00AE2F10"/>
    <w:rsid w:val="00AE33F4"/>
    <w:rsid w:val="00AE3D96"/>
    <w:rsid w:val="00AE3FDC"/>
    <w:rsid w:val="00AE4FC7"/>
    <w:rsid w:val="00AE5271"/>
    <w:rsid w:val="00AE5433"/>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3F1D"/>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1CA"/>
    <w:rsid w:val="00AF761C"/>
    <w:rsid w:val="00AF781B"/>
    <w:rsid w:val="00AF7C11"/>
    <w:rsid w:val="00AF7E24"/>
    <w:rsid w:val="00AF7E46"/>
    <w:rsid w:val="00B00BEC"/>
    <w:rsid w:val="00B00DF5"/>
    <w:rsid w:val="00B016C1"/>
    <w:rsid w:val="00B01DB3"/>
    <w:rsid w:val="00B01DCC"/>
    <w:rsid w:val="00B028CB"/>
    <w:rsid w:val="00B036D5"/>
    <w:rsid w:val="00B03969"/>
    <w:rsid w:val="00B040F3"/>
    <w:rsid w:val="00B04279"/>
    <w:rsid w:val="00B04283"/>
    <w:rsid w:val="00B05096"/>
    <w:rsid w:val="00B05427"/>
    <w:rsid w:val="00B05441"/>
    <w:rsid w:val="00B05B62"/>
    <w:rsid w:val="00B05C99"/>
    <w:rsid w:val="00B07101"/>
    <w:rsid w:val="00B07463"/>
    <w:rsid w:val="00B07994"/>
    <w:rsid w:val="00B103D7"/>
    <w:rsid w:val="00B10921"/>
    <w:rsid w:val="00B10E7E"/>
    <w:rsid w:val="00B114F0"/>
    <w:rsid w:val="00B11AC2"/>
    <w:rsid w:val="00B11EFB"/>
    <w:rsid w:val="00B123ED"/>
    <w:rsid w:val="00B13011"/>
    <w:rsid w:val="00B1309C"/>
    <w:rsid w:val="00B13118"/>
    <w:rsid w:val="00B13428"/>
    <w:rsid w:val="00B141CE"/>
    <w:rsid w:val="00B14CC4"/>
    <w:rsid w:val="00B14D0D"/>
    <w:rsid w:val="00B14DFF"/>
    <w:rsid w:val="00B154E6"/>
    <w:rsid w:val="00B15C0B"/>
    <w:rsid w:val="00B16A01"/>
    <w:rsid w:val="00B16B3C"/>
    <w:rsid w:val="00B1790D"/>
    <w:rsid w:val="00B17AF3"/>
    <w:rsid w:val="00B17D87"/>
    <w:rsid w:val="00B2035F"/>
    <w:rsid w:val="00B203DC"/>
    <w:rsid w:val="00B208FE"/>
    <w:rsid w:val="00B21274"/>
    <w:rsid w:val="00B21548"/>
    <w:rsid w:val="00B22006"/>
    <w:rsid w:val="00B22030"/>
    <w:rsid w:val="00B222F2"/>
    <w:rsid w:val="00B2286F"/>
    <w:rsid w:val="00B23047"/>
    <w:rsid w:val="00B23DDF"/>
    <w:rsid w:val="00B243CB"/>
    <w:rsid w:val="00B25327"/>
    <w:rsid w:val="00B25399"/>
    <w:rsid w:val="00B25C8A"/>
    <w:rsid w:val="00B26198"/>
    <w:rsid w:val="00B27499"/>
    <w:rsid w:val="00B275D7"/>
    <w:rsid w:val="00B2764F"/>
    <w:rsid w:val="00B27EDD"/>
    <w:rsid w:val="00B303A1"/>
    <w:rsid w:val="00B30933"/>
    <w:rsid w:val="00B30BCC"/>
    <w:rsid w:val="00B31386"/>
    <w:rsid w:val="00B314F3"/>
    <w:rsid w:val="00B31666"/>
    <w:rsid w:val="00B31A88"/>
    <w:rsid w:val="00B31B09"/>
    <w:rsid w:val="00B3222D"/>
    <w:rsid w:val="00B32A46"/>
    <w:rsid w:val="00B33214"/>
    <w:rsid w:val="00B33761"/>
    <w:rsid w:val="00B3384F"/>
    <w:rsid w:val="00B33C3F"/>
    <w:rsid w:val="00B33D10"/>
    <w:rsid w:val="00B33EB5"/>
    <w:rsid w:val="00B34BFB"/>
    <w:rsid w:val="00B353DD"/>
    <w:rsid w:val="00B35640"/>
    <w:rsid w:val="00B35F06"/>
    <w:rsid w:val="00B36F57"/>
    <w:rsid w:val="00B3711F"/>
    <w:rsid w:val="00B3712E"/>
    <w:rsid w:val="00B37185"/>
    <w:rsid w:val="00B37295"/>
    <w:rsid w:val="00B37830"/>
    <w:rsid w:val="00B3786F"/>
    <w:rsid w:val="00B40B74"/>
    <w:rsid w:val="00B40D81"/>
    <w:rsid w:val="00B4130E"/>
    <w:rsid w:val="00B417D4"/>
    <w:rsid w:val="00B425CC"/>
    <w:rsid w:val="00B42BD1"/>
    <w:rsid w:val="00B42FB6"/>
    <w:rsid w:val="00B4325C"/>
    <w:rsid w:val="00B43388"/>
    <w:rsid w:val="00B44AFC"/>
    <w:rsid w:val="00B44F2A"/>
    <w:rsid w:val="00B450E6"/>
    <w:rsid w:val="00B46251"/>
    <w:rsid w:val="00B462B8"/>
    <w:rsid w:val="00B46422"/>
    <w:rsid w:val="00B46EF0"/>
    <w:rsid w:val="00B47807"/>
    <w:rsid w:val="00B47C39"/>
    <w:rsid w:val="00B50534"/>
    <w:rsid w:val="00B507E1"/>
    <w:rsid w:val="00B50CC8"/>
    <w:rsid w:val="00B510B3"/>
    <w:rsid w:val="00B51722"/>
    <w:rsid w:val="00B51C6C"/>
    <w:rsid w:val="00B51D00"/>
    <w:rsid w:val="00B524DE"/>
    <w:rsid w:val="00B52E10"/>
    <w:rsid w:val="00B55282"/>
    <w:rsid w:val="00B5534F"/>
    <w:rsid w:val="00B55ABB"/>
    <w:rsid w:val="00B55E00"/>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5001"/>
    <w:rsid w:val="00B85345"/>
    <w:rsid w:val="00B85764"/>
    <w:rsid w:val="00B857B7"/>
    <w:rsid w:val="00B85BAE"/>
    <w:rsid w:val="00B85C15"/>
    <w:rsid w:val="00B85C5B"/>
    <w:rsid w:val="00B85D0A"/>
    <w:rsid w:val="00B85DC6"/>
    <w:rsid w:val="00B85DDA"/>
    <w:rsid w:val="00B86274"/>
    <w:rsid w:val="00B86FD7"/>
    <w:rsid w:val="00B8709F"/>
    <w:rsid w:val="00B87124"/>
    <w:rsid w:val="00B8784E"/>
    <w:rsid w:val="00B90DAF"/>
    <w:rsid w:val="00B919AB"/>
    <w:rsid w:val="00B91A63"/>
    <w:rsid w:val="00B91B6E"/>
    <w:rsid w:val="00B91D44"/>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B54"/>
    <w:rsid w:val="00B96D24"/>
    <w:rsid w:val="00B970E3"/>
    <w:rsid w:val="00B97689"/>
    <w:rsid w:val="00BA08E7"/>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4D44"/>
    <w:rsid w:val="00BA538D"/>
    <w:rsid w:val="00BA54E9"/>
    <w:rsid w:val="00BA5E68"/>
    <w:rsid w:val="00BA62BD"/>
    <w:rsid w:val="00BA6689"/>
    <w:rsid w:val="00BA66F2"/>
    <w:rsid w:val="00BA6AFD"/>
    <w:rsid w:val="00BA6B57"/>
    <w:rsid w:val="00BA6EA2"/>
    <w:rsid w:val="00BA70FA"/>
    <w:rsid w:val="00BA71FA"/>
    <w:rsid w:val="00BB02DB"/>
    <w:rsid w:val="00BB0B6E"/>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4FFD"/>
    <w:rsid w:val="00BC517F"/>
    <w:rsid w:val="00BC5213"/>
    <w:rsid w:val="00BC5384"/>
    <w:rsid w:val="00BC588F"/>
    <w:rsid w:val="00BC5C8E"/>
    <w:rsid w:val="00BC6004"/>
    <w:rsid w:val="00BC62B2"/>
    <w:rsid w:val="00BC7002"/>
    <w:rsid w:val="00BC70D2"/>
    <w:rsid w:val="00BC77DF"/>
    <w:rsid w:val="00BC79D3"/>
    <w:rsid w:val="00BD03AA"/>
    <w:rsid w:val="00BD0A04"/>
    <w:rsid w:val="00BD0F8C"/>
    <w:rsid w:val="00BD115D"/>
    <w:rsid w:val="00BD11D5"/>
    <w:rsid w:val="00BD11F4"/>
    <w:rsid w:val="00BD164D"/>
    <w:rsid w:val="00BD2013"/>
    <w:rsid w:val="00BD20AC"/>
    <w:rsid w:val="00BD25D2"/>
    <w:rsid w:val="00BD2E2E"/>
    <w:rsid w:val="00BD31B3"/>
    <w:rsid w:val="00BD332D"/>
    <w:rsid w:val="00BD3B0E"/>
    <w:rsid w:val="00BD41C7"/>
    <w:rsid w:val="00BD4302"/>
    <w:rsid w:val="00BD469B"/>
    <w:rsid w:val="00BD4C05"/>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21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16FD"/>
    <w:rsid w:val="00C018E0"/>
    <w:rsid w:val="00C01EFF"/>
    <w:rsid w:val="00C024F5"/>
    <w:rsid w:val="00C02BE1"/>
    <w:rsid w:val="00C02D5D"/>
    <w:rsid w:val="00C0370A"/>
    <w:rsid w:val="00C03872"/>
    <w:rsid w:val="00C038E5"/>
    <w:rsid w:val="00C054D9"/>
    <w:rsid w:val="00C05671"/>
    <w:rsid w:val="00C058DC"/>
    <w:rsid w:val="00C065A4"/>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BE0"/>
    <w:rsid w:val="00C17C83"/>
    <w:rsid w:val="00C206BD"/>
    <w:rsid w:val="00C209CC"/>
    <w:rsid w:val="00C21578"/>
    <w:rsid w:val="00C217C3"/>
    <w:rsid w:val="00C21AD3"/>
    <w:rsid w:val="00C21C03"/>
    <w:rsid w:val="00C2257E"/>
    <w:rsid w:val="00C22A7B"/>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2C62"/>
    <w:rsid w:val="00C332B6"/>
    <w:rsid w:val="00C33319"/>
    <w:rsid w:val="00C33885"/>
    <w:rsid w:val="00C33C05"/>
    <w:rsid w:val="00C340DD"/>
    <w:rsid w:val="00C345D7"/>
    <w:rsid w:val="00C34E41"/>
    <w:rsid w:val="00C34F99"/>
    <w:rsid w:val="00C350DE"/>
    <w:rsid w:val="00C3630B"/>
    <w:rsid w:val="00C367BD"/>
    <w:rsid w:val="00C36B53"/>
    <w:rsid w:val="00C36F6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503A"/>
    <w:rsid w:val="00C465B5"/>
    <w:rsid w:val="00C465C5"/>
    <w:rsid w:val="00C469CF"/>
    <w:rsid w:val="00C46AA2"/>
    <w:rsid w:val="00C476FB"/>
    <w:rsid w:val="00C47D18"/>
    <w:rsid w:val="00C47D21"/>
    <w:rsid w:val="00C50EFB"/>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CA8"/>
    <w:rsid w:val="00C570F9"/>
    <w:rsid w:val="00C571B0"/>
    <w:rsid w:val="00C600A2"/>
    <w:rsid w:val="00C603E4"/>
    <w:rsid w:val="00C60425"/>
    <w:rsid w:val="00C60620"/>
    <w:rsid w:val="00C6063C"/>
    <w:rsid w:val="00C60778"/>
    <w:rsid w:val="00C60B79"/>
    <w:rsid w:val="00C61B3B"/>
    <w:rsid w:val="00C62014"/>
    <w:rsid w:val="00C62999"/>
    <w:rsid w:val="00C629A9"/>
    <w:rsid w:val="00C638E3"/>
    <w:rsid w:val="00C63E3B"/>
    <w:rsid w:val="00C64929"/>
    <w:rsid w:val="00C64E25"/>
    <w:rsid w:val="00C65438"/>
    <w:rsid w:val="00C6639C"/>
    <w:rsid w:val="00C6665B"/>
    <w:rsid w:val="00C668F5"/>
    <w:rsid w:val="00C67A23"/>
    <w:rsid w:val="00C67E40"/>
    <w:rsid w:val="00C7017B"/>
    <w:rsid w:val="00C702A3"/>
    <w:rsid w:val="00C71855"/>
    <w:rsid w:val="00C71B41"/>
    <w:rsid w:val="00C71F8B"/>
    <w:rsid w:val="00C72837"/>
    <w:rsid w:val="00C72ACF"/>
    <w:rsid w:val="00C72E8C"/>
    <w:rsid w:val="00C730E2"/>
    <w:rsid w:val="00C7334B"/>
    <w:rsid w:val="00C7367B"/>
    <w:rsid w:val="00C73789"/>
    <w:rsid w:val="00C73DBB"/>
    <w:rsid w:val="00C73EAC"/>
    <w:rsid w:val="00C74093"/>
    <w:rsid w:val="00C744A9"/>
    <w:rsid w:val="00C7477F"/>
    <w:rsid w:val="00C748E1"/>
    <w:rsid w:val="00C762CA"/>
    <w:rsid w:val="00C76449"/>
    <w:rsid w:val="00C76DAC"/>
    <w:rsid w:val="00C76F8B"/>
    <w:rsid w:val="00C77394"/>
    <w:rsid w:val="00C775F7"/>
    <w:rsid w:val="00C77E5F"/>
    <w:rsid w:val="00C77F8C"/>
    <w:rsid w:val="00C80DDB"/>
    <w:rsid w:val="00C81029"/>
    <w:rsid w:val="00C81169"/>
    <w:rsid w:val="00C8126F"/>
    <w:rsid w:val="00C8292C"/>
    <w:rsid w:val="00C83F8E"/>
    <w:rsid w:val="00C84820"/>
    <w:rsid w:val="00C84A0F"/>
    <w:rsid w:val="00C84BC2"/>
    <w:rsid w:val="00C84FA0"/>
    <w:rsid w:val="00C85513"/>
    <w:rsid w:val="00C8591A"/>
    <w:rsid w:val="00C859F9"/>
    <w:rsid w:val="00C85E79"/>
    <w:rsid w:val="00C85F26"/>
    <w:rsid w:val="00C860B7"/>
    <w:rsid w:val="00C87077"/>
    <w:rsid w:val="00C8748F"/>
    <w:rsid w:val="00C8761A"/>
    <w:rsid w:val="00C8789F"/>
    <w:rsid w:val="00C87FB7"/>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FB0"/>
    <w:rsid w:val="00C93525"/>
    <w:rsid w:val="00C9460F"/>
    <w:rsid w:val="00C949B5"/>
    <w:rsid w:val="00C94EA9"/>
    <w:rsid w:val="00C95264"/>
    <w:rsid w:val="00C9560A"/>
    <w:rsid w:val="00C95806"/>
    <w:rsid w:val="00C96385"/>
    <w:rsid w:val="00C96468"/>
    <w:rsid w:val="00C9693D"/>
    <w:rsid w:val="00C96B99"/>
    <w:rsid w:val="00C96D26"/>
    <w:rsid w:val="00C96EBD"/>
    <w:rsid w:val="00C97198"/>
    <w:rsid w:val="00C9781B"/>
    <w:rsid w:val="00C97F26"/>
    <w:rsid w:val="00C97F55"/>
    <w:rsid w:val="00CA003E"/>
    <w:rsid w:val="00CA0451"/>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E75"/>
    <w:rsid w:val="00CA52A3"/>
    <w:rsid w:val="00CA5589"/>
    <w:rsid w:val="00CA565A"/>
    <w:rsid w:val="00CA679E"/>
    <w:rsid w:val="00CA719F"/>
    <w:rsid w:val="00CA75B1"/>
    <w:rsid w:val="00CA7F1A"/>
    <w:rsid w:val="00CB0120"/>
    <w:rsid w:val="00CB058B"/>
    <w:rsid w:val="00CB0ADE"/>
    <w:rsid w:val="00CB2255"/>
    <w:rsid w:val="00CB2288"/>
    <w:rsid w:val="00CB23A7"/>
    <w:rsid w:val="00CB254A"/>
    <w:rsid w:val="00CB2D7F"/>
    <w:rsid w:val="00CB3571"/>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B7D71"/>
    <w:rsid w:val="00CC0CD1"/>
    <w:rsid w:val="00CC1FA4"/>
    <w:rsid w:val="00CC2547"/>
    <w:rsid w:val="00CC2E6D"/>
    <w:rsid w:val="00CC2FE7"/>
    <w:rsid w:val="00CC309D"/>
    <w:rsid w:val="00CC3711"/>
    <w:rsid w:val="00CC412F"/>
    <w:rsid w:val="00CC4D20"/>
    <w:rsid w:val="00CC5174"/>
    <w:rsid w:val="00CC563E"/>
    <w:rsid w:val="00CC5C5E"/>
    <w:rsid w:val="00CC5F43"/>
    <w:rsid w:val="00CC60C3"/>
    <w:rsid w:val="00CC6BD6"/>
    <w:rsid w:val="00CC6D74"/>
    <w:rsid w:val="00CC7117"/>
    <w:rsid w:val="00CC71F2"/>
    <w:rsid w:val="00CC7C5C"/>
    <w:rsid w:val="00CD04DC"/>
    <w:rsid w:val="00CD0789"/>
    <w:rsid w:val="00CD0D42"/>
    <w:rsid w:val="00CD1538"/>
    <w:rsid w:val="00CD2066"/>
    <w:rsid w:val="00CD4080"/>
    <w:rsid w:val="00CD47B2"/>
    <w:rsid w:val="00CD522E"/>
    <w:rsid w:val="00CD55CD"/>
    <w:rsid w:val="00CD587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435"/>
    <w:rsid w:val="00CE2A08"/>
    <w:rsid w:val="00CE2F1E"/>
    <w:rsid w:val="00CE301B"/>
    <w:rsid w:val="00CE31C5"/>
    <w:rsid w:val="00CE36C1"/>
    <w:rsid w:val="00CE49F8"/>
    <w:rsid w:val="00CE50F2"/>
    <w:rsid w:val="00CE53AD"/>
    <w:rsid w:val="00CE55C4"/>
    <w:rsid w:val="00CE5B06"/>
    <w:rsid w:val="00CE5DA9"/>
    <w:rsid w:val="00CE605F"/>
    <w:rsid w:val="00CE6274"/>
    <w:rsid w:val="00CE6ED6"/>
    <w:rsid w:val="00CE749A"/>
    <w:rsid w:val="00CF01DC"/>
    <w:rsid w:val="00CF0480"/>
    <w:rsid w:val="00CF0BAC"/>
    <w:rsid w:val="00CF14B6"/>
    <w:rsid w:val="00CF1B8C"/>
    <w:rsid w:val="00CF23A4"/>
    <w:rsid w:val="00CF253E"/>
    <w:rsid w:val="00CF36F9"/>
    <w:rsid w:val="00CF374D"/>
    <w:rsid w:val="00CF3F92"/>
    <w:rsid w:val="00CF423C"/>
    <w:rsid w:val="00CF44C5"/>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1A3E"/>
    <w:rsid w:val="00D029E1"/>
    <w:rsid w:val="00D02D3F"/>
    <w:rsid w:val="00D03281"/>
    <w:rsid w:val="00D0373D"/>
    <w:rsid w:val="00D0375D"/>
    <w:rsid w:val="00D03770"/>
    <w:rsid w:val="00D03EA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07D6E"/>
    <w:rsid w:val="00D10323"/>
    <w:rsid w:val="00D10665"/>
    <w:rsid w:val="00D1077E"/>
    <w:rsid w:val="00D10939"/>
    <w:rsid w:val="00D10C64"/>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BCB"/>
    <w:rsid w:val="00D441E8"/>
    <w:rsid w:val="00D44BA0"/>
    <w:rsid w:val="00D452DE"/>
    <w:rsid w:val="00D455BC"/>
    <w:rsid w:val="00D4581A"/>
    <w:rsid w:val="00D459C5"/>
    <w:rsid w:val="00D45E51"/>
    <w:rsid w:val="00D461ED"/>
    <w:rsid w:val="00D46275"/>
    <w:rsid w:val="00D46972"/>
    <w:rsid w:val="00D46BCA"/>
    <w:rsid w:val="00D46D76"/>
    <w:rsid w:val="00D4758C"/>
    <w:rsid w:val="00D477AC"/>
    <w:rsid w:val="00D47CCF"/>
    <w:rsid w:val="00D47E56"/>
    <w:rsid w:val="00D47FBF"/>
    <w:rsid w:val="00D50C23"/>
    <w:rsid w:val="00D50D0C"/>
    <w:rsid w:val="00D52095"/>
    <w:rsid w:val="00D52334"/>
    <w:rsid w:val="00D5278C"/>
    <w:rsid w:val="00D528E5"/>
    <w:rsid w:val="00D52A1C"/>
    <w:rsid w:val="00D52A55"/>
    <w:rsid w:val="00D5317D"/>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46B4"/>
    <w:rsid w:val="00D64D06"/>
    <w:rsid w:val="00D65020"/>
    <w:rsid w:val="00D657B7"/>
    <w:rsid w:val="00D66499"/>
    <w:rsid w:val="00D66561"/>
    <w:rsid w:val="00D668E2"/>
    <w:rsid w:val="00D67136"/>
    <w:rsid w:val="00D67BB2"/>
    <w:rsid w:val="00D67D72"/>
    <w:rsid w:val="00D70685"/>
    <w:rsid w:val="00D70800"/>
    <w:rsid w:val="00D71CAA"/>
    <w:rsid w:val="00D72940"/>
    <w:rsid w:val="00D72A37"/>
    <w:rsid w:val="00D72D48"/>
    <w:rsid w:val="00D73338"/>
    <w:rsid w:val="00D73444"/>
    <w:rsid w:val="00D735E8"/>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77EBA"/>
    <w:rsid w:val="00D80318"/>
    <w:rsid w:val="00D8075D"/>
    <w:rsid w:val="00D80A8A"/>
    <w:rsid w:val="00D80B68"/>
    <w:rsid w:val="00D812CB"/>
    <w:rsid w:val="00D8173A"/>
    <w:rsid w:val="00D81D03"/>
    <w:rsid w:val="00D82141"/>
    <w:rsid w:val="00D822EB"/>
    <w:rsid w:val="00D82863"/>
    <w:rsid w:val="00D836E2"/>
    <w:rsid w:val="00D8452F"/>
    <w:rsid w:val="00D84531"/>
    <w:rsid w:val="00D846AC"/>
    <w:rsid w:val="00D84C40"/>
    <w:rsid w:val="00D84EA2"/>
    <w:rsid w:val="00D84F8D"/>
    <w:rsid w:val="00D86389"/>
    <w:rsid w:val="00D8734F"/>
    <w:rsid w:val="00D874FE"/>
    <w:rsid w:val="00D879BF"/>
    <w:rsid w:val="00D904E4"/>
    <w:rsid w:val="00D90B33"/>
    <w:rsid w:val="00D90C51"/>
    <w:rsid w:val="00D91799"/>
    <w:rsid w:val="00D918C4"/>
    <w:rsid w:val="00D91DC2"/>
    <w:rsid w:val="00D9216C"/>
    <w:rsid w:val="00D92701"/>
    <w:rsid w:val="00D931D3"/>
    <w:rsid w:val="00D93972"/>
    <w:rsid w:val="00D93DCC"/>
    <w:rsid w:val="00D94180"/>
    <w:rsid w:val="00D9448F"/>
    <w:rsid w:val="00D9492C"/>
    <w:rsid w:val="00D94B1C"/>
    <w:rsid w:val="00D94C95"/>
    <w:rsid w:val="00D94E85"/>
    <w:rsid w:val="00D95897"/>
    <w:rsid w:val="00D959D6"/>
    <w:rsid w:val="00D95C5B"/>
    <w:rsid w:val="00D96154"/>
    <w:rsid w:val="00D96243"/>
    <w:rsid w:val="00D964FE"/>
    <w:rsid w:val="00D968BA"/>
    <w:rsid w:val="00D97B69"/>
    <w:rsid w:val="00DA08C6"/>
    <w:rsid w:val="00DA095A"/>
    <w:rsid w:val="00DA09C2"/>
    <w:rsid w:val="00DA0A84"/>
    <w:rsid w:val="00DA0AE5"/>
    <w:rsid w:val="00DA14AE"/>
    <w:rsid w:val="00DA259E"/>
    <w:rsid w:val="00DA2BFB"/>
    <w:rsid w:val="00DA3587"/>
    <w:rsid w:val="00DA3B83"/>
    <w:rsid w:val="00DA3CCD"/>
    <w:rsid w:val="00DA3CF5"/>
    <w:rsid w:val="00DA46E2"/>
    <w:rsid w:val="00DA4919"/>
    <w:rsid w:val="00DA4963"/>
    <w:rsid w:val="00DA4DBE"/>
    <w:rsid w:val="00DA522C"/>
    <w:rsid w:val="00DA59AF"/>
    <w:rsid w:val="00DA5CA1"/>
    <w:rsid w:val="00DA6248"/>
    <w:rsid w:val="00DA6711"/>
    <w:rsid w:val="00DA74C1"/>
    <w:rsid w:val="00DA76EF"/>
    <w:rsid w:val="00DA79FF"/>
    <w:rsid w:val="00DB060B"/>
    <w:rsid w:val="00DB0FD9"/>
    <w:rsid w:val="00DB1C6C"/>
    <w:rsid w:val="00DB1E1E"/>
    <w:rsid w:val="00DB1F5D"/>
    <w:rsid w:val="00DB209B"/>
    <w:rsid w:val="00DB2D68"/>
    <w:rsid w:val="00DB3FA3"/>
    <w:rsid w:val="00DB40AB"/>
    <w:rsid w:val="00DB481F"/>
    <w:rsid w:val="00DB4AFA"/>
    <w:rsid w:val="00DB4BDA"/>
    <w:rsid w:val="00DB4DCA"/>
    <w:rsid w:val="00DB52C3"/>
    <w:rsid w:val="00DB55E6"/>
    <w:rsid w:val="00DB568E"/>
    <w:rsid w:val="00DB56AF"/>
    <w:rsid w:val="00DB5851"/>
    <w:rsid w:val="00DB5D9D"/>
    <w:rsid w:val="00DB686B"/>
    <w:rsid w:val="00DB766B"/>
    <w:rsid w:val="00DB7745"/>
    <w:rsid w:val="00DB77CE"/>
    <w:rsid w:val="00DB7A97"/>
    <w:rsid w:val="00DC02C4"/>
    <w:rsid w:val="00DC057B"/>
    <w:rsid w:val="00DC0F3B"/>
    <w:rsid w:val="00DC1034"/>
    <w:rsid w:val="00DC1A66"/>
    <w:rsid w:val="00DC2B9C"/>
    <w:rsid w:val="00DC3338"/>
    <w:rsid w:val="00DC3667"/>
    <w:rsid w:val="00DC40F8"/>
    <w:rsid w:val="00DC46D5"/>
    <w:rsid w:val="00DC46FD"/>
    <w:rsid w:val="00DC481D"/>
    <w:rsid w:val="00DC5733"/>
    <w:rsid w:val="00DC5B2E"/>
    <w:rsid w:val="00DC5FFA"/>
    <w:rsid w:val="00DC64C4"/>
    <w:rsid w:val="00DC6BEF"/>
    <w:rsid w:val="00DC789D"/>
    <w:rsid w:val="00DD06DC"/>
    <w:rsid w:val="00DD08E9"/>
    <w:rsid w:val="00DD0D7B"/>
    <w:rsid w:val="00DD0F79"/>
    <w:rsid w:val="00DD1485"/>
    <w:rsid w:val="00DD2181"/>
    <w:rsid w:val="00DD21C3"/>
    <w:rsid w:val="00DD24BF"/>
    <w:rsid w:val="00DD2AB4"/>
    <w:rsid w:val="00DD2E65"/>
    <w:rsid w:val="00DD2EEE"/>
    <w:rsid w:val="00DD2FCE"/>
    <w:rsid w:val="00DD3013"/>
    <w:rsid w:val="00DD30BE"/>
    <w:rsid w:val="00DD3302"/>
    <w:rsid w:val="00DD3CF8"/>
    <w:rsid w:val="00DD5466"/>
    <w:rsid w:val="00DD57BA"/>
    <w:rsid w:val="00DD586F"/>
    <w:rsid w:val="00DD5AA5"/>
    <w:rsid w:val="00DD5C35"/>
    <w:rsid w:val="00DD5CD3"/>
    <w:rsid w:val="00DD682A"/>
    <w:rsid w:val="00DD6999"/>
    <w:rsid w:val="00DD704F"/>
    <w:rsid w:val="00DD7A15"/>
    <w:rsid w:val="00DE05CF"/>
    <w:rsid w:val="00DE0869"/>
    <w:rsid w:val="00DE0952"/>
    <w:rsid w:val="00DE192A"/>
    <w:rsid w:val="00DE1D07"/>
    <w:rsid w:val="00DE28E0"/>
    <w:rsid w:val="00DE330F"/>
    <w:rsid w:val="00DE3318"/>
    <w:rsid w:val="00DE338A"/>
    <w:rsid w:val="00DE3473"/>
    <w:rsid w:val="00DE3474"/>
    <w:rsid w:val="00DE3498"/>
    <w:rsid w:val="00DE3930"/>
    <w:rsid w:val="00DE393F"/>
    <w:rsid w:val="00DE50C8"/>
    <w:rsid w:val="00DE5434"/>
    <w:rsid w:val="00DE59A8"/>
    <w:rsid w:val="00DE6478"/>
    <w:rsid w:val="00DE66AB"/>
    <w:rsid w:val="00DE7069"/>
    <w:rsid w:val="00DE7A0D"/>
    <w:rsid w:val="00DF0197"/>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8DB"/>
    <w:rsid w:val="00DF5A4C"/>
    <w:rsid w:val="00DF5D2D"/>
    <w:rsid w:val="00DF68FB"/>
    <w:rsid w:val="00DF694E"/>
    <w:rsid w:val="00DF6C2E"/>
    <w:rsid w:val="00E00AEA"/>
    <w:rsid w:val="00E00F7A"/>
    <w:rsid w:val="00E01025"/>
    <w:rsid w:val="00E011C5"/>
    <w:rsid w:val="00E013D6"/>
    <w:rsid w:val="00E01A3D"/>
    <w:rsid w:val="00E02098"/>
    <w:rsid w:val="00E0221B"/>
    <w:rsid w:val="00E02534"/>
    <w:rsid w:val="00E02CB1"/>
    <w:rsid w:val="00E02FC9"/>
    <w:rsid w:val="00E034A3"/>
    <w:rsid w:val="00E03793"/>
    <w:rsid w:val="00E04282"/>
    <w:rsid w:val="00E04C42"/>
    <w:rsid w:val="00E04CD1"/>
    <w:rsid w:val="00E04F36"/>
    <w:rsid w:val="00E05459"/>
    <w:rsid w:val="00E0559A"/>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613"/>
    <w:rsid w:val="00E14A7D"/>
    <w:rsid w:val="00E14B9F"/>
    <w:rsid w:val="00E15153"/>
    <w:rsid w:val="00E15AC4"/>
    <w:rsid w:val="00E15EDD"/>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41E9"/>
    <w:rsid w:val="00E3456B"/>
    <w:rsid w:val="00E34731"/>
    <w:rsid w:val="00E34803"/>
    <w:rsid w:val="00E34F5E"/>
    <w:rsid w:val="00E3532C"/>
    <w:rsid w:val="00E35DB3"/>
    <w:rsid w:val="00E36415"/>
    <w:rsid w:val="00E366E2"/>
    <w:rsid w:val="00E368D4"/>
    <w:rsid w:val="00E36EE9"/>
    <w:rsid w:val="00E37244"/>
    <w:rsid w:val="00E3778F"/>
    <w:rsid w:val="00E37F6A"/>
    <w:rsid w:val="00E40274"/>
    <w:rsid w:val="00E40300"/>
    <w:rsid w:val="00E4047A"/>
    <w:rsid w:val="00E40497"/>
    <w:rsid w:val="00E4058E"/>
    <w:rsid w:val="00E40D9D"/>
    <w:rsid w:val="00E4101D"/>
    <w:rsid w:val="00E41188"/>
    <w:rsid w:val="00E425DC"/>
    <w:rsid w:val="00E42696"/>
    <w:rsid w:val="00E4287B"/>
    <w:rsid w:val="00E42E97"/>
    <w:rsid w:val="00E43112"/>
    <w:rsid w:val="00E43749"/>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995"/>
    <w:rsid w:val="00E52BA5"/>
    <w:rsid w:val="00E52EEA"/>
    <w:rsid w:val="00E530A5"/>
    <w:rsid w:val="00E534E3"/>
    <w:rsid w:val="00E536A8"/>
    <w:rsid w:val="00E53EFF"/>
    <w:rsid w:val="00E54A3A"/>
    <w:rsid w:val="00E54B51"/>
    <w:rsid w:val="00E550F2"/>
    <w:rsid w:val="00E55700"/>
    <w:rsid w:val="00E558E9"/>
    <w:rsid w:val="00E55BB9"/>
    <w:rsid w:val="00E55E8A"/>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5A"/>
    <w:rsid w:val="00E63917"/>
    <w:rsid w:val="00E63A18"/>
    <w:rsid w:val="00E63A25"/>
    <w:rsid w:val="00E64BCC"/>
    <w:rsid w:val="00E6508D"/>
    <w:rsid w:val="00E65975"/>
    <w:rsid w:val="00E65F35"/>
    <w:rsid w:val="00E65F61"/>
    <w:rsid w:val="00E6714E"/>
    <w:rsid w:val="00E67610"/>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950"/>
    <w:rsid w:val="00E85519"/>
    <w:rsid w:val="00E855A3"/>
    <w:rsid w:val="00E855B7"/>
    <w:rsid w:val="00E85705"/>
    <w:rsid w:val="00E857A7"/>
    <w:rsid w:val="00E85F3B"/>
    <w:rsid w:val="00E862DF"/>
    <w:rsid w:val="00E863D5"/>
    <w:rsid w:val="00E86A20"/>
    <w:rsid w:val="00E86B8B"/>
    <w:rsid w:val="00E86C29"/>
    <w:rsid w:val="00E86F32"/>
    <w:rsid w:val="00E9004E"/>
    <w:rsid w:val="00E90252"/>
    <w:rsid w:val="00E90685"/>
    <w:rsid w:val="00E90E61"/>
    <w:rsid w:val="00E9162E"/>
    <w:rsid w:val="00E91632"/>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41C"/>
    <w:rsid w:val="00EB3260"/>
    <w:rsid w:val="00EB348A"/>
    <w:rsid w:val="00EB34B8"/>
    <w:rsid w:val="00EB382D"/>
    <w:rsid w:val="00EB3C63"/>
    <w:rsid w:val="00EB3C96"/>
    <w:rsid w:val="00EB3E52"/>
    <w:rsid w:val="00EB432C"/>
    <w:rsid w:val="00EB469B"/>
    <w:rsid w:val="00EB47A0"/>
    <w:rsid w:val="00EB4A63"/>
    <w:rsid w:val="00EB504F"/>
    <w:rsid w:val="00EB5275"/>
    <w:rsid w:val="00EB5599"/>
    <w:rsid w:val="00EB55B7"/>
    <w:rsid w:val="00EB6182"/>
    <w:rsid w:val="00EB6225"/>
    <w:rsid w:val="00EB6539"/>
    <w:rsid w:val="00EB6937"/>
    <w:rsid w:val="00EB70BA"/>
    <w:rsid w:val="00EB7151"/>
    <w:rsid w:val="00EB74F4"/>
    <w:rsid w:val="00EB75BF"/>
    <w:rsid w:val="00EB75F3"/>
    <w:rsid w:val="00EC075C"/>
    <w:rsid w:val="00EC0F10"/>
    <w:rsid w:val="00EC13FE"/>
    <w:rsid w:val="00EC16EF"/>
    <w:rsid w:val="00EC1E30"/>
    <w:rsid w:val="00EC1F31"/>
    <w:rsid w:val="00EC2402"/>
    <w:rsid w:val="00EC2BE8"/>
    <w:rsid w:val="00EC3223"/>
    <w:rsid w:val="00EC3B9E"/>
    <w:rsid w:val="00EC4137"/>
    <w:rsid w:val="00EC4362"/>
    <w:rsid w:val="00EC4AC9"/>
    <w:rsid w:val="00EC4D3E"/>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E48"/>
    <w:rsid w:val="00EE0009"/>
    <w:rsid w:val="00EE0983"/>
    <w:rsid w:val="00EE1A96"/>
    <w:rsid w:val="00EE1B99"/>
    <w:rsid w:val="00EE1C5E"/>
    <w:rsid w:val="00EE1DEE"/>
    <w:rsid w:val="00EE219C"/>
    <w:rsid w:val="00EE232B"/>
    <w:rsid w:val="00EE236B"/>
    <w:rsid w:val="00EE29A9"/>
    <w:rsid w:val="00EE2CC4"/>
    <w:rsid w:val="00EE3254"/>
    <w:rsid w:val="00EE40A4"/>
    <w:rsid w:val="00EE41B4"/>
    <w:rsid w:val="00EE48DD"/>
    <w:rsid w:val="00EE4906"/>
    <w:rsid w:val="00EE4C62"/>
    <w:rsid w:val="00EE5DD9"/>
    <w:rsid w:val="00EE5ED8"/>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F002A0"/>
    <w:rsid w:val="00F006C5"/>
    <w:rsid w:val="00F00731"/>
    <w:rsid w:val="00F00A7D"/>
    <w:rsid w:val="00F01831"/>
    <w:rsid w:val="00F01A32"/>
    <w:rsid w:val="00F01F41"/>
    <w:rsid w:val="00F02325"/>
    <w:rsid w:val="00F02392"/>
    <w:rsid w:val="00F03481"/>
    <w:rsid w:val="00F035A2"/>
    <w:rsid w:val="00F03DE4"/>
    <w:rsid w:val="00F0418C"/>
    <w:rsid w:val="00F041E6"/>
    <w:rsid w:val="00F04665"/>
    <w:rsid w:val="00F04AAC"/>
    <w:rsid w:val="00F05228"/>
    <w:rsid w:val="00F05D8B"/>
    <w:rsid w:val="00F06455"/>
    <w:rsid w:val="00F06948"/>
    <w:rsid w:val="00F06B25"/>
    <w:rsid w:val="00F06B7D"/>
    <w:rsid w:val="00F07237"/>
    <w:rsid w:val="00F0727B"/>
    <w:rsid w:val="00F079D4"/>
    <w:rsid w:val="00F07C34"/>
    <w:rsid w:val="00F10049"/>
    <w:rsid w:val="00F1049F"/>
    <w:rsid w:val="00F108D4"/>
    <w:rsid w:val="00F11564"/>
    <w:rsid w:val="00F11B63"/>
    <w:rsid w:val="00F11FB1"/>
    <w:rsid w:val="00F123D7"/>
    <w:rsid w:val="00F12EC9"/>
    <w:rsid w:val="00F13439"/>
    <w:rsid w:val="00F141D6"/>
    <w:rsid w:val="00F14539"/>
    <w:rsid w:val="00F14E67"/>
    <w:rsid w:val="00F15217"/>
    <w:rsid w:val="00F1571D"/>
    <w:rsid w:val="00F15A34"/>
    <w:rsid w:val="00F1604B"/>
    <w:rsid w:val="00F166A5"/>
    <w:rsid w:val="00F1749D"/>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DAD"/>
    <w:rsid w:val="00F37135"/>
    <w:rsid w:val="00F37686"/>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5C8D"/>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7154"/>
    <w:rsid w:val="00F5742C"/>
    <w:rsid w:val="00F5745D"/>
    <w:rsid w:val="00F57730"/>
    <w:rsid w:val="00F5777C"/>
    <w:rsid w:val="00F57888"/>
    <w:rsid w:val="00F57A25"/>
    <w:rsid w:val="00F57D1C"/>
    <w:rsid w:val="00F57D30"/>
    <w:rsid w:val="00F57EC0"/>
    <w:rsid w:val="00F60620"/>
    <w:rsid w:val="00F609CF"/>
    <w:rsid w:val="00F615DC"/>
    <w:rsid w:val="00F617D8"/>
    <w:rsid w:val="00F61C39"/>
    <w:rsid w:val="00F61FB0"/>
    <w:rsid w:val="00F6217B"/>
    <w:rsid w:val="00F62923"/>
    <w:rsid w:val="00F62A02"/>
    <w:rsid w:val="00F633BC"/>
    <w:rsid w:val="00F6424A"/>
    <w:rsid w:val="00F64476"/>
    <w:rsid w:val="00F64991"/>
    <w:rsid w:val="00F64A65"/>
    <w:rsid w:val="00F65E43"/>
    <w:rsid w:val="00F66041"/>
    <w:rsid w:val="00F66537"/>
    <w:rsid w:val="00F66C81"/>
    <w:rsid w:val="00F66CA3"/>
    <w:rsid w:val="00F66F90"/>
    <w:rsid w:val="00F67EBD"/>
    <w:rsid w:val="00F70478"/>
    <w:rsid w:val="00F705CF"/>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93D"/>
    <w:rsid w:val="00F80AC2"/>
    <w:rsid w:val="00F80CD8"/>
    <w:rsid w:val="00F80FAB"/>
    <w:rsid w:val="00F81076"/>
    <w:rsid w:val="00F813C7"/>
    <w:rsid w:val="00F8149E"/>
    <w:rsid w:val="00F819A0"/>
    <w:rsid w:val="00F81ABB"/>
    <w:rsid w:val="00F81C79"/>
    <w:rsid w:val="00F81D5B"/>
    <w:rsid w:val="00F81D9E"/>
    <w:rsid w:val="00F82262"/>
    <w:rsid w:val="00F82EE4"/>
    <w:rsid w:val="00F842B4"/>
    <w:rsid w:val="00F8472B"/>
    <w:rsid w:val="00F84870"/>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1FEE"/>
    <w:rsid w:val="00F92FB8"/>
    <w:rsid w:val="00F9350F"/>
    <w:rsid w:val="00F935EF"/>
    <w:rsid w:val="00F93D06"/>
    <w:rsid w:val="00F93D1A"/>
    <w:rsid w:val="00F9413E"/>
    <w:rsid w:val="00F94351"/>
    <w:rsid w:val="00F945FF"/>
    <w:rsid w:val="00F9495A"/>
    <w:rsid w:val="00F94DCF"/>
    <w:rsid w:val="00F9565D"/>
    <w:rsid w:val="00F956E3"/>
    <w:rsid w:val="00F95A07"/>
    <w:rsid w:val="00F95C15"/>
    <w:rsid w:val="00F95DE9"/>
    <w:rsid w:val="00F95F1A"/>
    <w:rsid w:val="00F9611B"/>
    <w:rsid w:val="00F96139"/>
    <w:rsid w:val="00F9665F"/>
    <w:rsid w:val="00F96973"/>
    <w:rsid w:val="00F96A6B"/>
    <w:rsid w:val="00F96ACC"/>
    <w:rsid w:val="00F96D9D"/>
    <w:rsid w:val="00F97465"/>
    <w:rsid w:val="00F974E5"/>
    <w:rsid w:val="00F97A98"/>
    <w:rsid w:val="00FA00DB"/>
    <w:rsid w:val="00FA02FB"/>
    <w:rsid w:val="00FA0D39"/>
    <w:rsid w:val="00FA0D71"/>
    <w:rsid w:val="00FA1852"/>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B0A01"/>
    <w:rsid w:val="00FB0C7C"/>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778"/>
    <w:rsid w:val="00FC37C7"/>
    <w:rsid w:val="00FC3993"/>
    <w:rsid w:val="00FC4ACE"/>
    <w:rsid w:val="00FC505B"/>
    <w:rsid w:val="00FC52E5"/>
    <w:rsid w:val="00FC574B"/>
    <w:rsid w:val="00FC5986"/>
    <w:rsid w:val="00FC5A30"/>
    <w:rsid w:val="00FC5E51"/>
    <w:rsid w:val="00FC6043"/>
    <w:rsid w:val="00FC6872"/>
    <w:rsid w:val="00FC68F7"/>
    <w:rsid w:val="00FC6C45"/>
    <w:rsid w:val="00FC73F0"/>
    <w:rsid w:val="00FC763B"/>
    <w:rsid w:val="00FC76B3"/>
    <w:rsid w:val="00FC7851"/>
    <w:rsid w:val="00FD0060"/>
    <w:rsid w:val="00FD038D"/>
    <w:rsid w:val="00FD0465"/>
    <w:rsid w:val="00FD0F83"/>
    <w:rsid w:val="00FD1F52"/>
    <w:rsid w:val="00FD241D"/>
    <w:rsid w:val="00FD2720"/>
    <w:rsid w:val="00FD2F8E"/>
    <w:rsid w:val="00FD2FE9"/>
    <w:rsid w:val="00FD3547"/>
    <w:rsid w:val="00FD38D8"/>
    <w:rsid w:val="00FD414B"/>
    <w:rsid w:val="00FD4910"/>
    <w:rsid w:val="00FD4E39"/>
    <w:rsid w:val="00FD5262"/>
    <w:rsid w:val="00FD52E8"/>
    <w:rsid w:val="00FD567F"/>
    <w:rsid w:val="00FD6398"/>
    <w:rsid w:val="00FD66C4"/>
    <w:rsid w:val="00FD68EA"/>
    <w:rsid w:val="00FD7328"/>
    <w:rsid w:val="00FD772F"/>
    <w:rsid w:val="00FD77AF"/>
    <w:rsid w:val="00FE0364"/>
    <w:rsid w:val="00FE0EB1"/>
    <w:rsid w:val="00FE1327"/>
    <w:rsid w:val="00FE17F0"/>
    <w:rsid w:val="00FE1DDC"/>
    <w:rsid w:val="00FE2071"/>
    <w:rsid w:val="00FE2356"/>
    <w:rsid w:val="00FE3C32"/>
    <w:rsid w:val="00FE4207"/>
    <w:rsid w:val="00FE4306"/>
    <w:rsid w:val="00FE4A62"/>
    <w:rsid w:val="00FE4BCA"/>
    <w:rsid w:val="00FE526A"/>
    <w:rsid w:val="00FE55B5"/>
    <w:rsid w:val="00FE5E65"/>
    <w:rsid w:val="00FE5EDF"/>
    <w:rsid w:val="00FE6973"/>
    <w:rsid w:val="00FE7651"/>
    <w:rsid w:val="00FE7728"/>
    <w:rsid w:val="00FE796C"/>
    <w:rsid w:val="00FE7B7B"/>
    <w:rsid w:val="00FE7D2C"/>
    <w:rsid w:val="00FF0074"/>
    <w:rsid w:val="00FF0186"/>
    <w:rsid w:val="00FF0573"/>
    <w:rsid w:val="00FF0B8B"/>
    <w:rsid w:val="00FF16F8"/>
    <w:rsid w:val="00FF2055"/>
    <w:rsid w:val="00FF28D1"/>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71777D9"/>
    <w:rsid w:val="09279C31"/>
    <w:rsid w:val="0D6D60D0"/>
    <w:rsid w:val="1009D8DD"/>
    <w:rsid w:val="10BEA99E"/>
    <w:rsid w:val="12265BF5"/>
    <w:rsid w:val="12A05C79"/>
    <w:rsid w:val="1492C4EF"/>
    <w:rsid w:val="15B41B58"/>
    <w:rsid w:val="173974A0"/>
    <w:rsid w:val="1A6C9CF2"/>
    <w:rsid w:val="1B0D7B0F"/>
    <w:rsid w:val="1B10D94D"/>
    <w:rsid w:val="1E866ACB"/>
    <w:rsid w:val="24DF315D"/>
    <w:rsid w:val="267D91F1"/>
    <w:rsid w:val="26D23CDC"/>
    <w:rsid w:val="2746BE62"/>
    <w:rsid w:val="2B1A5111"/>
    <w:rsid w:val="2E2D1427"/>
    <w:rsid w:val="2E320E92"/>
    <w:rsid w:val="2F0F3738"/>
    <w:rsid w:val="31556F2A"/>
    <w:rsid w:val="32911453"/>
    <w:rsid w:val="38EE295F"/>
    <w:rsid w:val="3CF683E9"/>
    <w:rsid w:val="3FF7589E"/>
    <w:rsid w:val="41E91E40"/>
    <w:rsid w:val="439A7B03"/>
    <w:rsid w:val="463198DC"/>
    <w:rsid w:val="489AE9A8"/>
    <w:rsid w:val="4A8D5317"/>
    <w:rsid w:val="4B7EB2E9"/>
    <w:rsid w:val="4BB2E5D4"/>
    <w:rsid w:val="4CE26CB8"/>
    <w:rsid w:val="4E238264"/>
    <w:rsid w:val="4EE84FC7"/>
    <w:rsid w:val="50A9FD72"/>
    <w:rsid w:val="51A403BF"/>
    <w:rsid w:val="5222B786"/>
    <w:rsid w:val="5323BF33"/>
    <w:rsid w:val="53A6EE7B"/>
    <w:rsid w:val="5788A89C"/>
    <w:rsid w:val="5DBB31AB"/>
    <w:rsid w:val="5EE44466"/>
    <w:rsid w:val="659CA804"/>
    <w:rsid w:val="671075B2"/>
    <w:rsid w:val="6993BDF7"/>
    <w:rsid w:val="6FDA5F82"/>
    <w:rsid w:val="750978C6"/>
    <w:rsid w:val="7662D4CF"/>
    <w:rsid w:val="7B29C50C"/>
    <w:rsid w:val="7E48978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9457A6FA-4589-4254-B4C1-3638BD471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2FB"/>
    <w:pPr>
      <w:spacing w:after="250" w:line="276" w:lineRule="auto"/>
      <w:jc w:val="both"/>
    </w:pPr>
    <w:rPr>
      <w:color w:val="181818" w:themeColor="background1" w:themeShade="1A"/>
      <w:sz w:val="22"/>
      <w:lang w:val="en-GB"/>
    </w:rPr>
  </w:style>
  <w:style w:type="paragraph" w:styleId="Heading1">
    <w:name w:val="heading 1"/>
    <w:basedOn w:val="Normal"/>
    <w:next w:val="Normal"/>
    <w:link w:val="Heading1Char"/>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Heading2">
    <w:name w:val="heading 2"/>
    <w:basedOn w:val="Normal"/>
    <w:next w:val="Normal"/>
    <w:link w:val="Heading2Char"/>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Heading3">
    <w:name w:val="heading 3"/>
    <w:basedOn w:val="Normal"/>
    <w:next w:val="Normal"/>
    <w:link w:val="Heading3Char"/>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Heading6">
    <w:name w:val="heading 6"/>
    <w:basedOn w:val="Normal"/>
    <w:next w:val="Normal"/>
    <w:link w:val="Heading6Char"/>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Heading7">
    <w:name w:val="heading 7"/>
    <w:basedOn w:val="Normal"/>
    <w:next w:val="Normal"/>
    <w:link w:val="Heading7Char"/>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Heading8">
    <w:name w:val="heading 8"/>
    <w:basedOn w:val="Normal"/>
    <w:next w:val="Normal"/>
    <w:link w:val="Heading8Char"/>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Heading9">
    <w:name w:val="heading 9"/>
    <w:basedOn w:val="Normal"/>
    <w:next w:val="Normal"/>
    <w:link w:val="Heading9Char"/>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Heading3Char">
    <w:name w:val="Heading 3 Char"/>
    <w:basedOn w:val="DefaultParagraphFont"/>
    <w:link w:val="Heading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Heading1Char">
    <w:name w:val="Heading 1 Char"/>
    <w:basedOn w:val="DefaultParagraphFont"/>
    <w:link w:val="Heading1"/>
    <w:uiPriority w:val="9"/>
    <w:rsid w:val="0082744A"/>
    <w:rPr>
      <w:rFonts w:asciiTheme="majorHAnsi" w:eastAsiaTheme="majorEastAsia" w:hAnsiTheme="majorHAnsi" w:cstheme="majorBidi"/>
      <w:b/>
      <w:color w:val="00379F" w:themeColor="text1"/>
      <w:sz w:val="32"/>
      <w:szCs w:val="32"/>
      <w:lang w:val="en-GB"/>
    </w:rPr>
  </w:style>
  <w:style w:type="character" w:customStyle="1" w:styleId="Heading2Char">
    <w:name w:val="Heading 2 Char"/>
    <w:basedOn w:val="DefaultParagraphFont"/>
    <w:link w:val="Heading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qFormat/>
    <w:rsid w:val="00F205B9"/>
    <w:pPr>
      <w:numPr>
        <w:numId w:val="0"/>
      </w:numPr>
      <w:ind w:left="792" w:hanging="432"/>
    </w:pPr>
    <w:rPr>
      <w:b/>
      <w:color w:val="00379F" w:themeColor="text1"/>
      <w:sz w:val="28"/>
    </w:rPr>
  </w:style>
  <w:style w:type="character" w:customStyle="1" w:styleId="Title1Char">
    <w:name w:val="Title 1 Char"/>
    <w:basedOn w:val="DefaultParagraphFont"/>
    <w:link w:val="Title1"/>
    <w:rsid w:val="00F205B9"/>
    <w:rPr>
      <w:rFonts w:asciiTheme="majorHAnsi" w:hAnsiTheme="majorHAnsi" w:cstheme="majorHAnsi"/>
      <w:b/>
      <w:color w:val="00379F" w:themeColor="text1"/>
      <w:sz w:val="28"/>
      <w:szCs w:val="22"/>
      <w:lang w:val="pt-PT"/>
    </w:rPr>
  </w:style>
  <w:style w:type="paragraph" w:styleId="ListParagraph">
    <w:name w:val="List Paragraph"/>
    <w:aliases w:val="Paragraphe EI,Paragraphe de liste1,EC,Normal bullet 2,Bullet list,List Paragraph1,Numbered List,1st level - Bullet List Paragraph,Lettre d'introduction,Paragrafo elenco,Medium Grid 1 - Accent 21,List Paragraph11,Paragraphe de liste,Dot pt"/>
    <w:basedOn w:val="Normal"/>
    <w:link w:val="ListParagraphChar"/>
    <w:autoRedefine/>
    <w:uiPriority w:val="34"/>
    <w:qFormat/>
    <w:rsid w:val="00EC6066"/>
    <w:pPr>
      <w:numPr>
        <w:numId w:val="11"/>
      </w:numPr>
    </w:pPr>
    <w:rPr>
      <w:rFonts w:asciiTheme="majorHAnsi" w:hAnsiTheme="majorHAnsi" w:cstheme="majorHAnsi"/>
      <w:szCs w:val="22"/>
      <w:lang w:val="pt-PT"/>
    </w:rPr>
  </w:style>
  <w:style w:type="paragraph" w:customStyle="1" w:styleId="Title3">
    <w:name w:val="Title 3"/>
    <w:basedOn w:val="ListParagraph"/>
    <w:link w:val="Title3Char"/>
    <w:autoRedefine/>
    <w:rsid w:val="00F205B9"/>
    <w:pPr>
      <w:numPr>
        <w:ilvl w:val="3"/>
        <w:numId w:val="4"/>
      </w:numPr>
    </w:pPr>
  </w:style>
  <w:style w:type="character" w:customStyle="1" w:styleId="Title3Char">
    <w:name w:val="Title 3 Char"/>
    <w:basedOn w:val="DefaultParagraphFont"/>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al"/>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DefaultParagraphFont"/>
    <w:link w:val="DocumentTitle"/>
    <w:rsid w:val="00563C1F"/>
    <w:rPr>
      <w:rFonts w:asciiTheme="majorHAnsi" w:hAnsiTheme="majorHAnsi"/>
      <w:b/>
      <w:color w:val="2D4190"/>
      <w:sz w:val="48"/>
      <w:lang w:val="en-GB"/>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color w:val="181818" w:themeColor="background1" w:themeShade="1A"/>
      <w:sz w:val="22"/>
      <w:szCs w:val="22"/>
      <w:lang w:val="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spacing w:after="0"/>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le">
    <w:name w:val="Title"/>
    <w:basedOn w:val="Normal"/>
    <w:next w:val="Normal"/>
    <w:link w:val="TitleChar"/>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leChar">
    <w:name w:val="Title Char"/>
    <w:basedOn w:val="DefaultParagraphFont"/>
    <w:link w:val="Title"/>
    <w:uiPriority w:val="10"/>
    <w:rsid w:val="00516CBA"/>
    <w:rPr>
      <w:rFonts w:asciiTheme="majorHAnsi" w:eastAsiaTheme="majorEastAsia" w:hAnsiTheme="majorHAnsi" w:cstheme="majorBidi"/>
      <w:b/>
      <w:color w:val="00379F" w:themeColor="text1"/>
      <w:spacing w:val="-10"/>
      <w:sz w:val="56"/>
      <w:szCs w:val="56"/>
      <w:lang w:val="en-GB"/>
    </w:rPr>
  </w:style>
  <w:style w:type="paragraph" w:styleId="Subtitle">
    <w:name w:val="Subtitle"/>
    <w:basedOn w:val="Normal"/>
    <w:next w:val="Normal"/>
    <w:link w:val="SubtitleChar"/>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SubtitleChar">
    <w:name w:val="Subtitle Char"/>
    <w:basedOn w:val="DefaultParagraphFont"/>
    <w:link w:val="Subtitle"/>
    <w:uiPriority w:val="11"/>
    <w:rsid w:val="0082744A"/>
    <w:rPr>
      <w:rFonts w:asciiTheme="majorHAnsi" w:eastAsiaTheme="majorEastAsia" w:hAnsiTheme="majorHAnsi" w:cstheme="majorBidi"/>
      <w:sz w:val="28"/>
      <w:szCs w:val="24"/>
      <w:lang w:val="en-GB"/>
    </w:rPr>
  </w:style>
  <w:style w:type="character" w:customStyle="1" w:styleId="Heading7Char">
    <w:name w:val="Heading 7 Char"/>
    <w:basedOn w:val="DefaultParagraphFont"/>
    <w:link w:val="Heading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Heading8Char">
    <w:name w:val="Heading 8 Char"/>
    <w:basedOn w:val="DefaultParagraphFont"/>
    <w:link w:val="Heading8"/>
    <w:uiPriority w:val="9"/>
    <w:semiHidden/>
    <w:rsid w:val="00AA054E"/>
    <w:rPr>
      <w:rFonts w:asciiTheme="majorHAnsi" w:eastAsiaTheme="majorEastAsia" w:hAnsiTheme="majorHAnsi" w:cstheme="majorBidi"/>
      <w:b/>
      <w:bCs/>
      <w:color w:val="007EFF" w:themeColor="text2"/>
      <w:sz w:val="22"/>
      <w:lang w:val="en-GB"/>
    </w:rPr>
  </w:style>
  <w:style w:type="character" w:customStyle="1" w:styleId="Heading9Char">
    <w:name w:val="Heading 9 Char"/>
    <w:basedOn w:val="DefaultParagraphFont"/>
    <w:link w:val="Heading9"/>
    <w:uiPriority w:val="9"/>
    <w:semiHidden/>
    <w:rsid w:val="00AA054E"/>
    <w:rPr>
      <w:rFonts w:asciiTheme="majorHAnsi" w:eastAsiaTheme="majorEastAsia" w:hAnsiTheme="majorHAnsi" w:cstheme="majorBidi"/>
      <w:b/>
      <w:bCs/>
      <w:i/>
      <w:iCs/>
      <w:color w:val="007EFF" w:themeColor="text2"/>
      <w:sz w:val="22"/>
      <w:lang w:val="en-GB"/>
    </w:rPr>
  </w:style>
  <w:style w:type="paragraph" w:styleId="Caption">
    <w:name w:val="caption"/>
    <w:basedOn w:val="Normal"/>
    <w:next w:val="Normal"/>
    <w:uiPriority w:val="35"/>
    <w:semiHidden/>
    <w:unhideWhenUsed/>
    <w:qFormat/>
    <w:rsid w:val="00AA054E"/>
    <w:pPr>
      <w:spacing w:line="240" w:lineRule="auto"/>
    </w:pPr>
    <w:rPr>
      <w:b/>
      <w:bCs/>
      <w:smallCaps/>
      <w:color w:val="1A69FF"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0055F7" w:themeColor="text1" w:themeTint="BF"/>
    </w:rPr>
  </w:style>
  <w:style w:type="character" w:customStyle="1" w:styleId="QuoteChar">
    <w:name w:val="Quote Char"/>
    <w:basedOn w:val="DefaultParagraphFont"/>
    <w:link w:val="Quote"/>
    <w:uiPriority w:val="29"/>
    <w:rsid w:val="00AA054E"/>
    <w:rPr>
      <w:i/>
      <w:iCs/>
      <w:color w:val="0055F7" w:themeColor="text1" w:themeTint="BF"/>
    </w:rPr>
  </w:style>
  <w:style w:type="paragraph" w:styleId="IntenseQuote">
    <w:name w:val="Intense Quote"/>
    <w:basedOn w:val="Normal"/>
    <w:next w:val="Normal"/>
    <w:link w:val="IntenseQuoteChar"/>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34009F" w:themeColor="accent1"/>
      <w:sz w:val="28"/>
      <w:szCs w:val="28"/>
    </w:rPr>
  </w:style>
  <w:style w:type="character" w:styleId="SubtleEmphasis">
    <w:name w:val="Subtle Emphasis"/>
    <w:basedOn w:val="DefaultParagraphFont"/>
    <w:uiPriority w:val="19"/>
    <w:qFormat/>
    <w:rsid w:val="00AA054E"/>
    <w:rPr>
      <w:i/>
      <w:iCs/>
      <w:color w:val="0055F7" w:themeColor="text1" w:themeTint="BF"/>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0055F7" w:themeColor="text1" w:themeTint="BF"/>
      <w:u w:val="single" w:color="4E8BF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F205B9"/>
    <w:pPr>
      <w:numPr>
        <w:numId w:val="0"/>
      </w:num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HeaderChar">
    <w:name w:val="Header Char"/>
    <w:basedOn w:val="DefaultParagraphFont"/>
    <w:link w:val="Header"/>
    <w:rsid w:val="00AF6B1E"/>
    <w:rPr>
      <w:color w:val="001B4F" w:themeColor="text1" w:themeShade="80"/>
      <w:sz w:val="16"/>
      <w:lang w:val="en-GB"/>
    </w:rPr>
  </w:style>
  <w:style w:type="paragraph" w:styleId="Footer">
    <w:name w:val="footer"/>
    <w:basedOn w:val="Normal"/>
    <w:link w:val="FooterChar"/>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FooterChar">
    <w:name w:val="Footer Char"/>
    <w:basedOn w:val="DefaultParagraphFont"/>
    <w:link w:val="Footer"/>
    <w:uiPriority w:val="99"/>
    <w:rsid w:val="004E5FF8"/>
    <w:rPr>
      <w:color w:val="001B4F" w:themeColor="text1" w:themeShade="80"/>
      <w:sz w:val="16"/>
      <w:lang w:val="en-GB"/>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TOC1">
    <w:name w:val="toc 1"/>
    <w:basedOn w:val="Normal"/>
    <w:next w:val="Normal"/>
    <w:uiPriority w:val="39"/>
    <w:unhideWhenUsed/>
    <w:qFormat/>
    <w:rsid w:val="00F205B9"/>
    <w:pPr>
      <w:framePr w:hSpace="180" w:wrap="around" w:vAnchor="text" w:hAnchor="margin" w:y="115"/>
      <w:tabs>
        <w:tab w:val="left" w:pos="440"/>
        <w:tab w:val="right" w:leader="dot" w:pos="9062"/>
      </w:tabs>
      <w:spacing w:after="100"/>
    </w:pPr>
  </w:style>
  <w:style w:type="paragraph" w:styleId="TOC2">
    <w:name w:val="toc 2"/>
    <w:basedOn w:val="TOC1"/>
    <w:next w:val="Normal"/>
    <w:uiPriority w:val="39"/>
    <w:unhideWhenUsed/>
    <w:qFormat/>
    <w:rsid w:val="00F205B9"/>
    <w:pPr>
      <w:framePr w:wrap="around"/>
      <w:tabs>
        <w:tab w:val="right" w:leader="dot" w:pos="440"/>
      </w:tabs>
      <w:ind w:left="220"/>
    </w:pPr>
  </w:style>
  <w:style w:type="paragraph" w:styleId="TOC3">
    <w:name w:val="toc 3"/>
    <w:basedOn w:val="TOC1"/>
    <w:next w:val="Normal"/>
    <w:uiPriority w:val="39"/>
    <w:unhideWhenUsed/>
    <w:qFormat/>
    <w:rsid w:val="00AD0B10"/>
    <w:pPr>
      <w:framePr w:wrap="around"/>
      <w:ind w:left="442"/>
    </w:pPr>
  </w:style>
  <w:style w:type="character" w:styleId="Hyperlink">
    <w:name w:val="Hyperlink"/>
    <w:basedOn w:val="DefaultParagraphFont"/>
    <w:uiPriority w:val="99"/>
    <w:unhideWhenUsed/>
    <w:qFormat/>
    <w:rsid w:val="000C1E78"/>
    <w:rPr>
      <w:color w:val="005EBF" w:themeColor="text2" w:themeShade="BF"/>
      <w:u w:val="single"/>
    </w:rPr>
  </w:style>
  <w:style w:type="paragraph" w:customStyle="1" w:styleId="Questionstyle">
    <w:name w:val="Question style"/>
    <w:basedOn w:val="Normal"/>
    <w:next w:val="Normal"/>
    <w:link w:val="QuestionstyleChar"/>
    <w:autoRedefine/>
    <w:qFormat/>
    <w:rsid w:val="00DB686B"/>
    <w:pPr>
      <w:tabs>
        <w:tab w:val="left" w:pos="567"/>
      </w:tabs>
      <w:ind w:left="720" w:hanging="360"/>
      <w:contextualSpacing/>
    </w:pPr>
    <w:rPr>
      <w:b/>
    </w:rPr>
  </w:style>
  <w:style w:type="character" w:customStyle="1" w:styleId="QuestionstyleChar">
    <w:name w:val="Question style Char"/>
    <w:basedOn w:val="DefaultParagraphFont"/>
    <w:link w:val="Questionstyle"/>
    <w:rsid w:val="00DB686B"/>
    <w:rPr>
      <w:b/>
      <w:color w:val="181818" w:themeColor="background1" w:themeShade="1A"/>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pPr>
      <w:spacing w:after="0" w:line="240" w:lineRule="auto"/>
    </w:pPr>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unhideWhenUsed/>
    <w:qFormat/>
    <w:rsid w:val="007A1A9D"/>
    <w:pPr>
      <w:spacing w:after="0" w:line="240" w:lineRule="auto"/>
    </w:pPr>
    <w:rPr>
      <w:sz w:val="16"/>
    </w:rPr>
  </w:style>
  <w:style w:type="character" w:customStyle="1" w:styleId="FootnoteTextChar">
    <w:name w:val="Footnote Text Char"/>
    <w:basedOn w:val="DefaultParagraphFont"/>
    <w:link w:val="FootnoteText"/>
    <w:uiPriority w:val="99"/>
    <w:rsid w:val="007A1A9D"/>
    <w:rPr>
      <w:color w:val="181818" w:themeColor="background1" w:themeShade="1A"/>
      <w:sz w:val="16"/>
      <w:lang w:val="en-GB"/>
    </w:rPr>
  </w:style>
  <w:style w:type="character" w:styleId="FootnoteReference">
    <w:name w:val="footnote reference"/>
    <w:basedOn w:val="DefaultParagraphFont"/>
    <w:uiPriority w:val="99"/>
    <w:semiHidden/>
    <w:unhideWhenUsed/>
    <w:qFormat/>
    <w:rsid w:val="00A91D91"/>
    <w:rPr>
      <w:rFonts w:asciiTheme="majorHAnsi" w:hAnsiTheme="majorHAnsi"/>
      <w:sz w:val="16"/>
      <w:vertAlign w:val="superscript"/>
    </w:rPr>
  </w:style>
  <w:style w:type="paragraph" w:customStyle="1" w:styleId="Footnote">
    <w:name w:val="Footnote"/>
    <w:basedOn w:val="FootnoteText"/>
    <w:link w:val="FootnoteChar"/>
    <w:qFormat/>
    <w:rsid w:val="00672C04"/>
    <w:pPr>
      <w:ind w:left="454" w:hanging="454"/>
    </w:pPr>
    <w:rPr>
      <w:lang w:val="nl-BE"/>
    </w:rPr>
  </w:style>
  <w:style w:type="character" w:customStyle="1" w:styleId="FootnoteChar">
    <w:name w:val="Footnote Char"/>
    <w:basedOn w:val="FootnoteTextChar"/>
    <w:link w:val="Footnote"/>
    <w:rsid w:val="00672C04"/>
    <w:rPr>
      <w:color w:val="181818" w:themeColor="background1" w:themeShade="1A"/>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BalloonText">
    <w:name w:val="Balloon Text"/>
    <w:basedOn w:val="Normal"/>
    <w:link w:val="BalloonTextChar"/>
    <w:uiPriority w:val="99"/>
    <w:semiHidden/>
    <w:unhideWhenUsed/>
    <w:rsid w:val="00715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1BF"/>
    <w:rPr>
      <w:rFonts w:ascii="Tahoma" w:hAnsi="Tahoma" w:cs="Tahoma"/>
      <w:sz w:val="16"/>
      <w:szCs w:val="16"/>
      <w:lang w:val="en-GB"/>
    </w:rPr>
  </w:style>
  <w:style w:type="paragraph" w:styleId="TOC4">
    <w:name w:val="toc 4"/>
    <w:basedOn w:val="TOC1"/>
    <w:next w:val="Normal"/>
    <w:uiPriority w:val="39"/>
    <w:unhideWhenUsed/>
    <w:qFormat/>
    <w:rsid w:val="00F205B9"/>
    <w:pPr>
      <w:framePr w:wrap="around"/>
      <w:ind w:left="660"/>
    </w:pPr>
  </w:style>
  <w:style w:type="character" w:styleId="CommentReference">
    <w:name w:val="annotation reference"/>
    <w:basedOn w:val="DefaultParagraphFont"/>
    <w:uiPriority w:val="99"/>
    <w:semiHidden/>
    <w:unhideWhenUsed/>
    <w:rsid w:val="00D33C31"/>
    <w:rPr>
      <w:sz w:val="16"/>
      <w:szCs w:val="16"/>
    </w:rPr>
  </w:style>
  <w:style w:type="paragraph" w:styleId="CommentText">
    <w:name w:val="annotation text"/>
    <w:basedOn w:val="Normal"/>
    <w:link w:val="CommentTextChar"/>
    <w:uiPriority w:val="99"/>
    <w:unhideWhenUsed/>
    <w:rsid w:val="00D33C31"/>
    <w:pPr>
      <w:spacing w:line="240" w:lineRule="auto"/>
    </w:pPr>
    <w:rPr>
      <w:sz w:val="20"/>
    </w:rPr>
  </w:style>
  <w:style w:type="character" w:customStyle="1" w:styleId="CommentTextChar">
    <w:name w:val="Comment Text Char"/>
    <w:basedOn w:val="DefaultParagraphFont"/>
    <w:link w:val="CommentText"/>
    <w:uiPriority w:val="99"/>
    <w:rsid w:val="00D33C31"/>
    <w:rPr>
      <w:lang w:val="en-GB"/>
    </w:rPr>
  </w:style>
  <w:style w:type="paragraph" w:styleId="CommentSubject">
    <w:name w:val="annotation subject"/>
    <w:basedOn w:val="CommentText"/>
    <w:next w:val="CommentText"/>
    <w:link w:val="CommentSubjectChar"/>
    <w:uiPriority w:val="99"/>
    <w:semiHidden/>
    <w:unhideWhenUsed/>
    <w:rsid w:val="00D33C31"/>
    <w:rPr>
      <w:b/>
      <w:bCs/>
    </w:rPr>
  </w:style>
  <w:style w:type="character" w:customStyle="1" w:styleId="CommentSubjectChar">
    <w:name w:val="Comment Subject Char"/>
    <w:basedOn w:val="CommentTextChar"/>
    <w:link w:val="CommentSubject"/>
    <w:uiPriority w:val="99"/>
    <w:semiHidden/>
    <w:rsid w:val="00D33C31"/>
    <w:rPr>
      <w:b/>
      <w:bCs/>
      <w:lang w:val="en-GB"/>
    </w:rPr>
  </w:style>
  <w:style w:type="character" w:styleId="UnresolvedMention">
    <w:name w:val="Unresolved Mention"/>
    <w:basedOn w:val="DefaultParagraphFon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Strong"/>
    <w:uiPriority w:val="1"/>
    <w:qFormat/>
    <w:rsid w:val="008858FE"/>
    <w:rPr>
      <w:b w:val="0"/>
      <w:bCs/>
      <w:caps/>
      <w:smallCaps w:val="0"/>
      <w:color w:val="FF0000" w:themeColor="accent6"/>
      <w:sz w:val="22"/>
    </w:rPr>
  </w:style>
  <w:style w:type="paragraph" w:customStyle="1" w:styleId="Disclaimer">
    <w:name w:val="Disclaimer"/>
    <w:basedOn w:val="Normal"/>
    <w:qFormat/>
    <w:rsid w:val="00906D18"/>
    <w:rPr>
      <w:i/>
      <w:iCs/>
      <w:sz w:val="18"/>
      <w:szCs w:val="18"/>
    </w:rPr>
  </w:style>
  <w:style w:type="paragraph" w:customStyle="1" w:styleId="ESMAHeader">
    <w:name w:val="ESMA Header"/>
    <w:basedOn w:val="Header"/>
    <w:qFormat/>
    <w:rsid w:val="00AF6B1E"/>
  </w:style>
  <w:style w:type="paragraph" w:customStyle="1" w:styleId="Pageheader">
    <w:name w:val="Page header"/>
    <w:basedOn w:val="Header"/>
    <w:next w:val="Header"/>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l"/>
    <w:qFormat/>
    <w:rsid w:val="00F205B9"/>
    <w:rPr>
      <w:rFonts w:ascii="Arial" w:eastAsia="Times New Roman" w:hAnsi="Arial" w:cs="Arial"/>
      <w:sz w:val="18"/>
      <w:szCs w:val="18"/>
      <w:lang w:eastAsia="de-DE"/>
    </w:rPr>
  </w:style>
  <w:style w:type="paragraph" w:styleId="TOC5">
    <w:name w:val="toc 5"/>
    <w:basedOn w:val="Normal"/>
    <w:next w:val="Normal"/>
    <w:uiPriority w:val="39"/>
    <w:semiHidden/>
    <w:unhideWhenUsed/>
    <w:qFormat/>
    <w:rsid w:val="00F205B9"/>
    <w:pPr>
      <w:spacing w:after="100"/>
      <w:ind w:left="880"/>
    </w:pPr>
  </w:style>
  <w:style w:type="paragraph" w:styleId="TOC6">
    <w:name w:val="toc 6"/>
    <w:basedOn w:val="Normal"/>
    <w:next w:val="Normal"/>
    <w:uiPriority w:val="39"/>
    <w:semiHidden/>
    <w:unhideWhenUsed/>
    <w:qFormat/>
    <w:rsid w:val="00F205B9"/>
    <w:pPr>
      <w:spacing w:after="100"/>
      <w:ind w:left="1100"/>
    </w:pPr>
  </w:style>
  <w:style w:type="paragraph" w:styleId="TOC7">
    <w:name w:val="toc 7"/>
    <w:basedOn w:val="Normal"/>
    <w:next w:val="Normal"/>
    <w:uiPriority w:val="39"/>
    <w:semiHidden/>
    <w:unhideWhenUsed/>
    <w:qFormat/>
    <w:rsid w:val="00F205B9"/>
    <w:pPr>
      <w:spacing w:after="100"/>
      <w:ind w:left="1320"/>
    </w:pPr>
  </w:style>
  <w:style w:type="paragraph" w:styleId="TOC8">
    <w:name w:val="toc 8"/>
    <w:basedOn w:val="Normal"/>
    <w:next w:val="Normal"/>
    <w:uiPriority w:val="39"/>
    <w:semiHidden/>
    <w:unhideWhenUsed/>
    <w:qFormat/>
    <w:rsid w:val="00F205B9"/>
    <w:pPr>
      <w:spacing w:after="100"/>
      <w:ind w:left="1540"/>
    </w:pPr>
  </w:style>
  <w:style w:type="paragraph" w:styleId="TOC9">
    <w:name w:val="toc 9"/>
    <w:basedOn w:val="Normal"/>
    <w:next w:val="Normal"/>
    <w:uiPriority w:val="39"/>
    <w:semiHidden/>
    <w:unhideWhenUsed/>
    <w:qFormat/>
    <w:rsid w:val="00F205B9"/>
    <w:pPr>
      <w:spacing w:after="100"/>
      <w:ind w:left="1760"/>
    </w:pPr>
  </w:style>
  <w:style w:type="character" w:styleId="FollowedHyperlink">
    <w:name w:val="FollowedHyperlink"/>
    <w:basedOn w:val="DefaultParagraphFont"/>
    <w:uiPriority w:val="99"/>
    <w:semiHidden/>
    <w:unhideWhenUsed/>
    <w:rsid w:val="0043139E"/>
    <w:rPr>
      <w:color w:val="0174AF" w:themeColor="followedHyperlink"/>
      <w:u w:val="single"/>
    </w:rPr>
  </w:style>
  <w:style w:type="character" w:customStyle="1" w:styleId="ListParagraphChar">
    <w:name w:val="List Paragraph Char"/>
    <w:aliases w:val="Paragraphe EI Char,Paragraphe de liste1 Char,EC Char,Normal bullet 2 Char,Bullet list Char,List Paragraph1 Char,Numbered List Char,1st level - Bullet List Paragraph Char,Lettre d'introduction Char,Paragrafo elenco Char,Dot pt Char"/>
    <w:link w:val="ListParagraph"/>
    <w:uiPriority w:val="34"/>
    <w:locked/>
    <w:rsid w:val="00EC6066"/>
    <w:rPr>
      <w:rFonts w:asciiTheme="majorHAnsi" w:hAnsiTheme="majorHAnsi" w:cstheme="majorHAnsi"/>
      <w:color w:val="181818" w:themeColor="background1" w:themeShade="1A"/>
      <w:sz w:val="22"/>
      <w:szCs w:val="22"/>
      <w:lang w:val="pt-PT"/>
    </w:rPr>
  </w:style>
  <w:style w:type="paragraph" w:styleId="Revision">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al"/>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DefaultParagraphFont"/>
    <w:rsid w:val="00061F32"/>
    <w:rPr>
      <w:rFonts w:ascii="Segoe UI" w:hAnsi="Segoe UI" w:cs="Segoe UI" w:hint="default"/>
      <w:sz w:val="18"/>
      <w:szCs w:val="18"/>
    </w:rPr>
  </w:style>
  <w:style w:type="character" w:customStyle="1" w:styleId="cf11">
    <w:name w:val="cf11"/>
    <w:basedOn w:val="DefaultParagraphFont"/>
    <w:rsid w:val="00061F32"/>
    <w:rPr>
      <w:rFonts w:ascii="Segoe UI" w:hAnsi="Segoe UI" w:cs="Segoe UI" w:hint="default"/>
      <w:color w:val="333333"/>
      <w:sz w:val="18"/>
      <w:szCs w:val="18"/>
      <w:shd w:val="clear" w:color="auto" w:fill="FFFFFF"/>
    </w:rPr>
  </w:style>
  <w:style w:type="character" w:styleId="Mention">
    <w:name w:val="Mention"/>
    <w:basedOn w:val="DefaultParagraphFont"/>
    <w:uiPriority w:val="99"/>
    <w:unhideWhenUsed/>
    <w:rsid w:val="00251F26"/>
    <w:rPr>
      <w:color w:val="2B579A"/>
      <w:shd w:val="clear" w:color="auto" w:fill="E1DFDD"/>
    </w:rPr>
  </w:style>
  <w:style w:type="character" w:styleId="PlaceholderText">
    <w:name w:val="Placeholder Text"/>
    <w:basedOn w:val="DefaultParagraphFont"/>
    <w:uiPriority w:val="99"/>
    <w:semiHidden/>
    <w:rsid w:val="00635BCA"/>
    <w:rPr>
      <w:color w:val="808080"/>
    </w:rPr>
  </w:style>
  <w:style w:type="paragraph" w:customStyle="1" w:styleId="Default">
    <w:name w:val="Default"/>
    <w:rsid w:val="00115761"/>
    <w:pPr>
      <w:autoSpaceDE w:val="0"/>
      <w:autoSpaceDN w:val="0"/>
      <w:adjustRightInd w:val="0"/>
      <w:spacing w:after="0" w:line="240" w:lineRule="auto"/>
    </w:pPr>
    <w:rPr>
      <w:rFonts w:ascii="Arial" w:eastAsiaTheme="minorHAnsi"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42341519">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2.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esma.europa.eu/sites/default/files/library/esma22-106-265_smsg_securities_lending_report.pdf"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esma.europa.eu/about-esma/data-protection"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islaemea.org/gmsla-security-interest/" TargetMode="External"/><Relationship Id="rId5" Type="http://schemas.openxmlformats.org/officeDocument/2006/relationships/numbering" Target="numbering.xml"/><Relationship Id="rId15" Type="http://schemas.openxmlformats.org/officeDocument/2006/relationships/hyperlink" Target="https://www.esma.europa.eu/press-news/consultations/call-evidence-review-ucits-eligible-assets-directive" TargetMode="External"/><Relationship Id="rId23" Type="http://schemas.openxmlformats.org/officeDocument/2006/relationships/hyperlink" Target="https://www.islaemea.org/gmsla-title-transfer/"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ma.europa.eu" TargetMode="External"/><Relationship Id="rId22" Type="http://schemas.openxmlformats.org/officeDocument/2006/relationships/hyperlink" Target="https://www.esma.europa.eu/sites/default/files/library/2015/11/esma-2014-0011-01-00_en_0.pdf"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0FF21738C1433DBAFB661809AC1F87"/>
        <w:category>
          <w:name w:val="General"/>
          <w:gallery w:val="placeholder"/>
        </w:category>
        <w:types>
          <w:type w:val="bbPlcHdr"/>
        </w:types>
        <w:behaviors>
          <w:behavior w:val="content"/>
        </w:behaviors>
        <w:guid w:val="{BB6B11A5-903E-4592-B246-560AA99ABD93}"/>
      </w:docPartPr>
      <w:docPartBody>
        <w:p w:rsidR="009B6B9C" w:rsidRDefault="00B22006" w:rsidP="00B22006">
          <w:pPr>
            <w:pStyle w:val="2B0FF21738C1433DBAFB661809AC1F87"/>
          </w:pPr>
          <w:r w:rsidRPr="00DA1A90">
            <w:rPr>
              <w:rStyle w:val="PlaceholderText"/>
            </w:rPr>
            <w:t>Click or tap here to enter text.</w:t>
          </w:r>
        </w:p>
      </w:docPartBody>
    </w:docPart>
    <w:docPart>
      <w:docPartPr>
        <w:name w:val="9CC931E39FC74FAF9E2DD0BCDDF3C57E"/>
        <w:category>
          <w:name w:val="General"/>
          <w:gallery w:val="placeholder"/>
        </w:category>
        <w:types>
          <w:type w:val="bbPlcHdr"/>
        </w:types>
        <w:behaviors>
          <w:behavior w:val="content"/>
        </w:behaviors>
        <w:guid w:val="{717BAD26-F38A-44D4-9E3D-11CE2A826DB6}"/>
      </w:docPartPr>
      <w:docPartBody>
        <w:p w:rsidR="009B6B9C" w:rsidRDefault="00B22006" w:rsidP="00B22006">
          <w:pPr>
            <w:pStyle w:val="9CC931E39FC74FAF9E2DD0BCDDF3C57E"/>
          </w:pPr>
          <w:r w:rsidRPr="00DA1A90">
            <w:rPr>
              <w:rStyle w:val="PlaceholderText"/>
            </w:rPr>
            <w:t>Choose an item.</w:t>
          </w:r>
        </w:p>
      </w:docPartBody>
    </w:docPart>
    <w:docPart>
      <w:docPartPr>
        <w:name w:val="A63132AB50BF4DFF968146A9E1FDD0A7"/>
        <w:category>
          <w:name w:val="General"/>
          <w:gallery w:val="placeholder"/>
        </w:category>
        <w:types>
          <w:type w:val="bbPlcHdr"/>
        </w:types>
        <w:behaviors>
          <w:behavior w:val="content"/>
        </w:behaviors>
        <w:guid w:val="{EAEF2547-2BB7-42FD-8964-B23EA4B66A93}"/>
      </w:docPartPr>
      <w:docPartBody>
        <w:p w:rsidR="00AC6273" w:rsidRDefault="009C794D" w:rsidP="009C794D">
          <w:pPr>
            <w:pStyle w:val="A63132AB50BF4DFF968146A9E1FDD0A7"/>
          </w:pPr>
          <w:r w:rsidRPr="00DA1A9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D3BDB"/>
    <w:rsid w:val="00171343"/>
    <w:rsid w:val="002826FB"/>
    <w:rsid w:val="002F71C9"/>
    <w:rsid w:val="003C3A27"/>
    <w:rsid w:val="003E2607"/>
    <w:rsid w:val="004E4CF9"/>
    <w:rsid w:val="00747575"/>
    <w:rsid w:val="00813189"/>
    <w:rsid w:val="008222A0"/>
    <w:rsid w:val="00836D47"/>
    <w:rsid w:val="0087748B"/>
    <w:rsid w:val="009665BF"/>
    <w:rsid w:val="00967557"/>
    <w:rsid w:val="00993561"/>
    <w:rsid w:val="009B6B9C"/>
    <w:rsid w:val="009C794D"/>
    <w:rsid w:val="00A408D7"/>
    <w:rsid w:val="00AC6273"/>
    <w:rsid w:val="00B22006"/>
    <w:rsid w:val="00C336E8"/>
    <w:rsid w:val="00F01F95"/>
    <w:rsid w:val="00FC37C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794D"/>
    <w:rPr>
      <w:color w:val="808080"/>
    </w:rPr>
  </w:style>
  <w:style w:type="paragraph" w:customStyle="1" w:styleId="2B0FF21738C1433DBAFB661809AC1F87">
    <w:name w:val="2B0FF21738C1433DBAFB661809AC1F87"/>
    <w:rsid w:val="00B22006"/>
  </w:style>
  <w:style w:type="paragraph" w:customStyle="1" w:styleId="9CC931E39FC74FAF9E2DD0BCDDF3C57E">
    <w:name w:val="9CC931E39FC74FAF9E2DD0BCDDF3C57E"/>
    <w:rsid w:val="00B22006"/>
  </w:style>
  <w:style w:type="paragraph" w:customStyle="1" w:styleId="A63132AB50BF4DFF968146A9E1FDD0A7">
    <w:name w:val="A63132AB50BF4DFF968146A9E1FDD0A7"/>
    <w:rsid w:val="009C79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ecf9566-b028-45c4-a091-e1d15b972bf0" xsi:nil="true"/>
    <SharedWithUsers xmlns="3ecf9566-b028-45c4-a091-e1d15b972bf0">
      <UserInfo>
        <DisplayName>Caroline Le Moign</DisplayName>
        <AccountId>329</AccountId>
        <AccountType/>
      </UserInfo>
      <UserInfo>
        <DisplayName>Marko Novakovic</DisplayName>
        <AccountId>215</AccountId>
        <AccountType/>
      </UserInfo>
      <UserInfo>
        <DisplayName>Valerio Novembre</DisplayName>
        <AccountId>186</AccountId>
        <AccountType/>
      </UserInfo>
      <UserInfo>
        <DisplayName>Iris Hude</DisplayName>
        <AccountId>82</AccountId>
        <AccountType/>
      </UserInfo>
    </SharedWithUsers>
    <lcf76f155ced4ddcb4097134ff3c332f xmlns="d64c42e7-81ce-41a0-b6c1-57d6e280523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D5448B2187A3C4E82B143AC0F07903F" ma:contentTypeVersion="18" ma:contentTypeDescription="Create a new document." ma:contentTypeScope="" ma:versionID="372021a506386316be5e062a9cdc648f">
  <xsd:schema xmlns:xsd="http://www.w3.org/2001/XMLSchema" xmlns:xs="http://www.w3.org/2001/XMLSchema" xmlns:p="http://schemas.microsoft.com/office/2006/metadata/properties" xmlns:ns2="d64c42e7-81ce-41a0-b6c1-57d6e2805238" xmlns:ns3="3ecf9566-b028-45c4-a091-e1d15b972bf0" targetNamespace="http://schemas.microsoft.com/office/2006/metadata/properties" ma:root="true" ma:fieldsID="0dcaf22dafa89d5d2b949a297292486c" ns2:_="" ns3:_="">
    <xsd:import namespace="d64c42e7-81ce-41a0-b6c1-57d6e2805238"/>
    <xsd:import namespace="3ecf9566-b028-45c4-a091-e1d15b972b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4c42e7-81ce-41a0-b6c1-57d6e28052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342193b-1599-4434-b7af-91a0f1fddc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cf9566-b028-45c4-a091-e1d15b972bf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d444d58-9417-49a1-b67f-d44d02dda1bb}" ma:internalName="TaxCatchAll" ma:showField="CatchAllData" ma:web="3ecf9566-b028-45c4-a091-e1d15b972b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46212F-5043-4D90-84A4-4A69539C8640}">
  <ds:schemaRefs>
    <ds:schemaRef ds:uri="http://schemas.microsoft.com/sharepoint/v3/contenttype/forms"/>
  </ds:schemaRefs>
</ds:datastoreItem>
</file>

<file path=customXml/itemProps2.xml><?xml version="1.0" encoding="utf-8"?>
<ds:datastoreItem xmlns:ds="http://schemas.openxmlformats.org/officeDocument/2006/customXml" ds:itemID="{C222DDBC-7410-4C00-A591-AB732378515E}">
  <ds:schemaRefs>
    <ds:schemaRef ds:uri="http://schemas.openxmlformats.org/officeDocument/2006/bibliography"/>
  </ds:schemaRefs>
</ds:datastoreItem>
</file>

<file path=customXml/itemProps3.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3ecf9566-b028-45c4-a091-e1d15b972bf0"/>
    <ds:schemaRef ds:uri="d64c42e7-81ce-41a0-b6c1-57d6e2805238"/>
  </ds:schemaRefs>
</ds:datastoreItem>
</file>

<file path=customXml/itemProps4.xml><?xml version="1.0" encoding="utf-8"?>
<ds:datastoreItem xmlns:ds="http://schemas.openxmlformats.org/officeDocument/2006/customXml" ds:itemID="{5AB6B482-E234-422A-B228-9DF43933C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4c42e7-81ce-41a0-b6c1-57d6e2805238"/>
    <ds:schemaRef ds:uri="3ecf9566-b028-45c4-a091-e1d15b972b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19</Pages>
  <Words>5513</Words>
  <Characters>31428</Characters>
  <Application>Microsoft Office Word</Application>
  <DocSecurity>8</DocSecurity>
  <Lines>261</Lines>
  <Paragraphs>73</Paragraphs>
  <ScaleCrop>false</ScaleCrop>
  <Company/>
  <LinksUpToDate>false</LinksUpToDate>
  <CharactersWithSpaces>36868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Farrah Mahmood</cp:lastModifiedBy>
  <cp:revision>17</cp:revision>
  <cp:lastPrinted>2023-09-09T09:53:00Z</cp:lastPrinted>
  <dcterms:created xsi:type="dcterms:W3CDTF">2024-08-07T16:29:00Z</dcterms:created>
  <dcterms:modified xsi:type="dcterms:W3CDTF">2024-08-07T17:09:00Z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50acab3f6949599688191e8740e810">
    <vt:lpwstr>Regular|07f1e362-856b-423d-bea6-a14079762141</vt:lpwstr>
  </property>
  <property fmtid="{D5CDD505-2E9C-101B-9397-08002B2CF9AE}" pid="3" name="n84bf37b4eaf4fd99e887816221de8a8">
    <vt:lpwstr>EN|f7e7f686-dfa7-4032-a218-a5881e990598</vt:lpwstr>
  </property>
  <property fmtid="{D5CDD505-2E9C-101B-9397-08002B2CF9AE}" pid="4" name="ESMATemplatesConfidentialityLevel">
    <vt:lpwstr>17;#Public|a0c619ff-bd46-48f0-b213-6b7c03fe156d</vt:lpwstr>
  </property>
  <property fmtid="{D5CDD505-2E9C-101B-9397-08002B2CF9AE}" pid="5" name="ESMATemplatesTopic">
    <vt:lpwstr>58;#Report|066a9501-23d0-4103-814a-86d99d41b931</vt:lpwstr>
  </property>
  <property fmtid="{D5CDD505-2E9C-101B-9397-08002B2CF9AE}" pid="6" name="_dlc_DocIdItemGuid">
    <vt:lpwstr>8f87ab28-9cc0-4a5f-bef3-0462a96fe99e</vt:lpwstr>
  </property>
  <property fmtid="{D5CDD505-2E9C-101B-9397-08002B2CF9AE}" pid="7" name="EsmaAudience">
    <vt:lpwstr>345;#Post-Trading Standing Committee|b4466ad1-2610-4bb4-b77e-13cd08e75663</vt:lpwstr>
  </property>
  <property fmtid="{D5CDD505-2E9C-101B-9397-08002B2CF9AE}" pid="8" name="Topic">
    <vt:lpwstr>254</vt:lpwstr>
  </property>
  <property fmtid="{D5CDD505-2E9C-101B-9397-08002B2CF9AE}" pid="9" name="ConfidentialityLevel">
    <vt:lpwstr>6;#Regular|07f1e362-856b-423d-bea6-a14079762141</vt:lpwstr>
  </property>
  <property fmtid="{D5CDD505-2E9C-101B-9397-08002B2CF9AE}" pid="10" name="DocumentType">
    <vt:lpwstr>54;#Call for Evidence|4dd13041-d074-4513-b0c9-9d450ea451f0</vt:lpwstr>
  </property>
  <property fmtid="{D5CDD505-2E9C-101B-9397-08002B2CF9AE}" pid="11" name="Order">
    <vt:r8>52000</vt:r8>
  </property>
  <property fmtid="{D5CDD505-2E9C-101B-9397-08002B2CF9AE}" pid="12" name="DocumentSetDescription">
    <vt:lpwstr/>
  </property>
  <property fmtid="{D5CDD505-2E9C-101B-9397-08002B2CF9AE}" pid="13" name="TeamName">
    <vt:lpwstr>5</vt:lpwstr>
  </property>
  <property fmtid="{D5CDD505-2E9C-101B-9397-08002B2CF9AE}" pid="14" name="SubTopic">
    <vt:lpwstr>323;#CSDR General - T + 1|a5a376d4-84eb-4354-ab81-b0766b380093</vt:lpwstr>
  </property>
  <property fmtid="{D5CDD505-2E9C-101B-9397-08002B2CF9AE}" pid="15" name="TeamTopic">
    <vt:lpwstr>33;#UCITS|a853cb80-aed9-44bd-ac2a-0e80b5a444d7</vt:lpwstr>
  </property>
  <property fmtid="{D5CDD505-2E9C-101B-9397-08002B2CF9AE}" pid="16" name="ContentTypeId">
    <vt:lpwstr>0x0101005D5448B2187A3C4E82B143AC0F07903F</vt:lpwstr>
  </property>
  <property fmtid="{D5CDD505-2E9C-101B-9397-08002B2CF9AE}" pid="17" name="MediaServiceImageTags">
    <vt:lpwstr/>
  </property>
</Properties>
</file>