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EF7FE" w14:textId="05BFA884" w:rsidR="66107C87" w:rsidRDefault="7C53680C" w:rsidP="3FE99FEE">
      <w:pPr>
        <w:spacing w:after="250" w:line="276" w:lineRule="auto"/>
        <w:jc w:val="both"/>
        <w:rPr>
          <w:rFonts w:ascii="Arial" w:eastAsia="MS PGothic" w:hAnsi="Arial" w:cs="Arial"/>
          <w:b/>
          <w:bCs/>
          <w:color w:val="181818"/>
        </w:rPr>
      </w:pPr>
      <w:r w:rsidRPr="28CED790">
        <w:rPr>
          <w:rFonts w:ascii="Arial" w:eastAsia="MS PGothic" w:hAnsi="Arial" w:cs="Arial"/>
          <w:b/>
          <w:bCs/>
          <w:color w:val="181818"/>
        </w:rPr>
        <w:t xml:space="preserve">Annex </w:t>
      </w:r>
      <w:r w:rsidR="2A636CE1" w:rsidRPr="28CED790">
        <w:rPr>
          <w:rFonts w:ascii="Arial" w:eastAsia="MS PGothic" w:hAnsi="Arial" w:cs="Arial"/>
          <w:b/>
          <w:bCs/>
          <w:color w:val="181818"/>
        </w:rPr>
        <w:t xml:space="preserve">– </w:t>
      </w:r>
      <w:r w:rsidR="002F58FB" w:rsidRPr="002F58FB">
        <w:rPr>
          <w:rFonts w:ascii="Arial" w:eastAsia="MS PGothic" w:hAnsi="Arial" w:cs="Arial"/>
          <w:b/>
          <w:bCs/>
          <w:color w:val="181818"/>
        </w:rPr>
        <w:t>Question 20</w:t>
      </w:r>
      <w:r w:rsidR="00394809">
        <w:rPr>
          <w:rFonts w:ascii="Arial" w:eastAsia="MS PGothic" w:hAnsi="Arial" w:cs="Arial"/>
          <w:b/>
          <w:bCs/>
          <w:color w:val="181818"/>
        </w:rPr>
        <w:t>.</w:t>
      </w:r>
      <w:r w:rsidR="002D58CD">
        <w:rPr>
          <w:rFonts w:ascii="Arial" w:eastAsia="MS PGothic" w:hAnsi="Arial" w:cs="Arial"/>
          <w:b/>
          <w:bCs/>
          <w:color w:val="181818"/>
        </w:rPr>
        <w:t xml:space="preserve"> </w:t>
      </w:r>
      <w:r w:rsidR="00394809">
        <w:rPr>
          <w:rFonts w:ascii="Arial" w:eastAsia="MS PGothic" w:hAnsi="Arial" w:cs="Arial"/>
          <w:b/>
          <w:bCs/>
          <w:color w:val="181818"/>
        </w:rPr>
        <w:t>T</w:t>
      </w:r>
      <w:r w:rsidR="002D58CD">
        <w:rPr>
          <w:rFonts w:ascii="Arial" w:eastAsia="MS PGothic" w:hAnsi="Arial" w:cs="Arial"/>
          <w:b/>
          <w:bCs/>
          <w:color w:val="181818"/>
        </w:rPr>
        <w:t xml:space="preserve">able on </w:t>
      </w:r>
      <w:r w:rsidR="0048151A">
        <w:rPr>
          <w:rFonts w:ascii="Arial" w:eastAsia="MS PGothic" w:hAnsi="Arial" w:cs="Arial"/>
          <w:b/>
          <w:bCs/>
          <w:color w:val="181818"/>
        </w:rPr>
        <w:t xml:space="preserve">eligible assets </w:t>
      </w:r>
      <w:r w:rsidR="002F58FB" w:rsidRPr="002F58FB">
        <w:rPr>
          <w:rFonts w:ascii="Arial" w:eastAsia="MS PGothic" w:hAnsi="Arial" w:cs="Arial"/>
          <w:b/>
          <w:bCs/>
          <w:color w:val="181818"/>
        </w:rPr>
        <w:t>UCITS EAD</w:t>
      </w:r>
      <w:r w:rsidR="53D130EB" w:rsidRPr="28CED790">
        <w:rPr>
          <w:rFonts w:ascii="Arial" w:eastAsia="MS PGothic" w:hAnsi="Arial" w:cs="Arial"/>
          <w:b/>
          <w:bCs/>
          <w:color w:val="181818"/>
        </w:rPr>
        <w:t xml:space="preserve">. </w:t>
      </w:r>
    </w:p>
    <w:p w14:paraId="10145F69" w14:textId="4B8E6890" w:rsidR="00554F00" w:rsidRDefault="002F58FB" w:rsidP="3FE99FEE">
      <w:pPr>
        <w:spacing w:after="250" w:line="276" w:lineRule="auto"/>
        <w:jc w:val="both"/>
        <w:rPr>
          <w:rFonts w:ascii="Arial" w:eastAsia="MS PGothic" w:hAnsi="Arial" w:cs="Arial"/>
          <w:color w:val="181818"/>
          <w:szCs w:val="20"/>
        </w:rPr>
      </w:pPr>
      <w:r w:rsidRPr="002F58FB">
        <w:rPr>
          <w:rFonts w:ascii="Arial" w:eastAsia="MS PGothic" w:hAnsi="Arial" w:cs="Arial"/>
          <w:color w:val="181818"/>
          <w:szCs w:val="20"/>
        </w:rPr>
        <w:t xml:space="preserve">For the purposes of Question 20, please </w:t>
      </w:r>
      <w:r w:rsidR="00A87C58">
        <w:rPr>
          <w:rFonts w:ascii="Arial" w:eastAsia="MS PGothic" w:hAnsi="Arial" w:cs="Arial"/>
          <w:color w:val="181818"/>
          <w:szCs w:val="20"/>
        </w:rPr>
        <w:t>complete</w:t>
      </w:r>
      <w:r w:rsidRPr="002F58FB">
        <w:rPr>
          <w:rFonts w:ascii="Arial" w:eastAsia="MS PGothic" w:hAnsi="Arial" w:cs="Arial"/>
          <w:color w:val="181818"/>
          <w:szCs w:val="20"/>
        </w:rPr>
        <w:t xml:space="preserve"> the table </w:t>
      </w:r>
      <w:r w:rsidR="006C47BC">
        <w:rPr>
          <w:rFonts w:ascii="Arial" w:eastAsia="MS PGothic" w:hAnsi="Arial" w:cs="Arial"/>
          <w:color w:val="181818"/>
          <w:szCs w:val="20"/>
        </w:rPr>
        <w:t>below</w:t>
      </w:r>
      <w:r w:rsidRPr="002F58FB">
        <w:rPr>
          <w:rFonts w:ascii="Arial" w:eastAsia="MS PGothic" w:hAnsi="Arial" w:cs="Arial"/>
          <w:color w:val="181818"/>
          <w:szCs w:val="20"/>
        </w:rPr>
        <w:t xml:space="preserve"> with the requested information</w:t>
      </w:r>
      <w:r w:rsidR="00F042E8">
        <w:rPr>
          <w:rFonts w:ascii="Arial" w:eastAsia="MS PGothic" w:hAnsi="Arial" w:cs="Arial"/>
          <w:color w:val="181818"/>
          <w:szCs w:val="20"/>
        </w:rPr>
        <w:t xml:space="preserve">, </w:t>
      </w:r>
      <w:proofErr w:type="gramStart"/>
      <w:r w:rsidR="00F042E8">
        <w:rPr>
          <w:rFonts w:ascii="Arial" w:eastAsia="MS PGothic" w:hAnsi="Arial" w:cs="Arial"/>
          <w:color w:val="181818"/>
          <w:szCs w:val="20"/>
        </w:rPr>
        <w:t>taking into account</w:t>
      </w:r>
      <w:proofErr w:type="gramEnd"/>
      <w:r w:rsidR="00F042E8">
        <w:rPr>
          <w:rFonts w:ascii="Arial" w:eastAsia="MS PGothic" w:hAnsi="Arial" w:cs="Arial"/>
          <w:color w:val="181818"/>
          <w:szCs w:val="20"/>
        </w:rPr>
        <w:t xml:space="preserve"> the instructions </w:t>
      </w:r>
      <w:r w:rsidR="00FB3EA8">
        <w:rPr>
          <w:rFonts w:ascii="Arial" w:eastAsia="MS PGothic" w:hAnsi="Arial" w:cs="Arial"/>
          <w:color w:val="181818"/>
          <w:szCs w:val="20"/>
        </w:rPr>
        <w:t xml:space="preserve">provided in </w:t>
      </w:r>
      <w:r w:rsidR="006B7B4A">
        <w:rPr>
          <w:rFonts w:ascii="Arial" w:eastAsia="MS PGothic" w:hAnsi="Arial" w:cs="Arial"/>
          <w:color w:val="181818"/>
          <w:szCs w:val="20"/>
        </w:rPr>
        <w:t>the footnotes</w:t>
      </w:r>
      <w:r w:rsidRPr="002F58FB">
        <w:rPr>
          <w:rFonts w:ascii="Arial" w:eastAsia="MS PGothic" w:hAnsi="Arial" w:cs="Arial"/>
          <w:color w:val="181818"/>
          <w:szCs w:val="20"/>
        </w:rPr>
        <w:t xml:space="preserve">. After </w:t>
      </w:r>
      <w:r w:rsidR="003D2C3C">
        <w:rPr>
          <w:rFonts w:ascii="Arial" w:eastAsia="MS PGothic" w:hAnsi="Arial" w:cs="Arial"/>
          <w:color w:val="181818"/>
          <w:szCs w:val="20"/>
        </w:rPr>
        <w:t>having</w:t>
      </w:r>
      <w:r w:rsidRPr="002F58FB">
        <w:rPr>
          <w:rFonts w:ascii="Arial" w:eastAsia="MS PGothic" w:hAnsi="Arial" w:cs="Arial"/>
          <w:color w:val="181818"/>
          <w:szCs w:val="20"/>
        </w:rPr>
        <w:t xml:space="preserve"> </w:t>
      </w:r>
      <w:r w:rsidR="00F042E8">
        <w:rPr>
          <w:rFonts w:ascii="Arial" w:eastAsia="MS PGothic" w:hAnsi="Arial" w:cs="Arial"/>
          <w:color w:val="181818"/>
          <w:szCs w:val="20"/>
        </w:rPr>
        <w:t xml:space="preserve">completed </w:t>
      </w:r>
      <w:r w:rsidRPr="002F58FB">
        <w:rPr>
          <w:rFonts w:ascii="Arial" w:eastAsia="MS PGothic" w:hAnsi="Arial" w:cs="Arial"/>
          <w:color w:val="181818"/>
          <w:szCs w:val="20"/>
        </w:rPr>
        <w:t xml:space="preserve">the form, </w:t>
      </w:r>
      <w:r w:rsidR="00FD12FD">
        <w:rPr>
          <w:rFonts w:ascii="Arial" w:eastAsia="MS PGothic" w:hAnsi="Arial" w:cs="Arial"/>
          <w:color w:val="181818"/>
          <w:szCs w:val="20"/>
        </w:rPr>
        <w:t xml:space="preserve">please </w:t>
      </w:r>
      <w:r w:rsidRPr="002F58FB">
        <w:rPr>
          <w:rFonts w:ascii="Arial" w:eastAsia="MS PGothic" w:hAnsi="Arial" w:cs="Arial"/>
          <w:color w:val="181818"/>
          <w:szCs w:val="20"/>
        </w:rPr>
        <w:t xml:space="preserve">save the document </w:t>
      </w:r>
      <w:r w:rsidR="0040029B">
        <w:rPr>
          <w:rFonts w:ascii="Arial" w:eastAsia="MS PGothic" w:hAnsi="Arial" w:cs="Arial"/>
          <w:color w:val="181818"/>
          <w:szCs w:val="20"/>
        </w:rPr>
        <w:t>(</w:t>
      </w:r>
      <w:r w:rsidR="00FE6B1B">
        <w:rPr>
          <w:rFonts w:ascii="Arial" w:eastAsia="MS PGothic" w:hAnsi="Arial" w:cs="Arial"/>
          <w:color w:val="181818"/>
          <w:szCs w:val="20"/>
        </w:rPr>
        <w:t>according to the following convention:</w:t>
      </w:r>
      <w:r w:rsidRPr="002F58FB">
        <w:rPr>
          <w:rFonts w:ascii="Arial" w:eastAsia="MS PGothic" w:hAnsi="Arial" w:cs="Arial"/>
          <w:color w:val="181818"/>
          <w:szCs w:val="20"/>
        </w:rPr>
        <w:t xml:space="preserve"> </w:t>
      </w:r>
      <w:r w:rsidR="00FE6B1B">
        <w:rPr>
          <w:rFonts w:ascii="Arial" w:eastAsia="MS PGothic" w:hAnsi="Arial" w:cs="Arial"/>
          <w:color w:val="181818"/>
          <w:szCs w:val="20"/>
        </w:rPr>
        <w:t>“</w:t>
      </w:r>
      <w:r w:rsidRPr="002F58FB">
        <w:rPr>
          <w:rFonts w:ascii="Arial" w:eastAsia="MS PGothic" w:hAnsi="Arial" w:cs="Arial"/>
          <w:color w:val="181818"/>
          <w:szCs w:val="20"/>
        </w:rPr>
        <w:t>ESMA_</w:t>
      </w:r>
      <w:r w:rsidR="00915CEE">
        <w:rPr>
          <w:rFonts w:ascii="Arial" w:eastAsia="MS PGothic" w:hAnsi="Arial" w:cs="Arial"/>
          <w:color w:val="181818"/>
          <w:szCs w:val="20"/>
        </w:rPr>
        <w:t>Q20</w:t>
      </w:r>
      <w:r w:rsidRPr="002F58FB">
        <w:rPr>
          <w:rFonts w:ascii="Arial" w:eastAsia="MS PGothic" w:hAnsi="Arial" w:cs="Arial"/>
          <w:color w:val="181818"/>
          <w:szCs w:val="20"/>
        </w:rPr>
        <w:t>_nameofrespondent</w:t>
      </w:r>
      <w:r w:rsidR="00915CEE">
        <w:rPr>
          <w:rFonts w:ascii="Arial" w:eastAsia="MS PGothic" w:hAnsi="Arial" w:cs="Arial"/>
          <w:color w:val="181818"/>
          <w:szCs w:val="20"/>
        </w:rPr>
        <w:t>”</w:t>
      </w:r>
      <w:r w:rsidR="0040029B">
        <w:rPr>
          <w:rFonts w:ascii="Arial" w:eastAsia="MS PGothic" w:hAnsi="Arial" w:cs="Arial"/>
          <w:color w:val="181818"/>
          <w:szCs w:val="20"/>
        </w:rPr>
        <w:t>)</w:t>
      </w:r>
      <w:r w:rsidRPr="002F58FB">
        <w:rPr>
          <w:rFonts w:ascii="Arial" w:eastAsia="MS PGothic" w:hAnsi="Arial" w:cs="Arial"/>
          <w:color w:val="181818"/>
          <w:szCs w:val="20"/>
        </w:rPr>
        <w:t xml:space="preserve"> and</w:t>
      </w:r>
      <w:r w:rsidR="0040029B">
        <w:rPr>
          <w:rFonts w:ascii="Arial" w:eastAsia="MS PGothic" w:hAnsi="Arial" w:cs="Arial"/>
          <w:color w:val="181818"/>
          <w:szCs w:val="20"/>
        </w:rPr>
        <w:t xml:space="preserve"> </w:t>
      </w:r>
      <w:r w:rsidR="0051598D">
        <w:rPr>
          <w:rFonts w:ascii="Arial" w:eastAsia="MS PGothic" w:hAnsi="Arial" w:cs="Arial"/>
          <w:color w:val="181818"/>
          <w:szCs w:val="20"/>
        </w:rPr>
        <w:t xml:space="preserve">upload </w:t>
      </w:r>
      <w:r w:rsidR="0040029B">
        <w:rPr>
          <w:rFonts w:ascii="Arial" w:eastAsia="MS PGothic" w:hAnsi="Arial" w:cs="Arial"/>
          <w:color w:val="181818"/>
          <w:szCs w:val="20"/>
        </w:rPr>
        <w:t>it</w:t>
      </w:r>
      <w:r w:rsidR="006C7811">
        <w:rPr>
          <w:rFonts w:ascii="Arial" w:eastAsia="MS PGothic" w:hAnsi="Arial" w:cs="Arial"/>
          <w:color w:val="181818"/>
          <w:szCs w:val="20"/>
        </w:rPr>
        <w:t xml:space="preserve"> </w:t>
      </w:r>
      <w:r w:rsidR="005A6BF0" w:rsidRPr="005A6BF0">
        <w:rPr>
          <w:rFonts w:ascii="Arial" w:eastAsia="MS PGothic" w:hAnsi="Arial" w:cs="Arial"/>
          <w:bCs/>
          <w:color w:val="181818"/>
          <w:szCs w:val="20"/>
        </w:rPr>
        <w:t xml:space="preserve">online at </w:t>
      </w:r>
      <w:hyperlink r:id="rId11" w:history="1">
        <w:r w:rsidR="00901098" w:rsidRPr="00150222">
          <w:rPr>
            <w:rStyle w:val="Hyperlink"/>
            <w:rFonts w:ascii="Arial" w:eastAsia="MS PGothic" w:hAnsi="Arial" w:cs="Arial"/>
            <w:bCs/>
            <w:szCs w:val="20"/>
          </w:rPr>
          <w:t>https://www.esma.europa.eu/press-news/consultations/call-evidence-review-ucits-eligible-assets-directive</w:t>
        </w:r>
      </w:hyperlink>
      <w:r w:rsidR="00901098">
        <w:rPr>
          <w:rFonts w:ascii="Arial" w:eastAsia="MS PGothic" w:hAnsi="Arial" w:cs="Arial"/>
          <w:bCs/>
          <w:i/>
          <w:iCs/>
          <w:color w:val="181818"/>
          <w:szCs w:val="20"/>
        </w:rPr>
        <w:t xml:space="preserve"> </w:t>
      </w:r>
      <w:r w:rsidR="005A6BF0" w:rsidRPr="005A6BF0">
        <w:rPr>
          <w:rFonts w:ascii="Arial" w:eastAsia="MS PGothic" w:hAnsi="Arial" w:cs="Arial"/>
          <w:bCs/>
          <w:color w:val="181818"/>
          <w:szCs w:val="20"/>
        </w:rPr>
        <w:t xml:space="preserve">under the heading </w:t>
      </w:r>
      <w:r w:rsidR="005A6BF0" w:rsidRPr="005A6BF0">
        <w:rPr>
          <w:rFonts w:ascii="Arial" w:eastAsia="MS PGothic" w:hAnsi="Arial" w:cs="Arial"/>
          <w:bCs/>
          <w:i/>
          <w:iCs/>
          <w:color w:val="181818"/>
          <w:szCs w:val="20"/>
        </w:rPr>
        <w:t>‘Your input - Consultations’</w:t>
      </w:r>
      <w:r w:rsidR="005A6BF0">
        <w:rPr>
          <w:rFonts w:ascii="Arial" w:eastAsia="MS PGothic" w:hAnsi="Arial" w:cs="Arial"/>
          <w:bCs/>
          <w:color w:val="181818"/>
          <w:szCs w:val="20"/>
        </w:rPr>
        <w:t>, as an Annex to the Reply Form</w:t>
      </w:r>
      <w:r w:rsidR="0040029B">
        <w:rPr>
          <w:rFonts w:ascii="Arial" w:eastAsia="MS PGothic" w:hAnsi="Arial" w:cs="Arial"/>
          <w:color w:val="181818"/>
          <w:szCs w:val="20"/>
        </w:rPr>
        <w:t xml:space="preserve">. </w:t>
      </w:r>
      <w:r w:rsidR="008B6D19">
        <w:rPr>
          <w:rFonts w:ascii="Arial" w:eastAsia="MS PGothic" w:hAnsi="Arial" w:cs="Arial"/>
          <w:color w:val="181818"/>
          <w:szCs w:val="20"/>
        </w:rPr>
        <w:t xml:space="preserve">In case you upload a pdf file, please choose an editable form. </w:t>
      </w:r>
    </w:p>
    <w:p w14:paraId="7D434FEF" w14:textId="67B76F5A" w:rsidR="008429C3" w:rsidRPr="008429C3" w:rsidRDefault="008429C3" w:rsidP="3FE99FEE">
      <w:pPr>
        <w:spacing w:after="250" w:line="276" w:lineRule="auto"/>
        <w:jc w:val="both"/>
        <w:rPr>
          <w:rFonts w:ascii="BLK Fort" w:eastAsia="MS PGothic" w:hAnsi="BLK Fort" w:cs="Arial"/>
          <w:b/>
          <w:bCs/>
          <w:color w:val="181818"/>
          <w:sz w:val="20"/>
          <w:szCs w:val="20"/>
        </w:rPr>
      </w:pPr>
      <w:r w:rsidRPr="008429C3">
        <w:rPr>
          <w:rFonts w:ascii="BLK Fort" w:eastAsia="MS PGothic" w:hAnsi="BLK Fort" w:cs="Arial"/>
          <w:b/>
          <w:bCs/>
          <w:color w:val="181818"/>
          <w:sz w:val="20"/>
          <w:szCs w:val="20"/>
        </w:rPr>
        <w:t>We comment on a selected number of asset types highlighted by our investment teams.</w:t>
      </w:r>
    </w:p>
    <w:tbl>
      <w:tblPr>
        <w:tblStyle w:val="Tablenone1"/>
        <w:tblW w:w="14487" w:type="dxa"/>
        <w:tblLook w:val="04A0" w:firstRow="1" w:lastRow="0" w:firstColumn="1" w:lastColumn="0" w:noHBand="0" w:noVBand="1"/>
      </w:tblPr>
      <w:tblGrid>
        <w:gridCol w:w="2955"/>
        <w:gridCol w:w="3496"/>
        <w:gridCol w:w="2549"/>
        <w:gridCol w:w="3011"/>
        <w:gridCol w:w="2476"/>
      </w:tblGrid>
      <w:tr w:rsidR="00B33432" w:rsidRPr="00B33432" w14:paraId="42644C63" w14:textId="77777777" w:rsidTr="008429C3">
        <w:trPr>
          <w:trHeight w:val="1275"/>
        </w:trPr>
        <w:tc>
          <w:tcPr>
            <w:tcW w:w="2955" w:type="dxa"/>
          </w:tcPr>
          <w:p w14:paraId="0268D24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Asset class</w:t>
            </w:r>
            <w:r w:rsidRPr="00B33432">
              <w:rPr>
                <w:rFonts w:ascii="Arial" w:hAnsi="Arial" w:cs="Arial"/>
                <w:b/>
                <w:bCs/>
                <w:color w:val="181818"/>
                <w:sz w:val="16"/>
                <w:vertAlign w:val="superscript"/>
              </w:rPr>
              <w:footnoteReference w:id="2"/>
            </w:r>
          </w:p>
        </w:tc>
        <w:tc>
          <w:tcPr>
            <w:tcW w:w="3496" w:type="dxa"/>
          </w:tcPr>
          <w:p w14:paraId="60F87FED"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Merits of allowing direct UCITS exposures</w:t>
            </w:r>
          </w:p>
        </w:tc>
        <w:tc>
          <w:tcPr>
            <w:tcW w:w="2549" w:type="dxa"/>
          </w:tcPr>
          <w:p w14:paraId="49FEA0C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 xml:space="preserve">Merits of allowing </w:t>
            </w:r>
            <w:r w:rsidRPr="00B33432">
              <w:rPr>
                <w:rFonts w:ascii="Arial" w:hAnsi="Arial" w:cs="Arial"/>
                <w:b/>
                <w:i/>
                <w:color w:val="181818"/>
              </w:rPr>
              <w:t>indirect</w:t>
            </w:r>
            <w:r w:rsidRPr="00B33432">
              <w:rPr>
                <w:rFonts w:ascii="Arial" w:hAnsi="Arial" w:cs="Arial"/>
                <w:b/>
                <w:bCs/>
                <w:color w:val="181818"/>
              </w:rPr>
              <w:t xml:space="preserve"> UCITS exposures</w:t>
            </w:r>
            <w:r w:rsidRPr="00B33432">
              <w:rPr>
                <w:rFonts w:ascii="Arial" w:hAnsi="Arial" w:cs="Arial"/>
                <w:b/>
                <w:bCs/>
                <w:color w:val="181818"/>
                <w:sz w:val="16"/>
                <w:vertAlign w:val="superscript"/>
              </w:rPr>
              <w:footnoteReference w:id="3"/>
            </w:r>
          </w:p>
        </w:tc>
        <w:tc>
          <w:tcPr>
            <w:tcW w:w="3011" w:type="dxa"/>
          </w:tcPr>
          <w:p w14:paraId="5668F975"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Extent/amount of existing UCITS exposures</w:t>
            </w:r>
            <w:r w:rsidRPr="00B33432">
              <w:rPr>
                <w:rFonts w:ascii="Arial" w:hAnsi="Arial" w:cs="Arial"/>
                <w:b/>
                <w:bCs/>
                <w:color w:val="181818"/>
                <w:sz w:val="16"/>
                <w:vertAlign w:val="superscript"/>
              </w:rPr>
              <w:footnoteReference w:id="4"/>
            </w:r>
            <w:r w:rsidRPr="00B33432">
              <w:rPr>
                <w:rFonts w:ascii="Arial" w:hAnsi="Arial" w:cs="Arial"/>
                <w:b/>
                <w:bCs/>
                <w:color w:val="181818"/>
              </w:rPr>
              <w:t xml:space="preserve"> </w:t>
            </w:r>
          </w:p>
        </w:tc>
        <w:tc>
          <w:tcPr>
            <w:tcW w:w="2476" w:type="dxa"/>
          </w:tcPr>
          <w:p w14:paraId="5014704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Additional comments</w:t>
            </w:r>
            <w:r w:rsidRPr="00B33432">
              <w:rPr>
                <w:rFonts w:ascii="Arial" w:hAnsi="Arial" w:cs="Arial"/>
                <w:b/>
                <w:bCs/>
                <w:vertAlign w:val="superscript"/>
              </w:rPr>
              <w:footnoteReference w:id="5"/>
            </w:r>
          </w:p>
        </w:tc>
      </w:tr>
      <w:tr w:rsidR="00B33432" w:rsidRPr="00B33432" w14:paraId="52801425" w14:textId="77777777" w:rsidTr="008429C3">
        <w:trPr>
          <w:trHeight w:val="1275"/>
        </w:trPr>
        <w:tc>
          <w:tcPr>
            <w:tcW w:w="2955" w:type="dxa"/>
          </w:tcPr>
          <w:p w14:paraId="06FDDDF6"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lastRenderedPageBreak/>
              <w:t>1. Loans</w:t>
            </w:r>
            <w:r w:rsidRPr="00B33432">
              <w:rPr>
                <w:rFonts w:ascii="Arial" w:hAnsi="Arial" w:cs="Arial"/>
                <w:sz w:val="16"/>
                <w:vertAlign w:val="superscript"/>
              </w:rPr>
              <w:footnoteReference w:id="6"/>
            </w:r>
          </w:p>
        </w:tc>
        <w:tc>
          <w:tcPr>
            <w:tcW w:w="3496" w:type="dxa"/>
          </w:tcPr>
          <w:p w14:paraId="375A3812" w14:textId="77777777" w:rsidR="008429C3" w:rsidRPr="007C348B" w:rsidRDefault="008429C3" w:rsidP="008429C3">
            <w:pPr>
              <w:numPr>
                <w:ilvl w:val="0"/>
                <w:numId w:val="1"/>
              </w:numPr>
              <w:rPr>
                <w:rFonts w:ascii="BLK Fort" w:eastAsia="Arial" w:hAnsi="BLK Fort" w:cs="Arial"/>
                <w:color w:val="000000"/>
                <w:sz w:val="18"/>
                <w:szCs w:val="18"/>
                <w:lang w:eastAsia="en-IE"/>
              </w:rPr>
            </w:pPr>
            <w:r w:rsidRPr="007C348B">
              <w:rPr>
                <w:rFonts w:ascii="BLK Fort" w:eastAsia="Arial" w:hAnsi="BLK Fort" w:cs="Arial"/>
                <w:b/>
                <w:bCs/>
                <w:color w:val="000000"/>
                <w:sz w:val="18"/>
                <w:szCs w:val="18"/>
                <w:lang w:eastAsia="en-IE"/>
              </w:rPr>
              <w:t>Higher yields and diversification</w:t>
            </w:r>
            <w:r w:rsidRPr="007C348B">
              <w:rPr>
                <w:rFonts w:ascii="BLK Fort" w:eastAsia="Arial" w:hAnsi="BLK Fort" w:cs="Arial"/>
                <w:color w:val="000000"/>
                <w:sz w:val="18"/>
                <w:szCs w:val="18"/>
                <w:lang w:eastAsia="en-IE"/>
              </w:rPr>
              <w:t>: Loans, especially loan participations and CLOs, can provide higher returns than other corporate debt categories, as well as diversification benefits due to their low correlation with other fixed income sectors.</w:t>
            </w:r>
          </w:p>
          <w:p w14:paraId="1B25CCC7" w14:textId="77777777" w:rsidR="008429C3" w:rsidRPr="001F28D6" w:rsidRDefault="008429C3" w:rsidP="008429C3">
            <w:pPr>
              <w:pStyle w:val="ListParagraph"/>
              <w:numPr>
                <w:ilvl w:val="0"/>
                <w:numId w:val="1"/>
              </w:numPr>
              <w:rPr>
                <w:b/>
                <w:bCs/>
              </w:rPr>
            </w:pPr>
            <w:r w:rsidRPr="001F28D6">
              <w:rPr>
                <w:b/>
                <w:bCs/>
              </w:rPr>
              <w:t xml:space="preserve">Low interest-rate sensitivity and inflation hedge: </w:t>
            </w:r>
            <w:r w:rsidRPr="001F28D6">
              <w:t>Collateralized Loan Obligations (CLOs) in particular are typically structured as floating-rate instruments. The loans tend to adjust their yields according to a designated benchmark rate. This means that they have lower interest-rate sensitivity and can protect investors from rising rates and inflation.</w:t>
            </w:r>
          </w:p>
          <w:p w14:paraId="142DB7A7" w14:textId="77777777" w:rsidR="008429C3" w:rsidRPr="007C348B" w:rsidRDefault="008429C3" w:rsidP="008429C3">
            <w:pPr>
              <w:numPr>
                <w:ilvl w:val="0"/>
                <w:numId w:val="1"/>
              </w:numPr>
              <w:rPr>
                <w:rFonts w:ascii="BLK Fort" w:eastAsia="Arial" w:hAnsi="BLK Fort" w:cs="Arial"/>
                <w:color w:val="000000"/>
                <w:sz w:val="18"/>
                <w:szCs w:val="18"/>
                <w:lang w:eastAsia="en-IE"/>
              </w:rPr>
            </w:pPr>
            <w:r w:rsidRPr="007C348B">
              <w:rPr>
                <w:rFonts w:ascii="BLK Fort" w:eastAsia="Arial" w:hAnsi="BLK Fort" w:cs="Arial"/>
                <w:b/>
                <w:bCs/>
                <w:color w:val="000000"/>
                <w:sz w:val="18"/>
                <w:szCs w:val="18"/>
                <w:lang w:eastAsia="en-IE"/>
              </w:rPr>
              <w:t>Loans have an attractive risk profile and credit quality</w:t>
            </w:r>
            <w:r w:rsidRPr="007C348B">
              <w:rPr>
                <w:rFonts w:ascii="BLK Fort" w:eastAsia="Arial" w:hAnsi="BLK Fort" w:cs="Arial"/>
                <w:color w:val="000000"/>
                <w:sz w:val="18"/>
                <w:szCs w:val="18"/>
                <w:lang w:eastAsia="en-IE"/>
              </w:rPr>
              <w:t>: Loans have lower default rates, higher recovery rates, and stronger credit quality than most corporate bonds, as they are secured by first-</w:t>
            </w:r>
            <w:r w:rsidRPr="007C348B">
              <w:rPr>
                <w:rFonts w:ascii="BLK Fort" w:eastAsia="Arial" w:hAnsi="BLK Fort" w:cs="Arial"/>
                <w:color w:val="000000"/>
                <w:sz w:val="18"/>
                <w:szCs w:val="18"/>
                <w:lang w:eastAsia="en-IE"/>
              </w:rPr>
              <w:lastRenderedPageBreak/>
              <w:t>lien collateral and backed by covenants. CLOs also have a robust structure that mitigates the risks of the underlying loans.</w:t>
            </w:r>
          </w:p>
          <w:p w14:paraId="38EB2E7A" w14:textId="77777777" w:rsidR="008429C3" w:rsidRPr="007C348B" w:rsidRDefault="008429C3" w:rsidP="008429C3">
            <w:pPr>
              <w:numPr>
                <w:ilvl w:val="0"/>
                <w:numId w:val="1"/>
              </w:numPr>
              <w:rPr>
                <w:rFonts w:ascii="BLK Fort" w:eastAsia="Arial" w:hAnsi="BLK Fort" w:cs="Arial"/>
                <w:color w:val="000000"/>
                <w:sz w:val="18"/>
                <w:szCs w:val="18"/>
                <w:lang w:eastAsia="en-IE"/>
              </w:rPr>
            </w:pPr>
            <w:r w:rsidRPr="007C348B">
              <w:rPr>
                <w:rFonts w:ascii="BLK Fort" w:eastAsia="Arial" w:hAnsi="BLK Fort" w:cs="Arial"/>
                <w:b/>
                <w:bCs/>
                <w:color w:val="000000"/>
                <w:sz w:val="18"/>
                <w:szCs w:val="18"/>
                <w:lang w:eastAsia="en-IE"/>
              </w:rPr>
              <w:t>Market with deep liquidity</w:t>
            </w:r>
            <w:r w:rsidRPr="007C348B">
              <w:rPr>
                <w:rFonts w:ascii="BLK Fort" w:eastAsia="Arial" w:hAnsi="BLK Fort" w:cs="Arial"/>
                <w:color w:val="000000"/>
                <w:sz w:val="18"/>
                <w:szCs w:val="18"/>
                <w:lang w:eastAsia="en-IE"/>
              </w:rPr>
              <w:t>: Loans are part of a large and still growing market. They have well-established liquidity, with high average daily trading volumes both for investment grade and non-investment grade CLO debt. CLOs also have observable secondary transactions and full transparency into the underlying collateral.</w:t>
            </w:r>
          </w:p>
          <w:p w14:paraId="672A6659" w14:textId="3162C9A0" w:rsidR="00B33432" w:rsidRPr="00B33432" w:rsidRDefault="008429C3" w:rsidP="008429C3">
            <w:pPr>
              <w:spacing w:after="250" w:line="276" w:lineRule="auto"/>
              <w:jc w:val="both"/>
              <w:rPr>
                <w:rFonts w:ascii="Arial" w:hAnsi="Arial" w:cs="Arial"/>
                <w:color w:val="181818"/>
              </w:rPr>
            </w:pPr>
            <w:r w:rsidRPr="007C348B">
              <w:rPr>
                <w:rFonts w:ascii="BLK Fort" w:eastAsia="Arial" w:hAnsi="BLK Fort" w:cs="Arial"/>
                <w:b/>
                <w:bCs/>
                <w:color w:val="000000"/>
                <w:sz w:val="18"/>
                <w:szCs w:val="18"/>
                <w:lang w:eastAsia="en-IE"/>
              </w:rPr>
              <w:t>Supporting real economy:</w:t>
            </w:r>
            <w:r w:rsidRPr="007C348B">
              <w:rPr>
                <w:rFonts w:ascii="BLK Fort" w:eastAsia="Arial" w:hAnsi="BLK Fort" w:cs="Arial"/>
                <w:color w:val="000000"/>
                <w:sz w:val="18"/>
                <w:szCs w:val="18"/>
                <w:lang w:eastAsia="en-IE"/>
              </w:rPr>
              <w:t xml:space="preserve"> Provides capital to enterprises that may be looking to expand, make acquisitions or undergo other growth initiatives, which can contribute to economic growth.</w:t>
            </w:r>
          </w:p>
        </w:tc>
        <w:tc>
          <w:tcPr>
            <w:tcW w:w="2549" w:type="dxa"/>
          </w:tcPr>
          <w:p w14:paraId="0A37501D" w14:textId="70B07DBE" w:rsidR="00B33432" w:rsidRPr="008429C3" w:rsidRDefault="008429C3" w:rsidP="008429C3">
            <w:pPr>
              <w:pStyle w:val="ListParagraph"/>
              <w:rPr>
                <w:rFonts w:ascii="Arial" w:eastAsia="MS PGothic" w:hAnsi="Arial"/>
                <w:color w:val="181818"/>
                <w:sz w:val="20"/>
                <w:szCs w:val="20"/>
                <w:lang w:val="nl-BE"/>
              </w:rPr>
            </w:pPr>
            <w:r w:rsidRPr="008429C3">
              <w:lastRenderedPageBreak/>
              <w:t>Could gain access to even higher liquidity if loans are invested in through exchange traded products rather than directly.</w:t>
            </w:r>
          </w:p>
        </w:tc>
        <w:tc>
          <w:tcPr>
            <w:tcW w:w="3011" w:type="dxa"/>
          </w:tcPr>
          <w:p w14:paraId="5DAB6C7B" w14:textId="77777777" w:rsidR="00B33432" w:rsidRPr="00B33432" w:rsidRDefault="00B33432" w:rsidP="00B33432">
            <w:pPr>
              <w:spacing w:after="250" w:line="276" w:lineRule="auto"/>
              <w:jc w:val="both"/>
              <w:rPr>
                <w:rFonts w:ascii="Arial" w:hAnsi="Arial" w:cs="Arial"/>
                <w:color w:val="181818"/>
              </w:rPr>
            </w:pPr>
          </w:p>
        </w:tc>
        <w:tc>
          <w:tcPr>
            <w:tcW w:w="2476" w:type="dxa"/>
          </w:tcPr>
          <w:p w14:paraId="02EB378F" w14:textId="77777777" w:rsidR="00B33432" w:rsidRPr="00B33432" w:rsidRDefault="00B33432" w:rsidP="00B33432">
            <w:pPr>
              <w:spacing w:after="250" w:line="276" w:lineRule="auto"/>
              <w:jc w:val="both"/>
              <w:rPr>
                <w:rFonts w:ascii="Arial" w:hAnsi="Arial" w:cs="Arial"/>
                <w:color w:val="181818"/>
              </w:rPr>
            </w:pPr>
          </w:p>
        </w:tc>
      </w:tr>
      <w:tr w:rsidR="00B33432" w:rsidRPr="00B33432" w14:paraId="131FC414" w14:textId="77777777" w:rsidTr="008429C3">
        <w:trPr>
          <w:trHeight w:val="1011"/>
        </w:trPr>
        <w:tc>
          <w:tcPr>
            <w:tcW w:w="2955" w:type="dxa"/>
          </w:tcPr>
          <w:p w14:paraId="55346258" w14:textId="77777777" w:rsidR="00B33432" w:rsidRPr="00B33432" w:rsidRDefault="00B33432" w:rsidP="00B33432">
            <w:pPr>
              <w:spacing w:after="250" w:line="276" w:lineRule="auto"/>
              <w:rPr>
                <w:rFonts w:ascii="Arial" w:hAnsi="Arial" w:cs="Arial"/>
              </w:rPr>
            </w:pPr>
            <w:r w:rsidRPr="00B33432">
              <w:rPr>
                <w:rFonts w:ascii="Arial" w:hAnsi="Arial" w:cs="Arial"/>
              </w:rPr>
              <w:t>2. Catastrophe bonds (‘Cat bonds’)</w:t>
            </w:r>
          </w:p>
        </w:tc>
        <w:tc>
          <w:tcPr>
            <w:tcW w:w="3496" w:type="dxa"/>
          </w:tcPr>
          <w:p w14:paraId="6A05A809" w14:textId="77777777" w:rsidR="00B33432" w:rsidRPr="00B33432" w:rsidRDefault="00B33432" w:rsidP="00B33432">
            <w:pPr>
              <w:spacing w:after="250" w:line="276" w:lineRule="auto"/>
              <w:jc w:val="both"/>
              <w:rPr>
                <w:rFonts w:ascii="Arial" w:hAnsi="Arial" w:cs="Arial"/>
                <w:color w:val="181818"/>
              </w:rPr>
            </w:pPr>
          </w:p>
        </w:tc>
        <w:tc>
          <w:tcPr>
            <w:tcW w:w="2549" w:type="dxa"/>
          </w:tcPr>
          <w:p w14:paraId="5A39BBE3" w14:textId="77777777" w:rsidR="00B33432" w:rsidRPr="00B33432" w:rsidRDefault="00B33432" w:rsidP="00B33432">
            <w:pPr>
              <w:spacing w:after="250" w:line="276" w:lineRule="auto"/>
              <w:jc w:val="both"/>
              <w:rPr>
                <w:rFonts w:ascii="Arial" w:hAnsi="Arial" w:cs="Arial"/>
                <w:color w:val="181818"/>
              </w:rPr>
            </w:pPr>
          </w:p>
        </w:tc>
        <w:tc>
          <w:tcPr>
            <w:tcW w:w="3011" w:type="dxa"/>
          </w:tcPr>
          <w:p w14:paraId="41C8F396" w14:textId="77777777" w:rsidR="00B33432" w:rsidRPr="00B33432" w:rsidRDefault="00B33432" w:rsidP="00B33432">
            <w:pPr>
              <w:spacing w:after="250" w:line="276" w:lineRule="auto"/>
              <w:jc w:val="both"/>
              <w:rPr>
                <w:rFonts w:ascii="Arial" w:hAnsi="Arial" w:cs="Arial"/>
                <w:color w:val="181818"/>
              </w:rPr>
            </w:pPr>
          </w:p>
        </w:tc>
        <w:tc>
          <w:tcPr>
            <w:tcW w:w="2476" w:type="dxa"/>
          </w:tcPr>
          <w:p w14:paraId="72A3D3EC" w14:textId="77777777" w:rsidR="00B33432" w:rsidRPr="00B33432" w:rsidRDefault="00B33432" w:rsidP="00B33432">
            <w:pPr>
              <w:spacing w:after="250" w:line="276" w:lineRule="auto"/>
              <w:jc w:val="both"/>
              <w:rPr>
                <w:rFonts w:ascii="Arial" w:hAnsi="Arial" w:cs="Arial"/>
                <w:color w:val="181818"/>
              </w:rPr>
            </w:pPr>
          </w:p>
        </w:tc>
      </w:tr>
      <w:tr w:rsidR="00B33432" w:rsidRPr="00B33432" w14:paraId="756B6A0E" w14:textId="77777777" w:rsidTr="008429C3">
        <w:trPr>
          <w:trHeight w:val="1011"/>
        </w:trPr>
        <w:tc>
          <w:tcPr>
            <w:tcW w:w="2955" w:type="dxa"/>
          </w:tcPr>
          <w:p w14:paraId="2C56CC88"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t>3. Contingent Convertible bonds (‘CoCo bonds’)</w:t>
            </w:r>
          </w:p>
        </w:tc>
        <w:tc>
          <w:tcPr>
            <w:tcW w:w="3496" w:type="dxa"/>
          </w:tcPr>
          <w:p w14:paraId="7AAC878D" w14:textId="77777777" w:rsidR="008429C3" w:rsidRPr="007C348B" w:rsidRDefault="008429C3" w:rsidP="008429C3">
            <w:pPr>
              <w:numPr>
                <w:ilvl w:val="0"/>
                <w:numId w:val="4"/>
              </w:numPr>
              <w:contextualSpacing/>
              <w:rPr>
                <w:rFonts w:ascii="BLK Fort" w:eastAsia="Arial" w:hAnsi="BLK Fort" w:cs="Arial"/>
                <w:color w:val="000000"/>
                <w:sz w:val="18"/>
                <w:szCs w:val="18"/>
                <w:lang w:eastAsia="en-IE"/>
              </w:rPr>
            </w:pPr>
            <w:r w:rsidRPr="007C348B">
              <w:rPr>
                <w:rFonts w:ascii="BLK Fort" w:eastAsia="Arial" w:hAnsi="BLK Fort" w:cs="Arial"/>
                <w:b/>
                <w:bCs/>
                <w:color w:val="000000"/>
                <w:sz w:val="18"/>
                <w:szCs w:val="18"/>
                <w:lang w:eastAsia="en-IE"/>
              </w:rPr>
              <w:t>Higher yields with diversification benefits:</w:t>
            </w:r>
            <w:r w:rsidRPr="007C348B">
              <w:rPr>
                <w:rFonts w:ascii="BLK Fort" w:eastAsia="Arial" w:hAnsi="BLK Fort" w:cs="Arial"/>
                <w:color w:val="000000"/>
                <w:sz w:val="18"/>
                <w:szCs w:val="18"/>
                <w:lang w:eastAsia="en-IE"/>
              </w:rPr>
              <w:t xml:space="preserve"> These hybrid securities can convert into equity or be written off when the issuer's capital ratio falls below a certain threshold. In the </w:t>
            </w:r>
            <w:r w:rsidRPr="007C348B">
              <w:rPr>
                <w:rFonts w:ascii="BLK Fort" w:eastAsia="Arial" w:hAnsi="BLK Fort" w:cs="Arial"/>
                <w:color w:val="000000"/>
                <w:sz w:val="18"/>
                <w:szCs w:val="18"/>
                <w:lang w:eastAsia="en-IE"/>
              </w:rPr>
              <w:lastRenderedPageBreak/>
              <w:t xml:space="preserve">UCITS context, we would recommend that only those with terms which specify the CoCo bond converts into equity be permitted as UCITS-eligible.  CoCo bonds typically offer higher yields than traditional bonds and can help improve asset diversification within a portfolio. </w:t>
            </w:r>
          </w:p>
          <w:p w14:paraId="47D9375D" w14:textId="77777777" w:rsidR="008429C3" w:rsidRPr="007C348B" w:rsidRDefault="008429C3" w:rsidP="008429C3">
            <w:pPr>
              <w:numPr>
                <w:ilvl w:val="0"/>
                <w:numId w:val="4"/>
              </w:numPr>
              <w:contextualSpacing/>
              <w:rPr>
                <w:rFonts w:ascii="BLK Fort" w:eastAsia="Arial" w:hAnsi="BLK Fort" w:cs="Arial"/>
                <w:color w:val="000000"/>
                <w:sz w:val="18"/>
                <w:szCs w:val="18"/>
                <w:lang w:eastAsia="en-IE"/>
              </w:rPr>
            </w:pPr>
            <w:r w:rsidRPr="007C348B">
              <w:rPr>
                <w:rFonts w:ascii="BLK Fort" w:eastAsia="Arial" w:hAnsi="BLK Fort" w:cs="Arial"/>
                <w:b/>
                <w:bCs/>
                <w:color w:val="000000"/>
                <w:sz w:val="18"/>
                <w:szCs w:val="18"/>
                <w:lang w:eastAsia="en-IE"/>
              </w:rPr>
              <w:t>Reliable liquidity and valuations:</w:t>
            </w:r>
            <w:r w:rsidRPr="007C348B">
              <w:rPr>
                <w:rFonts w:ascii="BLK Fort" w:eastAsia="Arial" w:hAnsi="BLK Fort" w:cs="Arial"/>
                <w:color w:val="000000"/>
                <w:sz w:val="18"/>
                <w:szCs w:val="18"/>
                <w:lang w:eastAsia="en-IE"/>
              </w:rPr>
              <w:t xml:space="preserve"> CoCo bonds have similarly comparable liquidity to other corporate bonds, and are priced in the same way as traditional bonds. </w:t>
            </w:r>
          </w:p>
          <w:p w14:paraId="732DD076" w14:textId="77777777" w:rsidR="008429C3" w:rsidRPr="007C348B" w:rsidRDefault="008429C3" w:rsidP="008429C3">
            <w:pPr>
              <w:numPr>
                <w:ilvl w:val="0"/>
                <w:numId w:val="4"/>
              </w:numPr>
              <w:contextualSpacing/>
              <w:rPr>
                <w:rFonts w:ascii="BLK Fort" w:eastAsia="Arial" w:hAnsi="BLK Fort" w:cs="Arial"/>
                <w:color w:val="000000"/>
                <w:sz w:val="18"/>
                <w:szCs w:val="18"/>
                <w:lang w:eastAsia="en-IE"/>
              </w:rPr>
            </w:pPr>
            <w:r w:rsidRPr="007C348B">
              <w:rPr>
                <w:rFonts w:ascii="BLK Fort" w:eastAsia="Arial" w:hAnsi="BLK Fort" w:cs="Arial"/>
                <w:b/>
                <w:bCs/>
                <w:color w:val="000000"/>
                <w:sz w:val="18"/>
                <w:szCs w:val="18"/>
                <w:lang w:eastAsia="en-IE"/>
              </w:rPr>
              <w:t>Issued by regulated entities with transparent reporting</w:t>
            </w:r>
            <w:r w:rsidRPr="007C348B">
              <w:rPr>
                <w:rFonts w:ascii="BLK Fort" w:eastAsia="Arial" w:hAnsi="BLK Fort" w:cs="Arial"/>
                <w:color w:val="000000"/>
                <w:sz w:val="18"/>
                <w:szCs w:val="18"/>
                <w:lang w:eastAsia="en-IE"/>
              </w:rPr>
              <w:t xml:space="preserve">: CoCo bonds are predominantly issued by banks and insurers, who are subject to robust regulatory regimes and stress testing. The reporting of capital ratios has become more transparent and standardised over the years, and the terms and conditions of each issuance are clearly specified and widely available. </w:t>
            </w:r>
          </w:p>
          <w:p w14:paraId="0D0B940D" w14:textId="3FA32B5D" w:rsidR="00B33432" w:rsidRPr="008429C3" w:rsidRDefault="008429C3" w:rsidP="008429C3">
            <w:pPr>
              <w:pStyle w:val="ListParagraph"/>
              <w:rPr>
                <w:rFonts w:ascii="Arial" w:eastAsia="MS PGothic" w:hAnsi="Arial"/>
                <w:color w:val="181818"/>
                <w:sz w:val="20"/>
                <w:szCs w:val="20"/>
              </w:rPr>
            </w:pPr>
            <w:r w:rsidRPr="008429C3">
              <w:rPr>
                <w:b/>
                <w:bCs/>
              </w:rPr>
              <w:t>Can reduce credit risk and offer capital appreciation potential</w:t>
            </w:r>
            <w:r w:rsidRPr="008429C3">
              <w:t xml:space="preserve">: CoCo bonds can reduce credit risk for investors by strengthening the </w:t>
            </w:r>
            <w:r w:rsidRPr="008429C3">
              <w:lastRenderedPageBreak/>
              <w:t>resilience of the issuer in instances of stress, as the conversion to equity can improve the issuer's capital position. Moreover, the conversion to equity can offer a potential for capital appreciation if the issuer's situation improves and the equity value increases.</w:t>
            </w:r>
          </w:p>
        </w:tc>
        <w:tc>
          <w:tcPr>
            <w:tcW w:w="2549" w:type="dxa"/>
          </w:tcPr>
          <w:p w14:paraId="0E27B00A" w14:textId="77777777" w:rsidR="00B33432" w:rsidRPr="00B33432" w:rsidRDefault="00B33432" w:rsidP="00B33432">
            <w:pPr>
              <w:spacing w:after="250" w:line="276" w:lineRule="auto"/>
              <w:jc w:val="both"/>
              <w:rPr>
                <w:rFonts w:ascii="Arial" w:hAnsi="Arial" w:cs="Arial"/>
                <w:color w:val="181818"/>
              </w:rPr>
            </w:pPr>
          </w:p>
        </w:tc>
        <w:tc>
          <w:tcPr>
            <w:tcW w:w="3011" w:type="dxa"/>
          </w:tcPr>
          <w:p w14:paraId="60061E4C" w14:textId="77777777" w:rsidR="00B33432" w:rsidRPr="00B33432" w:rsidRDefault="00B33432" w:rsidP="00B33432">
            <w:pPr>
              <w:spacing w:after="250" w:line="276" w:lineRule="auto"/>
              <w:jc w:val="both"/>
              <w:rPr>
                <w:rFonts w:ascii="Arial" w:hAnsi="Arial" w:cs="Arial"/>
                <w:color w:val="181818"/>
              </w:rPr>
            </w:pPr>
          </w:p>
        </w:tc>
        <w:tc>
          <w:tcPr>
            <w:tcW w:w="2476" w:type="dxa"/>
          </w:tcPr>
          <w:p w14:paraId="44EAFD9C" w14:textId="712C2C42" w:rsidR="00B33432" w:rsidRPr="00B33432" w:rsidRDefault="008429C3" w:rsidP="008429C3">
            <w:pPr>
              <w:pStyle w:val="ListParagraph"/>
              <w:rPr>
                <w:rFonts w:ascii="Arial" w:hAnsi="Arial"/>
                <w:color w:val="181818"/>
              </w:rPr>
            </w:pPr>
            <w:r w:rsidRPr="007C348B">
              <w:rPr>
                <w:b/>
                <w:bCs/>
              </w:rPr>
              <w:t>CoCo bonds can be volatile and subject to extension risk</w:t>
            </w:r>
            <w:r w:rsidRPr="007C348B">
              <w:t xml:space="preserve">: CoCo bonds are subject to </w:t>
            </w:r>
            <w:r w:rsidRPr="007C348B">
              <w:lastRenderedPageBreak/>
              <w:t>volatility and uncertainty, as the conversion or write-off trigger depends on the issuer's capital ratio, which can fluctuate due to market conditions or regulatory changes. CoCo bonds are also subject to extension risk, as the issuer may decide not to call the bond at the expected date, which can affect the bond's price and yield.</w:t>
            </w:r>
          </w:p>
        </w:tc>
      </w:tr>
      <w:tr w:rsidR="00B33432" w:rsidRPr="00B33432" w14:paraId="02325B0B" w14:textId="77777777" w:rsidTr="008429C3">
        <w:trPr>
          <w:trHeight w:val="498"/>
        </w:trPr>
        <w:tc>
          <w:tcPr>
            <w:tcW w:w="2955" w:type="dxa"/>
          </w:tcPr>
          <w:p w14:paraId="4EA5968E"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lastRenderedPageBreak/>
              <w:t>4. Unrated bonds</w:t>
            </w:r>
          </w:p>
        </w:tc>
        <w:tc>
          <w:tcPr>
            <w:tcW w:w="3496" w:type="dxa"/>
          </w:tcPr>
          <w:p w14:paraId="4B94D5A5" w14:textId="77777777" w:rsidR="00B33432" w:rsidRPr="00B33432" w:rsidRDefault="00B33432" w:rsidP="00B33432">
            <w:pPr>
              <w:spacing w:after="250" w:line="276" w:lineRule="auto"/>
              <w:jc w:val="both"/>
              <w:rPr>
                <w:rFonts w:ascii="Arial" w:hAnsi="Arial" w:cs="Arial"/>
                <w:color w:val="181818"/>
              </w:rPr>
            </w:pPr>
          </w:p>
        </w:tc>
        <w:tc>
          <w:tcPr>
            <w:tcW w:w="2549" w:type="dxa"/>
          </w:tcPr>
          <w:p w14:paraId="3DEEC669" w14:textId="77777777" w:rsidR="00B33432" w:rsidRPr="00B33432" w:rsidRDefault="00B33432" w:rsidP="00B33432">
            <w:pPr>
              <w:spacing w:after="250" w:line="276" w:lineRule="auto"/>
              <w:jc w:val="both"/>
              <w:rPr>
                <w:rFonts w:ascii="Arial" w:hAnsi="Arial" w:cs="Arial"/>
                <w:color w:val="181818"/>
              </w:rPr>
            </w:pPr>
          </w:p>
        </w:tc>
        <w:tc>
          <w:tcPr>
            <w:tcW w:w="3011" w:type="dxa"/>
          </w:tcPr>
          <w:p w14:paraId="3656B9AB" w14:textId="77777777" w:rsidR="00B33432" w:rsidRPr="00B33432" w:rsidRDefault="00B33432" w:rsidP="00B33432">
            <w:pPr>
              <w:spacing w:after="250" w:line="276" w:lineRule="auto"/>
              <w:jc w:val="both"/>
              <w:rPr>
                <w:rFonts w:ascii="Arial" w:hAnsi="Arial" w:cs="Arial"/>
                <w:color w:val="181818"/>
              </w:rPr>
            </w:pPr>
          </w:p>
        </w:tc>
        <w:tc>
          <w:tcPr>
            <w:tcW w:w="2476" w:type="dxa"/>
          </w:tcPr>
          <w:p w14:paraId="45FB0818" w14:textId="77777777" w:rsidR="00B33432" w:rsidRPr="00B33432" w:rsidRDefault="00B33432" w:rsidP="00B33432">
            <w:pPr>
              <w:spacing w:after="250" w:line="276" w:lineRule="auto"/>
              <w:jc w:val="both"/>
              <w:rPr>
                <w:rFonts w:ascii="Arial" w:hAnsi="Arial" w:cs="Arial"/>
                <w:color w:val="181818"/>
              </w:rPr>
            </w:pPr>
          </w:p>
        </w:tc>
      </w:tr>
      <w:tr w:rsidR="00B33432" w:rsidRPr="00B33432" w14:paraId="68D99D9D" w14:textId="77777777" w:rsidTr="008429C3">
        <w:trPr>
          <w:trHeight w:val="762"/>
        </w:trPr>
        <w:tc>
          <w:tcPr>
            <w:tcW w:w="2955" w:type="dxa"/>
          </w:tcPr>
          <w:p w14:paraId="17D8B71D"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t>5. Distressed securities</w:t>
            </w:r>
          </w:p>
        </w:tc>
        <w:tc>
          <w:tcPr>
            <w:tcW w:w="3496" w:type="dxa"/>
          </w:tcPr>
          <w:p w14:paraId="049F31CB" w14:textId="77777777" w:rsidR="00B33432" w:rsidRPr="00B33432" w:rsidRDefault="00B33432" w:rsidP="00B33432">
            <w:pPr>
              <w:spacing w:after="250" w:line="276" w:lineRule="auto"/>
              <w:jc w:val="both"/>
              <w:rPr>
                <w:rFonts w:ascii="Arial" w:hAnsi="Arial" w:cs="Arial"/>
                <w:color w:val="181818"/>
              </w:rPr>
            </w:pPr>
          </w:p>
        </w:tc>
        <w:tc>
          <w:tcPr>
            <w:tcW w:w="2549" w:type="dxa"/>
          </w:tcPr>
          <w:p w14:paraId="53128261" w14:textId="77777777" w:rsidR="00B33432" w:rsidRPr="00B33432" w:rsidRDefault="00B33432" w:rsidP="00B33432">
            <w:pPr>
              <w:spacing w:after="250" w:line="276" w:lineRule="auto"/>
              <w:jc w:val="both"/>
              <w:rPr>
                <w:rFonts w:ascii="Arial" w:hAnsi="Arial" w:cs="Arial"/>
                <w:color w:val="181818"/>
              </w:rPr>
            </w:pPr>
          </w:p>
        </w:tc>
        <w:tc>
          <w:tcPr>
            <w:tcW w:w="3011" w:type="dxa"/>
          </w:tcPr>
          <w:p w14:paraId="62486C05" w14:textId="77777777" w:rsidR="00B33432" w:rsidRPr="00B33432" w:rsidRDefault="00B33432" w:rsidP="00B33432">
            <w:pPr>
              <w:spacing w:after="250" w:line="276" w:lineRule="auto"/>
              <w:jc w:val="both"/>
              <w:rPr>
                <w:rFonts w:ascii="Arial" w:hAnsi="Arial" w:cs="Arial"/>
                <w:color w:val="181818"/>
              </w:rPr>
            </w:pPr>
          </w:p>
        </w:tc>
        <w:tc>
          <w:tcPr>
            <w:tcW w:w="2476" w:type="dxa"/>
          </w:tcPr>
          <w:p w14:paraId="4101652C" w14:textId="77777777" w:rsidR="00B33432" w:rsidRPr="00B33432" w:rsidRDefault="00B33432" w:rsidP="00B33432">
            <w:pPr>
              <w:spacing w:after="250" w:line="276" w:lineRule="auto"/>
              <w:jc w:val="both"/>
              <w:rPr>
                <w:rFonts w:ascii="Arial" w:hAnsi="Arial" w:cs="Arial"/>
                <w:color w:val="181818"/>
              </w:rPr>
            </w:pPr>
          </w:p>
        </w:tc>
      </w:tr>
      <w:tr w:rsidR="00B33432" w:rsidRPr="00B33432" w14:paraId="2B493676" w14:textId="77777777" w:rsidTr="008429C3">
        <w:trPr>
          <w:trHeight w:val="762"/>
        </w:trPr>
        <w:tc>
          <w:tcPr>
            <w:tcW w:w="2955" w:type="dxa"/>
          </w:tcPr>
          <w:p w14:paraId="45E99430" w14:textId="77777777" w:rsidR="00B33432" w:rsidRPr="00B33432" w:rsidRDefault="00B33432" w:rsidP="00B33432">
            <w:pPr>
              <w:spacing w:after="250" w:line="276" w:lineRule="auto"/>
              <w:rPr>
                <w:rFonts w:ascii="Arial" w:hAnsi="Arial" w:cs="Arial"/>
              </w:rPr>
            </w:pPr>
            <w:r w:rsidRPr="00B33432">
              <w:rPr>
                <w:rFonts w:ascii="Arial" w:hAnsi="Arial" w:cs="Arial"/>
              </w:rPr>
              <w:t>6. Unlisted equities</w:t>
            </w:r>
            <w:r w:rsidRPr="00B33432">
              <w:rPr>
                <w:rFonts w:ascii="Arial" w:hAnsi="Arial" w:cs="Arial"/>
                <w:sz w:val="16"/>
                <w:vertAlign w:val="superscript"/>
              </w:rPr>
              <w:footnoteReference w:id="7"/>
            </w:r>
          </w:p>
        </w:tc>
        <w:tc>
          <w:tcPr>
            <w:tcW w:w="3496" w:type="dxa"/>
          </w:tcPr>
          <w:p w14:paraId="6ED1B471" w14:textId="77777777" w:rsidR="008429C3" w:rsidRPr="007C348B" w:rsidRDefault="008429C3" w:rsidP="008429C3">
            <w:pPr>
              <w:rPr>
                <w:rFonts w:ascii="BLK Fort" w:eastAsia="Arial" w:hAnsi="BLK Fort" w:cs="Arial"/>
                <w:color w:val="000000"/>
                <w:sz w:val="18"/>
                <w:szCs w:val="18"/>
                <w:lang w:eastAsia="en-IE"/>
              </w:rPr>
            </w:pPr>
            <w:r w:rsidRPr="007C348B">
              <w:rPr>
                <w:rFonts w:ascii="BLK Fort" w:eastAsia="Arial" w:hAnsi="BLK Fort" w:cs="Arial"/>
                <w:color w:val="000000"/>
                <w:sz w:val="18"/>
                <w:szCs w:val="18"/>
                <w:lang w:eastAsia="en-IE"/>
              </w:rPr>
              <w:t xml:space="preserve">Access to private markets for UCITS investors, selectively, can help to deliver stronger, less correlated returns in the long term, an attractive consideration for investors using UCITS to save for the future. In detail: </w:t>
            </w:r>
          </w:p>
          <w:p w14:paraId="7E043E92" w14:textId="77777777" w:rsidR="008429C3" w:rsidRPr="007C348B" w:rsidRDefault="008429C3" w:rsidP="008429C3">
            <w:pPr>
              <w:numPr>
                <w:ilvl w:val="0"/>
                <w:numId w:val="4"/>
              </w:numPr>
              <w:contextualSpacing/>
              <w:rPr>
                <w:rFonts w:ascii="BLK Fort" w:eastAsia="Arial" w:hAnsi="BLK Fort" w:cs="Arial"/>
                <w:color w:val="000000"/>
                <w:sz w:val="18"/>
                <w:szCs w:val="18"/>
                <w:lang w:eastAsia="en-IE"/>
              </w:rPr>
            </w:pPr>
            <w:r w:rsidRPr="007C348B">
              <w:rPr>
                <w:rFonts w:ascii="BLK Fort" w:eastAsia="Arial" w:hAnsi="BLK Fort" w:cs="Arial"/>
                <w:b/>
                <w:bCs/>
                <w:color w:val="000000"/>
                <w:sz w:val="18"/>
                <w:szCs w:val="18"/>
                <w:lang w:eastAsia="en-IE"/>
              </w:rPr>
              <w:t>Higher return potential:</w:t>
            </w:r>
            <w:r w:rsidRPr="007C348B">
              <w:rPr>
                <w:rFonts w:ascii="BLK Fort" w:eastAsia="Arial" w:hAnsi="BLK Fort" w:cs="Arial"/>
                <w:color w:val="000000"/>
                <w:sz w:val="18"/>
                <w:szCs w:val="18"/>
                <w:lang w:eastAsia="en-IE"/>
              </w:rPr>
              <w:t xml:space="preserve"> Unlisted equities can be purchased pre-IPO, providing investors the opportunity to build up starting positions in these promising companies at lower costs, which may then grow and potentially list at an attractive valuation. </w:t>
            </w:r>
          </w:p>
          <w:p w14:paraId="03E15A0F" w14:textId="77777777" w:rsidR="008429C3" w:rsidRPr="007C348B" w:rsidRDefault="008429C3" w:rsidP="008429C3">
            <w:pPr>
              <w:numPr>
                <w:ilvl w:val="0"/>
                <w:numId w:val="4"/>
              </w:numPr>
              <w:contextualSpacing/>
              <w:rPr>
                <w:rFonts w:ascii="BLK Fort" w:eastAsia="Arial" w:hAnsi="BLK Fort" w:cs="Arial"/>
                <w:color w:val="000000"/>
                <w:sz w:val="18"/>
                <w:szCs w:val="18"/>
                <w:lang w:eastAsia="en-IE"/>
              </w:rPr>
            </w:pPr>
            <w:r w:rsidRPr="007C348B">
              <w:rPr>
                <w:rFonts w:ascii="BLK Fort" w:eastAsia="Arial" w:hAnsi="BLK Fort" w:cs="Arial"/>
                <w:b/>
                <w:bCs/>
                <w:color w:val="000000"/>
                <w:sz w:val="18"/>
                <w:szCs w:val="18"/>
                <w:lang w:eastAsia="en-IE"/>
              </w:rPr>
              <w:lastRenderedPageBreak/>
              <w:t>Exposure to innovation:</w:t>
            </w:r>
            <w:r w:rsidRPr="007C348B">
              <w:rPr>
                <w:rFonts w:ascii="BLK Fort" w:eastAsia="Arial" w:hAnsi="BLK Fort" w:cs="Arial"/>
                <w:color w:val="000000"/>
                <w:sz w:val="18"/>
                <w:szCs w:val="18"/>
                <w:lang w:eastAsia="en-IE"/>
              </w:rPr>
              <w:t xml:space="preserve"> Investors can gain access to innovative and disruptive businesses, supporting growth in new sectors, and gaining insight into potential future economic drivers. </w:t>
            </w:r>
          </w:p>
          <w:p w14:paraId="4B99056E" w14:textId="77489E07" w:rsidR="00B33432" w:rsidRPr="00B33432" w:rsidRDefault="008429C3" w:rsidP="008429C3">
            <w:pPr>
              <w:spacing w:after="250" w:line="276" w:lineRule="auto"/>
              <w:jc w:val="both"/>
              <w:rPr>
                <w:rFonts w:ascii="Arial" w:hAnsi="Arial" w:cs="Arial"/>
                <w:color w:val="181818"/>
              </w:rPr>
            </w:pPr>
            <w:r w:rsidRPr="007C348B">
              <w:rPr>
                <w:rFonts w:ascii="BLK Fort" w:eastAsia="Arial" w:hAnsi="BLK Fort" w:cs="Arial"/>
                <w:b/>
                <w:bCs/>
                <w:color w:val="000000"/>
                <w:sz w:val="18"/>
                <w:szCs w:val="18"/>
                <w:lang w:eastAsia="en-IE"/>
              </w:rPr>
              <w:t>Risk diversification:</w:t>
            </w:r>
            <w:r w:rsidRPr="007C348B">
              <w:rPr>
                <w:rFonts w:ascii="BLK Fort" w:eastAsia="Arial" w:hAnsi="BLK Fort" w:cs="Arial"/>
                <w:color w:val="000000"/>
                <w:sz w:val="18"/>
                <w:szCs w:val="18"/>
                <w:lang w:eastAsia="en-IE"/>
              </w:rPr>
              <w:t xml:space="preserve"> Unlisted equities are not subject to the same market fluctuations as listed companies, which can sometimes provide a more stable investment environment.</w:t>
            </w:r>
          </w:p>
        </w:tc>
        <w:tc>
          <w:tcPr>
            <w:tcW w:w="2549" w:type="dxa"/>
          </w:tcPr>
          <w:p w14:paraId="1299C43A" w14:textId="77777777" w:rsidR="00B33432" w:rsidRPr="00B33432" w:rsidRDefault="00B33432" w:rsidP="00B33432">
            <w:pPr>
              <w:spacing w:after="250" w:line="276" w:lineRule="auto"/>
              <w:jc w:val="both"/>
              <w:rPr>
                <w:rFonts w:ascii="Arial" w:hAnsi="Arial" w:cs="Arial"/>
                <w:color w:val="181818"/>
              </w:rPr>
            </w:pPr>
          </w:p>
        </w:tc>
        <w:tc>
          <w:tcPr>
            <w:tcW w:w="3011" w:type="dxa"/>
          </w:tcPr>
          <w:p w14:paraId="4DDBEF00" w14:textId="77777777" w:rsidR="00B33432" w:rsidRPr="00B33432" w:rsidRDefault="00B33432" w:rsidP="00B33432">
            <w:pPr>
              <w:spacing w:after="250" w:line="276" w:lineRule="auto"/>
              <w:jc w:val="both"/>
              <w:rPr>
                <w:rFonts w:ascii="Arial" w:hAnsi="Arial" w:cs="Arial"/>
                <w:color w:val="181818"/>
              </w:rPr>
            </w:pPr>
          </w:p>
        </w:tc>
        <w:tc>
          <w:tcPr>
            <w:tcW w:w="2476" w:type="dxa"/>
          </w:tcPr>
          <w:p w14:paraId="3461D779" w14:textId="4CAAD75A" w:rsidR="00B33432" w:rsidRPr="00B33432" w:rsidRDefault="008429C3" w:rsidP="00B33432">
            <w:pPr>
              <w:spacing w:after="250" w:line="276" w:lineRule="auto"/>
              <w:jc w:val="both"/>
              <w:rPr>
                <w:rFonts w:ascii="Arial" w:hAnsi="Arial" w:cs="Arial"/>
                <w:color w:val="181818"/>
              </w:rPr>
            </w:pPr>
            <w:r w:rsidRPr="007C348B">
              <w:rPr>
                <w:rFonts w:ascii="BLK Fort" w:eastAsia="Arial" w:hAnsi="BLK Fort" w:cs="Arial"/>
                <w:color w:val="000000"/>
                <w:sz w:val="18"/>
                <w:szCs w:val="18"/>
                <w:lang w:eastAsia="en-IE"/>
              </w:rPr>
              <w:t xml:space="preserve">Reliable liquidity and valuation can be more challenging for unlisted equities than their listed counterparts, and we support limiting holdings in alignment with the 10% rule.  </w:t>
            </w:r>
          </w:p>
        </w:tc>
      </w:tr>
      <w:tr w:rsidR="00B33432" w:rsidRPr="00B33432" w14:paraId="5539B04B" w14:textId="77777777" w:rsidTr="008429C3">
        <w:trPr>
          <w:trHeight w:val="498"/>
        </w:trPr>
        <w:tc>
          <w:tcPr>
            <w:tcW w:w="2955" w:type="dxa"/>
          </w:tcPr>
          <w:p w14:paraId="378D969D" w14:textId="77777777" w:rsidR="00B33432" w:rsidRPr="00B33432" w:rsidRDefault="00B33432" w:rsidP="00B33432">
            <w:pPr>
              <w:spacing w:after="250" w:line="276" w:lineRule="auto"/>
              <w:rPr>
                <w:rFonts w:ascii="Arial" w:hAnsi="Arial" w:cs="Arial"/>
              </w:rPr>
            </w:pPr>
            <w:r w:rsidRPr="00B33432">
              <w:rPr>
                <w:rFonts w:ascii="Arial" w:hAnsi="Arial" w:cs="Arial"/>
              </w:rPr>
              <w:t>7. Crypto assets</w:t>
            </w:r>
            <w:r w:rsidRPr="00B33432">
              <w:rPr>
                <w:rFonts w:ascii="Arial" w:hAnsi="Arial" w:cs="Arial"/>
                <w:vertAlign w:val="superscript"/>
              </w:rPr>
              <w:footnoteReference w:id="8"/>
            </w:r>
          </w:p>
        </w:tc>
        <w:tc>
          <w:tcPr>
            <w:tcW w:w="3496" w:type="dxa"/>
          </w:tcPr>
          <w:p w14:paraId="503F0587" w14:textId="77777777" w:rsidR="008429C3" w:rsidRPr="007C348B" w:rsidRDefault="008429C3" w:rsidP="008429C3">
            <w:pPr>
              <w:rPr>
                <w:rFonts w:ascii="BLK Fort" w:eastAsia="BLK Fort" w:hAnsi="BLK Fort" w:cs="Times New Roman"/>
                <w:sz w:val="18"/>
                <w:szCs w:val="18"/>
              </w:rPr>
            </w:pPr>
            <w:r w:rsidRPr="007C348B">
              <w:rPr>
                <w:rFonts w:ascii="BLK Fort" w:eastAsia="BLK Fort" w:hAnsi="BLK Fort" w:cs="Times New Roman"/>
                <w:sz w:val="18"/>
                <w:szCs w:val="18"/>
              </w:rPr>
              <w:t xml:space="preserve">The issue of direct eligibility of crypto-assets, as an instrument so distinctive to those originally considered in the UCITS Directive, raises issues around the extent to which the rigorous UCITS framework could or should adapt to such innovations. </w:t>
            </w:r>
          </w:p>
          <w:p w14:paraId="1CC3F7FB" w14:textId="77777777" w:rsidR="008429C3" w:rsidRPr="007C348B" w:rsidRDefault="008429C3" w:rsidP="008429C3">
            <w:pPr>
              <w:rPr>
                <w:rFonts w:ascii="BLK Fort" w:eastAsia="BLK Fort" w:hAnsi="BLK Fort" w:cs="Times New Roman"/>
                <w:sz w:val="18"/>
                <w:szCs w:val="18"/>
              </w:rPr>
            </w:pPr>
          </w:p>
          <w:p w14:paraId="250D1195" w14:textId="77777777" w:rsidR="008429C3" w:rsidRPr="007C348B" w:rsidRDefault="008429C3" w:rsidP="008429C3">
            <w:pPr>
              <w:rPr>
                <w:rFonts w:ascii="BLK Fort" w:eastAsia="BLK Fort" w:hAnsi="BLK Fort" w:cs="Times New Roman"/>
                <w:sz w:val="18"/>
                <w:szCs w:val="18"/>
              </w:rPr>
            </w:pPr>
            <w:r w:rsidRPr="007C348B">
              <w:rPr>
                <w:rFonts w:ascii="BLK Fort" w:eastAsia="BLK Fort" w:hAnsi="BLK Fort" w:cs="Times New Roman"/>
                <w:sz w:val="18"/>
                <w:szCs w:val="18"/>
              </w:rPr>
              <w:t xml:space="preserve">Given the multi-faceted considerations around custody, valuation, liquidity, and diversity of this ecosystem, we believe this will require further detailed analysis on whether the UCITS framework is the most appropriate setting for facilitating retail access to these assets, or, whether another framework </w:t>
            </w:r>
            <w:r w:rsidRPr="007C348B">
              <w:rPr>
                <w:rFonts w:ascii="BLK Fort" w:eastAsia="BLK Fort" w:hAnsi="BLK Fort" w:cs="Times New Roman"/>
                <w:sz w:val="18"/>
                <w:szCs w:val="18"/>
              </w:rPr>
              <w:lastRenderedPageBreak/>
              <w:t xml:space="preserve">such as MICA would be more appropriate. </w:t>
            </w:r>
          </w:p>
          <w:p w14:paraId="016839DB" w14:textId="77777777" w:rsidR="008429C3" w:rsidRPr="007C348B" w:rsidRDefault="008429C3" w:rsidP="008429C3">
            <w:pPr>
              <w:rPr>
                <w:rFonts w:ascii="BLK Fort" w:eastAsia="BLK Fort" w:hAnsi="BLK Fort" w:cs="Times New Roman"/>
                <w:sz w:val="18"/>
                <w:szCs w:val="18"/>
              </w:rPr>
            </w:pPr>
          </w:p>
          <w:p w14:paraId="168026EE" w14:textId="77777777" w:rsidR="008429C3" w:rsidRPr="007C348B" w:rsidRDefault="008429C3" w:rsidP="008429C3">
            <w:pPr>
              <w:rPr>
                <w:rFonts w:ascii="BLK Fort" w:eastAsia="BLK Fort" w:hAnsi="BLK Fort" w:cs="Times New Roman"/>
                <w:sz w:val="18"/>
                <w:szCs w:val="18"/>
              </w:rPr>
            </w:pPr>
            <w:r w:rsidRPr="007C348B">
              <w:rPr>
                <w:rFonts w:ascii="BLK Fort" w:eastAsia="BLK Fort" w:hAnsi="BLK Fort" w:cs="Times New Roman"/>
                <w:sz w:val="18"/>
                <w:szCs w:val="18"/>
              </w:rPr>
              <w:t xml:space="preserve">Noting though, that not all digital assets are alike, we support the general principle in the MiCA regulation not to change the regulatory treatment of financial instruments which already qualify as transferable securities, just because they have been tokenised. Such tokenised assets can enhance liquidity for a particular asset class, reduce costs and enable smoother and faster settlement, increasing efficiency and value for UCITS investors. </w:t>
            </w:r>
          </w:p>
          <w:p w14:paraId="3CF2D8B6" w14:textId="77777777" w:rsidR="00B33432" w:rsidRPr="00B33432" w:rsidRDefault="00B33432" w:rsidP="00B33432">
            <w:pPr>
              <w:spacing w:after="250" w:line="276" w:lineRule="auto"/>
              <w:jc w:val="both"/>
              <w:rPr>
                <w:rFonts w:ascii="Arial" w:hAnsi="Arial" w:cs="Arial"/>
                <w:color w:val="181818"/>
              </w:rPr>
            </w:pPr>
          </w:p>
        </w:tc>
        <w:tc>
          <w:tcPr>
            <w:tcW w:w="2549" w:type="dxa"/>
          </w:tcPr>
          <w:p w14:paraId="0FB78278" w14:textId="77777777" w:rsidR="00B33432" w:rsidRPr="00B33432" w:rsidRDefault="00B33432" w:rsidP="00B33432">
            <w:pPr>
              <w:spacing w:after="250" w:line="276" w:lineRule="auto"/>
              <w:jc w:val="both"/>
              <w:rPr>
                <w:rFonts w:ascii="Arial" w:hAnsi="Arial" w:cs="Arial"/>
                <w:color w:val="181818"/>
              </w:rPr>
            </w:pPr>
          </w:p>
        </w:tc>
        <w:tc>
          <w:tcPr>
            <w:tcW w:w="3011" w:type="dxa"/>
          </w:tcPr>
          <w:p w14:paraId="1FC39945" w14:textId="77777777" w:rsidR="00B33432" w:rsidRPr="00B33432" w:rsidRDefault="00B33432" w:rsidP="00B33432">
            <w:pPr>
              <w:spacing w:after="250" w:line="276" w:lineRule="auto"/>
              <w:jc w:val="both"/>
              <w:rPr>
                <w:rFonts w:ascii="Arial" w:hAnsi="Arial" w:cs="Arial"/>
                <w:color w:val="181818"/>
              </w:rPr>
            </w:pPr>
          </w:p>
        </w:tc>
        <w:tc>
          <w:tcPr>
            <w:tcW w:w="2476" w:type="dxa"/>
          </w:tcPr>
          <w:p w14:paraId="0562CB0E" w14:textId="77777777" w:rsidR="00B33432" w:rsidRPr="00B33432" w:rsidRDefault="00B33432" w:rsidP="00B33432">
            <w:pPr>
              <w:spacing w:after="250" w:line="276" w:lineRule="auto"/>
              <w:jc w:val="both"/>
              <w:rPr>
                <w:rFonts w:ascii="Arial" w:hAnsi="Arial" w:cs="Arial"/>
                <w:color w:val="181818"/>
              </w:rPr>
            </w:pPr>
          </w:p>
        </w:tc>
      </w:tr>
      <w:tr w:rsidR="00B33432" w:rsidRPr="00B33432" w14:paraId="6582FE19" w14:textId="77777777" w:rsidTr="008429C3">
        <w:trPr>
          <w:trHeight w:val="1011"/>
        </w:trPr>
        <w:tc>
          <w:tcPr>
            <w:tcW w:w="2955" w:type="dxa"/>
          </w:tcPr>
          <w:p w14:paraId="73AF3CD4" w14:textId="77777777" w:rsidR="00B33432" w:rsidRPr="00B33432" w:rsidRDefault="00B33432" w:rsidP="00B33432">
            <w:pPr>
              <w:spacing w:after="250" w:line="276" w:lineRule="auto"/>
              <w:rPr>
                <w:rFonts w:ascii="Arial" w:hAnsi="Arial" w:cs="Arial"/>
              </w:rPr>
            </w:pPr>
            <w:r w:rsidRPr="00B33432">
              <w:rPr>
                <w:rFonts w:ascii="Arial" w:hAnsi="Arial" w:cs="Arial"/>
              </w:rPr>
              <w:t>8. Commodities and precious metals</w:t>
            </w:r>
            <w:r w:rsidRPr="00B33432">
              <w:rPr>
                <w:rFonts w:ascii="Arial" w:hAnsi="Arial" w:cs="Arial"/>
                <w:sz w:val="16"/>
                <w:vertAlign w:val="superscript"/>
              </w:rPr>
              <w:footnoteReference w:id="9"/>
            </w:r>
          </w:p>
        </w:tc>
        <w:tc>
          <w:tcPr>
            <w:tcW w:w="3496" w:type="dxa"/>
          </w:tcPr>
          <w:p w14:paraId="34CE0A41" w14:textId="77777777" w:rsidR="00B33432" w:rsidRPr="00B33432" w:rsidRDefault="00B33432" w:rsidP="00B33432">
            <w:pPr>
              <w:spacing w:after="250" w:line="276" w:lineRule="auto"/>
              <w:jc w:val="both"/>
              <w:rPr>
                <w:rFonts w:ascii="Arial" w:hAnsi="Arial" w:cs="Arial"/>
                <w:color w:val="181818"/>
              </w:rPr>
            </w:pPr>
          </w:p>
        </w:tc>
        <w:tc>
          <w:tcPr>
            <w:tcW w:w="2549" w:type="dxa"/>
          </w:tcPr>
          <w:p w14:paraId="62EBF3C5" w14:textId="52B3CA3C" w:rsidR="00B33432" w:rsidRPr="00B33432" w:rsidRDefault="008429C3" w:rsidP="00B33432">
            <w:pPr>
              <w:spacing w:after="250" w:line="276" w:lineRule="auto"/>
              <w:jc w:val="both"/>
              <w:rPr>
                <w:rFonts w:ascii="Arial" w:hAnsi="Arial" w:cs="Arial"/>
                <w:color w:val="181818"/>
              </w:rPr>
            </w:pPr>
            <w:r w:rsidRPr="007C348B">
              <w:rPr>
                <w:rFonts w:ascii="BLK Fort" w:eastAsia="Arial" w:hAnsi="BLK Fort" w:cs="Arial"/>
                <w:color w:val="000000"/>
                <w:sz w:val="18"/>
                <w:szCs w:val="18"/>
                <w:lang w:eastAsia="en-IE"/>
              </w:rPr>
              <w:t>See below.</w:t>
            </w:r>
          </w:p>
        </w:tc>
        <w:tc>
          <w:tcPr>
            <w:tcW w:w="3011" w:type="dxa"/>
          </w:tcPr>
          <w:p w14:paraId="6D98A12B" w14:textId="77777777" w:rsidR="00B33432" w:rsidRPr="00B33432" w:rsidRDefault="00B33432" w:rsidP="00B33432">
            <w:pPr>
              <w:spacing w:after="250" w:line="276" w:lineRule="auto"/>
              <w:jc w:val="both"/>
              <w:rPr>
                <w:rFonts w:ascii="Arial" w:hAnsi="Arial" w:cs="Arial"/>
                <w:color w:val="181818"/>
              </w:rPr>
            </w:pPr>
          </w:p>
        </w:tc>
        <w:tc>
          <w:tcPr>
            <w:tcW w:w="2476" w:type="dxa"/>
          </w:tcPr>
          <w:p w14:paraId="2946DB82" w14:textId="77777777" w:rsidR="00B33432" w:rsidRPr="00B33432" w:rsidRDefault="00B33432" w:rsidP="00B33432">
            <w:pPr>
              <w:spacing w:after="250" w:line="276" w:lineRule="auto"/>
              <w:jc w:val="both"/>
              <w:rPr>
                <w:rFonts w:ascii="Arial" w:hAnsi="Arial" w:cs="Arial"/>
                <w:color w:val="181818"/>
              </w:rPr>
            </w:pPr>
          </w:p>
        </w:tc>
      </w:tr>
      <w:tr w:rsidR="00B33432" w:rsidRPr="00B33432" w14:paraId="1D06A7CA" w14:textId="77777777" w:rsidTr="008429C3">
        <w:trPr>
          <w:trHeight w:val="498"/>
        </w:trPr>
        <w:tc>
          <w:tcPr>
            <w:tcW w:w="2955" w:type="dxa"/>
          </w:tcPr>
          <w:p w14:paraId="695108F8" w14:textId="77777777" w:rsidR="00B33432" w:rsidRPr="00B33432" w:rsidRDefault="00B33432" w:rsidP="00B33432">
            <w:pPr>
              <w:spacing w:after="250" w:line="276" w:lineRule="auto"/>
              <w:rPr>
                <w:rFonts w:ascii="Arial" w:hAnsi="Arial" w:cs="Arial"/>
              </w:rPr>
            </w:pPr>
            <w:r w:rsidRPr="00B33432">
              <w:rPr>
                <w:rFonts w:ascii="Arial" w:hAnsi="Arial" w:cs="Arial"/>
              </w:rPr>
              <w:t>9. Exchange-traded commodities (‘ETCs’)</w:t>
            </w:r>
          </w:p>
        </w:tc>
        <w:tc>
          <w:tcPr>
            <w:tcW w:w="3496" w:type="dxa"/>
          </w:tcPr>
          <w:p w14:paraId="49482785" w14:textId="77777777" w:rsidR="008429C3" w:rsidRPr="007C348B" w:rsidRDefault="008429C3" w:rsidP="008429C3">
            <w:pPr>
              <w:numPr>
                <w:ilvl w:val="0"/>
                <w:numId w:val="5"/>
              </w:numPr>
              <w:contextualSpacing/>
              <w:rPr>
                <w:rFonts w:ascii="BLK Fort" w:eastAsia="Arial" w:hAnsi="BLK Fort" w:cs="Arial"/>
                <w:color w:val="000000"/>
                <w:sz w:val="18"/>
                <w:szCs w:val="18"/>
                <w:lang w:eastAsia="en-IE"/>
              </w:rPr>
            </w:pPr>
            <w:r w:rsidRPr="007C348B">
              <w:rPr>
                <w:rFonts w:ascii="BLK Fort" w:eastAsia="Arial" w:hAnsi="BLK Fort" w:cs="Arial"/>
                <w:b/>
                <w:bCs/>
                <w:color w:val="000000"/>
                <w:sz w:val="18"/>
                <w:szCs w:val="18"/>
                <w:lang w:eastAsia="en-IE"/>
              </w:rPr>
              <w:t>Enables simplification and cost reduction:</w:t>
            </w:r>
            <w:r w:rsidRPr="007C348B">
              <w:rPr>
                <w:rFonts w:ascii="BLK Fort" w:eastAsia="Arial" w:hAnsi="BLK Fort" w:cs="Arial"/>
                <w:color w:val="000000"/>
                <w:sz w:val="18"/>
                <w:szCs w:val="18"/>
                <w:lang w:eastAsia="en-IE"/>
              </w:rPr>
              <w:t xml:space="preserve"> There are currently many ways that investors can gain direct exposure to commodities, but these impose unnecessary costs on </w:t>
            </w:r>
            <w:r w:rsidRPr="007C348B">
              <w:rPr>
                <w:rFonts w:ascii="BLK Fort" w:eastAsia="Arial" w:hAnsi="BLK Fort" w:cs="Arial"/>
                <w:color w:val="000000"/>
                <w:sz w:val="18"/>
                <w:szCs w:val="18"/>
                <w:lang w:val="en-US" w:eastAsia="en-IE"/>
              </w:rPr>
              <w:t xml:space="preserve">investors, can lack transparency and often tend to have higher counterparty risk. However, accessing </w:t>
            </w:r>
            <w:r w:rsidRPr="007C348B">
              <w:rPr>
                <w:rFonts w:ascii="BLK Fort" w:eastAsia="Arial" w:hAnsi="BLK Fort" w:cs="Arial"/>
                <w:color w:val="000000"/>
                <w:sz w:val="18"/>
                <w:szCs w:val="18"/>
                <w:lang w:val="en-US" w:eastAsia="en-IE"/>
              </w:rPr>
              <w:lastRenderedPageBreak/>
              <w:t xml:space="preserve">commodities through exchange traded products </w:t>
            </w:r>
            <w:r w:rsidRPr="007C348B">
              <w:rPr>
                <w:rFonts w:ascii="BLK Fort" w:eastAsia="BLK Fort" w:hAnsi="BLK Fort" w:cs="Times New Roman"/>
                <w:sz w:val="18"/>
                <w:szCs w:val="18"/>
                <w:lang w:val="en-US"/>
              </w:rPr>
              <w:t xml:space="preserve">increases liquidity, enables more transparent price discovery and more frequent trading – ultimately providing investors with more cost-effective exposure to commodities. </w:t>
            </w:r>
          </w:p>
          <w:p w14:paraId="5997CC1D" w14:textId="7020FC85" w:rsidR="00B33432" w:rsidRPr="008429C3" w:rsidRDefault="008429C3" w:rsidP="008429C3">
            <w:pPr>
              <w:pStyle w:val="ListParagraph"/>
              <w:rPr>
                <w:rFonts w:ascii="Arial" w:eastAsia="MS PGothic" w:hAnsi="Arial"/>
                <w:color w:val="181818"/>
                <w:sz w:val="20"/>
                <w:szCs w:val="20"/>
              </w:rPr>
            </w:pPr>
            <w:r w:rsidRPr="008429C3">
              <w:rPr>
                <w:b/>
                <w:bCs/>
              </w:rPr>
              <w:t>Increased protections and higher returns:</w:t>
            </w:r>
            <w:r w:rsidRPr="008429C3">
              <w:t xml:space="preserve"> ETCs have historically displayed low correlation to stocks, providing increased return potential and diversification. </w:t>
            </w:r>
            <w:r w:rsidRPr="008429C3">
              <w:rPr>
                <w:rFonts w:eastAsia="BLK Fort" w:cs="Times New Roman"/>
                <w:color w:val="auto"/>
                <w:lang w:val="en-US"/>
              </w:rPr>
              <w:t xml:space="preserve">The exchange-traded structure also provides the benefit of protecting the assets through a </w:t>
            </w:r>
            <w:proofErr w:type="gramStart"/>
            <w:r w:rsidRPr="008429C3">
              <w:rPr>
                <w:rFonts w:eastAsia="BLK Fort" w:cs="Times New Roman"/>
                <w:color w:val="auto"/>
                <w:lang w:val="en-US"/>
              </w:rPr>
              <w:t>custodian, and</w:t>
            </w:r>
            <w:proofErr w:type="gramEnd"/>
            <w:r w:rsidRPr="008429C3">
              <w:rPr>
                <w:rFonts w:eastAsia="BLK Fort" w:cs="Times New Roman"/>
                <w:color w:val="auto"/>
                <w:lang w:val="en-US"/>
              </w:rPr>
              <w:t xml:space="preserve"> provide the investor the ability to receive cash settlement on an early redemption, rather than physical settlement.</w:t>
            </w:r>
          </w:p>
        </w:tc>
        <w:tc>
          <w:tcPr>
            <w:tcW w:w="2549" w:type="dxa"/>
          </w:tcPr>
          <w:p w14:paraId="110FFD37" w14:textId="77777777" w:rsidR="00B33432" w:rsidRPr="00B33432" w:rsidRDefault="00B33432" w:rsidP="00B33432">
            <w:pPr>
              <w:spacing w:after="250" w:line="276" w:lineRule="auto"/>
              <w:jc w:val="both"/>
              <w:rPr>
                <w:rFonts w:ascii="Arial" w:hAnsi="Arial" w:cs="Arial"/>
                <w:color w:val="181818"/>
              </w:rPr>
            </w:pPr>
          </w:p>
        </w:tc>
        <w:tc>
          <w:tcPr>
            <w:tcW w:w="3011" w:type="dxa"/>
          </w:tcPr>
          <w:p w14:paraId="6B699379" w14:textId="77777777" w:rsidR="00B33432" w:rsidRPr="00B33432" w:rsidRDefault="00B33432" w:rsidP="00B33432">
            <w:pPr>
              <w:spacing w:after="250" w:line="276" w:lineRule="auto"/>
              <w:jc w:val="both"/>
              <w:rPr>
                <w:rFonts w:ascii="Arial" w:hAnsi="Arial" w:cs="Arial"/>
                <w:color w:val="181818"/>
              </w:rPr>
            </w:pPr>
          </w:p>
        </w:tc>
        <w:tc>
          <w:tcPr>
            <w:tcW w:w="2476" w:type="dxa"/>
          </w:tcPr>
          <w:p w14:paraId="3FE9F23F" w14:textId="37F365BC" w:rsidR="00B33432" w:rsidRPr="00B33432" w:rsidRDefault="008429C3" w:rsidP="00B33432">
            <w:pPr>
              <w:spacing w:after="250" w:line="276" w:lineRule="auto"/>
              <w:jc w:val="both"/>
              <w:rPr>
                <w:rFonts w:ascii="Arial" w:hAnsi="Arial" w:cs="Arial"/>
                <w:color w:val="181818"/>
              </w:rPr>
            </w:pPr>
            <w:r w:rsidRPr="001F28D6">
              <w:rPr>
                <w:rFonts w:ascii="BLK Fort" w:eastAsia="Arial" w:hAnsi="BLK Fort" w:cs="Arial"/>
                <w:color w:val="000000"/>
                <w:sz w:val="18"/>
                <w:szCs w:val="18"/>
                <w:lang w:eastAsia="en-IE"/>
              </w:rPr>
              <w:t xml:space="preserve">We have observed divergent approaches across NCAs, with many, but not all, NCAs recognising ETCs as UCITS-eligible, and for the reasons mentioned above, we see this as an opportunity for </w:t>
            </w:r>
            <w:r w:rsidRPr="001F28D6">
              <w:rPr>
                <w:rFonts w:ascii="BLK Fort" w:eastAsia="Arial" w:hAnsi="BLK Fort" w:cs="Arial"/>
                <w:color w:val="000000"/>
                <w:sz w:val="18"/>
                <w:szCs w:val="18"/>
                <w:lang w:eastAsia="en-IE"/>
              </w:rPr>
              <w:lastRenderedPageBreak/>
              <w:t>harmonisation across Member States.</w:t>
            </w:r>
          </w:p>
        </w:tc>
      </w:tr>
      <w:tr w:rsidR="00B33432" w:rsidRPr="00B33432" w14:paraId="241FBBEE" w14:textId="77777777" w:rsidTr="008429C3">
        <w:trPr>
          <w:trHeight w:val="140"/>
        </w:trPr>
        <w:tc>
          <w:tcPr>
            <w:tcW w:w="2955" w:type="dxa"/>
          </w:tcPr>
          <w:p w14:paraId="168EC9A2" w14:textId="77777777" w:rsidR="00B33432" w:rsidRPr="00B33432" w:rsidRDefault="00B33432" w:rsidP="00B33432">
            <w:pPr>
              <w:spacing w:after="250" w:line="276" w:lineRule="auto"/>
              <w:rPr>
                <w:rFonts w:ascii="Arial" w:hAnsi="Arial" w:cs="Arial"/>
              </w:rPr>
            </w:pPr>
            <w:r w:rsidRPr="00B33432">
              <w:rPr>
                <w:rFonts w:ascii="Arial" w:hAnsi="Arial" w:cs="Arial"/>
              </w:rPr>
              <w:lastRenderedPageBreak/>
              <w:t>10. Real estate</w:t>
            </w:r>
          </w:p>
        </w:tc>
        <w:tc>
          <w:tcPr>
            <w:tcW w:w="3496" w:type="dxa"/>
          </w:tcPr>
          <w:p w14:paraId="1F72F646" w14:textId="77777777" w:rsidR="00B33432" w:rsidRPr="00B33432" w:rsidRDefault="00B33432" w:rsidP="00B33432">
            <w:pPr>
              <w:spacing w:after="250" w:line="276" w:lineRule="auto"/>
              <w:jc w:val="both"/>
              <w:rPr>
                <w:rFonts w:ascii="Arial" w:hAnsi="Arial" w:cs="Arial"/>
                <w:color w:val="181818"/>
              </w:rPr>
            </w:pPr>
          </w:p>
        </w:tc>
        <w:tc>
          <w:tcPr>
            <w:tcW w:w="2549" w:type="dxa"/>
          </w:tcPr>
          <w:p w14:paraId="08CE6F91" w14:textId="77777777" w:rsidR="00B33432" w:rsidRPr="00B33432" w:rsidRDefault="00B33432" w:rsidP="00B33432">
            <w:pPr>
              <w:spacing w:after="250" w:line="276" w:lineRule="auto"/>
              <w:jc w:val="both"/>
              <w:rPr>
                <w:rFonts w:ascii="Arial" w:hAnsi="Arial" w:cs="Arial"/>
                <w:color w:val="181818"/>
              </w:rPr>
            </w:pPr>
          </w:p>
        </w:tc>
        <w:tc>
          <w:tcPr>
            <w:tcW w:w="3011" w:type="dxa"/>
          </w:tcPr>
          <w:p w14:paraId="61CDCEAD" w14:textId="77777777" w:rsidR="00B33432" w:rsidRPr="00B33432" w:rsidRDefault="00B33432" w:rsidP="00B33432">
            <w:pPr>
              <w:spacing w:after="250" w:line="276" w:lineRule="auto"/>
              <w:jc w:val="both"/>
              <w:rPr>
                <w:rFonts w:ascii="Arial" w:hAnsi="Arial" w:cs="Arial"/>
                <w:color w:val="181818"/>
              </w:rPr>
            </w:pPr>
          </w:p>
        </w:tc>
        <w:tc>
          <w:tcPr>
            <w:tcW w:w="2476" w:type="dxa"/>
          </w:tcPr>
          <w:p w14:paraId="6BB9E253" w14:textId="77777777" w:rsidR="00B33432" w:rsidRPr="00B33432" w:rsidRDefault="00B33432" w:rsidP="00B33432">
            <w:pPr>
              <w:spacing w:after="250" w:line="276" w:lineRule="auto"/>
              <w:jc w:val="both"/>
              <w:rPr>
                <w:rFonts w:ascii="Arial" w:hAnsi="Arial" w:cs="Arial"/>
                <w:color w:val="181818"/>
              </w:rPr>
            </w:pPr>
          </w:p>
        </w:tc>
      </w:tr>
      <w:tr w:rsidR="00B33432" w:rsidRPr="00B33432" w14:paraId="7FD6362C" w14:textId="77777777" w:rsidTr="008429C3">
        <w:trPr>
          <w:trHeight w:val="140"/>
        </w:trPr>
        <w:tc>
          <w:tcPr>
            <w:tcW w:w="2955" w:type="dxa"/>
          </w:tcPr>
          <w:p w14:paraId="146B0B65" w14:textId="77777777" w:rsidR="00B33432" w:rsidRPr="00B33432" w:rsidRDefault="00B33432" w:rsidP="00B33432">
            <w:pPr>
              <w:spacing w:after="250" w:line="276" w:lineRule="auto"/>
              <w:rPr>
                <w:rFonts w:ascii="Arial" w:hAnsi="Arial" w:cs="Arial"/>
              </w:rPr>
            </w:pPr>
            <w:r w:rsidRPr="00B33432">
              <w:rPr>
                <w:rFonts w:ascii="Arial" w:hAnsi="Arial" w:cs="Arial"/>
              </w:rPr>
              <w:t>11. Real Estate Investment Trusts (‘REITs’)</w:t>
            </w:r>
          </w:p>
        </w:tc>
        <w:tc>
          <w:tcPr>
            <w:tcW w:w="3496" w:type="dxa"/>
          </w:tcPr>
          <w:p w14:paraId="321B7514" w14:textId="77777777" w:rsidR="008429C3" w:rsidRPr="007C348B" w:rsidRDefault="008429C3" w:rsidP="008429C3">
            <w:pPr>
              <w:numPr>
                <w:ilvl w:val="0"/>
                <w:numId w:val="6"/>
              </w:numPr>
              <w:contextualSpacing/>
              <w:rPr>
                <w:rFonts w:ascii="BLK Fort" w:eastAsia="Arial" w:hAnsi="BLK Fort" w:cs="Arial"/>
                <w:color w:val="000000"/>
                <w:sz w:val="18"/>
                <w:szCs w:val="18"/>
                <w:lang w:eastAsia="en-IE"/>
              </w:rPr>
            </w:pPr>
            <w:r w:rsidRPr="007C348B">
              <w:rPr>
                <w:rFonts w:ascii="BLK Fort" w:eastAsia="Arial" w:hAnsi="BLK Fort" w:cs="Arial"/>
                <w:b/>
                <w:bCs/>
                <w:color w:val="000000"/>
                <w:sz w:val="18"/>
                <w:szCs w:val="18"/>
                <w:lang w:eastAsia="en-IE"/>
              </w:rPr>
              <w:t>Traded on regulated markets:</w:t>
            </w:r>
            <w:r w:rsidRPr="007C348B">
              <w:rPr>
                <w:rFonts w:ascii="BLK Fort" w:eastAsia="Arial" w:hAnsi="BLK Fort" w:cs="Arial"/>
                <w:color w:val="000000"/>
                <w:sz w:val="18"/>
                <w:szCs w:val="18"/>
                <w:lang w:eastAsia="en-IE"/>
              </w:rPr>
              <w:t xml:space="preserve"> As publicly traded assets, REITs can provide liquidity and transparency for investors. T</w:t>
            </w:r>
            <w:r w:rsidRPr="007C348B">
              <w:rPr>
                <w:rFonts w:ascii="BLK Fort" w:eastAsia="Arial" w:hAnsi="BLK Fort" w:cs="Arial"/>
                <w:color w:val="000000"/>
                <w:sz w:val="18"/>
                <w:szCs w:val="18"/>
                <w:lang w:val="en-US" w:eastAsia="en-IE"/>
              </w:rPr>
              <w:t xml:space="preserve">he valuations of REITs are based on the market prices of their shares, </w:t>
            </w:r>
            <w:r w:rsidRPr="007C348B">
              <w:rPr>
                <w:rFonts w:ascii="BLK Fort" w:eastAsia="Arial" w:hAnsi="BLK Fort" w:cs="Arial"/>
                <w:color w:val="000000"/>
                <w:sz w:val="18"/>
                <w:szCs w:val="18"/>
                <w:lang w:val="en-US" w:eastAsia="en-IE"/>
              </w:rPr>
              <w:lastRenderedPageBreak/>
              <w:t>which reflect the underlying value of their real estate assets.</w:t>
            </w:r>
          </w:p>
          <w:p w14:paraId="23DE523C" w14:textId="62675708" w:rsidR="00B33432" w:rsidRPr="008429C3" w:rsidRDefault="008429C3" w:rsidP="008429C3">
            <w:pPr>
              <w:pStyle w:val="ListParagraph"/>
              <w:rPr>
                <w:rFonts w:ascii="Arial" w:eastAsia="MS PGothic" w:hAnsi="Arial"/>
                <w:color w:val="181818"/>
                <w:sz w:val="20"/>
                <w:szCs w:val="20"/>
                <w:lang w:val="nl-BE"/>
              </w:rPr>
            </w:pPr>
            <w:r w:rsidRPr="008429C3">
              <w:rPr>
                <w:b/>
                <w:bCs/>
                <w:lang w:val="nl-BE"/>
              </w:rPr>
              <w:t>More efficient than real estate, but with access to the associated benefits:</w:t>
            </w:r>
            <w:r w:rsidRPr="008429C3">
              <w:rPr>
                <w:lang w:val="nl-BE"/>
              </w:rPr>
              <w:t xml:space="preserve"> </w:t>
            </w:r>
            <w:r w:rsidRPr="008429C3">
              <w:t>REITs are tax transparent vehicles that invest in real estate and distribute most of their income as dividends to investors. They allow investors to access different sectors and locations of real estate without requiring direct ownership or high capital. They are also easier to buy and sell than physical real estate, which can take a long time and incur high costs. REITs also provide economies of scale, as they can manage large portfolios of properties with lower expenses and leverage. As noted in our response to Q14 we note some interpretative issues regarding the status of UCITS in some jurisdictions and how to resolve these.</w:t>
            </w:r>
          </w:p>
        </w:tc>
        <w:tc>
          <w:tcPr>
            <w:tcW w:w="2549" w:type="dxa"/>
          </w:tcPr>
          <w:p w14:paraId="52E56223" w14:textId="77777777" w:rsidR="00B33432" w:rsidRPr="00B33432" w:rsidRDefault="00B33432" w:rsidP="00B33432">
            <w:pPr>
              <w:spacing w:after="250" w:line="276" w:lineRule="auto"/>
              <w:jc w:val="both"/>
              <w:rPr>
                <w:rFonts w:ascii="Arial" w:hAnsi="Arial" w:cs="Arial"/>
                <w:color w:val="181818"/>
              </w:rPr>
            </w:pPr>
          </w:p>
        </w:tc>
        <w:tc>
          <w:tcPr>
            <w:tcW w:w="3011" w:type="dxa"/>
          </w:tcPr>
          <w:p w14:paraId="07547A01" w14:textId="77777777" w:rsidR="00B33432" w:rsidRPr="00B33432" w:rsidRDefault="00B33432" w:rsidP="00B33432">
            <w:pPr>
              <w:spacing w:after="250" w:line="276" w:lineRule="auto"/>
              <w:jc w:val="both"/>
              <w:rPr>
                <w:rFonts w:ascii="Arial" w:hAnsi="Arial" w:cs="Arial"/>
                <w:color w:val="181818"/>
              </w:rPr>
            </w:pPr>
          </w:p>
        </w:tc>
        <w:tc>
          <w:tcPr>
            <w:tcW w:w="2476" w:type="dxa"/>
          </w:tcPr>
          <w:p w14:paraId="5043CB0F" w14:textId="77777777" w:rsidR="00B33432" w:rsidRPr="00B33432" w:rsidRDefault="00B33432" w:rsidP="00B33432">
            <w:pPr>
              <w:spacing w:after="250" w:line="276" w:lineRule="auto"/>
              <w:jc w:val="both"/>
              <w:rPr>
                <w:rFonts w:ascii="Arial" w:hAnsi="Arial" w:cs="Arial"/>
                <w:color w:val="181818"/>
              </w:rPr>
            </w:pPr>
          </w:p>
        </w:tc>
      </w:tr>
      <w:tr w:rsidR="00B33432" w:rsidRPr="00B33432" w14:paraId="585437CF" w14:textId="77777777" w:rsidTr="008429C3">
        <w:trPr>
          <w:trHeight w:val="140"/>
        </w:trPr>
        <w:tc>
          <w:tcPr>
            <w:tcW w:w="2955" w:type="dxa"/>
          </w:tcPr>
          <w:p w14:paraId="17F5DE1B" w14:textId="77777777" w:rsidR="00B33432" w:rsidRPr="00B33432" w:rsidRDefault="00B33432" w:rsidP="00B33432">
            <w:pPr>
              <w:spacing w:after="250" w:line="276" w:lineRule="auto"/>
              <w:rPr>
                <w:rFonts w:ascii="Arial" w:hAnsi="Arial" w:cs="Arial"/>
              </w:rPr>
            </w:pPr>
            <w:r w:rsidRPr="00B33432">
              <w:rPr>
                <w:rFonts w:ascii="Arial" w:hAnsi="Arial" w:cs="Arial"/>
              </w:rPr>
              <w:lastRenderedPageBreak/>
              <w:t>12. Special Purpose Acquisition Companies (‘SPACs’)</w:t>
            </w:r>
          </w:p>
        </w:tc>
        <w:tc>
          <w:tcPr>
            <w:tcW w:w="3496" w:type="dxa"/>
          </w:tcPr>
          <w:p w14:paraId="07459315" w14:textId="77777777" w:rsidR="00B33432" w:rsidRPr="00B33432" w:rsidRDefault="00B33432" w:rsidP="00B33432">
            <w:pPr>
              <w:spacing w:after="250" w:line="276" w:lineRule="auto"/>
              <w:jc w:val="both"/>
              <w:rPr>
                <w:rFonts w:ascii="Arial" w:hAnsi="Arial" w:cs="Arial"/>
                <w:color w:val="181818"/>
              </w:rPr>
            </w:pPr>
          </w:p>
        </w:tc>
        <w:tc>
          <w:tcPr>
            <w:tcW w:w="2549" w:type="dxa"/>
          </w:tcPr>
          <w:p w14:paraId="6537F28F" w14:textId="77777777" w:rsidR="00B33432" w:rsidRPr="00B33432" w:rsidRDefault="00B33432" w:rsidP="00B33432">
            <w:pPr>
              <w:spacing w:after="250" w:line="276" w:lineRule="auto"/>
              <w:jc w:val="both"/>
              <w:rPr>
                <w:rFonts w:ascii="Arial" w:hAnsi="Arial" w:cs="Arial"/>
                <w:color w:val="181818"/>
              </w:rPr>
            </w:pPr>
          </w:p>
        </w:tc>
        <w:tc>
          <w:tcPr>
            <w:tcW w:w="3011" w:type="dxa"/>
          </w:tcPr>
          <w:p w14:paraId="6DFB9E20" w14:textId="77777777" w:rsidR="00B33432" w:rsidRPr="00B33432" w:rsidRDefault="00B33432" w:rsidP="00B33432">
            <w:pPr>
              <w:spacing w:after="250" w:line="276" w:lineRule="auto"/>
              <w:jc w:val="both"/>
              <w:rPr>
                <w:rFonts w:ascii="Arial" w:hAnsi="Arial" w:cs="Arial"/>
                <w:color w:val="181818"/>
              </w:rPr>
            </w:pPr>
          </w:p>
        </w:tc>
        <w:tc>
          <w:tcPr>
            <w:tcW w:w="2476" w:type="dxa"/>
          </w:tcPr>
          <w:p w14:paraId="70DF9E56" w14:textId="77777777" w:rsidR="00B33432" w:rsidRPr="00B33432" w:rsidRDefault="00B33432" w:rsidP="00B33432">
            <w:pPr>
              <w:spacing w:after="250" w:line="276" w:lineRule="auto"/>
              <w:jc w:val="both"/>
              <w:rPr>
                <w:rFonts w:ascii="Arial" w:hAnsi="Arial" w:cs="Arial"/>
                <w:color w:val="181818"/>
              </w:rPr>
            </w:pPr>
          </w:p>
        </w:tc>
      </w:tr>
      <w:tr w:rsidR="00B33432" w:rsidRPr="00B33432" w14:paraId="72D194A9" w14:textId="77777777" w:rsidTr="008429C3">
        <w:trPr>
          <w:trHeight w:val="140"/>
        </w:trPr>
        <w:tc>
          <w:tcPr>
            <w:tcW w:w="2955" w:type="dxa"/>
          </w:tcPr>
          <w:p w14:paraId="31158681" w14:textId="77777777" w:rsidR="00B33432" w:rsidRPr="00B33432" w:rsidRDefault="00B33432" w:rsidP="00B33432">
            <w:pPr>
              <w:spacing w:after="250" w:line="276" w:lineRule="auto"/>
              <w:rPr>
                <w:rFonts w:ascii="Arial" w:hAnsi="Arial" w:cs="Arial"/>
              </w:rPr>
            </w:pPr>
            <w:r w:rsidRPr="00B33432">
              <w:rPr>
                <w:rFonts w:ascii="Arial" w:hAnsi="Arial" w:cs="Arial"/>
              </w:rPr>
              <w:t>13. EU AIFs</w:t>
            </w:r>
            <w:r w:rsidRPr="00B33432">
              <w:rPr>
                <w:rFonts w:ascii="Arial" w:hAnsi="Arial" w:cs="Arial"/>
                <w:sz w:val="16"/>
                <w:vertAlign w:val="superscript"/>
              </w:rPr>
              <w:footnoteReference w:id="10"/>
            </w:r>
          </w:p>
        </w:tc>
        <w:tc>
          <w:tcPr>
            <w:tcW w:w="3496" w:type="dxa"/>
          </w:tcPr>
          <w:p w14:paraId="1236F187" w14:textId="77777777" w:rsidR="008429C3" w:rsidRDefault="008429C3" w:rsidP="008429C3">
            <w:pPr>
              <w:rPr>
                <w:rFonts w:ascii="BLK Fort" w:eastAsia="Arial" w:hAnsi="BLK Fort" w:cs="Arial"/>
                <w:color w:val="000000"/>
                <w:sz w:val="18"/>
                <w:szCs w:val="18"/>
                <w:lang w:eastAsia="en-IE"/>
              </w:rPr>
            </w:pPr>
            <w:r w:rsidRPr="001F28D6">
              <w:rPr>
                <w:rFonts w:ascii="BLK Fort" w:eastAsia="Arial" w:hAnsi="BLK Fort" w:cs="Arial"/>
                <w:color w:val="000000"/>
                <w:sz w:val="18"/>
                <w:szCs w:val="18"/>
                <w:lang w:eastAsia="en-IE"/>
              </w:rPr>
              <w:t xml:space="preserve">The range of alternative investment funds (AIFs) has expanded significantly since the publication of the EAD.  We encourage ESMA to reassess the eligibility of those AIFs which do not comply with Article 50(1)(e) (i)-(iv) of the UCITS Directive within the 10% ratio. </w:t>
            </w:r>
          </w:p>
          <w:p w14:paraId="37148646" w14:textId="77777777" w:rsidR="008429C3" w:rsidRDefault="008429C3" w:rsidP="008429C3">
            <w:pPr>
              <w:rPr>
                <w:rFonts w:ascii="BLK Fort" w:eastAsia="Arial" w:hAnsi="BLK Fort" w:cs="Arial"/>
                <w:color w:val="000000"/>
                <w:sz w:val="18"/>
                <w:szCs w:val="18"/>
                <w:lang w:eastAsia="en-IE"/>
              </w:rPr>
            </w:pPr>
          </w:p>
          <w:p w14:paraId="44E871BC" w14:textId="60DC961E" w:rsidR="00B33432" w:rsidRPr="00B33432" w:rsidRDefault="008429C3" w:rsidP="008429C3">
            <w:pPr>
              <w:spacing w:after="250" w:line="276" w:lineRule="auto"/>
              <w:jc w:val="both"/>
              <w:rPr>
                <w:rFonts w:ascii="Arial" w:hAnsi="Arial" w:cs="Arial"/>
                <w:color w:val="181818"/>
              </w:rPr>
            </w:pPr>
            <w:r w:rsidRPr="001F28D6">
              <w:rPr>
                <w:rFonts w:ascii="BLK Fort" w:eastAsia="Arial" w:hAnsi="BLK Fort" w:cs="Arial"/>
                <w:color w:val="000000"/>
                <w:sz w:val="18"/>
                <w:szCs w:val="18"/>
                <w:lang w:eastAsia="en-IE"/>
              </w:rPr>
              <w:t>Appropriate guardrails could include an assessment of the AIF’s impact on the UCITS’ overall liquidity profile, the liquidity profile of the AIF itself and whether those AIFs are constituted in a regulated fund format, such as a European Long-term Investment Fund (ELTIF), or whether they are set up in a fund of funds format.</w:t>
            </w:r>
          </w:p>
        </w:tc>
        <w:tc>
          <w:tcPr>
            <w:tcW w:w="2549" w:type="dxa"/>
          </w:tcPr>
          <w:p w14:paraId="144A5D23" w14:textId="77777777" w:rsidR="00B33432" w:rsidRPr="00B33432" w:rsidRDefault="00B33432" w:rsidP="00B33432">
            <w:pPr>
              <w:spacing w:after="250" w:line="276" w:lineRule="auto"/>
              <w:jc w:val="both"/>
              <w:rPr>
                <w:rFonts w:ascii="Arial" w:hAnsi="Arial" w:cs="Arial"/>
                <w:color w:val="181818"/>
              </w:rPr>
            </w:pPr>
          </w:p>
        </w:tc>
        <w:tc>
          <w:tcPr>
            <w:tcW w:w="3011" w:type="dxa"/>
          </w:tcPr>
          <w:p w14:paraId="738610EB" w14:textId="77777777" w:rsidR="00B33432" w:rsidRPr="00B33432" w:rsidRDefault="00B33432" w:rsidP="00B33432">
            <w:pPr>
              <w:spacing w:after="250" w:line="276" w:lineRule="auto"/>
              <w:jc w:val="both"/>
              <w:rPr>
                <w:rFonts w:ascii="Arial" w:hAnsi="Arial" w:cs="Arial"/>
                <w:color w:val="181818"/>
              </w:rPr>
            </w:pPr>
          </w:p>
        </w:tc>
        <w:tc>
          <w:tcPr>
            <w:tcW w:w="2476" w:type="dxa"/>
          </w:tcPr>
          <w:p w14:paraId="637805D2" w14:textId="77777777" w:rsidR="00B33432" w:rsidRPr="00B33432" w:rsidRDefault="00B33432" w:rsidP="00B33432">
            <w:pPr>
              <w:spacing w:after="250" w:line="276" w:lineRule="auto"/>
              <w:jc w:val="both"/>
              <w:rPr>
                <w:rFonts w:ascii="Arial" w:hAnsi="Arial" w:cs="Arial"/>
                <w:color w:val="181818"/>
              </w:rPr>
            </w:pPr>
          </w:p>
        </w:tc>
      </w:tr>
      <w:tr w:rsidR="00B33432" w:rsidRPr="00B33432" w14:paraId="50B47933" w14:textId="77777777" w:rsidTr="008429C3">
        <w:trPr>
          <w:trHeight w:val="140"/>
        </w:trPr>
        <w:tc>
          <w:tcPr>
            <w:tcW w:w="2955" w:type="dxa"/>
          </w:tcPr>
          <w:p w14:paraId="5B21E6DB" w14:textId="77777777" w:rsidR="00B33432" w:rsidRPr="00B33432" w:rsidRDefault="00B33432" w:rsidP="00B33432">
            <w:pPr>
              <w:spacing w:after="250" w:line="276" w:lineRule="auto"/>
              <w:rPr>
                <w:rFonts w:ascii="Arial" w:hAnsi="Arial" w:cs="Arial"/>
              </w:rPr>
            </w:pPr>
            <w:r w:rsidRPr="00B33432">
              <w:rPr>
                <w:rFonts w:ascii="Arial" w:hAnsi="Arial" w:cs="Arial"/>
              </w:rPr>
              <w:t>14. Non-EU AIFs</w:t>
            </w:r>
          </w:p>
        </w:tc>
        <w:tc>
          <w:tcPr>
            <w:tcW w:w="3496" w:type="dxa"/>
          </w:tcPr>
          <w:p w14:paraId="7004A5B1" w14:textId="77777777" w:rsidR="008429C3" w:rsidRPr="007C348B" w:rsidRDefault="008429C3" w:rsidP="008429C3">
            <w:pPr>
              <w:rPr>
                <w:rFonts w:ascii="BLK Fort" w:eastAsia="BLK Fort" w:hAnsi="BLK Fort" w:cs="BLK Fort"/>
                <w:sz w:val="18"/>
                <w:szCs w:val="18"/>
                <w:lang w:val="en-IE"/>
              </w:rPr>
            </w:pPr>
            <w:r w:rsidRPr="007C348B">
              <w:rPr>
                <w:rFonts w:ascii="BLK Fort" w:eastAsia="BLK Fort" w:hAnsi="BLK Fort" w:cs="BLK Fort"/>
                <w:sz w:val="18"/>
                <w:szCs w:val="18"/>
                <w:lang w:val="en-IE"/>
              </w:rPr>
              <w:t xml:space="preserve">Permitting access to non-EU ETFs, which would currently classify as non-EU AIFs for the purpose of UCITS, can provide investors exposure to a variety of industries that may be performing well in their respective regions, in a  highly liquid, diversified and cost-efficient way.  Markets can differ in the </w:t>
            </w:r>
            <w:r w:rsidRPr="007C348B">
              <w:rPr>
                <w:rFonts w:ascii="BLK Fort" w:eastAsia="BLK Fort" w:hAnsi="BLK Fort" w:cs="BLK Fort"/>
                <w:sz w:val="18"/>
                <w:szCs w:val="18"/>
                <w:lang w:val="en-IE"/>
              </w:rPr>
              <w:lastRenderedPageBreak/>
              <w:t xml:space="preserve">stages they are in with regards to economic cycles, regulatory regimes, and sectoral balances and such exposure provides UCITS investors the opportunity to take advantage of  growth opportunities across regions. </w:t>
            </w:r>
          </w:p>
          <w:p w14:paraId="7D55679D" w14:textId="77777777" w:rsidR="008429C3" w:rsidRPr="007C348B" w:rsidRDefault="008429C3" w:rsidP="008429C3">
            <w:pPr>
              <w:rPr>
                <w:rFonts w:ascii="BLK Fort" w:eastAsia="BLK Fort" w:hAnsi="BLK Fort" w:cs="BLK Fort"/>
                <w:sz w:val="18"/>
                <w:szCs w:val="18"/>
                <w:lang w:val="en-IE"/>
              </w:rPr>
            </w:pPr>
          </w:p>
          <w:p w14:paraId="5074FD07" w14:textId="77777777" w:rsidR="008429C3" w:rsidRPr="007C348B" w:rsidRDefault="008429C3" w:rsidP="008429C3">
            <w:pPr>
              <w:rPr>
                <w:rFonts w:ascii="BLK Fort" w:eastAsia="BLK Fort" w:hAnsi="BLK Fort" w:cs="BLK Fort"/>
                <w:sz w:val="18"/>
                <w:szCs w:val="18"/>
                <w:lang w:val="en-IE"/>
              </w:rPr>
            </w:pPr>
          </w:p>
          <w:p w14:paraId="463F29E8" w14:textId="331BCD49" w:rsidR="00B33432" w:rsidRPr="00B33432" w:rsidRDefault="008429C3" w:rsidP="008429C3">
            <w:pPr>
              <w:spacing w:after="250" w:line="276" w:lineRule="auto"/>
              <w:jc w:val="both"/>
              <w:rPr>
                <w:rFonts w:ascii="Arial" w:hAnsi="Arial" w:cs="Arial"/>
                <w:color w:val="181818"/>
              </w:rPr>
            </w:pPr>
            <w:r w:rsidRPr="007C348B">
              <w:rPr>
                <w:rFonts w:ascii="BLK Fort" w:eastAsia="Arial" w:hAnsi="BLK Fort" w:cs="Arial"/>
                <w:color w:val="000000"/>
                <w:sz w:val="18"/>
                <w:szCs w:val="18"/>
                <w:lang w:val="en-US" w:eastAsia="en-IE"/>
              </w:rPr>
              <w:t>While we agree that the eligibility of these funds should consider how equivalent the investment universe is to that of a UCITS, we note challenges with the eligibility test due to operational differences in other jurisdictions, such as the way cash collateral is accounted and treated for, which appear to be a</w:t>
            </w:r>
            <w:r>
              <w:rPr>
                <w:rFonts w:ascii="BLK Fort" w:eastAsia="Arial" w:hAnsi="BLK Fort" w:cs="Arial"/>
                <w:color w:val="000000"/>
                <w:sz w:val="18"/>
                <w:szCs w:val="18"/>
                <w:lang w:val="en-US" w:eastAsia="en-IE"/>
              </w:rPr>
              <w:t>n</w:t>
            </w:r>
            <w:r w:rsidRPr="007C348B">
              <w:rPr>
                <w:rFonts w:ascii="BLK Fort" w:eastAsia="Arial" w:hAnsi="BLK Fort" w:cs="Arial"/>
                <w:color w:val="000000"/>
                <w:sz w:val="18"/>
                <w:szCs w:val="18"/>
                <w:lang w:val="en-US" w:eastAsia="en-IE"/>
              </w:rPr>
              <w:t xml:space="preserve"> unintended barrier. See our answer to Q15 for further detail on the obstacles to investing in non-EU AIFs.  </w:t>
            </w:r>
          </w:p>
        </w:tc>
        <w:tc>
          <w:tcPr>
            <w:tcW w:w="2549" w:type="dxa"/>
          </w:tcPr>
          <w:p w14:paraId="3B7B4B86" w14:textId="77777777" w:rsidR="00B33432" w:rsidRPr="00B33432" w:rsidRDefault="00B33432" w:rsidP="00B33432">
            <w:pPr>
              <w:spacing w:after="250" w:line="276" w:lineRule="auto"/>
              <w:jc w:val="both"/>
              <w:rPr>
                <w:rFonts w:ascii="Arial" w:hAnsi="Arial" w:cs="Arial"/>
                <w:color w:val="181818"/>
              </w:rPr>
            </w:pPr>
          </w:p>
        </w:tc>
        <w:tc>
          <w:tcPr>
            <w:tcW w:w="3011" w:type="dxa"/>
          </w:tcPr>
          <w:p w14:paraId="3A0FF5F2" w14:textId="77777777" w:rsidR="00B33432" w:rsidRPr="00B33432" w:rsidRDefault="00B33432" w:rsidP="00B33432">
            <w:pPr>
              <w:spacing w:after="250" w:line="276" w:lineRule="auto"/>
              <w:jc w:val="both"/>
              <w:rPr>
                <w:rFonts w:ascii="Arial" w:hAnsi="Arial" w:cs="Arial"/>
                <w:color w:val="181818"/>
              </w:rPr>
            </w:pPr>
          </w:p>
        </w:tc>
        <w:tc>
          <w:tcPr>
            <w:tcW w:w="2476" w:type="dxa"/>
          </w:tcPr>
          <w:p w14:paraId="5630AD66" w14:textId="77777777" w:rsidR="00B33432" w:rsidRPr="00B33432" w:rsidRDefault="00B33432" w:rsidP="00B33432">
            <w:pPr>
              <w:spacing w:after="250" w:line="276" w:lineRule="auto"/>
              <w:jc w:val="both"/>
              <w:rPr>
                <w:rFonts w:ascii="Arial" w:hAnsi="Arial" w:cs="Arial"/>
                <w:color w:val="181818"/>
              </w:rPr>
            </w:pPr>
          </w:p>
        </w:tc>
      </w:tr>
      <w:tr w:rsidR="00B33432" w:rsidRPr="00B33432" w14:paraId="5A25875C" w14:textId="77777777" w:rsidTr="008429C3">
        <w:trPr>
          <w:trHeight w:val="140"/>
        </w:trPr>
        <w:tc>
          <w:tcPr>
            <w:tcW w:w="2955" w:type="dxa"/>
          </w:tcPr>
          <w:p w14:paraId="0BD070FC" w14:textId="77777777" w:rsidR="00B33432" w:rsidRPr="00B33432" w:rsidRDefault="00B33432" w:rsidP="00B33432">
            <w:pPr>
              <w:spacing w:after="250" w:line="276" w:lineRule="auto"/>
              <w:rPr>
                <w:rFonts w:ascii="Arial" w:hAnsi="Arial" w:cs="Arial"/>
              </w:rPr>
            </w:pPr>
            <w:r w:rsidRPr="00B33432">
              <w:rPr>
                <w:rFonts w:ascii="Arial" w:hAnsi="Arial" w:cs="Arial"/>
              </w:rPr>
              <w:t>15. Emission allowances</w:t>
            </w:r>
          </w:p>
        </w:tc>
        <w:tc>
          <w:tcPr>
            <w:tcW w:w="3496" w:type="dxa"/>
          </w:tcPr>
          <w:p w14:paraId="61829076" w14:textId="77777777" w:rsidR="00B33432" w:rsidRPr="00B33432" w:rsidRDefault="00B33432" w:rsidP="00B33432">
            <w:pPr>
              <w:spacing w:after="250" w:line="276" w:lineRule="auto"/>
              <w:jc w:val="both"/>
              <w:rPr>
                <w:rFonts w:ascii="Arial" w:hAnsi="Arial" w:cs="Arial"/>
                <w:color w:val="181818"/>
              </w:rPr>
            </w:pPr>
          </w:p>
        </w:tc>
        <w:tc>
          <w:tcPr>
            <w:tcW w:w="2549" w:type="dxa"/>
          </w:tcPr>
          <w:p w14:paraId="2BA226A1" w14:textId="77777777" w:rsidR="00B33432" w:rsidRPr="00B33432" w:rsidRDefault="00B33432" w:rsidP="00B33432">
            <w:pPr>
              <w:spacing w:after="250" w:line="276" w:lineRule="auto"/>
              <w:jc w:val="both"/>
              <w:rPr>
                <w:rFonts w:ascii="Arial" w:hAnsi="Arial" w:cs="Arial"/>
                <w:color w:val="181818"/>
              </w:rPr>
            </w:pPr>
          </w:p>
        </w:tc>
        <w:tc>
          <w:tcPr>
            <w:tcW w:w="3011" w:type="dxa"/>
          </w:tcPr>
          <w:p w14:paraId="17AD93B2" w14:textId="77777777" w:rsidR="00B33432" w:rsidRPr="00B33432" w:rsidRDefault="00B33432" w:rsidP="00B33432">
            <w:pPr>
              <w:spacing w:after="250" w:line="276" w:lineRule="auto"/>
              <w:jc w:val="both"/>
              <w:rPr>
                <w:rFonts w:ascii="Arial" w:hAnsi="Arial" w:cs="Arial"/>
                <w:color w:val="181818"/>
              </w:rPr>
            </w:pPr>
          </w:p>
        </w:tc>
        <w:tc>
          <w:tcPr>
            <w:tcW w:w="2476" w:type="dxa"/>
          </w:tcPr>
          <w:p w14:paraId="0DE4B5B7" w14:textId="77777777" w:rsidR="00B33432" w:rsidRPr="00B33432" w:rsidRDefault="00B33432" w:rsidP="00B33432">
            <w:pPr>
              <w:spacing w:after="250" w:line="276" w:lineRule="auto"/>
              <w:jc w:val="both"/>
              <w:rPr>
                <w:rFonts w:ascii="Arial" w:hAnsi="Arial" w:cs="Arial"/>
                <w:color w:val="181818"/>
              </w:rPr>
            </w:pPr>
          </w:p>
        </w:tc>
      </w:tr>
      <w:tr w:rsidR="00B33432" w:rsidRPr="00B33432" w14:paraId="4663360E" w14:textId="77777777" w:rsidTr="008429C3">
        <w:trPr>
          <w:trHeight w:val="747"/>
        </w:trPr>
        <w:tc>
          <w:tcPr>
            <w:tcW w:w="2955" w:type="dxa"/>
          </w:tcPr>
          <w:p w14:paraId="556F47DB" w14:textId="77777777" w:rsidR="00B33432" w:rsidRPr="00B33432" w:rsidRDefault="00B33432" w:rsidP="00B33432">
            <w:pPr>
              <w:spacing w:after="250" w:line="276" w:lineRule="auto"/>
              <w:rPr>
                <w:rFonts w:ascii="Arial" w:hAnsi="Arial" w:cs="Arial"/>
              </w:rPr>
            </w:pPr>
            <w:r w:rsidRPr="00B33432">
              <w:rPr>
                <w:rFonts w:ascii="Arial" w:hAnsi="Arial" w:cs="Arial"/>
              </w:rPr>
              <w:t>16. Delta-one instruments</w:t>
            </w:r>
          </w:p>
        </w:tc>
        <w:tc>
          <w:tcPr>
            <w:tcW w:w="3496" w:type="dxa"/>
          </w:tcPr>
          <w:p w14:paraId="66204FF1" w14:textId="77777777" w:rsidR="00B33432" w:rsidRPr="00B33432" w:rsidRDefault="00B33432" w:rsidP="00B33432">
            <w:pPr>
              <w:spacing w:after="250" w:line="276" w:lineRule="auto"/>
              <w:jc w:val="both"/>
              <w:rPr>
                <w:rFonts w:ascii="Arial" w:hAnsi="Arial" w:cs="Arial"/>
                <w:color w:val="181818"/>
              </w:rPr>
            </w:pPr>
          </w:p>
        </w:tc>
        <w:tc>
          <w:tcPr>
            <w:tcW w:w="2549" w:type="dxa"/>
          </w:tcPr>
          <w:p w14:paraId="2DBF0D7D" w14:textId="77777777" w:rsidR="00B33432" w:rsidRPr="00B33432" w:rsidRDefault="00B33432" w:rsidP="00B33432">
            <w:pPr>
              <w:spacing w:after="250" w:line="276" w:lineRule="auto"/>
              <w:jc w:val="both"/>
              <w:rPr>
                <w:rFonts w:ascii="Arial" w:hAnsi="Arial" w:cs="Arial"/>
                <w:color w:val="181818"/>
              </w:rPr>
            </w:pPr>
          </w:p>
        </w:tc>
        <w:tc>
          <w:tcPr>
            <w:tcW w:w="3011" w:type="dxa"/>
          </w:tcPr>
          <w:p w14:paraId="6B62F1B3" w14:textId="77777777" w:rsidR="00B33432" w:rsidRPr="00B33432" w:rsidRDefault="00B33432" w:rsidP="00B33432">
            <w:pPr>
              <w:spacing w:after="250" w:line="276" w:lineRule="auto"/>
              <w:jc w:val="both"/>
              <w:rPr>
                <w:rFonts w:ascii="Arial" w:hAnsi="Arial" w:cs="Arial"/>
                <w:color w:val="181818"/>
              </w:rPr>
            </w:pPr>
          </w:p>
        </w:tc>
        <w:tc>
          <w:tcPr>
            <w:tcW w:w="2476" w:type="dxa"/>
          </w:tcPr>
          <w:p w14:paraId="02F2C34E" w14:textId="77777777" w:rsidR="00B33432" w:rsidRPr="00B33432" w:rsidRDefault="00B33432" w:rsidP="00B33432">
            <w:pPr>
              <w:spacing w:after="250" w:line="276" w:lineRule="auto"/>
              <w:jc w:val="both"/>
              <w:rPr>
                <w:rFonts w:ascii="Arial" w:hAnsi="Arial" w:cs="Arial"/>
                <w:color w:val="181818"/>
              </w:rPr>
            </w:pPr>
          </w:p>
        </w:tc>
      </w:tr>
      <w:tr w:rsidR="00B33432" w:rsidRPr="00B33432" w14:paraId="6004F4E8" w14:textId="77777777" w:rsidTr="008429C3">
        <w:trPr>
          <w:trHeight w:val="1011"/>
        </w:trPr>
        <w:tc>
          <w:tcPr>
            <w:tcW w:w="2955" w:type="dxa"/>
          </w:tcPr>
          <w:p w14:paraId="73D5771C" w14:textId="77777777" w:rsidR="00B33432" w:rsidRPr="00B33432" w:rsidRDefault="00B33432" w:rsidP="00B33432">
            <w:pPr>
              <w:spacing w:after="250" w:line="276" w:lineRule="auto"/>
              <w:rPr>
                <w:rFonts w:ascii="Arial" w:hAnsi="Arial" w:cs="Arial"/>
              </w:rPr>
            </w:pPr>
            <w:r w:rsidRPr="00B33432">
              <w:rPr>
                <w:rFonts w:ascii="Arial" w:hAnsi="Arial" w:cs="Arial"/>
              </w:rPr>
              <w:t>17. Exchange-traded notes (‘ETNs’)</w:t>
            </w:r>
          </w:p>
        </w:tc>
        <w:tc>
          <w:tcPr>
            <w:tcW w:w="3496" w:type="dxa"/>
          </w:tcPr>
          <w:p w14:paraId="680A4E5D" w14:textId="77777777" w:rsidR="00B33432" w:rsidRPr="00B33432" w:rsidRDefault="00B33432" w:rsidP="00B33432">
            <w:pPr>
              <w:spacing w:after="250" w:line="276" w:lineRule="auto"/>
              <w:jc w:val="both"/>
              <w:rPr>
                <w:rFonts w:ascii="Arial" w:hAnsi="Arial" w:cs="Arial"/>
                <w:color w:val="181818"/>
              </w:rPr>
            </w:pPr>
          </w:p>
        </w:tc>
        <w:tc>
          <w:tcPr>
            <w:tcW w:w="2549" w:type="dxa"/>
          </w:tcPr>
          <w:p w14:paraId="19219836" w14:textId="77777777" w:rsidR="00B33432" w:rsidRPr="00B33432" w:rsidRDefault="00B33432" w:rsidP="00B33432">
            <w:pPr>
              <w:spacing w:after="250" w:line="276" w:lineRule="auto"/>
              <w:jc w:val="both"/>
              <w:rPr>
                <w:rFonts w:ascii="Arial" w:hAnsi="Arial" w:cs="Arial"/>
                <w:color w:val="181818"/>
              </w:rPr>
            </w:pPr>
          </w:p>
        </w:tc>
        <w:tc>
          <w:tcPr>
            <w:tcW w:w="3011" w:type="dxa"/>
          </w:tcPr>
          <w:p w14:paraId="296FEF7D" w14:textId="77777777" w:rsidR="00B33432" w:rsidRPr="00B33432" w:rsidRDefault="00B33432" w:rsidP="00B33432">
            <w:pPr>
              <w:spacing w:after="250" w:line="276" w:lineRule="auto"/>
              <w:jc w:val="both"/>
              <w:rPr>
                <w:rFonts w:ascii="Arial" w:hAnsi="Arial" w:cs="Arial"/>
                <w:color w:val="181818"/>
              </w:rPr>
            </w:pPr>
          </w:p>
        </w:tc>
        <w:tc>
          <w:tcPr>
            <w:tcW w:w="2476" w:type="dxa"/>
          </w:tcPr>
          <w:p w14:paraId="7194DBDC" w14:textId="77777777" w:rsidR="00B33432" w:rsidRPr="00B33432" w:rsidRDefault="00B33432" w:rsidP="00B33432">
            <w:pPr>
              <w:spacing w:after="250" w:line="276" w:lineRule="auto"/>
              <w:jc w:val="both"/>
              <w:rPr>
                <w:rFonts w:ascii="Arial" w:hAnsi="Arial" w:cs="Arial"/>
                <w:color w:val="181818"/>
              </w:rPr>
            </w:pPr>
          </w:p>
        </w:tc>
      </w:tr>
      <w:tr w:rsidR="00B33432" w:rsidRPr="00B33432" w14:paraId="66BB473F" w14:textId="77777777" w:rsidTr="008429C3">
        <w:trPr>
          <w:trHeight w:val="1538"/>
        </w:trPr>
        <w:tc>
          <w:tcPr>
            <w:tcW w:w="2955" w:type="dxa"/>
          </w:tcPr>
          <w:p w14:paraId="08FCC5EB" w14:textId="77777777" w:rsidR="00B33432" w:rsidRPr="00B33432" w:rsidRDefault="00B33432" w:rsidP="00B33432">
            <w:pPr>
              <w:spacing w:after="250" w:line="276" w:lineRule="auto"/>
              <w:rPr>
                <w:rFonts w:ascii="Arial" w:hAnsi="Arial" w:cs="Arial"/>
              </w:rPr>
            </w:pPr>
            <w:r w:rsidRPr="00B33432">
              <w:rPr>
                <w:rFonts w:ascii="Arial" w:hAnsi="Arial" w:cs="Arial"/>
              </w:rPr>
              <w:lastRenderedPageBreak/>
              <w:t>18. Asset-backed securities (‘ABS’) including mortgage-backed securities (‘MBS’)</w:t>
            </w:r>
          </w:p>
        </w:tc>
        <w:tc>
          <w:tcPr>
            <w:tcW w:w="3496" w:type="dxa"/>
          </w:tcPr>
          <w:p w14:paraId="4096277E" w14:textId="77777777" w:rsidR="008429C3" w:rsidRPr="007C348B" w:rsidRDefault="008429C3" w:rsidP="008429C3">
            <w:pPr>
              <w:numPr>
                <w:ilvl w:val="0"/>
                <w:numId w:val="7"/>
              </w:numPr>
              <w:contextualSpacing/>
              <w:rPr>
                <w:rFonts w:ascii="BLK Fort" w:eastAsia="Arial" w:hAnsi="BLK Fort" w:cs="Arial"/>
                <w:color w:val="000000"/>
                <w:sz w:val="18"/>
                <w:szCs w:val="18"/>
                <w:lang w:eastAsia="en-IE"/>
              </w:rPr>
            </w:pPr>
            <w:r w:rsidRPr="007C348B">
              <w:rPr>
                <w:rFonts w:ascii="BLK Fort" w:eastAsia="Arial" w:hAnsi="BLK Fort" w:cs="Arial"/>
                <w:b/>
                <w:bCs/>
                <w:color w:val="000000"/>
                <w:sz w:val="18"/>
                <w:szCs w:val="18"/>
                <w:lang w:val="en-US" w:eastAsia="en-IE"/>
              </w:rPr>
              <w:t>ABS / MBS offer yield and diversification through securitized loans</w:t>
            </w:r>
            <w:r w:rsidRPr="007C348B">
              <w:rPr>
                <w:rFonts w:ascii="BLK Fort" w:eastAsia="Arial" w:hAnsi="BLK Fort" w:cs="Arial"/>
                <w:color w:val="000000"/>
                <w:sz w:val="18"/>
                <w:szCs w:val="18"/>
                <w:lang w:val="en-US" w:eastAsia="en-IE"/>
              </w:rPr>
              <w:t>: ABS / MBS are securities that are backed by pools of loans, such as mortgages, consumer credit, or corporate debt. They offer investors a steady stream of income from the interest and principal payments of the underlying loans, and a diversification benefit from exposure to different types of borrowers and sectors.</w:t>
            </w:r>
          </w:p>
          <w:p w14:paraId="5B75E2CA" w14:textId="77777777" w:rsidR="008429C3" w:rsidRPr="007C348B" w:rsidRDefault="008429C3" w:rsidP="008429C3">
            <w:pPr>
              <w:numPr>
                <w:ilvl w:val="0"/>
                <w:numId w:val="7"/>
              </w:numPr>
              <w:contextualSpacing/>
              <w:rPr>
                <w:rFonts w:ascii="BLK Fort" w:eastAsia="Arial" w:hAnsi="BLK Fort" w:cs="Arial"/>
                <w:color w:val="000000"/>
                <w:sz w:val="18"/>
                <w:szCs w:val="18"/>
                <w:lang w:eastAsia="en-IE"/>
              </w:rPr>
            </w:pPr>
            <w:r w:rsidRPr="007C348B">
              <w:rPr>
                <w:rFonts w:ascii="BLK Fort" w:eastAsia="Arial" w:hAnsi="BLK Fort" w:cs="Arial"/>
                <w:b/>
                <w:bCs/>
                <w:color w:val="000000"/>
                <w:sz w:val="18"/>
                <w:szCs w:val="18"/>
                <w:lang w:val="en-US" w:eastAsia="en-IE"/>
              </w:rPr>
              <w:t>ABS / MBS are liquid and transparent assets with reliable valuations</w:t>
            </w:r>
            <w:r w:rsidRPr="007C348B">
              <w:rPr>
                <w:rFonts w:ascii="BLK Fort" w:eastAsia="Arial" w:hAnsi="BLK Fort" w:cs="Arial"/>
                <w:color w:val="000000"/>
                <w:sz w:val="18"/>
                <w:szCs w:val="18"/>
                <w:lang w:val="en-US" w:eastAsia="en-IE"/>
              </w:rPr>
              <w:t xml:space="preserve">: ABS / MBS are traded in large and active markets, especially in the US, where they have </w:t>
            </w:r>
            <w:proofErr w:type="spellStart"/>
            <w:r w:rsidRPr="007C348B">
              <w:rPr>
                <w:rFonts w:ascii="BLK Fort" w:eastAsia="Arial" w:hAnsi="BLK Fort" w:cs="Arial"/>
                <w:color w:val="000000"/>
                <w:sz w:val="18"/>
                <w:szCs w:val="18"/>
                <w:lang w:val="en-US" w:eastAsia="en-IE"/>
              </w:rPr>
              <w:t>standardised</w:t>
            </w:r>
            <w:proofErr w:type="spellEnd"/>
            <w:r w:rsidRPr="007C348B">
              <w:rPr>
                <w:rFonts w:ascii="BLK Fort" w:eastAsia="Arial" w:hAnsi="BLK Fort" w:cs="Arial"/>
                <w:color w:val="000000"/>
                <w:sz w:val="18"/>
                <w:szCs w:val="18"/>
                <w:lang w:val="en-US" w:eastAsia="en-IE"/>
              </w:rPr>
              <w:t xml:space="preserve"> features and high credit ratings. The information on the underlying loans and collateral is readily available from market data providers, and the liquidity and pricing of the securities can be tracked from the TRACE database and other sources.</w:t>
            </w:r>
          </w:p>
          <w:p w14:paraId="769D0D3C" w14:textId="548A4D4D" w:rsidR="00B33432" w:rsidRPr="008429C3" w:rsidRDefault="008429C3" w:rsidP="008429C3">
            <w:pPr>
              <w:pStyle w:val="ListParagraph"/>
              <w:rPr>
                <w:rFonts w:ascii="Arial" w:eastAsia="MS PGothic" w:hAnsi="Arial"/>
                <w:color w:val="181818"/>
                <w:sz w:val="20"/>
                <w:szCs w:val="20"/>
                <w:lang w:val="nl-BE"/>
              </w:rPr>
            </w:pPr>
            <w:r w:rsidRPr="008429C3">
              <w:rPr>
                <w:b/>
                <w:bCs/>
              </w:rPr>
              <w:t>Offers lower duration risk</w:t>
            </w:r>
            <w:r w:rsidRPr="008429C3">
              <w:t xml:space="preserve">: ABS / MBS are usually floating rate and have shorter maturities than other fixed-income securities, which reduces the duration risk and </w:t>
            </w:r>
            <w:r w:rsidRPr="008429C3">
              <w:lastRenderedPageBreak/>
              <w:t>the sensitivity to interest rate changes. As long as they meet certain criteria of credit quality, diversification, and liquidity, ABS / MBS should be able to be included in UCITS funds.</w:t>
            </w:r>
          </w:p>
        </w:tc>
        <w:tc>
          <w:tcPr>
            <w:tcW w:w="2549" w:type="dxa"/>
          </w:tcPr>
          <w:p w14:paraId="54CD245A" w14:textId="77777777" w:rsidR="00B33432" w:rsidRPr="00B33432" w:rsidRDefault="00B33432" w:rsidP="00B33432">
            <w:pPr>
              <w:spacing w:after="250" w:line="276" w:lineRule="auto"/>
              <w:jc w:val="both"/>
              <w:rPr>
                <w:rFonts w:ascii="Arial" w:hAnsi="Arial" w:cs="Arial"/>
                <w:color w:val="181818"/>
              </w:rPr>
            </w:pPr>
          </w:p>
        </w:tc>
        <w:tc>
          <w:tcPr>
            <w:tcW w:w="3011" w:type="dxa"/>
          </w:tcPr>
          <w:p w14:paraId="1231BE67" w14:textId="77777777" w:rsidR="00B33432" w:rsidRPr="00B33432" w:rsidRDefault="00B33432" w:rsidP="00B33432">
            <w:pPr>
              <w:spacing w:after="250" w:line="276" w:lineRule="auto"/>
              <w:jc w:val="both"/>
              <w:rPr>
                <w:rFonts w:ascii="Arial" w:hAnsi="Arial" w:cs="Arial"/>
                <w:color w:val="181818"/>
              </w:rPr>
            </w:pPr>
          </w:p>
        </w:tc>
        <w:tc>
          <w:tcPr>
            <w:tcW w:w="2476" w:type="dxa"/>
          </w:tcPr>
          <w:p w14:paraId="36FEB5B0" w14:textId="30A178A7" w:rsidR="00B33432" w:rsidRPr="00B33432" w:rsidRDefault="008429C3" w:rsidP="00B33432">
            <w:pPr>
              <w:spacing w:after="250" w:line="276" w:lineRule="auto"/>
              <w:jc w:val="both"/>
              <w:rPr>
                <w:rFonts w:ascii="Arial" w:hAnsi="Arial" w:cs="Arial"/>
                <w:color w:val="181818"/>
              </w:rPr>
            </w:pPr>
            <w:r w:rsidRPr="001F28D6">
              <w:rPr>
                <w:rFonts w:ascii="BLK Fort" w:hAnsi="BLK Fort"/>
                <w:sz w:val="18"/>
                <w:szCs w:val="16"/>
              </w:rPr>
              <w:t>Some sectors of Asset-Backed Securities trade daily but require a lead time to gather quotes so mangers may require more preparation when trading these securities</w:t>
            </w:r>
            <w:r>
              <w:rPr>
                <w:rFonts w:ascii="BLK Fort" w:hAnsi="BLK Fort"/>
                <w:sz w:val="18"/>
                <w:szCs w:val="16"/>
              </w:rPr>
              <w:t>.</w:t>
            </w:r>
            <w:r w:rsidRPr="001F28D6">
              <w:rPr>
                <w:rFonts w:ascii="BLK Fort" w:hAnsi="BLK Fort"/>
                <w:sz w:val="18"/>
                <w:szCs w:val="16"/>
              </w:rPr>
              <w:t xml:space="preserve"> The inclusion of notice periods, for example prior day notice  rather than same day notice, can  give time to do so.</w:t>
            </w:r>
          </w:p>
        </w:tc>
      </w:tr>
      <w:tr w:rsidR="00B33432" w:rsidRPr="00B33432" w14:paraId="16623728" w14:textId="77777777" w:rsidTr="008429C3">
        <w:trPr>
          <w:trHeight w:val="1011"/>
        </w:trPr>
        <w:tc>
          <w:tcPr>
            <w:tcW w:w="2955" w:type="dxa"/>
          </w:tcPr>
          <w:p w14:paraId="2D5FBB9B" w14:textId="77777777" w:rsidR="00B33432" w:rsidRPr="00B33432" w:rsidRDefault="00B33432" w:rsidP="00B33432">
            <w:pPr>
              <w:spacing w:after="250" w:line="276" w:lineRule="auto"/>
              <w:rPr>
                <w:rFonts w:ascii="Arial" w:hAnsi="Arial" w:cs="Arial"/>
              </w:rPr>
            </w:pPr>
            <w:r w:rsidRPr="00B33432">
              <w:rPr>
                <w:rFonts w:ascii="Arial" w:hAnsi="Arial" w:cs="Arial"/>
              </w:rPr>
              <w:t>19. Other relevant asset classes (please specify)</w:t>
            </w:r>
          </w:p>
        </w:tc>
        <w:tc>
          <w:tcPr>
            <w:tcW w:w="3496" w:type="dxa"/>
          </w:tcPr>
          <w:p w14:paraId="30D7AA69" w14:textId="77777777" w:rsidR="00B33432" w:rsidRPr="00B33432" w:rsidRDefault="00B33432" w:rsidP="00B33432">
            <w:pPr>
              <w:spacing w:after="250" w:line="276" w:lineRule="auto"/>
              <w:jc w:val="both"/>
              <w:rPr>
                <w:rFonts w:ascii="Arial" w:hAnsi="Arial" w:cs="Arial"/>
                <w:color w:val="181818"/>
              </w:rPr>
            </w:pPr>
          </w:p>
        </w:tc>
        <w:tc>
          <w:tcPr>
            <w:tcW w:w="2549" w:type="dxa"/>
          </w:tcPr>
          <w:p w14:paraId="7196D064" w14:textId="77777777" w:rsidR="00B33432" w:rsidRPr="00B33432" w:rsidRDefault="00B33432" w:rsidP="00B33432">
            <w:pPr>
              <w:spacing w:after="250" w:line="276" w:lineRule="auto"/>
              <w:jc w:val="both"/>
              <w:rPr>
                <w:rFonts w:ascii="Arial" w:hAnsi="Arial" w:cs="Arial"/>
                <w:color w:val="181818"/>
              </w:rPr>
            </w:pPr>
          </w:p>
        </w:tc>
        <w:tc>
          <w:tcPr>
            <w:tcW w:w="3011" w:type="dxa"/>
          </w:tcPr>
          <w:p w14:paraId="34FF1C98" w14:textId="77777777" w:rsidR="00B33432" w:rsidRPr="00B33432" w:rsidRDefault="00B33432" w:rsidP="00B33432">
            <w:pPr>
              <w:spacing w:after="250" w:line="276" w:lineRule="auto"/>
              <w:jc w:val="both"/>
              <w:rPr>
                <w:rFonts w:ascii="Arial" w:hAnsi="Arial" w:cs="Arial"/>
                <w:color w:val="181818"/>
              </w:rPr>
            </w:pPr>
          </w:p>
        </w:tc>
        <w:tc>
          <w:tcPr>
            <w:tcW w:w="2476" w:type="dxa"/>
          </w:tcPr>
          <w:p w14:paraId="6D072C0D" w14:textId="77777777" w:rsidR="00B33432" w:rsidRPr="00B33432" w:rsidRDefault="00B33432" w:rsidP="00B33432">
            <w:pPr>
              <w:spacing w:after="250" w:line="276" w:lineRule="auto"/>
              <w:jc w:val="both"/>
              <w:rPr>
                <w:rFonts w:ascii="Arial" w:hAnsi="Arial" w:cs="Arial"/>
                <w:color w:val="181818"/>
              </w:rPr>
            </w:pPr>
          </w:p>
        </w:tc>
      </w:tr>
    </w:tbl>
    <w:p w14:paraId="48A21919" w14:textId="77777777" w:rsidR="00B33432" w:rsidRPr="00B33432" w:rsidRDefault="00B33432" w:rsidP="00B33432">
      <w:pPr>
        <w:spacing w:after="120" w:line="276" w:lineRule="auto"/>
        <w:jc w:val="both"/>
        <w:rPr>
          <w:rFonts w:ascii="Arial" w:eastAsia="MS PGothic" w:hAnsi="Arial" w:cs="Arial"/>
          <w:color w:val="181818"/>
          <w:szCs w:val="20"/>
        </w:rPr>
      </w:pPr>
    </w:p>
    <w:p w14:paraId="6BD18F9B" w14:textId="77777777" w:rsidR="004C269D" w:rsidRDefault="004C269D"/>
    <w:sectPr w:rsidR="004C269D" w:rsidSect="008429C3">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2771B" w14:textId="77777777" w:rsidR="00C365B4" w:rsidRDefault="00C365B4" w:rsidP="00B33432">
      <w:pPr>
        <w:spacing w:after="0" w:line="240" w:lineRule="auto"/>
      </w:pPr>
      <w:r>
        <w:separator/>
      </w:r>
    </w:p>
  </w:endnote>
  <w:endnote w:type="continuationSeparator" w:id="0">
    <w:p w14:paraId="75EE4071" w14:textId="77777777" w:rsidR="00C365B4" w:rsidRDefault="00C365B4" w:rsidP="00B33432">
      <w:pPr>
        <w:spacing w:after="0" w:line="240" w:lineRule="auto"/>
      </w:pPr>
      <w:r>
        <w:continuationSeparator/>
      </w:r>
    </w:p>
  </w:endnote>
  <w:endnote w:type="continuationNotice" w:id="1">
    <w:p w14:paraId="22DD8C81" w14:textId="77777777" w:rsidR="00C365B4" w:rsidRDefault="00C365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LK Fort">
    <w:altName w:val="Cambria"/>
    <w:panose1 w:val="020B0503030202060203"/>
    <w:charset w:val="00"/>
    <w:family w:val="swiss"/>
    <w:pitch w:val="variable"/>
    <w:sig w:usb0="00000007" w:usb1="10000001" w:usb2="00000000" w:usb3="00000000" w:csb0="00000093"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B57A6" w14:textId="77777777" w:rsidR="00C365B4" w:rsidRDefault="00C365B4" w:rsidP="00B33432">
      <w:pPr>
        <w:spacing w:after="0" w:line="240" w:lineRule="auto"/>
      </w:pPr>
      <w:r>
        <w:separator/>
      </w:r>
    </w:p>
  </w:footnote>
  <w:footnote w:type="continuationSeparator" w:id="0">
    <w:p w14:paraId="128651FB" w14:textId="77777777" w:rsidR="00C365B4" w:rsidRDefault="00C365B4" w:rsidP="00B33432">
      <w:pPr>
        <w:spacing w:after="0" w:line="240" w:lineRule="auto"/>
      </w:pPr>
      <w:r>
        <w:continuationSeparator/>
      </w:r>
    </w:p>
  </w:footnote>
  <w:footnote w:type="continuationNotice" w:id="1">
    <w:p w14:paraId="1967645F" w14:textId="77777777" w:rsidR="00C365B4" w:rsidRDefault="00C365B4">
      <w:pPr>
        <w:spacing w:after="0" w:line="240" w:lineRule="auto"/>
      </w:pPr>
    </w:p>
  </w:footnote>
  <w:footnote w:id="2">
    <w:p w14:paraId="53A506E4"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ESMA acknowledges that most of the asset classes listed below have not been clearly defined in EU legislation and this might be a source of divergent interpretations and misunderstandings. Where possible, ESMA invites stakeholders to specify their understanding or definition of the relevant asset classes under the “additional comments” box.</w:t>
      </w:r>
    </w:p>
  </w:footnote>
  <w:footnote w:id="3">
    <w:p w14:paraId="5DF96E01"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indirect exposures via instruments such as delta-one instruments, exchange-traded products, derivatives, or AIFs (EU or non-EU). </w:t>
      </w:r>
    </w:p>
  </w:footnote>
  <w:footnote w:id="4">
    <w:p w14:paraId="0C264AC6"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Please share any available data or estimates that help to assess the amount or extent to which there are existing UCITS exposures (distinguishing between direct and indirect, where possible) to these asset classes. Where no reliable data is available, ESMA would appreciate receiving estimates in terms of numbers and/or percentages of UCITS exposed to these asset classes and what is the average proportion in the relevant portfolios. Any additional data and insights on strategies, techniques and instruments used to gain exposure to these asset classes would be also highly appreciated.</w:t>
      </w:r>
    </w:p>
  </w:footnote>
  <w:footnote w:id="5">
    <w:p w14:paraId="5718C342"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Please include under this column any other evidence or views that you would like to share. </w:t>
      </w:r>
    </w:p>
  </w:footnote>
  <w:footnote w:id="6">
    <w:p w14:paraId="34D4CF9B"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leveraged/structured loans, collateralised loan obligations (CLOs) and other types of loans or loan participations (please specify).</w:t>
      </w:r>
    </w:p>
  </w:footnote>
  <w:footnote w:id="7">
    <w:p w14:paraId="48EF4E2A"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equity instruments issued by (1) </w:t>
      </w:r>
      <w:r w:rsidRPr="00332B8C">
        <w:rPr>
          <w:rFonts w:ascii="Arial" w:hAnsi="Arial" w:cs="Arial"/>
          <w:lang w:val="en-US"/>
        </w:rPr>
        <w:t>private companies and (2) shares in public companies that that are not listed.</w:t>
      </w:r>
    </w:p>
  </w:footnote>
  <w:footnote w:id="8">
    <w:p w14:paraId="156E5F12"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specify what type of crypto assets and whether the implementation of MICA will change anything in terms of your assessment. </w:t>
      </w:r>
      <w:bookmarkStart w:id="0" w:name="_Hlk163456352"/>
      <w:r w:rsidRPr="00332B8C">
        <w:rPr>
          <w:rFonts w:ascii="Arial" w:hAnsi="Arial" w:cs="Arial"/>
        </w:rPr>
        <w:t xml:space="preserve">With respect to indirect exposures, ESMA is particularly interested in stakeholder input on exchange-traded products including ETFs with crypto assets as an underlying. </w:t>
      </w:r>
      <w:bookmarkEnd w:id="0"/>
    </w:p>
  </w:footnote>
  <w:footnote w:id="9">
    <w:p w14:paraId="4A59E86A"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t>
      </w:r>
      <w:bookmarkStart w:id="1" w:name="_Hlk163456407"/>
      <w:r w:rsidRPr="00332B8C">
        <w:rPr>
          <w:rFonts w:ascii="Arial" w:hAnsi="Arial" w:cs="Arial"/>
        </w:rPr>
        <w:t>With respect to indirect exposures, ESMA is particularly interested in stakeholder input on ETFs with commodities/precious metals as underlying.</w:t>
      </w:r>
      <w:bookmarkEnd w:id="1"/>
      <w:r w:rsidRPr="00332B8C">
        <w:rPr>
          <w:rFonts w:ascii="Arial" w:hAnsi="Arial" w:cs="Arial"/>
        </w:rPr>
        <w:t xml:space="preserve"> Please note that under the current UCITS rules, precious metals and certificates representing them are not eligible (Article 50(2)(b) of the UCITS Directive).</w:t>
      </w:r>
    </w:p>
  </w:footnote>
  <w:footnote w:id="10">
    <w:p w14:paraId="09998020"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different types of AIFs (e.g. open-ended, closed-ended) and investment strategies (e.g. real estate, private equity, hedge funds).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B383" w14:textId="77777777" w:rsidR="002D6186" w:rsidRPr="002D6186" w:rsidRDefault="002D6186" w:rsidP="002D6186">
    <w:pPr>
      <w:tabs>
        <w:tab w:val="center" w:pos="4513"/>
        <w:tab w:val="right" w:pos="9026"/>
      </w:tabs>
      <w:spacing w:after="0" w:line="240" w:lineRule="auto"/>
      <w:jc w:val="right"/>
      <w:rPr>
        <w:rFonts w:ascii="Arial" w:eastAsia="MS PGothic" w:hAnsi="Arial" w:cs="Arial"/>
        <w:bCs/>
        <w:caps/>
        <w:color w:val="FF0000"/>
        <w:szCs w:val="20"/>
      </w:rPr>
    </w:pPr>
    <w:r w:rsidRPr="002D6186">
      <w:rPr>
        <w:rFonts w:ascii="Arial" w:eastAsia="MS PGothic" w:hAnsi="Arial" w:cs="Arial"/>
        <w:bCs/>
        <w:caps/>
        <w:noProof/>
        <w:color w:val="FF0000"/>
        <w:szCs w:val="20"/>
      </w:rPr>
      <w:drawing>
        <wp:anchor distT="0" distB="0" distL="114300" distR="114300" simplePos="0" relativeHeight="251658240" behindDoc="0" locked="0" layoutInCell="1" allowOverlap="1" wp14:anchorId="6009BBBF" wp14:editId="70747D81">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2D6186">
      <w:rPr>
        <w:rFonts w:ascii="Arial" w:eastAsia="MS PGothic" w:hAnsi="Arial" w:cs="Arial"/>
        <w:color w:val="001B4F"/>
        <w:sz w:val="16"/>
        <w:szCs w:val="20"/>
      </w:rPr>
      <w:t>7 May 2024</w:t>
    </w:r>
  </w:p>
  <w:p w14:paraId="3E32722B" w14:textId="5F6683E2" w:rsidR="002D6186" w:rsidRPr="002D6186" w:rsidRDefault="002D6186" w:rsidP="002D6186">
    <w:pPr>
      <w:tabs>
        <w:tab w:val="center" w:pos="4513"/>
        <w:tab w:val="right" w:pos="9026"/>
      </w:tabs>
      <w:spacing w:after="0" w:line="240" w:lineRule="auto"/>
      <w:jc w:val="right"/>
      <w:rPr>
        <w:rFonts w:ascii="Arial" w:eastAsia="MS PGothic" w:hAnsi="Arial" w:cs="Arial"/>
        <w:color w:val="001B4F"/>
        <w:sz w:val="16"/>
        <w:szCs w:val="20"/>
      </w:rPr>
    </w:pPr>
    <w:r w:rsidRPr="002D6186">
      <w:rPr>
        <w:rFonts w:ascii="Arial" w:eastAsia="MS PGothic" w:hAnsi="Arial" w:cs="Arial"/>
        <w:color w:val="001B4F"/>
        <w:sz w:val="16"/>
        <w:szCs w:val="20"/>
      </w:rPr>
      <w:t>ESMA 34-1270380148-10</w:t>
    </w:r>
    <w:r w:rsidR="00AF55C3">
      <w:rPr>
        <w:rFonts w:ascii="Arial" w:eastAsia="MS PGothic" w:hAnsi="Arial" w:cs="Arial"/>
        <w:color w:val="001B4F"/>
        <w:sz w:val="16"/>
        <w:szCs w:val="20"/>
      </w:rPr>
      <w:t>66</w:t>
    </w:r>
  </w:p>
  <w:p w14:paraId="3052C3B3" w14:textId="77777777" w:rsidR="002D6186" w:rsidRPr="002D6186" w:rsidRDefault="002D6186" w:rsidP="002D6186">
    <w:pPr>
      <w:spacing w:after="250" w:line="276" w:lineRule="auto"/>
      <w:jc w:val="both"/>
      <w:rPr>
        <w:rFonts w:ascii="Arial" w:eastAsia="MS PGothic" w:hAnsi="Arial" w:cs="Arial"/>
        <w:color w:val="181818"/>
        <w:szCs w:val="20"/>
      </w:rPr>
    </w:pPr>
  </w:p>
  <w:p w14:paraId="722A68F7" w14:textId="77777777" w:rsidR="002D6186" w:rsidRPr="002D6186" w:rsidRDefault="002D6186" w:rsidP="002D6186">
    <w:pPr>
      <w:spacing w:after="250" w:line="276" w:lineRule="auto"/>
      <w:jc w:val="both"/>
      <w:rPr>
        <w:rFonts w:ascii="Arial" w:eastAsia="MS PGothic" w:hAnsi="Arial" w:cs="Arial"/>
        <w:color w:val="181818"/>
        <w:szCs w:val="20"/>
      </w:rPr>
    </w:pPr>
  </w:p>
  <w:p w14:paraId="74BAAB78" w14:textId="588A28CA" w:rsidR="002D6186" w:rsidRPr="002D6186" w:rsidRDefault="002D6186" w:rsidP="002D6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1826"/>
    <w:multiLevelType w:val="hybridMultilevel"/>
    <w:tmpl w:val="B7B8B2DE"/>
    <w:lvl w:ilvl="0" w:tplc="9A7CF9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D43B2"/>
    <w:multiLevelType w:val="hybridMultilevel"/>
    <w:tmpl w:val="4768DDF4"/>
    <w:lvl w:ilvl="0" w:tplc="8A8E10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97F5C"/>
    <w:multiLevelType w:val="hybridMultilevel"/>
    <w:tmpl w:val="E13A0474"/>
    <w:lvl w:ilvl="0" w:tplc="1A406FD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46AE8"/>
    <w:multiLevelType w:val="hybridMultilevel"/>
    <w:tmpl w:val="75CA622C"/>
    <w:lvl w:ilvl="0" w:tplc="AE847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0B45FC"/>
    <w:multiLevelType w:val="hybridMultilevel"/>
    <w:tmpl w:val="E182DD98"/>
    <w:lvl w:ilvl="0" w:tplc="C7D4C8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7E1B0D"/>
    <w:multiLevelType w:val="multilevel"/>
    <w:tmpl w:val="DFB0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5844FD"/>
    <w:multiLevelType w:val="hybridMultilevel"/>
    <w:tmpl w:val="8D2C3412"/>
    <w:lvl w:ilvl="0" w:tplc="01906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1032206">
    <w:abstractNumId w:val="5"/>
  </w:num>
  <w:num w:numId="2" w16cid:durableId="1302341261">
    <w:abstractNumId w:val="3"/>
  </w:num>
  <w:num w:numId="3" w16cid:durableId="1476415659">
    <w:abstractNumId w:val="0"/>
  </w:num>
  <w:num w:numId="4" w16cid:durableId="1703359664">
    <w:abstractNumId w:val="1"/>
  </w:num>
  <w:num w:numId="5" w16cid:durableId="1423255719">
    <w:abstractNumId w:val="4"/>
  </w:num>
  <w:num w:numId="6" w16cid:durableId="873231513">
    <w:abstractNumId w:val="6"/>
  </w:num>
  <w:num w:numId="7" w16cid:durableId="1321038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32"/>
    <w:rsid w:val="00023D31"/>
    <w:rsid w:val="00025A1B"/>
    <w:rsid w:val="00050BF8"/>
    <w:rsid w:val="00065543"/>
    <w:rsid w:val="00067CE6"/>
    <w:rsid w:val="000D6E83"/>
    <w:rsid w:val="001301D9"/>
    <w:rsid w:val="001462AD"/>
    <w:rsid w:val="00150222"/>
    <w:rsid w:val="00152FEF"/>
    <w:rsid w:val="00162CAE"/>
    <w:rsid w:val="0017743F"/>
    <w:rsid w:val="001A53B9"/>
    <w:rsid w:val="001B11A8"/>
    <w:rsid w:val="00203EF5"/>
    <w:rsid w:val="002072B4"/>
    <w:rsid w:val="00243F87"/>
    <w:rsid w:val="0025199F"/>
    <w:rsid w:val="0026434D"/>
    <w:rsid w:val="00264F16"/>
    <w:rsid w:val="00266B15"/>
    <w:rsid w:val="002829AC"/>
    <w:rsid w:val="00282BD2"/>
    <w:rsid w:val="00290E24"/>
    <w:rsid w:val="002A740A"/>
    <w:rsid w:val="002D58CD"/>
    <w:rsid w:val="002D6186"/>
    <w:rsid w:val="002F58FB"/>
    <w:rsid w:val="00304E46"/>
    <w:rsid w:val="00332B8C"/>
    <w:rsid w:val="0035372F"/>
    <w:rsid w:val="00394809"/>
    <w:rsid w:val="003A6B50"/>
    <w:rsid w:val="003D2C3C"/>
    <w:rsid w:val="0040029B"/>
    <w:rsid w:val="004664E3"/>
    <w:rsid w:val="00470FA5"/>
    <w:rsid w:val="0047334C"/>
    <w:rsid w:val="0048151A"/>
    <w:rsid w:val="004C269D"/>
    <w:rsid w:val="004F280B"/>
    <w:rsid w:val="00501AC4"/>
    <w:rsid w:val="0050210B"/>
    <w:rsid w:val="00502D1C"/>
    <w:rsid w:val="0051598D"/>
    <w:rsid w:val="00517D2B"/>
    <w:rsid w:val="00523239"/>
    <w:rsid w:val="00537FD1"/>
    <w:rsid w:val="00544A7D"/>
    <w:rsid w:val="00546B72"/>
    <w:rsid w:val="00554F00"/>
    <w:rsid w:val="00556DBB"/>
    <w:rsid w:val="00557028"/>
    <w:rsid w:val="00580D8A"/>
    <w:rsid w:val="005846C0"/>
    <w:rsid w:val="00594512"/>
    <w:rsid w:val="005A35D5"/>
    <w:rsid w:val="005A6BF0"/>
    <w:rsid w:val="005C1551"/>
    <w:rsid w:val="005C347A"/>
    <w:rsid w:val="005E0910"/>
    <w:rsid w:val="005E31F2"/>
    <w:rsid w:val="005E75CC"/>
    <w:rsid w:val="00605E0B"/>
    <w:rsid w:val="00611825"/>
    <w:rsid w:val="0061475B"/>
    <w:rsid w:val="00686D73"/>
    <w:rsid w:val="006B6977"/>
    <w:rsid w:val="006B7B4A"/>
    <w:rsid w:val="006C47BC"/>
    <w:rsid w:val="006C7811"/>
    <w:rsid w:val="00712439"/>
    <w:rsid w:val="00753DB8"/>
    <w:rsid w:val="00784D7C"/>
    <w:rsid w:val="00794019"/>
    <w:rsid w:val="007A589D"/>
    <w:rsid w:val="00817444"/>
    <w:rsid w:val="008351CF"/>
    <w:rsid w:val="008429C3"/>
    <w:rsid w:val="00847BDD"/>
    <w:rsid w:val="0087027F"/>
    <w:rsid w:val="008B6D19"/>
    <w:rsid w:val="008C4D04"/>
    <w:rsid w:val="008D1492"/>
    <w:rsid w:val="00901098"/>
    <w:rsid w:val="00915CEE"/>
    <w:rsid w:val="00920E73"/>
    <w:rsid w:val="009212B4"/>
    <w:rsid w:val="009244B3"/>
    <w:rsid w:val="00951595"/>
    <w:rsid w:val="00967D76"/>
    <w:rsid w:val="00971266"/>
    <w:rsid w:val="00997493"/>
    <w:rsid w:val="009A3E35"/>
    <w:rsid w:val="009F7052"/>
    <w:rsid w:val="00A338CF"/>
    <w:rsid w:val="00A35853"/>
    <w:rsid w:val="00A53BC9"/>
    <w:rsid w:val="00A73913"/>
    <w:rsid w:val="00A85F46"/>
    <w:rsid w:val="00A87C58"/>
    <w:rsid w:val="00AE6FD6"/>
    <w:rsid w:val="00AF3545"/>
    <w:rsid w:val="00AF55C3"/>
    <w:rsid w:val="00B01DB8"/>
    <w:rsid w:val="00B33432"/>
    <w:rsid w:val="00B53F54"/>
    <w:rsid w:val="00B626E5"/>
    <w:rsid w:val="00B62E29"/>
    <w:rsid w:val="00BB49D8"/>
    <w:rsid w:val="00BC577D"/>
    <w:rsid w:val="00BD4295"/>
    <w:rsid w:val="00BD7454"/>
    <w:rsid w:val="00C0244F"/>
    <w:rsid w:val="00C06FE4"/>
    <w:rsid w:val="00C1549C"/>
    <w:rsid w:val="00C202C8"/>
    <w:rsid w:val="00C242FA"/>
    <w:rsid w:val="00C365B4"/>
    <w:rsid w:val="00C36669"/>
    <w:rsid w:val="00C745C1"/>
    <w:rsid w:val="00C95659"/>
    <w:rsid w:val="00CB1B38"/>
    <w:rsid w:val="00CF043C"/>
    <w:rsid w:val="00CF0B7A"/>
    <w:rsid w:val="00D01FE5"/>
    <w:rsid w:val="00D10784"/>
    <w:rsid w:val="00D16F57"/>
    <w:rsid w:val="00D45009"/>
    <w:rsid w:val="00D6002F"/>
    <w:rsid w:val="00D64553"/>
    <w:rsid w:val="00D86E5D"/>
    <w:rsid w:val="00DD67D7"/>
    <w:rsid w:val="00DF78BC"/>
    <w:rsid w:val="00E771B9"/>
    <w:rsid w:val="00E87C61"/>
    <w:rsid w:val="00EE4C70"/>
    <w:rsid w:val="00EE5B1A"/>
    <w:rsid w:val="00EF2185"/>
    <w:rsid w:val="00F03868"/>
    <w:rsid w:val="00F03D56"/>
    <w:rsid w:val="00F042E8"/>
    <w:rsid w:val="00F278BC"/>
    <w:rsid w:val="00F5738E"/>
    <w:rsid w:val="00F92D6A"/>
    <w:rsid w:val="00FB3EA8"/>
    <w:rsid w:val="00FC4846"/>
    <w:rsid w:val="00FD12FD"/>
    <w:rsid w:val="00FE6B1B"/>
    <w:rsid w:val="00FF17AE"/>
    <w:rsid w:val="06C380F5"/>
    <w:rsid w:val="095C8AB7"/>
    <w:rsid w:val="0CAEFC23"/>
    <w:rsid w:val="0EBCB8B4"/>
    <w:rsid w:val="1AFD8AD6"/>
    <w:rsid w:val="28CED790"/>
    <w:rsid w:val="2A636CE1"/>
    <w:rsid w:val="3DB91EF3"/>
    <w:rsid w:val="3FE99FEE"/>
    <w:rsid w:val="47F6D3D0"/>
    <w:rsid w:val="50D66E22"/>
    <w:rsid w:val="53D130EB"/>
    <w:rsid w:val="606EC105"/>
    <w:rsid w:val="66107C87"/>
    <w:rsid w:val="7C53680C"/>
    <w:rsid w:val="7D9B8A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D7B325"/>
  <w15:chartTrackingRefBased/>
  <w15:docId w15:val="{F0F16392-A36C-48A7-B6A1-DF2E3C58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34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432"/>
    <w:rPr>
      <w:sz w:val="20"/>
      <w:szCs w:val="20"/>
    </w:rPr>
  </w:style>
  <w:style w:type="table" w:customStyle="1" w:styleId="Tablenone1">
    <w:name w:val="Table none1"/>
    <w:basedOn w:val="TableNormal"/>
    <w:next w:val="TableGrid"/>
    <w:uiPriority w:val="39"/>
    <w:rsid w:val="00B33432"/>
    <w:pPr>
      <w:spacing w:after="0" w:line="240" w:lineRule="auto"/>
    </w:pPr>
    <w:rPr>
      <w:rFonts w:eastAsia="MS PGothic"/>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1">
    <w:name w:val="Ref1"/>
    <w:basedOn w:val="DefaultParagraphFont"/>
    <w:link w:val="Superscript6Point"/>
    <w:uiPriority w:val="99"/>
    <w:unhideWhenUsed/>
    <w:qFormat/>
    <w:rsid w:val="00B33432"/>
    <w:rPr>
      <w:rFonts w:ascii="Arial" w:hAnsi="Arial"/>
      <w:sz w:val="16"/>
      <w:vertAlign w:val="superscript"/>
    </w:rPr>
  </w:style>
  <w:style w:type="paragraph" w:customStyle="1" w:styleId="Superscript6Point">
    <w:name w:val="Superscript 6 Point"/>
    <w:aliases w:val="Odwołanie przypisu,de nota al pie,footnote ref,2001+ Fußnotenzeichen, Exposant 3 Point,BVI fnr Знак Знак,BVI fnr Car Car Знак Знак,BVI fnr Car Знак Знак,R,16 Point,number"/>
    <w:basedOn w:val="Normal"/>
    <w:link w:val="Ref1"/>
    <w:uiPriority w:val="99"/>
    <w:rsid w:val="00B33432"/>
    <w:pPr>
      <w:spacing w:before="120" w:line="240" w:lineRule="exact"/>
    </w:pPr>
    <w:rPr>
      <w:rFonts w:ascii="Arial" w:eastAsia="MS PGothic" w:hAnsi="Arial"/>
      <w:sz w:val="16"/>
      <w:szCs w:val="20"/>
      <w:vertAlign w:val="superscript"/>
      <w:lang w:val="nl-BE"/>
    </w:rPr>
  </w:style>
  <w:style w:type="table" w:styleId="TableGrid">
    <w:name w:val="Table Grid"/>
    <w:basedOn w:val="TableNormal"/>
    <w:uiPriority w:val="39"/>
    <w:rsid w:val="00B33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B33432"/>
    <w:rPr>
      <w:vertAlign w:val="superscript"/>
    </w:rPr>
  </w:style>
  <w:style w:type="paragraph" w:styleId="Header">
    <w:name w:val="header"/>
    <w:basedOn w:val="Normal"/>
    <w:link w:val="HeaderChar"/>
    <w:uiPriority w:val="99"/>
    <w:unhideWhenUsed/>
    <w:rsid w:val="00F03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D56"/>
  </w:style>
  <w:style w:type="paragraph" w:styleId="Footer">
    <w:name w:val="footer"/>
    <w:basedOn w:val="Normal"/>
    <w:link w:val="FooterChar"/>
    <w:uiPriority w:val="99"/>
    <w:unhideWhenUsed/>
    <w:rsid w:val="00F03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D56"/>
  </w:style>
  <w:style w:type="paragraph" w:styleId="BalloonText">
    <w:name w:val="Balloon Text"/>
    <w:basedOn w:val="Normal"/>
    <w:link w:val="BalloonTextChar"/>
    <w:uiPriority w:val="99"/>
    <w:semiHidden/>
    <w:unhideWhenUsed/>
    <w:rsid w:val="002D6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186"/>
    <w:rPr>
      <w:rFonts w:ascii="Segoe UI" w:hAnsi="Segoe UI" w:cs="Segoe UI"/>
      <w:sz w:val="18"/>
      <w:szCs w:val="18"/>
    </w:rPr>
  </w:style>
  <w:style w:type="character" w:styleId="Hyperlink">
    <w:name w:val="Hyperlink"/>
    <w:basedOn w:val="DefaultParagraphFont"/>
    <w:uiPriority w:val="99"/>
    <w:unhideWhenUsed/>
    <w:rsid w:val="00901098"/>
    <w:rPr>
      <w:color w:val="0563C1" w:themeColor="hyperlink"/>
      <w:u w:val="single"/>
    </w:rPr>
  </w:style>
  <w:style w:type="character" w:styleId="UnresolvedMention">
    <w:name w:val="Unresolved Mention"/>
    <w:basedOn w:val="DefaultParagraphFont"/>
    <w:uiPriority w:val="99"/>
    <w:semiHidden/>
    <w:unhideWhenUsed/>
    <w:rsid w:val="00901098"/>
    <w:rPr>
      <w:color w:val="605E5C"/>
      <w:shd w:val="clear" w:color="auto" w:fill="E1DFDD"/>
    </w:rPr>
  </w:style>
  <w:style w:type="character" w:styleId="FollowedHyperlink">
    <w:name w:val="FollowedHyperlink"/>
    <w:basedOn w:val="DefaultParagraphFont"/>
    <w:uiPriority w:val="99"/>
    <w:semiHidden/>
    <w:unhideWhenUsed/>
    <w:rsid w:val="00901098"/>
    <w:rPr>
      <w:color w:val="954F72" w:themeColor="followedHyperlink"/>
      <w:u w:val="single"/>
    </w:rPr>
  </w:style>
  <w:style w:type="paragraph" w:styleId="ListParagraph">
    <w:name w:val="List Paragraph"/>
    <w:aliases w:val="Paragraphe EI,Paragraphe de liste1,EC"/>
    <w:basedOn w:val="Normal"/>
    <w:link w:val="ListParagraphChar"/>
    <w:autoRedefine/>
    <w:uiPriority w:val="34"/>
    <w:qFormat/>
    <w:rsid w:val="008429C3"/>
    <w:pPr>
      <w:numPr>
        <w:numId w:val="7"/>
      </w:numPr>
      <w:spacing w:after="250" w:line="276" w:lineRule="auto"/>
      <w:jc w:val="both"/>
    </w:pPr>
    <w:rPr>
      <w:rFonts w:ascii="BLK Fort" w:eastAsiaTheme="minorEastAsia" w:hAnsi="BLK Fort" w:cstheme="majorHAnsi"/>
      <w:color w:val="1A1A1A" w:themeColor="background1" w:themeShade="1A"/>
      <w:sz w:val="18"/>
      <w:szCs w:val="18"/>
      <w:lang w:val="pt-PT" w:eastAsia="en-IE"/>
    </w:rPr>
  </w:style>
  <w:style w:type="character" w:customStyle="1" w:styleId="ListParagraphChar">
    <w:name w:val="List Paragraph Char"/>
    <w:aliases w:val="Paragraphe EI Char,Paragraphe de liste1 Char,EC Char"/>
    <w:link w:val="ListParagraph"/>
    <w:uiPriority w:val="34"/>
    <w:locked/>
    <w:rsid w:val="008429C3"/>
    <w:rPr>
      <w:rFonts w:ascii="BLK Fort" w:eastAsiaTheme="minorEastAsia" w:hAnsi="BLK Fort" w:cstheme="majorHAnsi"/>
      <w:color w:val="1A1A1A" w:themeColor="background1" w:themeShade="1A"/>
      <w:sz w:val="18"/>
      <w:szCs w:val="18"/>
      <w:lang w:val="pt-PT"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ma.europa.eu/press-news/consultations/call-evidence-review-ucits-eligible-assets-directiv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33</Value>
      <Value>254</Value>
      <Value>5</Value>
    </TaxCatchAll>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UCITS V</TermName>
          <TermId xmlns="http://schemas.microsoft.com/office/infopath/2007/PartnerControls">f647cd65-9fed-4943-9235-640226c8ffaf</TermId>
        </TermInfo>
      </Terms>
    </i273e4c9de95495b82bee898e1d119e4>
    <k9db3a09612944c49e649e0ff38a506b xmlns="d0fb0f98-34f9-4d57-9559-eb8efd17aa5e">
      <Terms xmlns="http://schemas.microsoft.com/office/infopath/2007/PartnerControl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UCITS</TermName>
          <TermId xmlns="http://schemas.microsoft.com/office/infopath/2007/PartnerControls">a853cb80-aed9-44bd-ac2a-0e80b5a444d7</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oa4fe03ffd8943c1880fe290404e8de7>
    <_dlc_DocId xmlns="d0fb0f98-34f9-4d57-9559-eb8efd17aa5e">ESMA34-1270380148-1066</_dlc_DocId>
    <_dlc_DocIdUrl xmlns="d0fb0f98-34f9-4d57-9559-eb8efd17aa5e">
      <Url>https://securitiesandmarketsauth.sharepoint.com/sites/sherpa-ivm/_layouts/15/DocIdRedir.aspx?ID=ESMA34-1270380148-1066</Url>
      <Description>ESMA34-1270380148-1066</Description>
    </_dlc_DocIdUrl>
    <SharedWithUsers xmlns="d0fb0f98-34f9-4d57-9559-eb8efd17aa5e">
      <UserInfo>
        <DisplayName>Iris Hude</DisplayName>
        <AccountId>82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UCITS Document" ma:contentTypeID="0x0101000ED1C6BF2ECFE74585EFFEA9E6E27962010B006EE2F6F0923B8D47B938E8456CAF7C4C" ma:contentTypeVersion="24" ma:contentTypeDescription="" ma:contentTypeScope="" ma:versionID="bb69f40d48060915a746d88e25b3ce6c">
  <xsd:schema xmlns:xsd="http://www.w3.org/2001/XMLSchema" xmlns:xs="http://www.w3.org/2001/XMLSchema" xmlns:p="http://schemas.microsoft.com/office/2006/metadata/properties" xmlns:ns2="d0fb0f98-34f9-4d57-9559-eb8efd17aa5e" xmlns:ns3="6992b194-ece9-4b26-973e-e25c2ee2cdcd" targetNamespace="http://schemas.microsoft.com/office/2006/metadata/properties" ma:root="true" ma:fieldsID="d393c18af9c87e7948f2665729661357" ns2:_="" ns3:_="">
    <xsd:import namespace="d0fb0f98-34f9-4d57-9559-eb8efd17aa5e"/>
    <xsd:import namespace="6992b194-ece9-4b26-973e-e25c2ee2cdcd"/>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UCITS|a853cb80-aed9-44bd-ac2a-0e80b5a444d7"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d513acc8-7dbc-449c-a6a2-9c4e1874ec8d"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2b194-ece9-4b26-973e-e25c2ee2cdc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A697FA-BE24-4878-AFDB-AD64CEE0912C}">
  <ds:schemaRefs>
    <ds:schemaRef ds:uri="6992b194-ece9-4b26-973e-e25c2ee2cdcd"/>
    <ds:schemaRef ds:uri="http://purl.org/dc/terms/"/>
    <ds:schemaRef ds:uri="http://schemas.microsoft.com/office/2006/documentManagement/types"/>
    <ds:schemaRef ds:uri="http://schemas.openxmlformats.org/package/2006/metadata/core-properties"/>
    <ds:schemaRef ds:uri="d0fb0f98-34f9-4d57-9559-eb8efd17aa5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5543A0A-BC65-43F9-A5CA-D69219D76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992b194-ece9-4b26-973e-e25c2ee2c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C7362-CE0E-45A1-9F25-BE624802C55F}">
  <ds:schemaRefs>
    <ds:schemaRef ds:uri="http://schemas.microsoft.com/sharepoint/v3/contenttype/forms"/>
  </ds:schemaRefs>
</ds:datastoreItem>
</file>

<file path=customXml/itemProps4.xml><?xml version="1.0" encoding="utf-8"?>
<ds:datastoreItem xmlns:ds="http://schemas.openxmlformats.org/officeDocument/2006/customXml" ds:itemID="{DC84FCA0-A20E-48DE-B522-B2D818717B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1802</Words>
  <Characters>10328</Characters>
  <Application>Microsoft Office Word</Application>
  <DocSecurity>0</DocSecurity>
  <Lines>516</Lines>
  <Paragraphs>71</Paragraphs>
  <ScaleCrop>false</ScaleCrop>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Costila</dc:creator>
  <cp:keywords/>
  <dc:description/>
  <cp:lastModifiedBy>Uwaifo, Georgina</cp:lastModifiedBy>
  <cp:revision>2</cp:revision>
  <dcterms:created xsi:type="dcterms:W3CDTF">2024-08-07T17:10:00Z</dcterms:created>
  <dcterms:modified xsi:type="dcterms:W3CDTF">2024-08-07T17:10:00Z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0x0101000ED1C6BF2ECFE74585EFFEA9E6E27962010B006EE2F6F0923B8D47B938E8456CAF7C4C</vt:lpwstr>
  </property>
  <property fmtid="{D5CDD505-2E9C-101B-9397-08002B2CF9AE}" pid="3" name="TeamName">
    <vt:lpwstr>5</vt:lpwstr>
  </property>
  <property fmtid="{D5CDD505-2E9C-101B-9397-08002B2CF9AE}" pid="4" name="Topic">
    <vt:lpwstr>254</vt:lpwstr>
  </property>
  <property fmtid="{D5CDD505-2E9C-101B-9397-08002B2CF9AE}" pid="5" name="ConfidentialityLevel">
    <vt:lpwstr>6;#Regular|07f1e362-856b-423d-bea6-a14079762141</vt:lpwstr>
  </property>
  <property fmtid="{D5CDD505-2E9C-101B-9397-08002B2CF9AE}" pid="6" name="TeamTopic">
    <vt:lpwstr>33;#UCITS|a853cb80-aed9-44bd-ac2a-0e80b5a444d7</vt:lpwstr>
  </property>
  <property fmtid="{D5CDD505-2E9C-101B-9397-08002B2CF9AE}" pid="7" name="DocumentType">
    <vt:lpwstr/>
  </property>
  <property fmtid="{D5CDD505-2E9C-101B-9397-08002B2CF9AE}" pid="8" name="EsmaAudience">
    <vt:lpwstr/>
  </property>
  <property fmtid="{D5CDD505-2E9C-101B-9397-08002B2CF9AE}" pid="9" name="_dlc_DocIdItemGuid">
    <vt:lpwstr>1a846c82-0d53-46e2-86e5-7d75005f4a47</vt:lpwstr>
  </property>
</Properties>
</file>