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taking into account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0"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1673"/>
        <w:gridCol w:w="2340"/>
        <w:gridCol w:w="1589"/>
        <w:gridCol w:w="1790"/>
        <w:gridCol w:w="1928"/>
      </w:tblGrid>
      <w:tr w:rsidR="00B909FB" w:rsidRPr="00B33432" w14:paraId="42644C63" w14:textId="77777777" w:rsidTr="00047077">
        <w:tc>
          <w:tcPr>
            <w:tcW w:w="1897"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873"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688"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1934"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928"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B909FB" w:rsidRPr="00B33432" w14:paraId="52801425" w14:textId="77777777" w:rsidTr="00047077">
        <w:tc>
          <w:tcPr>
            <w:tcW w:w="1897"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873" w:type="dxa"/>
          </w:tcPr>
          <w:p w14:paraId="672A6659" w14:textId="5DB685DA" w:rsidR="00B33432" w:rsidRPr="00B33432" w:rsidRDefault="000B57EC" w:rsidP="00B33432">
            <w:pPr>
              <w:spacing w:after="250" w:line="276" w:lineRule="auto"/>
              <w:jc w:val="both"/>
              <w:rPr>
                <w:rFonts w:ascii="Arial" w:hAnsi="Arial" w:cs="Arial"/>
                <w:color w:val="181818"/>
              </w:rPr>
            </w:pPr>
            <w:r>
              <w:rPr>
                <w:rFonts w:ascii="Arial" w:hAnsi="Arial" w:cs="Arial"/>
                <w:color w:val="181818"/>
              </w:rPr>
              <w:t xml:space="preserve">Loans that can be considered tranferable securities, eg types of securitied loans or tranches of loans, or types of syndicated loan, can offer enhanded yields and diversify credit exposure tailored to the objectives and risk of the UCITS. </w:t>
            </w:r>
          </w:p>
        </w:tc>
        <w:tc>
          <w:tcPr>
            <w:tcW w:w="1688" w:type="dxa"/>
          </w:tcPr>
          <w:p w14:paraId="0A37501D" w14:textId="4D918B6F" w:rsidR="00B33432" w:rsidRPr="00B33432" w:rsidRDefault="000B57EC" w:rsidP="00B33432">
            <w:pPr>
              <w:spacing w:after="250" w:line="276" w:lineRule="auto"/>
              <w:jc w:val="both"/>
              <w:rPr>
                <w:rFonts w:ascii="Arial" w:hAnsi="Arial" w:cs="Arial"/>
                <w:color w:val="181818"/>
              </w:rPr>
            </w:pPr>
            <w:r>
              <w:rPr>
                <w:rFonts w:ascii="Arial" w:hAnsi="Arial" w:cs="Arial"/>
                <w:color w:val="181818"/>
              </w:rPr>
              <w:t>S</w:t>
            </w:r>
            <w:r w:rsidR="004E4545">
              <w:rPr>
                <w:rFonts w:ascii="Arial" w:hAnsi="Arial" w:cs="Arial"/>
                <w:color w:val="181818"/>
              </w:rPr>
              <w:t>ame as</w:t>
            </w:r>
            <w:r>
              <w:rPr>
                <w:rFonts w:ascii="Arial" w:hAnsi="Arial" w:cs="Arial"/>
                <w:color w:val="181818"/>
              </w:rPr>
              <w:t xml:space="preserve"> direct exposure</w:t>
            </w:r>
          </w:p>
        </w:tc>
        <w:tc>
          <w:tcPr>
            <w:tcW w:w="1934" w:type="dxa"/>
          </w:tcPr>
          <w:p w14:paraId="5DAB6C7B" w14:textId="64E35B42" w:rsidR="00B33432" w:rsidRPr="00B33432" w:rsidRDefault="000B57EC" w:rsidP="00B33432">
            <w:pPr>
              <w:spacing w:after="250" w:line="276" w:lineRule="auto"/>
              <w:jc w:val="both"/>
              <w:rPr>
                <w:rFonts w:ascii="Arial" w:hAnsi="Arial" w:cs="Arial"/>
                <w:color w:val="181818"/>
              </w:rPr>
            </w:pPr>
            <w:r>
              <w:rPr>
                <w:rFonts w:ascii="Arial" w:hAnsi="Arial" w:cs="Arial"/>
                <w:color w:val="181818"/>
              </w:rPr>
              <w:t>Around 4.</w:t>
            </w:r>
            <w:r w:rsidR="004E4545">
              <w:rPr>
                <w:rFonts w:ascii="Arial" w:hAnsi="Arial" w:cs="Arial"/>
                <w:color w:val="181818"/>
              </w:rPr>
              <w:t>3</w:t>
            </w:r>
            <w:r>
              <w:rPr>
                <w:rFonts w:ascii="Arial" w:hAnsi="Arial" w:cs="Arial"/>
                <w:color w:val="181818"/>
              </w:rPr>
              <w:t xml:space="preserve">% of UCITS in IA sectors have exposure to loans. </w:t>
            </w:r>
          </w:p>
        </w:tc>
        <w:tc>
          <w:tcPr>
            <w:tcW w:w="1928" w:type="dxa"/>
          </w:tcPr>
          <w:p w14:paraId="02EB378F" w14:textId="77777777" w:rsidR="00B33432" w:rsidRPr="00B33432" w:rsidRDefault="00B33432" w:rsidP="00B33432">
            <w:pPr>
              <w:spacing w:after="250" w:line="276" w:lineRule="auto"/>
              <w:jc w:val="both"/>
              <w:rPr>
                <w:rFonts w:ascii="Arial" w:hAnsi="Arial" w:cs="Arial"/>
                <w:color w:val="181818"/>
              </w:rPr>
            </w:pPr>
          </w:p>
        </w:tc>
      </w:tr>
      <w:tr w:rsidR="00B909FB" w:rsidRPr="00B33432" w14:paraId="131FC414" w14:textId="77777777" w:rsidTr="00047077">
        <w:tc>
          <w:tcPr>
            <w:tcW w:w="1897"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t>2. Catastrophe bonds (‘Cat bonds’)</w:t>
            </w:r>
          </w:p>
        </w:tc>
        <w:tc>
          <w:tcPr>
            <w:tcW w:w="1873" w:type="dxa"/>
          </w:tcPr>
          <w:p w14:paraId="33C99226" w14:textId="77777777" w:rsidR="00B33432" w:rsidRDefault="000B57EC" w:rsidP="00B33432">
            <w:pPr>
              <w:spacing w:after="250" w:line="276" w:lineRule="auto"/>
              <w:jc w:val="both"/>
              <w:rPr>
                <w:rFonts w:ascii="Arial" w:hAnsi="Arial" w:cs="Arial"/>
                <w:color w:val="181818"/>
              </w:rPr>
            </w:pPr>
            <w:r>
              <w:rPr>
                <w:rFonts w:ascii="Arial" w:hAnsi="Arial" w:cs="Arial"/>
                <w:color w:val="181818"/>
              </w:rPr>
              <w:t xml:space="preserve">IA members consider these eligible fixed income securities. </w:t>
            </w:r>
            <w:r w:rsidR="004E4545">
              <w:rPr>
                <w:rFonts w:ascii="Arial" w:hAnsi="Arial" w:cs="Arial"/>
                <w:color w:val="181818"/>
              </w:rPr>
              <w:t xml:space="preserve">These are specialist, but are relatively liquid, </w:t>
            </w:r>
            <w:r w:rsidR="004E4545">
              <w:rPr>
                <w:rFonts w:ascii="Arial" w:hAnsi="Arial" w:cs="Arial"/>
                <w:color w:val="181818"/>
              </w:rPr>
              <w:lastRenderedPageBreak/>
              <w:t xml:space="preserve">offer attractive yields and the performance relates more to the cycle of natural disasters, so are relatively  uncorrellated with other asset classes. </w:t>
            </w:r>
          </w:p>
          <w:p w14:paraId="6A05A809" w14:textId="2CDA9CC3" w:rsidR="004E4545" w:rsidRPr="00B33432" w:rsidRDefault="004E4545" w:rsidP="00B33432">
            <w:pPr>
              <w:spacing w:after="250" w:line="276" w:lineRule="auto"/>
              <w:jc w:val="both"/>
              <w:rPr>
                <w:rFonts w:ascii="Arial" w:hAnsi="Arial" w:cs="Arial"/>
                <w:color w:val="181818"/>
              </w:rPr>
            </w:pPr>
            <w:r>
              <w:rPr>
                <w:rFonts w:ascii="Arial" w:hAnsi="Arial" w:cs="Arial"/>
                <w:color w:val="181818"/>
              </w:rPr>
              <w:t xml:space="preserve">Provided risks are appropriately disclosed the IA views these as an eligible asset class. </w:t>
            </w:r>
          </w:p>
        </w:tc>
        <w:tc>
          <w:tcPr>
            <w:tcW w:w="1688" w:type="dxa"/>
          </w:tcPr>
          <w:p w14:paraId="5A39BBE3" w14:textId="23D0A5BA" w:rsidR="00B33432" w:rsidRPr="00B33432" w:rsidRDefault="004E4545" w:rsidP="00B33432">
            <w:pPr>
              <w:spacing w:after="250" w:line="276" w:lineRule="auto"/>
              <w:jc w:val="both"/>
              <w:rPr>
                <w:rFonts w:ascii="Arial" w:hAnsi="Arial" w:cs="Arial"/>
                <w:color w:val="181818"/>
              </w:rPr>
            </w:pPr>
            <w:r>
              <w:rPr>
                <w:rFonts w:ascii="Arial" w:hAnsi="Arial" w:cs="Arial"/>
                <w:color w:val="181818"/>
              </w:rPr>
              <w:lastRenderedPageBreak/>
              <w:t>Same as direct exposure</w:t>
            </w:r>
          </w:p>
        </w:tc>
        <w:tc>
          <w:tcPr>
            <w:tcW w:w="1934" w:type="dxa"/>
          </w:tcPr>
          <w:p w14:paraId="41C8F396" w14:textId="26390C22" w:rsidR="00B33432" w:rsidRPr="00B33432" w:rsidRDefault="004E4545" w:rsidP="00B33432">
            <w:pPr>
              <w:spacing w:after="250" w:line="276" w:lineRule="auto"/>
              <w:jc w:val="both"/>
              <w:rPr>
                <w:rFonts w:ascii="Arial" w:hAnsi="Arial" w:cs="Arial"/>
                <w:color w:val="181818"/>
              </w:rPr>
            </w:pPr>
            <w:r>
              <w:rPr>
                <w:rFonts w:ascii="Arial" w:hAnsi="Arial" w:cs="Arial"/>
                <w:color w:val="181818"/>
              </w:rPr>
              <w:t xml:space="preserve">IA cannot identify cat bond exposures in its sector data, but a number of asset </w:t>
            </w:r>
            <w:r>
              <w:rPr>
                <w:rFonts w:ascii="Arial" w:hAnsi="Arial" w:cs="Arial"/>
                <w:color w:val="181818"/>
              </w:rPr>
              <w:lastRenderedPageBreak/>
              <w:t xml:space="preserve">managers have indicated they invest in this asset class. </w:t>
            </w:r>
          </w:p>
        </w:tc>
        <w:tc>
          <w:tcPr>
            <w:tcW w:w="1928" w:type="dxa"/>
          </w:tcPr>
          <w:p w14:paraId="72A3D3EC" w14:textId="3DD258DB" w:rsidR="00B33432" w:rsidRPr="00B33432" w:rsidRDefault="000B57EC" w:rsidP="00B33432">
            <w:pPr>
              <w:spacing w:after="250" w:line="276" w:lineRule="auto"/>
              <w:jc w:val="both"/>
              <w:rPr>
                <w:rFonts w:ascii="Arial" w:hAnsi="Arial" w:cs="Arial"/>
                <w:color w:val="181818"/>
              </w:rPr>
            </w:pPr>
            <w:r>
              <w:rPr>
                <w:rFonts w:ascii="Arial" w:hAnsi="Arial" w:cs="Arial"/>
                <w:color w:val="181818"/>
              </w:rPr>
              <w:lastRenderedPageBreak/>
              <w:t xml:space="preserve">These are fixed income floating rate instruments sponsored by insurers/reinsurers, </w:t>
            </w:r>
            <w:r>
              <w:rPr>
                <w:rFonts w:ascii="Arial" w:hAnsi="Arial" w:cs="Arial"/>
                <w:color w:val="181818"/>
              </w:rPr>
              <w:lastRenderedPageBreak/>
              <w:t>transferring risk exposures from potentially large insured losses. These are typically short duration (3-5 years) and fully collateralised with high quality assets. Insurances losses are borne in part or full by the Cat bond, but investors cannot lose more than their initial capital.</w:t>
            </w:r>
          </w:p>
        </w:tc>
      </w:tr>
      <w:tr w:rsidR="00B909FB" w:rsidRPr="00B33432" w14:paraId="756B6A0E" w14:textId="77777777" w:rsidTr="00047077">
        <w:tc>
          <w:tcPr>
            <w:tcW w:w="1897"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lastRenderedPageBreak/>
              <w:t>3. Contingent Convertible bonds (‘CoCo bonds’)</w:t>
            </w:r>
          </w:p>
        </w:tc>
        <w:tc>
          <w:tcPr>
            <w:tcW w:w="1873" w:type="dxa"/>
          </w:tcPr>
          <w:p w14:paraId="331CAA0E" w14:textId="77777777" w:rsidR="00B33432" w:rsidRDefault="004E4545" w:rsidP="00B33432">
            <w:pPr>
              <w:spacing w:after="250" w:line="276" w:lineRule="auto"/>
              <w:jc w:val="both"/>
              <w:rPr>
                <w:rFonts w:ascii="Arial" w:hAnsi="Arial" w:cs="Arial"/>
                <w:color w:val="181818"/>
              </w:rPr>
            </w:pPr>
            <w:r>
              <w:rPr>
                <w:rFonts w:ascii="Arial" w:hAnsi="Arial" w:cs="Arial"/>
                <w:color w:val="181818"/>
              </w:rPr>
              <w:t>These offer higher yields than conventional bonds, usually issued by well capitalised financial institutions.</w:t>
            </w:r>
          </w:p>
          <w:p w14:paraId="2D78AA5F" w14:textId="755E5C54" w:rsidR="004E4545" w:rsidRDefault="004E4545" w:rsidP="00B33432">
            <w:pPr>
              <w:spacing w:after="250" w:line="276" w:lineRule="auto"/>
              <w:jc w:val="both"/>
              <w:rPr>
                <w:rFonts w:ascii="Arial" w:hAnsi="Arial" w:cs="Arial"/>
                <w:color w:val="181818"/>
              </w:rPr>
            </w:pPr>
            <w:r>
              <w:rPr>
                <w:rFonts w:ascii="Arial" w:hAnsi="Arial" w:cs="Arial"/>
                <w:color w:val="181818"/>
              </w:rPr>
              <w:t>Most UCITS only hold these as a component of a larger fixed income portolio, but some invest exclusively in Cocos. The latter are normally restricted to professional investors only.</w:t>
            </w:r>
          </w:p>
          <w:p w14:paraId="13F6FA1A" w14:textId="77777777" w:rsidR="004E4545" w:rsidRDefault="004E4545" w:rsidP="00B33432">
            <w:pPr>
              <w:spacing w:after="250" w:line="276" w:lineRule="auto"/>
              <w:jc w:val="both"/>
              <w:rPr>
                <w:rFonts w:ascii="Arial" w:hAnsi="Arial" w:cs="Arial"/>
                <w:color w:val="181818"/>
              </w:rPr>
            </w:pPr>
          </w:p>
          <w:p w14:paraId="0D0B940D" w14:textId="4E16A5A4" w:rsidR="004E4545" w:rsidRPr="00B33432" w:rsidRDefault="004E4545" w:rsidP="00B33432">
            <w:pPr>
              <w:spacing w:after="250" w:line="276" w:lineRule="auto"/>
              <w:jc w:val="both"/>
              <w:rPr>
                <w:rFonts w:ascii="Arial" w:hAnsi="Arial" w:cs="Arial"/>
                <w:color w:val="181818"/>
              </w:rPr>
            </w:pPr>
            <w:r>
              <w:rPr>
                <w:rFonts w:ascii="Arial" w:hAnsi="Arial" w:cs="Arial"/>
                <w:color w:val="181818"/>
              </w:rPr>
              <w:t>Provided risks are appropriately disclosed, and investor base/diversifcati</w:t>
            </w:r>
            <w:r w:rsidR="00AC37DB">
              <w:rPr>
                <w:rFonts w:ascii="Arial" w:hAnsi="Arial" w:cs="Arial"/>
                <w:color w:val="181818"/>
              </w:rPr>
              <w:t>on</w:t>
            </w:r>
            <w:r>
              <w:rPr>
                <w:rFonts w:ascii="Arial" w:hAnsi="Arial" w:cs="Arial"/>
                <w:color w:val="181818"/>
              </w:rPr>
              <w:t xml:space="preserve"> considered</w:t>
            </w:r>
            <w:r w:rsidR="00DB5AAB">
              <w:rPr>
                <w:rFonts w:ascii="Arial" w:hAnsi="Arial" w:cs="Arial"/>
                <w:color w:val="181818"/>
              </w:rPr>
              <w:t>,</w:t>
            </w:r>
            <w:r>
              <w:rPr>
                <w:rFonts w:ascii="Arial" w:hAnsi="Arial" w:cs="Arial"/>
                <w:color w:val="181818"/>
              </w:rPr>
              <w:t xml:space="preserve"> the IA views these as an eligible asset class.</w:t>
            </w:r>
          </w:p>
        </w:tc>
        <w:tc>
          <w:tcPr>
            <w:tcW w:w="1688" w:type="dxa"/>
          </w:tcPr>
          <w:p w14:paraId="0E27B00A" w14:textId="28CC50B8" w:rsidR="00B33432" w:rsidRPr="00B33432" w:rsidRDefault="00DB5AAB" w:rsidP="00B33432">
            <w:pPr>
              <w:spacing w:after="250" w:line="276" w:lineRule="auto"/>
              <w:jc w:val="both"/>
              <w:rPr>
                <w:rFonts w:ascii="Arial" w:hAnsi="Arial" w:cs="Arial"/>
                <w:color w:val="181818"/>
              </w:rPr>
            </w:pPr>
            <w:r>
              <w:rPr>
                <w:rFonts w:ascii="Arial" w:hAnsi="Arial" w:cs="Arial"/>
                <w:color w:val="181818"/>
              </w:rPr>
              <w:t xml:space="preserve">Indirect exposure, eg via a Cocos fund, may offer a more diversified risk exposure to this asset class. </w:t>
            </w:r>
          </w:p>
        </w:tc>
        <w:tc>
          <w:tcPr>
            <w:tcW w:w="1934" w:type="dxa"/>
          </w:tcPr>
          <w:p w14:paraId="60061E4C" w14:textId="4455B311" w:rsidR="00B33432" w:rsidRPr="00B33432" w:rsidRDefault="004E4545" w:rsidP="00B33432">
            <w:pPr>
              <w:spacing w:after="250" w:line="276" w:lineRule="auto"/>
              <w:jc w:val="both"/>
              <w:rPr>
                <w:rFonts w:ascii="Arial" w:hAnsi="Arial" w:cs="Arial"/>
                <w:color w:val="181818"/>
              </w:rPr>
            </w:pPr>
            <w:r>
              <w:rPr>
                <w:rFonts w:ascii="Arial" w:hAnsi="Arial" w:cs="Arial"/>
                <w:color w:val="181818"/>
              </w:rPr>
              <w:t>Around 19.3% of UCITS in IA sectors have some exposure to Cocos.</w:t>
            </w:r>
          </w:p>
        </w:tc>
        <w:tc>
          <w:tcPr>
            <w:tcW w:w="1928" w:type="dxa"/>
          </w:tcPr>
          <w:p w14:paraId="44EAFD9C" w14:textId="4D2E6E97" w:rsidR="00B33432" w:rsidRPr="00B33432" w:rsidRDefault="00DB5AAB" w:rsidP="00B33432">
            <w:pPr>
              <w:spacing w:after="250" w:line="276" w:lineRule="auto"/>
              <w:jc w:val="both"/>
              <w:rPr>
                <w:rFonts w:ascii="Arial" w:hAnsi="Arial" w:cs="Arial"/>
                <w:color w:val="181818"/>
              </w:rPr>
            </w:pPr>
            <w:r>
              <w:rPr>
                <w:rFonts w:ascii="Arial" w:hAnsi="Arial" w:cs="Arial"/>
                <w:color w:val="181818"/>
              </w:rPr>
              <w:t xml:space="preserve">Issuer has the option to convert these to equity. Typically issued by banks as AT1 securities, a key component of bank capitalisation, </w:t>
            </w:r>
          </w:p>
        </w:tc>
      </w:tr>
      <w:tr w:rsidR="00B909FB" w:rsidRPr="00B33432" w14:paraId="02325B0B" w14:textId="77777777" w:rsidTr="00047077">
        <w:tc>
          <w:tcPr>
            <w:tcW w:w="1897"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873" w:type="dxa"/>
          </w:tcPr>
          <w:p w14:paraId="4AEEDD34" w14:textId="77777777" w:rsidR="00B33432" w:rsidRDefault="00DB5AAB" w:rsidP="00B33432">
            <w:pPr>
              <w:spacing w:after="250" w:line="276" w:lineRule="auto"/>
              <w:jc w:val="both"/>
              <w:rPr>
                <w:rFonts w:ascii="Arial" w:hAnsi="Arial" w:cs="Arial"/>
                <w:color w:val="181818"/>
              </w:rPr>
            </w:pPr>
            <w:r>
              <w:rPr>
                <w:rFonts w:ascii="Arial" w:hAnsi="Arial" w:cs="Arial"/>
                <w:color w:val="181818"/>
              </w:rPr>
              <w:t>Offer diversification and higher yields.</w:t>
            </w:r>
          </w:p>
          <w:p w14:paraId="4B94D5A5" w14:textId="689FA7FC" w:rsidR="00DB5AAB" w:rsidRPr="00B33432" w:rsidRDefault="00DB5AAB" w:rsidP="00B33432">
            <w:pPr>
              <w:spacing w:after="250" w:line="276" w:lineRule="auto"/>
              <w:jc w:val="both"/>
              <w:rPr>
                <w:rFonts w:ascii="Arial" w:hAnsi="Arial" w:cs="Arial"/>
                <w:color w:val="181818"/>
              </w:rPr>
            </w:pPr>
            <w:r>
              <w:rPr>
                <w:rFonts w:ascii="Arial" w:hAnsi="Arial" w:cs="Arial"/>
                <w:color w:val="181818"/>
              </w:rPr>
              <w:t xml:space="preserve">Provided risks are appropriately disclosed, and investor </w:t>
            </w:r>
            <w:r>
              <w:rPr>
                <w:rFonts w:ascii="Arial" w:hAnsi="Arial" w:cs="Arial"/>
                <w:color w:val="181818"/>
              </w:rPr>
              <w:lastRenderedPageBreak/>
              <w:t>base/diversifcati</w:t>
            </w:r>
            <w:r w:rsidR="00916C63">
              <w:rPr>
                <w:rFonts w:ascii="Arial" w:hAnsi="Arial" w:cs="Arial"/>
                <w:color w:val="181818"/>
              </w:rPr>
              <w:t>on</w:t>
            </w:r>
            <w:r>
              <w:rPr>
                <w:rFonts w:ascii="Arial" w:hAnsi="Arial" w:cs="Arial"/>
                <w:color w:val="181818"/>
              </w:rPr>
              <w:t xml:space="preserve"> considered, the IA views these as an eligible asset class.</w:t>
            </w:r>
          </w:p>
        </w:tc>
        <w:tc>
          <w:tcPr>
            <w:tcW w:w="1688" w:type="dxa"/>
          </w:tcPr>
          <w:p w14:paraId="3DEEC669" w14:textId="21F5275D" w:rsidR="00B33432" w:rsidRPr="00B33432" w:rsidRDefault="00DB5AAB" w:rsidP="00B33432">
            <w:pPr>
              <w:spacing w:after="250" w:line="276" w:lineRule="auto"/>
              <w:jc w:val="both"/>
              <w:rPr>
                <w:rFonts w:ascii="Arial" w:hAnsi="Arial" w:cs="Arial"/>
                <w:color w:val="181818"/>
              </w:rPr>
            </w:pPr>
            <w:r>
              <w:rPr>
                <w:rFonts w:ascii="Arial" w:hAnsi="Arial" w:cs="Arial"/>
                <w:color w:val="181818"/>
              </w:rPr>
              <w:lastRenderedPageBreak/>
              <w:t>Similar to direct</w:t>
            </w:r>
            <w:r w:rsidR="00916C63">
              <w:rPr>
                <w:rFonts w:ascii="Arial" w:hAnsi="Arial" w:cs="Arial"/>
                <w:color w:val="181818"/>
              </w:rPr>
              <w:t xml:space="preserve"> exposure</w:t>
            </w:r>
          </w:p>
        </w:tc>
        <w:tc>
          <w:tcPr>
            <w:tcW w:w="1934" w:type="dxa"/>
          </w:tcPr>
          <w:p w14:paraId="3656B9AB" w14:textId="1F6CCB99" w:rsidR="00B33432" w:rsidRPr="00B33432" w:rsidRDefault="00DB5AAB" w:rsidP="00B33432">
            <w:pPr>
              <w:spacing w:after="250" w:line="276" w:lineRule="auto"/>
              <w:jc w:val="both"/>
              <w:rPr>
                <w:rFonts w:ascii="Arial" w:hAnsi="Arial" w:cs="Arial"/>
                <w:color w:val="181818"/>
              </w:rPr>
            </w:pPr>
            <w:r>
              <w:rPr>
                <w:rFonts w:ascii="Arial" w:hAnsi="Arial" w:cs="Arial"/>
                <w:color w:val="181818"/>
              </w:rPr>
              <w:t xml:space="preserve">IA </w:t>
            </w:r>
            <w:r w:rsidR="00824ED5">
              <w:rPr>
                <w:rFonts w:ascii="Arial" w:hAnsi="Arial" w:cs="Arial"/>
                <w:color w:val="181818"/>
              </w:rPr>
              <w:t>has not been able to</w:t>
            </w:r>
            <w:r>
              <w:rPr>
                <w:rFonts w:ascii="Arial" w:hAnsi="Arial" w:cs="Arial"/>
                <w:color w:val="181818"/>
              </w:rPr>
              <w:t xml:space="preserve"> identify unrated bond exposures in its </w:t>
            </w:r>
            <w:r w:rsidR="00824ED5">
              <w:rPr>
                <w:rFonts w:ascii="Arial" w:hAnsi="Arial" w:cs="Arial"/>
                <w:color w:val="181818"/>
              </w:rPr>
              <w:t xml:space="preserve">readily available </w:t>
            </w:r>
            <w:r>
              <w:rPr>
                <w:rFonts w:ascii="Arial" w:hAnsi="Arial" w:cs="Arial"/>
                <w:color w:val="181818"/>
              </w:rPr>
              <w:t xml:space="preserve">sector data, but a </w:t>
            </w:r>
            <w:r>
              <w:rPr>
                <w:rFonts w:ascii="Arial" w:hAnsi="Arial" w:cs="Arial"/>
                <w:color w:val="181818"/>
              </w:rPr>
              <w:lastRenderedPageBreak/>
              <w:t>number of IA members have indicated they make small allocations to this asset class.</w:t>
            </w:r>
          </w:p>
        </w:tc>
        <w:tc>
          <w:tcPr>
            <w:tcW w:w="1928" w:type="dxa"/>
          </w:tcPr>
          <w:p w14:paraId="45FB0818" w14:textId="2AAD6018" w:rsidR="00B33432" w:rsidRPr="00B33432" w:rsidRDefault="00DB5AAB" w:rsidP="00B33432">
            <w:pPr>
              <w:spacing w:after="250" w:line="276" w:lineRule="auto"/>
              <w:jc w:val="both"/>
              <w:rPr>
                <w:rFonts w:ascii="Arial" w:hAnsi="Arial" w:cs="Arial"/>
                <w:color w:val="181818"/>
              </w:rPr>
            </w:pPr>
            <w:r>
              <w:rPr>
                <w:rFonts w:ascii="Arial" w:hAnsi="Arial" w:cs="Arial"/>
                <w:color w:val="181818"/>
              </w:rPr>
              <w:lastRenderedPageBreak/>
              <w:t xml:space="preserve">Unrated is not necessarily a measure of credit quality. </w:t>
            </w:r>
          </w:p>
        </w:tc>
      </w:tr>
      <w:tr w:rsidR="00B909FB" w:rsidRPr="00B33432" w14:paraId="68D99D9D" w14:textId="77777777" w:rsidTr="00047077">
        <w:tc>
          <w:tcPr>
            <w:tcW w:w="1897"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1873" w:type="dxa"/>
          </w:tcPr>
          <w:p w14:paraId="4F6223A4" w14:textId="77777777" w:rsidR="00B33432" w:rsidRDefault="00DB5AAB" w:rsidP="00B33432">
            <w:pPr>
              <w:spacing w:after="250" w:line="276" w:lineRule="auto"/>
              <w:jc w:val="both"/>
              <w:rPr>
                <w:rFonts w:ascii="Arial" w:hAnsi="Arial" w:cs="Arial"/>
                <w:color w:val="181818"/>
              </w:rPr>
            </w:pPr>
            <w:r>
              <w:rPr>
                <w:rFonts w:ascii="Arial" w:hAnsi="Arial" w:cs="Arial"/>
                <w:color w:val="181818"/>
              </w:rPr>
              <w:t xml:space="preserve">Offer high growth/yield potential in the event of a recovery. </w:t>
            </w:r>
          </w:p>
          <w:p w14:paraId="049F31CB" w14:textId="11A12889" w:rsidR="00DB5AAB" w:rsidRPr="00B33432" w:rsidRDefault="00DB5AAB" w:rsidP="00B33432">
            <w:pPr>
              <w:spacing w:after="250" w:line="276" w:lineRule="auto"/>
              <w:jc w:val="both"/>
              <w:rPr>
                <w:rFonts w:ascii="Arial" w:hAnsi="Arial" w:cs="Arial"/>
                <w:color w:val="181818"/>
              </w:rPr>
            </w:pPr>
            <w:r>
              <w:rPr>
                <w:rFonts w:ascii="Arial" w:hAnsi="Arial" w:cs="Arial"/>
                <w:color w:val="181818"/>
              </w:rPr>
              <w:t>Provided risks are appropriately disclosed, and investor base/diversifcatino considered, the IA views these as an eligible asset class.</w:t>
            </w:r>
          </w:p>
        </w:tc>
        <w:tc>
          <w:tcPr>
            <w:tcW w:w="1688" w:type="dxa"/>
          </w:tcPr>
          <w:p w14:paraId="53128261" w14:textId="07E8BCD4" w:rsidR="00B33432" w:rsidRPr="00B33432" w:rsidRDefault="00DB5AAB" w:rsidP="00B33432">
            <w:pPr>
              <w:spacing w:after="250" w:line="276" w:lineRule="auto"/>
              <w:jc w:val="both"/>
              <w:rPr>
                <w:rFonts w:ascii="Arial" w:hAnsi="Arial" w:cs="Arial"/>
                <w:color w:val="181818"/>
              </w:rPr>
            </w:pPr>
            <w:r>
              <w:rPr>
                <w:rFonts w:ascii="Arial" w:hAnsi="Arial" w:cs="Arial"/>
                <w:color w:val="181818"/>
              </w:rPr>
              <w:t>Indirect exposure may offer a more diversified risk exposure to this asset class.</w:t>
            </w:r>
          </w:p>
        </w:tc>
        <w:tc>
          <w:tcPr>
            <w:tcW w:w="1934" w:type="dxa"/>
          </w:tcPr>
          <w:p w14:paraId="62486C05" w14:textId="1EA773FB" w:rsidR="00B33432" w:rsidRPr="00B33432" w:rsidRDefault="00DB5AAB" w:rsidP="00B33432">
            <w:pPr>
              <w:spacing w:after="250" w:line="276" w:lineRule="auto"/>
              <w:jc w:val="both"/>
              <w:rPr>
                <w:rFonts w:ascii="Arial" w:hAnsi="Arial" w:cs="Arial"/>
                <w:color w:val="181818"/>
              </w:rPr>
            </w:pPr>
            <w:r>
              <w:rPr>
                <w:rFonts w:ascii="Arial" w:hAnsi="Arial" w:cs="Arial"/>
                <w:color w:val="181818"/>
              </w:rPr>
              <w:t xml:space="preserve">IA </w:t>
            </w:r>
            <w:r w:rsidR="00824ED5">
              <w:rPr>
                <w:rFonts w:ascii="Arial" w:hAnsi="Arial" w:cs="Arial"/>
                <w:color w:val="181818"/>
              </w:rPr>
              <w:t>has not been able to</w:t>
            </w:r>
            <w:r>
              <w:rPr>
                <w:rFonts w:ascii="Arial" w:hAnsi="Arial" w:cs="Arial"/>
                <w:color w:val="181818"/>
              </w:rPr>
              <w:t xml:space="preserve"> identify distressed securities exposures </w:t>
            </w:r>
            <w:r w:rsidR="00D76B17">
              <w:rPr>
                <w:rFonts w:ascii="Arial" w:hAnsi="Arial" w:cs="Arial"/>
                <w:color w:val="181818"/>
              </w:rPr>
              <w:t>specifically</w:t>
            </w:r>
            <w:r w:rsidR="00D76B17">
              <w:rPr>
                <w:rFonts w:ascii="Arial" w:hAnsi="Arial" w:cs="Arial"/>
                <w:color w:val="181818"/>
              </w:rPr>
              <w:t xml:space="preserve"> </w:t>
            </w:r>
            <w:r>
              <w:rPr>
                <w:rFonts w:ascii="Arial" w:hAnsi="Arial" w:cs="Arial"/>
                <w:color w:val="181818"/>
              </w:rPr>
              <w:t xml:space="preserve">in </w:t>
            </w:r>
            <w:r w:rsidR="00D76B17">
              <w:rPr>
                <w:rFonts w:ascii="Arial" w:hAnsi="Arial" w:cs="Arial"/>
                <w:color w:val="181818"/>
              </w:rPr>
              <w:t>the</w:t>
            </w:r>
            <w:r>
              <w:rPr>
                <w:rFonts w:ascii="Arial" w:hAnsi="Arial" w:cs="Arial"/>
                <w:color w:val="181818"/>
              </w:rPr>
              <w:t xml:space="preserve"> sector data</w:t>
            </w:r>
            <w:r w:rsidR="00D76B17">
              <w:rPr>
                <w:rFonts w:ascii="Arial" w:hAnsi="Arial" w:cs="Arial"/>
                <w:color w:val="181818"/>
              </w:rPr>
              <w:t xml:space="preserve"> it has available</w:t>
            </w:r>
            <w:r>
              <w:rPr>
                <w:rFonts w:ascii="Arial" w:hAnsi="Arial" w:cs="Arial"/>
                <w:color w:val="181818"/>
              </w:rPr>
              <w:t>, but some IA members have indicated they invest in this asset class.</w:t>
            </w:r>
          </w:p>
        </w:tc>
        <w:tc>
          <w:tcPr>
            <w:tcW w:w="1928"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B909FB" w:rsidRPr="00B33432" w14:paraId="2B493676" w14:textId="77777777" w:rsidTr="00047077">
        <w:tc>
          <w:tcPr>
            <w:tcW w:w="1897"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873" w:type="dxa"/>
          </w:tcPr>
          <w:p w14:paraId="5AE4CE55" w14:textId="77777777" w:rsidR="00B33432" w:rsidRDefault="00DB5AAB" w:rsidP="00B33432">
            <w:pPr>
              <w:spacing w:after="250" w:line="276" w:lineRule="auto"/>
              <w:jc w:val="both"/>
              <w:rPr>
                <w:rFonts w:ascii="Arial" w:hAnsi="Arial" w:cs="Arial"/>
                <w:color w:val="181818"/>
              </w:rPr>
            </w:pPr>
            <w:r>
              <w:rPr>
                <w:rFonts w:ascii="Arial" w:hAnsi="Arial" w:cs="Arial"/>
                <w:color w:val="181818"/>
              </w:rPr>
              <w:t xml:space="preserve">Can offer above market growth potential. </w:t>
            </w:r>
          </w:p>
          <w:p w14:paraId="4B99056E" w14:textId="763271BD" w:rsidR="00DB5AAB" w:rsidRPr="00B33432" w:rsidRDefault="00DB5AAB" w:rsidP="00B33432">
            <w:pPr>
              <w:spacing w:after="250" w:line="276" w:lineRule="auto"/>
              <w:jc w:val="both"/>
              <w:rPr>
                <w:rFonts w:ascii="Arial" w:hAnsi="Arial" w:cs="Arial"/>
                <w:color w:val="181818"/>
              </w:rPr>
            </w:pPr>
          </w:p>
        </w:tc>
        <w:tc>
          <w:tcPr>
            <w:tcW w:w="1688" w:type="dxa"/>
          </w:tcPr>
          <w:p w14:paraId="1299C43A" w14:textId="43CBDB4F" w:rsidR="00B33432" w:rsidRPr="00B33432" w:rsidRDefault="00DB5AAB" w:rsidP="00B33432">
            <w:pPr>
              <w:spacing w:after="250" w:line="276" w:lineRule="auto"/>
              <w:jc w:val="both"/>
              <w:rPr>
                <w:rFonts w:ascii="Arial" w:hAnsi="Arial" w:cs="Arial"/>
                <w:color w:val="181818"/>
              </w:rPr>
            </w:pPr>
            <w:r>
              <w:rPr>
                <w:rFonts w:ascii="Arial" w:hAnsi="Arial" w:cs="Arial"/>
                <w:color w:val="181818"/>
              </w:rPr>
              <w:t>A closed ended listed constituting a transferable securit</w:t>
            </w:r>
            <w:r w:rsidR="006965B6">
              <w:rPr>
                <w:rFonts w:ascii="Arial" w:hAnsi="Arial" w:cs="Arial"/>
                <w:color w:val="181818"/>
              </w:rPr>
              <w:t>y</w:t>
            </w:r>
            <w:r>
              <w:rPr>
                <w:rFonts w:ascii="Arial" w:hAnsi="Arial" w:cs="Arial"/>
                <w:color w:val="181818"/>
              </w:rPr>
              <w:t xml:space="preserve"> can give exposure to</w:t>
            </w:r>
            <w:r w:rsidR="00B909FB">
              <w:rPr>
                <w:rFonts w:ascii="Arial" w:hAnsi="Arial" w:cs="Arial"/>
                <w:color w:val="181818"/>
              </w:rPr>
              <w:t xml:space="preserve"> the growth potential of</w:t>
            </w:r>
            <w:r>
              <w:rPr>
                <w:rFonts w:ascii="Arial" w:hAnsi="Arial" w:cs="Arial"/>
                <w:color w:val="181818"/>
              </w:rPr>
              <w:t xml:space="preserve"> this asset class without compromising </w:t>
            </w:r>
            <w:r w:rsidR="00B909FB">
              <w:rPr>
                <w:rFonts w:ascii="Arial" w:hAnsi="Arial" w:cs="Arial"/>
                <w:color w:val="181818"/>
              </w:rPr>
              <w:t xml:space="preserve">portfolio liquidity. </w:t>
            </w:r>
          </w:p>
        </w:tc>
        <w:tc>
          <w:tcPr>
            <w:tcW w:w="1934" w:type="dxa"/>
          </w:tcPr>
          <w:p w14:paraId="4DDBEF00" w14:textId="6D6E2D52" w:rsidR="00B33432" w:rsidRPr="00B33432" w:rsidRDefault="00DB5AAB" w:rsidP="00B33432">
            <w:pPr>
              <w:spacing w:after="250" w:line="276" w:lineRule="auto"/>
              <w:jc w:val="both"/>
              <w:rPr>
                <w:rFonts w:ascii="Arial" w:hAnsi="Arial" w:cs="Arial"/>
                <w:color w:val="181818"/>
              </w:rPr>
            </w:pPr>
            <w:r>
              <w:rPr>
                <w:rFonts w:ascii="Arial" w:hAnsi="Arial" w:cs="Arial"/>
                <w:color w:val="181818"/>
              </w:rPr>
              <w:t>IA does not have data available on unlisted equities, but some IA members have indicated they invest in this asset class.</w:t>
            </w:r>
          </w:p>
        </w:tc>
        <w:tc>
          <w:tcPr>
            <w:tcW w:w="1928" w:type="dxa"/>
          </w:tcPr>
          <w:p w14:paraId="3461D779" w14:textId="0842670F" w:rsidR="00B33432" w:rsidRPr="00B33432" w:rsidRDefault="00B909FB" w:rsidP="00B33432">
            <w:pPr>
              <w:spacing w:after="250" w:line="276" w:lineRule="auto"/>
              <w:jc w:val="both"/>
              <w:rPr>
                <w:rFonts w:ascii="Arial" w:hAnsi="Arial" w:cs="Arial"/>
                <w:color w:val="181818"/>
              </w:rPr>
            </w:pPr>
            <w:r>
              <w:rPr>
                <w:rFonts w:ascii="Arial" w:hAnsi="Arial" w:cs="Arial"/>
                <w:color w:val="181818"/>
              </w:rPr>
              <w:t>Only eligble for 10% unapproved securities bucket. Portfolio liquidity must be considered.</w:t>
            </w:r>
          </w:p>
        </w:tc>
      </w:tr>
      <w:tr w:rsidR="00B909FB" w:rsidRPr="00B33432" w14:paraId="5539B04B" w14:textId="77777777" w:rsidTr="00047077">
        <w:tc>
          <w:tcPr>
            <w:tcW w:w="1897"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1873" w:type="dxa"/>
          </w:tcPr>
          <w:p w14:paraId="3CF2D8B6" w14:textId="175F8E34" w:rsidR="00B33432" w:rsidRPr="00B33432" w:rsidRDefault="00B909FB" w:rsidP="00B33432">
            <w:pPr>
              <w:spacing w:after="250" w:line="276" w:lineRule="auto"/>
              <w:jc w:val="both"/>
              <w:rPr>
                <w:rFonts w:ascii="Arial" w:hAnsi="Arial" w:cs="Arial"/>
                <w:color w:val="181818"/>
              </w:rPr>
            </w:pPr>
            <w:r>
              <w:rPr>
                <w:rFonts w:ascii="Arial" w:hAnsi="Arial" w:cs="Arial"/>
                <w:color w:val="181818"/>
              </w:rPr>
              <w:t>The IA does not consider this to be an eligible asset class for</w:t>
            </w:r>
            <w:r w:rsidR="0008325F">
              <w:rPr>
                <w:rFonts w:ascii="Arial" w:hAnsi="Arial" w:cs="Arial"/>
                <w:color w:val="181818"/>
              </w:rPr>
              <w:t xml:space="preserve"> investment by</w:t>
            </w:r>
            <w:r>
              <w:rPr>
                <w:rFonts w:ascii="Arial" w:hAnsi="Arial" w:cs="Arial"/>
                <w:color w:val="181818"/>
              </w:rPr>
              <w:t xml:space="preserve"> UCITS.</w:t>
            </w:r>
          </w:p>
        </w:tc>
        <w:tc>
          <w:tcPr>
            <w:tcW w:w="1688" w:type="dxa"/>
          </w:tcPr>
          <w:p w14:paraId="0FB78278" w14:textId="5BAFED14" w:rsidR="00B33432" w:rsidRPr="00B33432" w:rsidRDefault="00B909FB" w:rsidP="00B33432">
            <w:pPr>
              <w:spacing w:after="250" w:line="276" w:lineRule="auto"/>
              <w:jc w:val="both"/>
              <w:rPr>
                <w:rFonts w:ascii="Arial" w:hAnsi="Arial" w:cs="Arial"/>
                <w:color w:val="181818"/>
              </w:rPr>
            </w:pPr>
            <w:r>
              <w:rPr>
                <w:rFonts w:ascii="Arial" w:hAnsi="Arial" w:cs="Arial"/>
                <w:color w:val="181818"/>
              </w:rPr>
              <w:t xml:space="preserve">A majority of IA members do not support permitting indirect investment into this asset class </w:t>
            </w:r>
            <w:r>
              <w:rPr>
                <w:rFonts w:ascii="Arial" w:hAnsi="Arial" w:cs="Arial"/>
                <w:color w:val="181818"/>
              </w:rPr>
              <w:lastRenderedPageBreak/>
              <w:t xml:space="preserve">at the present time. </w:t>
            </w:r>
          </w:p>
        </w:tc>
        <w:tc>
          <w:tcPr>
            <w:tcW w:w="1934" w:type="dxa"/>
          </w:tcPr>
          <w:p w14:paraId="1FC39945" w14:textId="7617192C" w:rsidR="00B33432" w:rsidRPr="00B33432" w:rsidRDefault="00B909FB" w:rsidP="00B33432">
            <w:pPr>
              <w:spacing w:after="250" w:line="276" w:lineRule="auto"/>
              <w:jc w:val="both"/>
              <w:rPr>
                <w:rFonts w:ascii="Arial" w:hAnsi="Arial" w:cs="Arial"/>
                <w:color w:val="181818"/>
              </w:rPr>
            </w:pPr>
            <w:r>
              <w:rPr>
                <w:rFonts w:ascii="Arial" w:hAnsi="Arial" w:cs="Arial"/>
                <w:color w:val="181818"/>
              </w:rPr>
              <w:lastRenderedPageBreak/>
              <w:t>0% of UCITS in IA sectors have exposure to crypto</w:t>
            </w:r>
            <w:r w:rsidR="0008325F">
              <w:rPr>
                <w:rFonts w:ascii="Arial" w:hAnsi="Arial" w:cs="Arial"/>
                <w:color w:val="181818"/>
              </w:rPr>
              <w:t xml:space="preserve"> </w:t>
            </w:r>
            <w:r w:rsidR="00A65C54">
              <w:rPr>
                <w:rFonts w:ascii="Arial" w:hAnsi="Arial" w:cs="Arial"/>
                <w:color w:val="181818"/>
              </w:rPr>
              <w:t>assets</w:t>
            </w:r>
            <w:r>
              <w:rPr>
                <w:rFonts w:ascii="Arial" w:hAnsi="Arial" w:cs="Arial"/>
                <w:color w:val="181818"/>
              </w:rPr>
              <w:t>.</w:t>
            </w:r>
          </w:p>
        </w:tc>
        <w:tc>
          <w:tcPr>
            <w:tcW w:w="1928"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B909FB" w:rsidRPr="00B33432" w14:paraId="6582FE19" w14:textId="77777777" w:rsidTr="00047077">
        <w:tc>
          <w:tcPr>
            <w:tcW w:w="1897"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873" w:type="dxa"/>
          </w:tcPr>
          <w:p w14:paraId="34CE0A41" w14:textId="3AE11231" w:rsidR="00B33432" w:rsidRPr="00B33432" w:rsidRDefault="00B909FB" w:rsidP="00B33432">
            <w:pPr>
              <w:spacing w:after="250" w:line="276" w:lineRule="auto"/>
              <w:jc w:val="both"/>
              <w:rPr>
                <w:rFonts w:ascii="Arial" w:hAnsi="Arial" w:cs="Arial"/>
                <w:color w:val="181818"/>
              </w:rPr>
            </w:pPr>
            <w:r>
              <w:rPr>
                <w:rFonts w:ascii="Arial" w:hAnsi="Arial" w:cs="Arial"/>
                <w:color w:val="181818"/>
              </w:rPr>
              <w:t>Not eligible</w:t>
            </w:r>
          </w:p>
        </w:tc>
        <w:tc>
          <w:tcPr>
            <w:tcW w:w="1688" w:type="dxa"/>
          </w:tcPr>
          <w:p w14:paraId="62EBF3C5" w14:textId="0D24BBB8" w:rsidR="00B33432" w:rsidRPr="00B33432" w:rsidRDefault="00B909FB" w:rsidP="00B33432">
            <w:pPr>
              <w:spacing w:after="250" w:line="276" w:lineRule="auto"/>
              <w:jc w:val="both"/>
              <w:rPr>
                <w:rFonts w:ascii="Arial" w:hAnsi="Arial" w:cs="Arial"/>
                <w:color w:val="181818"/>
              </w:rPr>
            </w:pPr>
            <w:r>
              <w:rPr>
                <w:rFonts w:ascii="Arial" w:hAnsi="Arial" w:cs="Arial"/>
                <w:color w:val="181818"/>
              </w:rPr>
              <w:t>Can provide diversified exposure within a transferable security that does not come with the associated challenges or risks in holding these assets</w:t>
            </w:r>
            <w:r w:rsidR="00A65C54">
              <w:rPr>
                <w:rFonts w:ascii="Arial" w:hAnsi="Arial" w:cs="Arial"/>
                <w:color w:val="181818"/>
              </w:rPr>
              <w:t xml:space="preserve"> directly</w:t>
            </w:r>
            <w:r>
              <w:rPr>
                <w:rFonts w:ascii="Arial" w:hAnsi="Arial" w:cs="Arial"/>
                <w:color w:val="181818"/>
              </w:rPr>
              <w:t xml:space="preserve">, eg storage facilities, etc. </w:t>
            </w:r>
          </w:p>
        </w:tc>
        <w:tc>
          <w:tcPr>
            <w:tcW w:w="1934" w:type="dxa"/>
          </w:tcPr>
          <w:p w14:paraId="6D98A12B" w14:textId="6C93D312" w:rsidR="00B33432" w:rsidRPr="00B33432" w:rsidRDefault="00B909FB" w:rsidP="00B33432">
            <w:pPr>
              <w:spacing w:after="250" w:line="276" w:lineRule="auto"/>
              <w:jc w:val="both"/>
              <w:rPr>
                <w:rFonts w:ascii="Arial" w:hAnsi="Arial" w:cs="Arial"/>
                <w:color w:val="181818"/>
              </w:rPr>
            </w:pPr>
            <w:r>
              <w:rPr>
                <w:rFonts w:ascii="Arial" w:hAnsi="Arial" w:cs="Arial"/>
                <w:color w:val="181818"/>
              </w:rPr>
              <w:t xml:space="preserve">Around 19.2% of UCITS in IA sectors have some indirect exposure to commodities and precious metals. </w:t>
            </w:r>
          </w:p>
        </w:tc>
        <w:tc>
          <w:tcPr>
            <w:tcW w:w="1928"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B909FB" w:rsidRPr="00B33432" w14:paraId="1D06A7CA" w14:textId="77777777" w:rsidTr="00047077">
        <w:tc>
          <w:tcPr>
            <w:tcW w:w="1897"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1873" w:type="dxa"/>
          </w:tcPr>
          <w:p w14:paraId="5997CC1D" w14:textId="6449C35A" w:rsidR="00B33432" w:rsidRPr="00B33432" w:rsidRDefault="00B909FB" w:rsidP="00B33432">
            <w:pPr>
              <w:spacing w:after="250" w:line="276" w:lineRule="auto"/>
              <w:jc w:val="both"/>
              <w:rPr>
                <w:rFonts w:ascii="Arial" w:hAnsi="Arial" w:cs="Arial"/>
                <w:color w:val="181818"/>
              </w:rPr>
            </w:pPr>
            <w:r>
              <w:rPr>
                <w:rFonts w:ascii="Arial" w:hAnsi="Arial" w:cs="Arial"/>
                <w:color w:val="181818"/>
              </w:rPr>
              <w:t>Can provide diversified exposure, within a transferable security that does not come with the associated challenges or risks in holding the</w:t>
            </w:r>
            <w:r w:rsidR="00B87D22">
              <w:rPr>
                <w:rFonts w:ascii="Arial" w:hAnsi="Arial" w:cs="Arial"/>
                <w:color w:val="181818"/>
              </w:rPr>
              <w:t xml:space="preserve"> underlying</w:t>
            </w:r>
            <w:r>
              <w:rPr>
                <w:rFonts w:ascii="Arial" w:hAnsi="Arial" w:cs="Arial"/>
                <w:color w:val="181818"/>
              </w:rPr>
              <w:t xml:space="preserve"> assets</w:t>
            </w:r>
            <w:r w:rsidR="00B87D22">
              <w:rPr>
                <w:rFonts w:ascii="Arial" w:hAnsi="Arial" w:cs="Arial"/>
                <w:color w:val="181818"/>
              </w:rPr>
              <w:t xml:space="preserve"> directly</w:t>
            </w:r>
            <w:r>
              <w:rPr>
                <w:rFonts w:ascii="Arial" w:hAnsi="Arial" w:cs="Arial"/>
                <w:color w:val="181818"/>
              </w:rPr>
              <w:t>, eg storage facilities, etc.</w:t>
            </w:r>
          </w:p>
        </w:tc>
        <w:tc>
          <w:tcPr>
            <w:tcW w:w="1688" w:type="dxa"/>
          </w:tcPr>
          <w:p w14:paraId="110FFD37" w14:textId="71E0B220" w:rsidR="00B33432" w:rsidRPr="00B33432" w:rsidRDefault="00B909FB" w:rsidP="00B33432">
            <w:pPr>
              <w:spacing w:after="250" w:line="276" w:lineRule="auto"/>
              <w:jc w:val="both"/>
              <w:rPr>
                <w:rFonts w:ascii="Arial" w:hAnsi="Arial" w:cs="Arial"/>
                <w:color w:val="181818"/>
              </w:rPr>
            </w:pPr>
            <w:r>
              <w:rPr>
                <w:rFonts w:ascii="Arial" w:hAnsi="Arial" w:cs="Arial"/>
                <w:color w:val="181818"/>
              </w:rPr>
              <w:t>N/A</w:t>
            </w:r>
          </w:p>
        </w:tc>
        <w:tc>
          <w:tcPr>
            <w:tcW w:w="1934" w:type="dxa"/>
          </w:tcPr>
          <w:p w14:paraId="6B699379" w14:textId="51232143" w:rsidR="00B33432" w:rsidRPr="00B33432" w:rsidRDefault="00B909FB" w:rsidP="00B33432">
            <w:pPr>
              <w:spacing w:after="250" w:line="276" w:lineRule="auto"/>
              <w:jc w:val="both"/>
              <w:rPr>
                <w:rFonts w:ascii="Arial" w:hAnsi="Arial" w:cs="Arial"/>
                <w:color w:val="181818"/>
              </w:rPr>
            </w:pPr>
            <w:r>
              <w:rPr>
                <w:rFonts w:ascii="Arial" w:hAnsi="Arial" w:cs="Arial"/>
                <w:color w:val="181818"/>
              </w:rPr>
              <w:t xml:space="preserve">The proportion of investment in ETCs </w:t>
            </w:r>
            <w:r w:rsidR="00886164">
              <w:rPr>
                <w:rFonts w:ascii="Arial" w:hAnsi="Arial" w:cs="Arial"/>
                <w:color w:val="181818"/>
              </w:rPr>
              <w:t xml:space="preserve">was not </w:t>
            </w:r>
            <w:r w:rsidR="00BC220D">
              <w:rPr>
                <w:rFonts w:ascii="Arial" w:hAnsi="Arial" w:cs="Arial"/>
                <w:color w:val="181818"/>
              </w:rPr>
              <w:t>available in the sector data the IA was able to access</w:t>
            </w:r>
            <w:r>
              <w:rPr>
                <w:rFonts w:ascii="Arial" w:hAnsi="Arial" w:cs="Arial"/>
                <w:color w:val="181818"/>
              </w:rPr>
              <w:t>,</w:t>
            </w:r>
            <w:r w:rsidR="00BC220D">
              <w:rPr>
                <w:rFonts w:ascii="Arial" w:hAnsi="Arial" w:cs="Arial"/>
                <w:color w:val="181818"/>
              </w:rPr>
              <w:t xml:space="preserve"> </w:t>
            </w:r>
            <w:r>
              <w:rPr>
                <w:rFonts w:ascii="Arial" w:hAnsi="Arial" w:cs="Arial"/>
                <w:color w:val="181818"/>
              </w:rPr>
              <w:t>but around 19.2% of UCITS in IA sectors have some indirect exposure to commodities and precious metals.</w:t>
            </w:r>
          </w:p>
        </w:tc>
        <w:tc>
          <w:tcPr>
            <w:tcW w:w="1928" w:type="dxa"/>
          </w:tcPr>
          <w:p w14:paraId="3FE9F23F" w14:textId="77777777" w:rsidR="00B33432" w:rsidRPr="00B33432" w:rsidRDefault="00B33432" w:rsidP="00B33432">
            <w:pPr>
              <w:spacing w:after="250" w:line="276" w:lineRule="auto"/>
              <w:jc w:val="both"/>
              <w:rPr>
                <w:rFonts w:ascii="Arial" w:hAnsi="Arial" w:cs="Arial"/>
                <w:color w:val="181818"/>
              </w:rPr>
            </w:pPr>
          </w:p>
        </w:tc>
      </w:tr>
      <w:tr w:rsidR="00B909FB" w:rsidRPr="00B33432" w14:paraId="241FBBEE" w14:textId="77777777" w:rsidTr="00047077">
        <w:tc>
          <w:tcPr>
            <w:tcW w:w="1897"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t>10. Real estate</w:t>
            </w:r>
          </w:p>
        </w:tc>
        <w:tc>
          <w:tcPr>
            <w:tcW w:w="1873" w:type="dxa"/>
          </w:tcPr>
          <w:p w14:paraId="1F72F646" w14:textId="07A1147A" w:rsidR="00B33432" w:rsidRPr="00B33432" w:rsidRDefault="00B909FB" w:rsidP="00B33432">
            <w:pPr>
              <w:spacing w:after="250" w:line="276" w:lineRule="auto"/>
              <w:jc w:val="both"/>
              <w:rPr>
                <w:rFonts w:ascii="Arial" w:hAnsi="Arial" w:cs="Arial"/>
                <w:color w:val="181818"/>
              </w:rPr>
            </w:pPr>
            <w:r>
              <w:rPr>
                <w:rFonts w:ascii="Arial" w:hAnsi="Arial" w:cs="Arial"/>
                <w:color w:val="181818"/>
              </w:rPr>
              <w:t>Not eligible</w:t>
            </w:r>
          </w:p>
        </w:tc>
        <w:tc>
          <w:tcPr>
            <w:tcW w:w="1688" w:type="dxa"/>
          </w:tcPr>
          <w:p w14:paraId="08CE6F91" w14:textId="5F6B2331" w:rsidR="00B33432" w:rsidRPr="00B33432" w:rsidRDefault="00B909FB" w:rsidP="00B33432">
            <w:pPr>
              <w:spacing w:after="250" w:line="276" w:lineRule="auto"/>
              <w:jc w:val="both"/>
              <w:rPr>
                <w:rFonts w:ascii="Arial" w:hAnsi="Arial" w:cs="Arial"/>
                <w:color w:val="181818"/>
              </w:rPr>
            </w:pPr>
            <w:r>
              <w:rPr>
                <w:rFonts w:ascii="Arial" w:hAnsi="Arial" w:cs="Arial"/>
                <w:color w:val="181818"/>
              </w:rPr>
              <w:t xml:space="preserve">Indirect exposure to real estate (eg via REITs or derivatives related to diversified property indices can provide diversification </w:t>
            </w:r>
            <w:r>
              <w:rPr>
                <w:rFonts w:ascii="Arial" w:hAnsi="Arial" w:cs="Arial"/>
                <w:color w:val="181818"/>
              </w:rPr>
              <w:lastRenderedPageBreak/>
              <w:t>for multi asset UCITS in a broadly recognised</w:t>
            </w:r>
            <w:r w:rsidR="00886164">
              <w:rPr>
                <w:rFonts w:ascii="Arial" w:hAnsi="Arial" w:cs="Arial"/>
                <w:color w:val="181818"/>
              </w:rPr>
              <w:t xml:space="preserve"> investible</w:t>
            </w:r>
            <w:r>
              <w:rPr>
                <w:rFonts w:ascii="Arial" w:hAnsi="Arial" w:cs="Arial"/>
                <w:color w:val="181818"/>
              </w:rPr>
              <w:t xml:space="preserve"> asset class. </w:t>
            </w:r>
          </w:p>
        </w:tc>
        <w:tc>
          <w:tcPr>
            <w:tcW w:w="1934" w:type="dxa"/>
          </w:tcPr>
          <w:p w14:paraId="61CDCEAD" w14:textId="1C42B8E4" w:rsidR="00B33432" w:rsidRPr="00B33432" w:rsidRDefault="00B909FB" w:rsidP="00B33432">
            <w:pPr>
              <w:spacing w:after="250" w:line="276" w:lineRule="auto"/>
              <w:jc w:val="both"/>
              <w:rPr>
                <w:rFonts w:ascii="Arial" w:hAnsi="Arial" w:cs="Arial"/>
                <w:color w:val="181818"/>
              </w:rPr>
            </w:pPr>
            <w:r>
              <w:rPr>
                <w:rFonts w:ascii="Arial" w:hAnsi="Arial" w:cs="Arial"/>
                <w:color w:val="181818"/>
              </w:rPr>
              <w:lastRenderedPageBreak/>
              <w:t>See 11 REITs</w:t>
            </w:r>
          </w:p>
        </w:tc>
        <w:tc>
          <w:tcPr>
            <w:tcW w:w="1928" w:type="dxa"/>
          </w:tcPr>
          <w:p w14:paraId="6BB9E253" w14:textId="2686E8C1" w:rsidR="00B33432" w:rsidRPr="00B33432" w:rsidRDefault="00B909FB" w:rsidP="00B33432">
            <w:pPr>
              <w:spacing w:after="250" w:line="276" w:lineRule="auto"/>
              <w:jc w:val="both"/>
              <w:rPr>
                <w:rFonts w:ascii="Arial" w:hAnsi="Arial" w:cs="Arial"/>
                <w:color w:val="181818"/>
              </w:rPr>
            </w:pPr>
            <w:r>
              <w:rPr>
                <w:rFonts w:ascii="Arial" w:hAnsi="Arial" w:cs="Arial"/>
                <w:color w:val="181818"/>
              </w:rPr>
              <w:t xml:space="preserve">The IA does not consider real estate, due to its immovable nature, to be a suitable asset class for </w:t>
            </w:r>
            <w:r w:rsidR="00047077">
              <w:rPr>
                <w:rFonts w:ascii="Arial" w:hAnsi="Arial" w:cs="Arial"/>
                <w:color w:val="181818"/>
              </w:rPr>
              <w:t>direct investment by UCITS.</w:t>
            </w:r>
          </w:p>
        </w:tc>
      </w:tr>
      <w:tr w:rsidR="00047077" w:rsidRPr="00B33432" w14:paraId="7FD6362C" w14:textId="77777777" w:rsidTr="00047077">
        <w:tc>
          <w:tcPr>
            <w:tcW w:w="1897" w:type="dxa"/>
          </w:tcPr>
          <w:p w14:paraId="146B0B65" w14:textId="77777777" w:rsidR="00047077" w:rsidRPr="00B33432" w:rsidRDefault="00047077" w:rsidP="00047077">
            <w:pPr>
              <w:spacing w:after="250" w:line="276" w:lineRule="auto"/>
              <w:rPr>
                <w:rFonts w:ascii="Arial" w:hAnsi="Arial" w:cs="Arial"/>
              </w:rPr>
            </w:pPr>
            <w:r w:rsidRPr="00B33432">
              <w:rPr>
                <w:rFonts w:ascii="Arial" w:hAnsi="Arial" w:cs="Arial"/>
              </w:rPr>
              <w:t>11. Real Estate Investment Trusts (‘REITs’)</w:t>
            </w:r>
          </w:p>
        </w:tc>
        <w:tc>
          <w:tcPr>
            <w:tcW w:w="1873" w:type="dxa"/>
          </w:tcPr>
          <w:p w14:paraId="7D466B7A" w14:textId="70536827" w:rsidR="00047077" w:rsidRDefault="00047077" w:rsidP="00047077">
            <w:pPr>
              <w:spacing w:after="250" w:line="276" w:lineRule="auto"/>
              <w:jc w:val="both"/>
              <w:rPr>
                <w:rFonts w:ascii="Arial" w:hAnsi="Arial" w:cs="Arial"/>
                <w:color w:val="181818"/>
              </w:rPr>
            </w:pPr>
            <w:r>
              <w:rPr>
                <w:rFonts w:ascii="Arial" w:hAnsi="Arial" w:cs="Arial"/>
                <w:color w:val="181818"/>
              </w:rPr>
              <w:t xml:space="preserve">REITs offer exposure to companies active in real estate management, but are essentially listed company shares, and can be considered as eligible transferable securities. As listed equities, they have the same liquidity profile as other listed equities. </w:t>
            </w:r>
          </w:p>
          <w:p w14:paraId="23DE523C" w14:textId="3DDEFC0D" w:rsidR="00047077" w:rsidRPr="00B33432" w:rsidRDefault="00047077" w:rsidP="00047077">
            <w:pPr>
              <w:spacing w:after="250" w:line="276" w:lineRule="auto"/>
              <w:jc w:val="both"/>
              <w:rPr>
                <w:rFonts w:ascii="Arial" w:hAnsi="Arial" w:cs="Arial"/>
                <w:color w:val="181818"/>
              </w:rPr>
            </w:pPr>
            <w:r>
              <w:rPr>
                <w:rFonts w:ascii="Arial" w:hAnsi="Arial" w:cs="Arial"/>
                <w:color w:val="181818"/>
              </w:rPr>
              <w:t xml:space="preserve">These provide exposure to income from an relatively secure asset class, without the liquidity risks and obligations of direct property. </w:t>
            </w:r>
          </w:p>
        </w:tc>
        <w:tc>
          <w:tcPr>
            <w:tcW w:w="1688" w:type="dxa"/>
          </w:tcPr>
          <w:p w14:paraId="52E56223" w14:textId="1D13CB12" w:rsidR="00047077" w:rsidRPr="00B33432" w:rsidRDefault="00047077" w:rsidP="00047077">
            <w:pPr>
              <w:spacing w:after="250" w:line="276" w:lineRule="auto"/>
              <w:jc w:val="both"/>
              <w:rPr>
                <w:rFonts w:ascii="Arial" w:hAnsi="Arial" w:cs="Arial"/>
                <w:color w:val="181818"/>
              </w:rPr>
            </w:pPr>
            <w:r>
              <w:rPr>
                <w:rFonts w:ascii="Arial" w:hAnsi="Arial" w:cs="Arial"/>
                <w:color w:val="181818"/>
              </w:rPr>
              <w:t>N/A</w:t>
            </w:r>
          </w:p>
        </w:tc>
        <w:tc>
          <w:tcPr>
            <w:tcW w:w="1934" w:type="dxa"/>
          </w:tcPr>
          <w:p w14:paraId="07547A01" w14:textId="3C254B08" w:rsidR="00047077" w:rsidRPr="00B33432" w:rsidRDefault="00047077" w:rsidP="00047077">
            <w:pPr>
              <w:spacing w:after="250" w:line="276" w:lineRule="auto"/>
              <w:jc w:val="both"/>
              <w:rPr>
                <w:rFonts w:ascii="Arial" w:hAnsi="Arial" w:cs="Arial"/>
                <w:color w:val="181818"/>
              </w:rPr>
            </w:pPr>
            <w:r>
              <w:rPr>
                <w:rFonts w:ascii="Arial" w:hAnsi="Arial" w:cs="Arial"/>
                <w:color w:val="181818"/>
              </w:rPr>
              <w:t xml:space="preserve">Around 33.9% of UCITS in IA sectors have some exposure to REITs. </w:t>
            </w:r>
          </w:p>
        </w:tc>
        <w:tc>
          <w:tcPr>
            <w:tcW w:w="1928" w:type="dxa"/>
          </w:tcPr>
          <w:p w14:paraId="5043CB0F" w14:textId="5719C8DA" w:rsidR="00047077" w:rsidRPr="00B33432" w:rsidRDefault="00047077" w:rsidP="00047077">
            <w:pPr>
              <w:spacing w:after="250" w:line="276" w:lineRule="auto"/>
              <w:jc w:val="both"/>
              <w:rPr>
                <w:rFonts w:ascii="Arial" w:hAnsi="Arial" w:cs="Arial"/>
                <w:color w:val="181818"/>
              </w:rPr>
            </w:pPr>
            <w:r>
              <w:rPr>
                <w:rFonts w:ascii="Arial" w:hAnsi="Arial" w:cs="Arial"/>
                <w:color w:val="181818"/>
              </w:rPr>
              <w:t xml:space="preserve">REITs are a tax designation for listed companies that derive the majority of their income from property rents. They are not subject to corporation tax on rental income provided 90% of this is distributed to shareholders. </w:t>
            </w:r>
            <w:r w:rsidR="00EB50EB">
              <w:rPr>
                <w:rFonts w:ascii="Arial" w:hAnsi="Arial" w:cs="Arial"/>
                <w:color w:val="181818"/>
              </w:rPr>
              <w:t>REITs</w:t>
            </w:r>
            <w:r>
              <w:rPr>
                <w:rFonts w:ascii="Arial" w:hAnsi="Arial" w:cs="Arial"/>
                <w:color w:val="181818"/>
              </w:rPr>
              <w:t xml:space="preserve"> include commercial land and property owning companies as well as listed </w:t>
            </w:r>
            <w:r w:rsidR="00302B24">
              <w:rPr>
                <w:rFonts w:ascii="Arial" w:hAnsi="Arial" w:cs="Arial"/>
                <w:color w:val="181818"/>
              </w:rPr>
              <w:t xml:space="preserve">closed ended </w:t>
            </w:r>
            <w:r>
              <w:rPr>
                <w:rFonts w:ascii="Arial" w:hAnsi="Arial" w:cs="Arial"/>
                <w:color w:val="181818"/>
              </w:rPr>
              <w:t>investment companies.</w:t>
            </w:r>
          </w:p>
        </w:tc>
      </w:tr>
      <w:tr w:rsidR="00047077" w:rsidRPr="00B33432" w14:paraId="585437CF" w14:textId="77777777" w:rsidTr="00047077">
        <w:tc>
          <w:tcPr>
            <w:tcW w:w="1897" w:type="dxa"/>
          </w:tcPr>
          <w:p w14:paraId="17F5DE1B" w14:textId="77777777" w:rsidR="00047077" w:rsidRPr="00B33432" w:rsidRDefault="00047077" w:rsidP="00047077">
            <w:pPr>
              <w:spacing w:after="250" w:line="276" w:lineRule="auto"/>
              <w:rPr>
                <w:rFonts w:ascii="Arial" w:hAnsi="Arial" w:cs="Arial"/>
              </w:rPr>
            </w:pPr>
            <w:r w:rsidRPr="00B33432">
              <w:rPr>
                <w:rFonts w:ascii="Arial" w:hAnsi="Arial" w:cs="Arial"/>
              </w:rPr>
              <w:t>12. Special Purpose Acquisition Companies (‘SPACs’)</w:t>
            </w:r>
          </w:p>
        </w:tc>
        <w:tc>
          <w:tcPr>
            <w:tcW w:w="1873" w:type="dxa"/>
          </w:tcPr>
          <w:p w14:paraId="1B384F5E" w14:textId="77777777" w:rsidR="00047077" w:rsidRDefault="00047077" w:rsidP="00047077">
            <w:pPr>
              <w:spacing w:after="250" w:line="276" w:lineRule="auto"/>
              <w:jc w:val="both"/>
              <w:rPr>
                <w:rFonts w:ascii="Arial" w:hAnsi="Arial" w:cs="Arial"/>
                <w:color w:val="181818"/>
              </w:rPr>
            </w:pPr>
            <w:r>
              <w:rPr>
                <w:rFonts w:ascii="Arial" w:hAnsi="Arial" w:cs="Arial"/>
                <w:color w:val="181818"/>
              </w:rPr>
              <w:t>A SPAC may offer access to companies newly brought to listed markets at an attractive price point.</w:t>
            </w:r>
          </w:p>
          <w:p w14:paraId="07459315" w14:textId="45009537" w:rsidR="00047077" w:rsidRPr="00B33432" w:rsidRDefault="00302B24" w:rsidP="00047077">
            <w:pPr>
              <w:spacing w:after="250" w:line="276" w:lineRule="auto"/>
              <w:jc w:val="both"/>
              <w:rPr>
                <w:rFonts w:ascii="Arial" w:hAnsi="Arial" w:cs="Arial"/>
                <w:color w:val="181818"/>
              </w:rPr>
            </w:pPr>
            <w:r>
              <w:rPr>
                <w:rFonts w:ascii="Arial" w:hAnsi="Arial" w:cs="Arial"/>
                <w:color w:val="181818"/>
              </w:rPr>
              <w:t>A</w:t>
            </w:r>
            <w:r w:rsidR="00047077">
              <w:rPr>
                <w:rFonts w:ascii="Arial" w:hAnsi="Arial" w:cs="Arial"/>
                <w:color w:val="181818"/>
              </w:rPr>
              <w:t xml:space="preserve">n investment </w:t>
            </w:r>
            <w:r>
              <w:rPr>
                <w:rFonts w:ascii="Arial" w:hAnsi="Arial" w:cs="Arial"/>
                <w:color w:val="181818"/>
              </w:rPr>
              <w:t xml:space="preserve">in a SPAC </w:t>
            </w:r>
            <w:r w:rsidR="00047077">
              <w:rPr>
                <w:rFonts w:ascii="Arial" w:hAnsi="Arial" w:cs="Arial"/>
                <w:color w:val="181818"/>
              </w:rPr>
              <w:t xml:space="preserve">would need to be weighed up against the risks of not knowing the eventual company the SPAC will acquire and what the fund will invest in. These risks would need to be properly disclosed to investors.  </w:t>
            </w:r>
          </w:p>
        </w:tc>
        <w:tc>
          <w:tcPr>
            <w:tcW w:w="1688" w:type="dxa"/>
          </w:tcPr>
          <w:p w14:paraId="6537F28F" w14:textId="4C2F26D7" w:rsidR="00047077" w:rsidRPr="00B33432" w:rsidRDefault="00047077" w:rsidP="00047077">
            <w:pPr>
              <w:spacing w:after="250" w:line="276" w:lineRule="auto"/>
              <w:jc w:val="both"/>
              <w:rPr>
                <w:rFonts w:ascii="Arial" w:hAnsi="Arial" w:cs="Arial"/>
                <w:color w:val="181818"/>
              </w:rPr>
            </w:pPr>
            <w:r>
              <w:rPr>
                <w:rFonts w:ascii="Arial" w:hAnsi="Arial" w:cs="Arial"/>
                <w:color w:val="181818"/>
              </w:rPr>
              <w:t>N/A</w:t>
            </w:r>
          </w:p>
        </w:tc>
        <w:tc>
          <w:tcPr>
            <w:tcW w:w="1934" w:type="dxa"/>
          </w:tcPr>
          <w:p w14:paraId="6DFB9E20" w14:textId="33E2458D" w:rsidR="00047077" w:rsidRPr="00B33432" w:rsidRDefault="00047077" w:rsidP="00047077">
            <w:pPr>
              <w:spacing w:after="250" w:line="276" w:lineRule="auto"/>
              <w:jc w:val="both"/>
              <w:rPr>
                <w:rFonts w:ascii="Arial" w:hAnsi="Arial" w:cs="Arial"/>
                <w:color w:val="181818"/>
              </w:rPr>
            </w:pPr>
            <w:r>
              <w:rPr>
                <w:rFonts w:ascii="Arial" w:hAnsi="Arial" w:cs="Arial"/>
                <w:color w:val="181818"/>
              </w:rPr>
              <w:t xml:space="preserve">The IA </w:t>
            </w:r>
            <w:r w:rsidR="00E435B6">
              <w:rPr>
                <w:rFonts w:ascii="Arial" w:hAnsi="Arial" w:cs="Arial"/>
                <w:color w:val="181818"/>
              </w:rPr>
              <w:t xml:space="preserve">has not been able to identify </w:t>
            </w:r>
            <w:r>
              <w:rPr>
                <w:rFonts w:ascii="Arial" w:hAnsi="Arial" w:cs="Arial"/>
                <w:color w:val="181818"/>
              </w:rPr>
              <w:t>UCITS exposure to SPACs</w:t>
            </w:r>
            <w:r w:rsidR="00E435B6">
              <w:rPr>
                <w:rFonts w:ascii="Arial" w:hAnsi="Arial" w:cs="Arial"/>
                <w:color w:val="181818"/>
              </w:rPr>
              <w:t xml:space="preserve"> from the IA sector data</w:t>
            </w:r>
            <w:r>
              <w:rPr>
                <w:rFonts w:ascii="Arial" w:hAnsi="Arial" w:cs="Arial"/>
                <w:color w:val="181818"/>
              </w:rPr>
              <w:t xml:space="preserve">, but only a small number of IA members advised their funds had invested in these. </w:t>
            </w:r>
          </w:p>
        </w:tc>
        <w:tc>
          <w:tcPr>
            <w:tcW w:w="1928" w:type="dxa"/>
          </w:tcPr>
          <w:p w14:paraId="70DF9E56" w14:textId="3C8594DF" w:rsidR="00047077" w:rsidRPr="00B33432" w:rsidRDefault="00047077" w:rsidP="00047077">
            <w:pPr>
              <w:spacing w:after="250" w:line="276" w:lineRule="auto"/>
              <w:jc w:val="both"/>
              <w:rPr>
                <w:rFonts w:ascii="Arial" w:hAnsi="Arial" w:cs="Arial"/>
                <w:color w:val="181818"/>
              </w:rPr>
            </w:pPr>
            <w:r>
              <w:rPr>
                <w:rFonts w:ascii="Arial" w:hAnsi="Arial" w:cs="Arial"/>
                <w:color w:val="181818"/>
              </w:rPr>
              <w:t>Assessment</w:t>
            </w:r>
            <w:r w:rsidR="00E61A0C">
              <w:rPr>
                <w:rFonts w:ascii="Arial" w:hAnsi="Arial" w:cs="Arial"/>
                <w:color w:val="181818"/>
              </w:rPr>
              <w:t xml:space="preserve"> of eligibility</w:t>
            </w:r>
            <w:r>
              <w:rPr>
                <w:rFonts w:ascii="Arial" w:hAnsi="Arial" w:cs="Arial"/>
                <w:color w:val="181818"/>
              </w:rPr>
              <w:t xml:space="preserve"> is needed on a case by case basis, but SPACs can potentially be considered transferable securities. </w:t>
            </w:r>
          </w:p>
        </w:tc>
      </w:tr>
      <w:tr w:rsidR="00047077" w:rsidRPr="00B33432" w14:paraId="72D194A9" w14:textId="77777777" w:rsidTr="00047077">
        <w:tc>
          <w:tcPr>
            <w:tcW w:w="1897" w:type="dxa"/>
          </w:tcPr>
          <w:p w14:paraId="31158681" w14:textId="77777777" w:rsidR="00047077" w:rsidRPr="00B33432" w:rsidRDefault="00047077" w:rsidP="00047077">
            <w:pPr>
              <w:spacing w:after="250" w:line="276" w:lineRule="auto"/>
              <w:rPr>
                <w:rFonts w:ascii="Arial" w:hAnsi="Arial" w:cs="Arial"/>
              </w:rPr>
            </w:pPr>
            <w:r w:rsidRPr="00B33432">
              <w:rPr>
                <w:rFonts w:ascii="Arial" w:hAnsi="Arial" w:cs="Arial"/>
              </w:rPr>
              <w:lastRenderedPageBreak/>
              <w:t>13. EU AIFs</w:t>
            </w:r>
            <w:r w:rsidRPr="00B33432">
              <w:rPr>
                <w:rFonts w:ascii="Arial" w:hAnsi="Arial" w:cs="Arial"/>
                <w:sz w:val="16"/>
                <w:vertAlign w:val="superscript"/>
              </w:rPr>
              <w:footnoteReference w:id="10"/>
            </w:r>
          </w:p>
        </w:tc>
        <w:tc>
          <w:tcPr>
            <w:tcW w:w="1873" w:type="dxa"/>
          </w:tcPr>
          <w:p w14:paraId="44E871BC" w14:textId="27ABFD45" w:rsidR="00047077" w:rsidRPr="00B33432" w:rsidRDefault="008C7800" w:rsidP="00047077">
            <w:pPr>
              <w:spacing w:after="250" w:line="276" w:lineRule="auto"/>
              <w:jc w:val="both"/>
              <w:rPr>
                <w:rFonts w:ascii="Arial" w:hAnsi="Arial" w:cs="Arial"/>
                <w:color w:val="181818"/>
              </w:rPr>
            </w:pPr>
            <w:r>
              <w:rPr>
                <w:rFonts w:ascii="Arial" w:hAnsi="Arial" w:cs="Arial"/>
                <w:color w:val="181818"/>
              </w:rPr>
              <w:t>EU AIFs</w:t>
            </w:r>
            <w:r w:rsidR="00432F09">
              <w:rPr>
                <w:rFonts w:ascii="Arial" w:hAnsi="Arial" w:cs="Arial"/>
                <w:color w:val="181818"/>
              </w:rPr>
              <w:t xml:space="preserve"> can provide diversfied exposure to other assets, allowing a UCITS to benefit from expertise of specialist managers. </w:t>
            </w:r>
          </w:p>
        </w:tc>
        <w:tc>
          <w:tcPr>
            <w:tcW w:w="1688" w:type="dxa"/>
          </w:tcPr>
          <w:p w14:paraId="144A5D23" w14:textId="59847A42" w:rsidR="00047077" w:rsidRPr="00B33432" w:rsidRDefault="00432F09" w:rsidP="00047077">
            <w:pPr>
              <w:spacing w:after="250" w:line="276" w:lineRule="auto"/>
              <w:jc w:val="both"/>
              <w:rPr>
                <w:rFonts w:ascii="Arial" w:hAnsi="Arial" w:cs="Arial"/>
                <w:color w:val="181818"/>
              </w:rPr>
            </w:pPr>
            <w:r>
              <w:rPr>
                <w:rFonts w:ascii="Arial" w:hAnsi="Arial" w:cs="Arial"/>
                <w:color w:val="181818"/>
              </w:rPr>
              <w:t>N/A</w:t>
            </w:r>
          </w:p>
        </w:tc>
        <w:tc>
          <w:tcPr>
            <w:tcW w:w="1934" w:type="dxa"/>
          </w:tcPr>
          <w:p w14:paraId="738610EB" w14:textId="4A8344AF" w:rsidR="00047077" w:rsidRPr="00B33432" w:rsidRDefault="00432F09" w:rsidP="00047077">
            <w:pPr>
              <w:spacing w:after="250" w:line="276" w:lineRule="auto"/>
              <w:jc w:val="both"/>
              <w:rPr>
                <w:rFonts w:ascii="Arial" w:hAnsi="Arial" w:cs="Arial"/>
                <w:color w:val="181818"/>
              </w:rPr>
            </w:pPr>
            <w:r>
              <w:rPr>
                <w:rFonts w:ascii="Arial" w:hAnsi="Arial" w:cs="Arial"/>
                <w:color w:val="181818"/>
              </w:rPr>
              <w:t xml:space="preserve">The IA </w:t>
            </w:r>
            <w:r w:rsidR="002C01CE">
              <w:rPr>
                <w:rFonts w:ascii="Arial" w:hAnsi="Arial" w:cs="Arial"/>
                <w:color w:val="181818"/>
              </w:rPr>
              <w:t>has not been able to identify</w:t>
            </w:r>
            <w:r>
              <w:rPr>
                <w:rFonts w:ascii="Arial" w:hAnsi="Arial" w:cs="Arial"/>
                <w:color w:val="181818"/>
              </w:rPr>
              <w:t xml:space="preserve"> UCITS exposure to EU AIFs</w:t>
            </w:r>
            <w:r w:rsidR="002C01CE">
              <w:rPr>
                <w:rFonts w:ascii="Arial" w:hAnsi="Arial" w:cs="Arial"/>
                <w:color w:val="181818"/>
              </w:rPr>
              <w:t xml:space="preserve"> from the IA sector data it had available</w:t>
            </w:r>
            <w:r>
              <w:rPr>
                <w:rFonts w:ascii="Arial" w:hAnsi="Arial" w:cs="Arial"/>
                <w:color w:val="181818"/>
              </w:rPr>
              <w:t>.</w:t>
            </w:r>
          </w:p>
        </w:tc>
        <w:tc>
          <w:tcPr>
            <w:tcW w:w="1928" w:type="dxa"/>
          </w:tcPr>
          <w:p w14:paraId="7739509F" w14:textId="4FC67959" w:rsidR="00047077" w:rsidRDefault="00432F09" w:rsidP="00047077">
            <w:pPr>
              <w:spacing w:after="250" w:line="276" w:lineRule="auto"/>
              <w:jc w:val="both"/>
              <w:rPr>
                <w:rFonts w:ascii="Arial" w:hAnsi="Arial" w:cs="Arial"/>
                <w:color w:val="181818"/>
              </w:rPr>
            </w:pPr>
            <w:r>
              <w:rPr>
                <w:rFonts w:ascii="Arial" w:hAnsi="Arial" w:cs="Arial"/>
                <w:color w:val="181818"/>
              </w:rPr>
              <w:t xml:space="preserve">UCITS may only invest in EU AIFs, up to 30%, that invest in UCITS eligible assets and follow UCITS investment power rules, which limits the available investment universe. </w:t>
            </w:r>
          </w:p>
          <w:p w14:paraId="637805D2" w14:textId="524628CC" w:rsidR="00432F09" w:rsidRPr="00B33432" w:rsidRDefault="00432F09" w:rsidP="00047077">
            <w:pPr>
              <w:spacing w:after="250" w:line="276" w:lineRule="auto"/>
              <w:jc w:val="both"/>
              <w:rPr>
                <w:rFonts w:ascii="Arial" w:hAnsi="Arial" w:cs="Arial"/>
                <w:color w:val="181818"/>
              </w:rPr>
            </w:pPr>
            <w:r>
              <w:rPr>
                <w:rFonts w:ascii="Arial" w:hAnsi="Arial" w:cs="Arial"/>
                <w:color w:val="181818"/>
              </w:rPr>
              <w:t xml:space="preserve">The IA does not consider that the UCITS directive should be amended to perimit wider investment in EU AIFs. </w:t>
            </w:r>
          </w:p>
        </w:tc>
      </w:tr>
      <w:tr w:rsidR="00432F09" w:rsidRPr="00B33432" w14:paraId="50B47933" w14:textId="77777777" w:rsidTr="00047077">
        <w:tc>
          <w:tcPr>
            <w:tcW w:w="1897" w:type="dxa"/>
          </w:tcPr>
          <w:p w14:paraId="5B21E6DB" w14:textId="77777777" w:rsidR="00432F09" w:rsidRPr="00B33432" w:rsidRDefault="00432F09" w:rsidP="00432F09">
            <w:pPr>
              <w:spacing w:after="250" w:line="276" w:lineRule="auto"/>
              <w:rPr>
                <w:rFonts w:ascii="Arial" w:hAnsi="Arial" w:cs="Arial"/>
              </w:rPr>
            </w:pPr>
            <w:r w:rsidRPr="00B33432">
              <w:rPr>
                <w:rFonts w:ascii="Arial" w:hAnsi="Arial" w:cs="Arial"/>
              </w:rPr>
              <w:t>14. Non-EU AIFs</w:t>
            </w:r>
          </w:p>
        </w:tc>
        <w:tc>
          <w:tcPr>
            <w:tcW w:w="1873" w:type="dxa"/>
          </w:tcPr>
          <w:p w14:paraId="463F29E8" w14:textId="6B648B66"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These can provide diversfied exposure to other assets, allowing a UCITS to benefit from expertise of specialist managers, particularly funds located in other parts of the world. </w:t>
            </w:r>
          </w:p>
        </w:tc>
        <w:tc>
          <w:tcPr>
            <w:tcW w:w="1688" w:type="dxa"/>
          </w:tcPr>
          <w:p w14:paraId="3B7B4B86" w14:textId="2EAD89AD" w:rsidR="00432F09" w:rsidRPr="00B33432" w:rsidRDefault="00432F09" w:rsidP="00432F09">
            <w:pPr>
              <w:spacing w:after="250" w:line="276" w:lineRule="auto"/>
              <w:jc w:val="both"/>
              <w:rPr>
                <w:rFonts w:ascii="Arial" w:hAnsi="Arial" w:cs="Arial"/>
                <w:color w:val="181818"/>
              </w:rPr>
            </w:pPr>
            <w:r>
              <w:rPr>
                <w:rFonts w:ascii="Arial" w:hAnsi="Arial" w:cs="Arial"/>
                <w:color w:val="181818"/>
              </w:rPr>
              <w:t>N/A</w:t>
            </w:r>
          </w:p>
        </w:tc>
        <w:tc>
          <w:tcPr>
            <w:tcW w:w="1934" w:type="dxa"/>
          </w:tcPr>
          <w:p w14:paraId="3A0FF5F2" w14:textId="2F47A6E2" w:rsidR="00432F09" w:rsidRPr="00B33432" w:rsidRDefault="002C01CE" w:rsidP="00432F09">
            <w:pPr>
              <w:spacing w:after="250" w:line="276" w:lineRule="auto"/>
              <w:jc w:val="both"/>
              <w:rPr>
                <w:rFonts w:ascii="Arial" w:hAnsi="Arial" w:cs="Arial"/>
                <w:color w:val="181818"/>
              </w:rPr>
            </w:pPr>
            <w:r>
              <w:rPr>
                <w:rFonts w:ascii="Arial" w:hAnsi="Arial" w:cs="Arial"/>
                <w:color w:val="181818"/>
              </w:rPr>
              <w:t xml:space="preserve">The IA has not been able to identify UCITS exposure to </w:t>
            </w:r>
            <w:r>
              <w:rPr>
                <w:rFonts w:ascii="Arial" w:hAnsi="Arial" w:cs="Arial"/>
                <w:color w:val="181818"/>
              </w:rPr>
              <w:t>non-</w:t>
            </w:r>
            <w:r>
              <w:rPr>
                <w:rFonts w:ascii="Arial" w:hAnsi="Arial" w:cs="Arial"/>
                <w:color w:val="181818"/>
              </w:rPr>
              <w:t>EU AIFs from the IA sector data it had available.</w:t>
            </w:r>
          </w:p>
        </w:tc>
        <w:tc>
          <w:tcPr>
            <w:tcW w:w="1928" w:type="dxa"/>
          </w:tcPr>
          <w:p w14:paraId="332C65F3" w14:textId="548C4499" w:rsidR="00432F09" w:rsidRDefault="00432F09" w:rsidP="00432F09">
            <w:pPr>
              <w:spacing w:after="250" w:line="276" w:lineRule="auto"/>
              <w:jc w:val="both"/>
              <w:rPr>
                <w:rFonts w:ascii="Arial" w:hAnsi="Arial" w:cs="Arial"/>
                <w:color w:val="181818"/>
              </w:rPr>
            </w:pPr>
            <w:r>
              <w:rPr>
                <w:rFonts w:ascii="Arial" w:hAnsi="Arial" w:cs="Arial"/>
                <w:color w:val="181818"/>
              </w:rPr>
              <w:t xml:space="preserve">UCITS may only invest in non-EU AIFs, up to 30%, that invest in UCITS eligible assets and follow UCITS investment power rules, which limits the available investment universe. </w:t>
            </w:r>
          </w:p>
          <w:p w14:paraId="762C0B2D" w14:textId="2EAB9C86" w:rsidR="00432F09" w:rsidRDefault="00432F09" w:rsidP="00432F09">
            <w:pPr>
              <w:spacing w:after="250" w:line="276" w:lineRule="auto"/>
              <w:jc w:val="both"/>
              <w:rPr>
                <w:rFonts w:ascii="Arial" w:hAnsi="Arial" w:cs="Arial"/>
                <w:color w:val="181818"/>
              </w:rPr>
            </w:pPr>
            <w:r>
              <w:rPr>
                <w:rFonts w:ascii="Arial" w:hAnsi="Arial" w:cs="Arial"/>
                <w:color w:val="181818"/>
              </w:rPr>
              <w:t xml:space="preserve">In practice, investing in non-EU AIFs, even those that invest in UCITS eligible assets, is difficult, as the majority do not meet UCITS conditions such as a 10% restriction in other collectives, differences in </w:t>
            </w:r>
            <w:r>
              <w:rPr>
                <w:rFonts w:ascii="Arial" w:hAnsi="Arial" w:cs="Arial"/>
                <w:color w:val="181818"/>
              </w:rPr>
              <w:lastRenderedPageBreak/>
              <w:t>borrowing rules, etc.</w:t>
            </w:r>
          </w:p>
          <w:p w14:paraId="5630AD66" w14:textId="494FEA1A"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The IA does not consider that the UCITS directive should be amended to perimit wider investment in EU AIFs. </w:t>
            </w:r>
          </w:p>
        </w:tc>
      </w:tr>
      <w:tr w:rsidR="00432F09" w:rsidRPr="00B33432" w14:paraId="5A25875C" w14:textId="77777777" w:rsidTr="00047077">
        <w:tc>
          <w:tcPr>
            <w:tcW w:w="1897" w:type="dxa"/>
          </w:tcPr>
          <w:p w14:paraId="0BD070FC" w14:textId="77777777" w:rsidR="00432F09" w:rsidRPr="00B33432" w:rsidRDefault="00432F09" w:rsidP="00432F09">
            <w:pPr>
              <w:spacing w:after="250" w:line="276" w:lineRule="auto"/>
              <w:rPr>
                <w:rFonts w:ascii="Arial" w:hAnsi="Arial" w:cs="Arial"/>
              </w:rPr>
            </w:pPr>
            <w:r w:rsidRPr="00B33432">
              <w:rPr>
                <w:rFonts w:ascii="Arial" w:hAnsi="Arial" w:cs="Arial"/>
              </w:rPr>
              <w:lastRenderedPageBreak/>
              <w:t>15. Emission allowances</w:t>
            </w:r>
          </w:p>
        </w:tc>
        <w:tc>
          <w:tcPr>
            <w:tcW w:w="1873" w:type="dxa"/>
          </w:tcPr>
          <w:p w14:paraId="61829076" w14:textId="1F47643E"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The IA does not consider this to be an eligible asset class. </w:t>
            </w:r>
          </w:p>
        </w:tc>
        <w:tc>
          <w:tcPr>
            <w:tcW w:w="1688" w:type="dxa"/>
          </w:tcPr>
          <w:p w14:paraId="2BA226A1" w14:textId="218460B6"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IA members have not expressed any appetite to invest indrectly in this asset class. </w:t>
            </w:r>
          </w:p>
        </w:tc>
        <w:tc>
          <w:tcPr>
            <w:tcW w:w="1934" w:type="dxa"/>
          </w:tcPr>
          <w:p w14:paraId="17AD93B2" w14:textId="506EEC51"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The IA is not aware of any UCITS in its sectors that have indirect exposure to this asset class. </w:t>
            </w:r>
          </w:p>
        </w:tc>
        <w:tc>
          <w:tcPr>
            <w:tcW w:w="1928" w:type="dxa"/>
          </w:tcPr>
          <w:p w14:paraId="0DE4B5B7" w14:textId="77777777" w:rsidR="00432F09" w:rsidRPr="00B33432" w:rsidRDefault="00432F09" w:rsidP="00432F09">
            <w:pPr>
              <w:spacing w:after="250" w:line="276" w:lineRule="auto"/>
              <w:jc w:val="both"/>
              <w:rPr>
                <w:rFonts w:ascii="Arial" w:hAnsi="Arial" w:cs="Arial"/>
                <w:color w:val="181818"/>
              </w:rPr>
            </w:pPr>
          </w:p>
        </w:tc>
      </w:tr>
      <w:tr w:rsidR="00432F09" w:rsidRPr="00B33432" w14:paraId="4663360E" w14:textId="77777777" w:rsidTr="00047077">
        <w:tc>
          <w:tcPr>
            <w:tcW w:w="1897" w:type="dxa"/>
          </w:tcPr>
          <w:p w14:paraId="556F47DB" w14:textId="77777777" w:rsidR="00432F09" w:rsidRPr="00B33432" w:rsidRDefault="00432F09" w:rsidP="00432F09">
            <w:pPr>
              <w:spacing w:after="250" w:line="276" w:lineRule="auto"/>
              <w:rPr>
                <w:rFonts w:ascii="Arial" w:hAnsi="Arial" w:cs="Arial"/>
              </w:rPr>
            </w:pPr>
            <w:r w:rsidRPr="00B33432">
              <w:rPr>
                <w:rFonts w:ascii="Arial" w:hAnsi="Arial" w:cs="Arial"/>
              </w:rPr>
              <w:t>16. Delta-one instruments</w:t>
            </w:r>
          </w:p>
        </w:tc>
        <w:tc>
          <w:tcPr>
            <w:tcW w:w="1873" w:type="dxa"/>
          </w:tcPr>
          <w:p w14:paraId="66204FF1" w14:textId="3BB4F18E" w:rsidR="00432F09" w:rsidRPr="00B33432" w:rsidRDefault="00432F09" w:rsidP="00432F09">
            <w:pPr>
              <w:spacing w:after="250" w:line="276" w:lineRule="auto"/>
              <w:jc w:val="both"/>
              <w:rPr>
                <w:rFonts w:ascii="Arial" w:hAnsi="Arial" w:cs="Arial"/>
                <w:color w:val="181818"/>
              </w:rPr>
            </w:pPr>
            <w:r>
              <w:rPr>
                <w:rFonts w:ascii="Arial" w:hAnsi="Arial" w:cs="Arial"/>
                <w:color w:val="181818"/>
              </w:rPr>
              <w:t xml:space="preserve">These can offer cost efficent exposure to eligible asset classes, in particular can allow managers to quickly deploy </w:t>
            </w:r>
            <w:r w:rsidR="00A8770E">
              <w:rPr>
                <w:rFonts w:ascii="Arial" w:hAnsi="Arial" w:cs="Arial"/>
                <w:color w:val="181818"/>
              </w:rPr>
              <w:t xml:space="preserve">inflows if the manager is unable to allocate to individual securities immediately. Delta one securities can also allow UCITS to gain some exposure to non-eligible assets, but via products with characteristics in line with transferable securities. </w:t>
            </w:r>
          </w:p>
        </w:tc>
        <w:tc>
          <w:tcPr>
            <w:tcW w:w="1688" w:type="dxa"/>
          </w:tcPr>
          <w:p w14:paraId="2DBF0D7D" w14:textId="1110788E" w:rsidR="00432F09" w:rsidRPr="00B33432" w:rsidRDefault="00432F09" w:rsidP="00432F09">
            <w:pPr>
              <w:spacing w:after="250" w:line="276" w:lineRule="auto"/>
              <w:jc w:val="both"/>
              <w:rPr>
                <w:rFonts w:ascii="Arial" w:hAnsi="Arial" w:cs="Arial"/>
                <w:color w:val="181818"/>
              </w:rPr>
            </w:pPr>
            <w:r>
              <w:rPr>
                <w:rFonts w:ascii="Arial" w:hAnsi="Arial" w:cs="Arial"/>
                <w:color w:val="181818"/>
              </w:rPr>
              <w:t>N/A</w:t>
            </w:r>
          </w:p>
        </w:tc>
        <w:tc>
          <w:tcPr>
            <w:tcW w:w="1934" w:type="dxa"/>
          </w:tcPr>
          <w:p w14:paraId="6B62F1B3" w14:textId="786213EC" w:rsidR="00A8770E" w:rsidRPr="00B33432" w:rsidRDefault="00A8770E" w:rsidP="00432F09">
            <w:pPr>
              <w:spacing w:after="250" w:line="276" w:lineRule="auto"/>
              <w:jc w:val="both"/>
              <w:rPr>
                <w:rFonts w:ascii="Arial" w:hAnsi="Arial" w:cs="Arial"/>
                <w:color w:val="181818"/>
              </w:rPr>
            </w:pPr>
            <w:r>
              <w:rPr>
                <w:rFonts w:ascii="Arial" w:hAnsi="Arial" w:cs="Arial"/>
                <w:color w:val="181818"/>
              </w:rPr>
              <w:t>Around 40.3% of UCITS in IA sectors have some exposure to certain delta one instruments (futures, swaps, forwards net commitment).</w:t>
            </w:r>
          </w:p>
        </w:tc>
        <w:tc>
          <w:tcPr>
            <w:tcW w:w="1928" w:type="dxa"/>
          </w:tcPr>
          <w:p w14:paraId="02F2C34E" w14:textId="77777777" w:rsidR="00432F09" w:rsidRPr="00B33432" w:rsidRDefault="00432F09" w:rsidP="00432F09">
            <w:pPr>
              <w:spacing w:after="250" w:line="276" w:lineRule="auto"/>
              <w:jc w:val="both"/>
              <w:rPr>
                <w:rFonts w:ascii="Arial" w:hAnsi="Arial" w:cs="Arial"/>
                <w:color w:val="181818"/>
              </w:rPr>
            </w:pPr>
          </w:p>
        </w:tc>
      </w:tr>
      <w:tr w:rsidR="00432F09" w:rsidRPr="00B33432" w14:paraId="6004F4E8" w14:textId="77777777" w:rsidTr="00047077">
        <w:tc>
          <w:tcPr>
            <w:tcW w:w="1897" w:type="dxa"/>
          </w:tcPr>
          <w:p w14:paraId="73D5771C" w14:textId="77777777" w:rsidR="00432F09" w:rsidRPr="00B33432" w:rsidRDefault="00432F09" w:rsidP="00432F09">
            <w:pPr>
              <w:spacing w:after="250" w:line="276" w:lineRule="auto"/>
              <w:rPr>
                <w:rFonts w:ascii="Arial" w:hAnsi="Arial" w:cs="Arial"/>
              </w:rPr>
            </w:pPr>
            <w:r w:rsidRPr="00B33432">
              <w:rPr>
                <w:rFonts w:ascii="Arial" w:hAnsi="Arial" w:cs="Arial"/>
              </w:rPr>
              <w:t>17. Exchange-traded notes (‘ETNs’)</w:t>
            </w:r>
          </w:p>
        </w:tc>
        <w:tc>
          <w:tcPr>
            <w:tcW w:w="1873" w:type="dxa"/>
          </w:tcPr>
          <w:p w14:paraId="5CEC85CD" w14:textId="77777777" w:rsidR="00432F09" w:rsidRDefault="00A8770E" w:rsidP="00432F09">
            <w:pPr>
              <w:spacing w:after="250" w:line="276" w:lineRule="auto"/>
              <w:jc w:val="both"/>
              <w:rPr>
                <w:rFonts w:ascii="Arial" w:hAnsi="Arial" w:cs="Arial"/>
                <w:color w:val="181818"/>
              </w:rPr>
            </w:pPr>
            <w:r>
              <w:rPr>
                <w:rFonts w:ascii="Arial" w:hAnsi="Arial" w:cs="Arial"/>
                <w:color w:val="181818"/>
              </w:rPr>
              <w:t xml:space="preserve">Can provide diversified portfolio returns. </w:t>
            </w:r>
          </w:p>
          <w:p w14:paraId="680A4E5D" w14:textId="433AF8FD" w:rsidR="00A8770E" w:rsidRPr="00B33432" w:rsidRDefault="00A8770E" w:rsidP="00432F09">
            <w:pPr>
              <w:spacing w:after="250" w:line="276" w:lineRule="auto"/>
              <w:jc w:val="both"/>
              <w:rPr>
                <w:rFonts w:ascii="Arial" w:hAnsi="Arial" w:cs="Arial"/>
                <w:color w:val="181818"/>
              </w:rPr>
            </w:pPr>
            <w:r>
              <w:rPr>
                <w:rFonts w:ascii="Arial" w:hAnsi="Arial" w:cs="Arial"/>
                <w:color w:val="181818"/>
              </w:rPr>
              <w:t xml:space="preserve">Liquidity of </w:t>
            </w:r>
            <w:r w:rsidR="00143F12">
              <w:rPr>
                <w:rFonts w:ascii="Arial" w:hAnsi="Arial" w:cs="Arial"/>
                <w:color w:val="181818"/>
              </w:rPr>
              <w:t>ETN</w:t>
            </w:r>
            <w:r>
              <w:rPr>
                <w:rFonts w:ascii="Arial" w:hAnsi="Arial" w:cs="Arial"/>
                <w:color w:val="181818"/>
              </w:rPr>
              <w:t xml:space="preserve"> needs to be considered</w:t>
            </w:r>
            <w:r w:rsidR="00C9697B">
              <w:rPr>
                <w:rFonts w:ascii="Arial" w:hAnsi="Arial" w:cs="Arial"/>
                <w:color w:val="181818"/>
              </w:rPr>
              <w:t xml:space="preserve">. </w:t>
            </w:r>
          </w:p>
        </w:tc>
        <w:tc>
          <w:tcPr>
            <w:tcW w:w="1688" w:type="dxa"/>
          </w:tcPr>
          <w:p w14:paraId="19219836" w14:textId="17C717E2" w:rsidR="00432F09" w:rsidRPr="00B33432" w:rsidRDefault="00A8770E" w:rsidP="00432F09">
            <w:pPr>
              <w:spacing w:after="250" w:line="276" w:lineRule="auto"/>
              <w:jc w:val="both"/>
              <w:rPr>
                <w:rFonts w:ascii="Arial" w:hAnsi="Arial" w:cs="Arial"/>
                <w:color w:val="181818"/>
              </w:rPr>
            </w:pPr>
            <w:r>
              <w:rPr>
                <w:rFonts w:ascii="Arial" w:hAnsi="Arial" w:cs="Arial"/>
                <w:color w:val="181818"/>
              </w:rPr>
              <w:t>N/A</w:t>
            </w:r>
          </w:p>
        </w:tc>
        <w:tc>
          <w:tcPr>
            <w:tcW w:w="1934" w:type="dxa"/>
          </w:tcPr>
          <w:p w14:paraId="296FEF7D" w14:textId="2FDE5C3D" w:rsidR="00432F09" w:rsidRPr="00B33432" w:rsidRDefault="00B37CA1" w:rsidP="00432F09">
            <w:pPr>
              <w:spacing w:after="250" w:line="276" w:lineRule="auto"/>
              <w:jc w:val="both"/>
              <w:rPr>
                <w:rFonts w:ascii="Arial" w:hAnsi="Arial" w:cs="Arial"/>
                <w:color w:val="181818"/>
              </w:rPr>
            </w:pPr>
            <w:r>
              <w:rPr>
                <w:rFonts w:ascii="Arial" w:hAnsi="Arial" w:cs="Arial"/>
                <w:color w:val="181818"/>
              </w:rPr>
              <w:t>T</w:t>
            </w:r>
            <w:r w:rsidR="00A8770E">
              <w:rPr>
                <w:rFonts w:ascii="Arial" w:hAnsi="Arial" w:cs="Arial"/>
                <w:color w:val="181818"/>
              </w:rPr>
              <w:t xml:space="preserve">he IA understands some members use structured notes as components of wider portfolios. </w:t>
            </w:r>
          </w:p>
        </w:tc>
        <w:tc>
          <w:tcPr>
            <w:tcW w:w="1928" w:type="dxa"/>
          </w:tcPr>
          <w:p w14:paraId="7194DBDC" w14:textId="77777777" w:rsidR="00432F09" w:rsidRPr="00B33432" w:rsidRDefault="00432F09" w:rsidP="00432F09">
            <w:pPr>
              <w:spacing w:after="250" w:line="276" w:lineRule="auto"/>
              <w:jc w:val="both"/>
              <w:rPr>
                <w:rFonts w:ascii="Arial" w:hAnsi="Arial" w:cs="Arial"/>
                <w:color w:val="181818"/>
              </w:rPr>
            </w:pPr>
          </w:p>
        </w:tc>
      </w:tr>
      <w:tr w:rsidR="00432F09" w:rsidRPr="00B33432" w14:paraId="66BB473F" w14:textId="77777777" w:rsidTr="00047077">
        <w:tc>
          <w:tcPr>
            <w:tcW w:w="1897" w:type="dxa"/>
          </w:tcPr>
          <w:p w14:paraId="08FCC5EB" w14:textId="77777777" w:rsidR="00432F09" w:rsidRPr="00B33432" w:rsidRDefault="00432F09" w:rsidP="00432F09">
            <w:pPr>
              <w:spacing w:after="250" w:line="276" w:lineRule="auto"/>
              <w:rPr>
                <w:rFonts w:ascii="Arial" w:hAnsi="Arial" w:cs="Arial"/>
              </w:rPr>
            </w:pPr>
            <w:r w:rsidRPr="00B33432">
              <w:rPr>
                <w:rFonts w:ascii="Arial" w:hAnsi="Arial" w:cs="Arial"/>
              </w:rPr>
              <w:t xml:space="preserve">18. Asset-backed securities (‘ABS’) </w:t>
            </w:r>
            <w:r w:rsidRPr="00B33432">
              <w:rPr>
                <w:rFonts w:ascii="Arial" w:hAnsi="Arial" w:cs="Arial"/>
              </w:rPr>
              <w:lastRenderedPageBreak/>
              <w:t>including mortgage-backed securities (‘MBS’)</w:t>
            </w:r>
          </w:p>
        </w:tc>
        <w:tc>
          <w:tcPr>
            <w:tcW w:w="1873" w:type="dxa"/>
          </w:tcPr>
          <w:p w14:paraId="769D0D3C" w14:textId="175ED398" w:rsidR="00432F09" w:rsidRPr="00B33432" w:rsidRDefault="00A8770E" w:rsidP="00432F09">
            <w:pPr>
              <w:spacing w:after="250" w:line="276" w:lineRule="auto"/>
              <w:jc w:val="both"/>
              <w:rPr>
                <w:rFonts w:ascii="Arial" w:hAnsi="Arial" w:cs="Arial"/>
                <w:color w:val="181818"/>
              </w:rPr>
            </w:pPr>
            <w:r>
              <w:rPr>
                <w:rFonts w:ascii="Arial" w:hAnsi="Arial" w:cs="Arial"/>
                <w:color w:val="181818"/>
              </w:rPr>
              <w:lastRenderedPageBreak/>
              <w:t xml:space="preserve">Can provide diversification/additional </w:t>
            </w:r>
            <w:r>
              <w:rPr>
                <w:rFonts w:ascii="Arial" w:hAnsi="Arial" w:cs="Arial"/>
                <w:color w:val="181818"/>
              </w:rPr>
              <w:lastRenderedPageBreak/>
              <w:t xml:space="preserve">yield for fixed income portfolios. </w:t>
            </w:r>
          </w:p>
        </w:tc>
        <w:tc>
          <w:tcPr>
            <w:tcW w:w="1688" w:type="dxa"/>
          </w:tcPr>
          <w:p w14:paraId="54CD245A" w14:textId="75DF7E96" w:rsidR="00432F09" w:rsidRPr="00B33432" w:rsidRDefault="00A8770E" w:rsidP="00432F09">
            <w:pPr>
              <w:spacing w:after="250" w:line="276" w:lineRule="auto"/>
              <w:jc w:val="both"/>
              <w:rPr>
                <w:rFonts w:ascii="Arial" w:hAnsi="Arial" w:cs="Arial"/>
                <w:color w:val="181818"/>
              </w:rPr>
            </w:pPr>
            <w:r>
              <w:rPr>
                <w:rFonts w:ascii="Arial" w:hAnsi="Arial" w:cs="Arial"/>
                <w:color w:val="181818"/>
              </w:rPr>
              <w:lastRenderedPageBreak/>
              <w:t>Same as direct.</w:t>
            </w:r>
          </w:p>
        </w:tc>
        <w:tc>
          <w:tcPr>
            <w:tcW w:w="1934" w:type="dxa"/>
          </w:tcPr>
          <w:p w14:paraId="1231BE67" w14:textId="17F3230B" w:rsidR="00432F09" w:rsidRPr="00B33432" w:rsidRDefault="00C9697B" w:rsidP="00432F09">
            <w:pPr>
              <w:spacing w:after="250" w:line="276" w:lineRule="auto"/>
              <w:jc w:val="both"/>
              <w:rPr>
                <w:rFonts w:ascii="Arial" w:hAnsi="Arial" w:cs="Arial"/>
                <w:color w:val="181818"/>
              </w:rPr>
            </w:pPr>
            <w:r>
              <w:rPr>
                <w:rFonts w:ascii="Arial" w:hAnsi="Arial" w:cs="Arial"/>
                <w:color w:val="181818"/>
              </w:rPr>
              <w:t xml:space="preserve">Around 2.0% of UCITS in IA sectors have </w:t>
            </w:r>
            <w:r>
              <w:rPr>
                <w:rFonts w:ascii="Arial" w:hAnsi="Arial" w:cs="Arial"/>
                <w:color w:val="181818"/>
              </w:rPr>
              <w:lastRenderedPageBreak/>
              <w:t xml:space="preserve">some exposure to ABS. </w:t>
            </w:r>
          </w:p>
        </w:tc>
        <w:tc>
          <w:tcPr>
            <w:tcW w:w="1928" w:type="dxa"/>
          </w:tcPr>
          <w:p w14:paraId="36FEB5B0" w14:textId="63C6E061" w:rsidR="00432F09" w:rsidRPr="00B33432" w:rsidRDefault="00C9697B" w:rsidP="00432F09">
            <w:pPr>
              <w:spacing w:after="250" w:line="276" w:lineRule="auto"/>
              <w:jc w:val="both"/>
              <w:rPr>
                <w:rFonts w:ascii="Arial" w:hAnsi="Arial" w:cs="Arial"/>
                <w:color w:val="181818"/>
              </w:rPr>
            </w:pPr>
            <w:r>
              <w:rPr>
                <w:rFonts w:ascii="Arial" w:hAnsi="Arial" w:cs="Arial"/>
                <w:color w:val="181818"/>
              </w:rPr>
              <w:lastRenderedPageBreak/>
              <w:t>Regulatory changes since</w:t>
            </w:r>
            <w:r w:rsidR="00B37CA1">
              <w:rPr>
                <w:rFonts w:ascii="Arial" w:hAnsi="Arial" w:cs="Arial"/>
                <w:color w:val="181818"/>
              </w:rPr>
              <w:t xml:space="preserve"> the</w:t>
            </w:r>
            <w:r>
              <w:rPr>
                <w:rFonts w:ascii="Arial" w:hAnsi="Arial" w:cs="Arial"/>
                <w:color w:val="181818"/>
              </w:rPr>
              <w:t xml:space="preserve"> Global Financial Crisis have </w:t>
            </w:r>
            <w:r>
              <w:rPr>
                <w:rFonts w:ascii="Arial" w:hAnsi="Arial" w:cs="Arial"/>
                <w:color w:val="181818"/>
              </w:rPr>
              <w:lastRenderedPageBreak/>
              <w:t xml:space="preserve">strengthened the robustness of ABS, including risk retention requirements, stricter rules on credit ratings, etc. </w:t>
            </w:r>
          </w:p>
        </w:tc>
      </w:tr>
      <w:tr w:rsidR="00432F09" w:rsidRPr="00B33432" w14:paraId="16623728" w14:textId="77777777" w:rsidTr="00047077">
        <w:tc>
          <w:tcPr>
            <w:tcW w:w="1897" w:type="dxa"/>
          </w:tcPr>
          <w:p w14:paraId="2D5FBB9B" w14:textId="77777777" w:rsidR="00432F09" w:rsidRPr="00B33432" w:rsidRDefault="00432F09" w:rsidP="00432F09">
            <w:pPr>
              <w:spacing w:after="250" w:line="276" w:lineRule="auto"/>
              <w:rPr>
                <w:rFonts w:ascii="Arial" w:hAnsi="Arial" w:cs="Arial"/>
              </w:rPr>
            </w:pPr>
            <w:r w:rsidRPr="00B33432">
              <w:rPr>
                <w:rFonts w:ascii="Arial" w:hAnsi="Arial" w:cs="Arial"/>
              </w:rPr>
              <w:lastRenderedPageBreak/>
              <w:t>19. Other relevant asset classes (please specify)</w:t>
            </w:r>
          </w:p>
        </w:tc>
        <w:tc>
          <w:tcPr>
            <w:tcW w:w="1873" w:type="dxa"/>
          </w:tcPr>
          <w:p w14:paraId="30D7AA69" w14:textId="443F3A8C" w:rsidR="00432F09" w:rsidRPr="00B33432" w:rsidRDefault="00C9697B" w:rsidP="00432F09">
            <w:pPr>
              <w:spacing w:after="250" w:line="276" w:lineRule="auto"/>
              <w:jc w:val="both"/>
              <w:rPr>
                <w:rFonts w:ascii="Arial" w:hAnsi="Arial" w:cs="Arial"/>
                <w:color w:val="181818"/>
              </w:rPr>
            </w:pPr>
            <w:r>
              <w:rPr>
                <w:rFonts w:ascii="Arial" w:hAnsi="Arial" w:cs="Arial"/>
                <w:color w:val="181818"/>
              </w:rPr>
              <w:t>N/A</w:t>
            </w:r>
          </w:p>
        </w:tc>
        <w:tc>
          <w:tcPr>
            <w:tcW w:w="1688" w:type="dxa"/>
          </w:tcPr>
          <w:p w14:paraId="7196D064" w14:textId="5C1B6580" w:rsidR="00432F09" w:rsidRPr="00B33432" w:rsidRDefault="00C9697B" w:rsidP="00432F09">
            <w:pPr>
              <w:spacing w:after="250" w:line="276" w:lineRule="auto"/>
              <w:jc w:val="both"/>
              <w:rPr>
                <w:rFonts w:ascii="Arial" w:hAnsi="Arial" w:cs="Arial"/>
                <w:color w:val="181818"/>
              </w:rPr>
            </w:pPr>
            <w:r>
              <w:rPr>
                <w:rFonts w:ascii="Arial" w:hAnsi="Arial" w:cs="Arial"/>
                <w:color w:val="181818"/>
              </w:rPr>
              <w:t>N/A</w:t>
            </w:r>
          </w:p>
        </w:tc>
        <w:tc>
          <w:tcPr>
            <w:tcW w:w="1934" w:type="dxa"/>
          </w:tcPr>
          <w:p w14:paraId="34FF1C98" w14:textId="2211C82D" w:rsidR="00432F09" w:rsidRPr="00B33432" w:rsidRDefault="00C9697B" w:rsidP="00432F09">
            <w:pPr>
              <w:spacing w:after="250" w:line="276" w:lineRule="auto"/>
              <w:jc w:val="both"/>
              <w:rPr>
                <w:rFonts w:ascii="Arial" w:hAnsi="Arial" w:cs="Arial"/>
                <w:color w:val="181818"/>
              </w:rPr>
            </w:pPr>
            <w:r>
              <w:rPr>
                <w:rFonts w:ascii="Arial" w:hAnsi="Arial" w:cs="Arial"/>
                <w:color w:val="181818"/>
              </w:rPr>
              <w:t>N/A</w:t>
            </w:r>
          </w:p>
        </w:tc>
        <w:tc>
          <w:tcPr>
            <w:tcW w:w="1928" w:type="dxa"/>
          </w:tcPr>
          <w:p w14:paraId="6D072C0D" w14:textId="1F3936AC" w:rsidR="00432F09" w:rsidRPr="00B33432" w:rsidRDefault="00C9697B" w:rsidP="00432F09">
            <w:pPr>
              <w:spacing w:after="250" w:line="276" w:lineRule="auto"/>
              <w:jc w:val="both"/>
              <w:rPr>
                <w:rFonts w:ascii="Arial" w:hAnsi="Arial" w:cs="Arial"/>
                <w:color w:val="181818"/>
              </w:rPr>
            </w:pPr>
            <w:r>
              <w:rPr>
                <w:rFonts w:ascii="Arial" w:hAnsi="Arial" w:cs="Arial"/>
                <w:color w:val="181818"/>
              </w:rPr>
              <w:t>N/A</w:t>
            </w: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DDDD" w14:textId="77777777" w:rsidR="00C365B4" w:rsidRDefault="00C365B4" w:rsidP="00B33432">
      <w:pPr>
        <w:spacing w:after="0" w:line="240" w:lineRule="auto"/>
      </w:pPr>
      <w:r>
        <w:separator/>
      </w:r>
    </w:p>
  </w:endnote>
  <w:endnote w:type="continuationSeparator" w:id="0">
    <w:p w14:paraId="600CC0DA" w14:textId="77777777" w:rsidR="00C365B4" w:rsidRDefault="00C365B4" w:rsidP="00B33432">
      <w:pPr>
        <w:spacing w:after="0" w:line="240" w:lineRule="auto"/>
      </w:pPr>
      <w:r>
        <w:continuationSeparator/>
      </w:r>
    </w:p>
  </w:endnote>
  <w:endnote w:type="continuationNotice" w:id="1">
    <w:p w14:paraId="52D14C8B" w14:textId="77777777" w:rsidR="00C365B4" w:rsidRDefault="00C36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1F2C9" w14:textId="77777777" w:rsidR="00C365B4" w:rsidRDefault="00C365B4" w:rsidP="00B33432">
      <w:pPr>
        <w:spacing w:after="0" w:line="240" w:lineRule="auto"/>
      </w:pPr>
      <w:r>
        <w:separator/>
      </w:r>
    </w:p>
  </w:footnote>
  <w:footnote w:type="continuationSeparator" w:id="0">
    <w:p w14:paraId="458EC0A0" w14:textId="77777777" w:rsidR="00C365B4" w:rsidRDefault="00C365B4" w:rsidP="00B33432">
      <w:pPr>
        <w:spacing w:after="0" w:line="240" w:lineRule="auto"/>
      </w:pPr>
      <w:r>
        <w:continuationSeparator/>
      </w:r>
    </w:p>
  </w:footnote>
  <w:footnote w:type="continuationNotice" w:id="1">
    <w:p w14:paraId="2D6BF6EA" w14:textId="77777777" w:rsidR="00C365B4" w:rsidRDefault="00C365B4">
      <w:pPr>
        <w:spacing w:after="0" w:line="240" w:lineRule="auto"/>
      </w:pPr>
    </w:p>
  </w:footnote>
  <w:footnote w:id="2">
    <w:p w14:paraId="53A506E4"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047077" w:rsidRPr="00332B8C" w:rsidRDefault="00047077"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47077"/>
    <w:rsid w:val="00050BF8"/>
    <w:rsid w:val="00065543"/>
    <w:rsid w:val="00067CE6"/>
    <w:rsid w:val="0008325F"/>
    <w:rsid w:val="000B57EC"/>
    <w:rsid w:val="000D6E83"/>
    <w:rsid w:val="001301D9"/>
    <w:rsid w:val="00143F12"/>
    <w:rsid w:val="001462AD"/>
    <w:rsid w:val="00150222"/>
    <w:rsid w:val="00151A93"/>
    <w:rsid w:val="00152FEF"/>
    <w:rsid w:val="00162CAE"/>
    <w:rsid w:val="0017743F"/>
    <w:rsid w:val="001907D2"/>
    <w:rsid w:val="001A53B9"/>
    <w:rsid w:val="001B11A8"/>
    <w:rsid w:val="001B3BDE"/>
    <w:rsid w:val="00203EF5"/>
    <w:rsid w:val="002072B4"/>
    <w:rsid w:val="00214BB9"/>
    <w:rsid w:val="00243F87"/>
    <w:rsid w:val="0025199F"/>
    <w:rsid w:val="0026434D"/>
    <w:rsid w:val="00264F16"/>
    <w:rsid w:val="00266B15"/>
    <w:rsid w:val="00276785"/>
    <w:rsid w:val="002829AC"/>
    <w:rsid w:val="00282BD2"/>
    <w:rsid w:val="00290E24"/>
    <w:rsid w:val="002A740A"/>
    <w:rsid w:val="002C01CE"/>
    <w:rsid w:val="002D58CD"/>
    <w:rsid w:val="002D6186"/>
    <w:rsid w:val="002F58FB"/>
    <w:rsid w:val="00302B24"/>
    <w:rsid w:val="00304E46"/>
    <w:rsid w:val="00332B8C"/>
    <w:rsid w:val="0035372F"/>
    <w:rsid w:val="00394809"/>
    <w:rsid w:val="003A6B50"/>
    <w:rsid w:val="003D2C3C"/>
    <w:rsid w:val="0040029B"/>
    <w:rsid w:val="00432F09"/>
    <w:rsid w:val="004664E3"/>
    <w:rsid w:val="00470FA5"/>
    <w:rsid w:val="0048151A"/>
    <w:rsid w:val="00486EE2"/>
    <w:rsid w:val="004C269D"/>
    <w:rsid w:val="004E4545"/>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5F5593"/>
    <w:rsid w:val="00605E0B"/>
    <w:rsid w:val="00611825"/>
    <w:rsid w:val="0061475B"/>
    <w:rsid w:val="00686D73"/>
    <w:rsid w:val="006965B6"/>
    <w:rsid w:val="006B26D4"/>
    <w:rsid w:val="006B6977"/>
    <w:rsid w:val="006B7B4A"/>
    <w:rsid w:val="006C47BC"/>
    <w:rsid w:val="006C7811"/>
    <w:rsid w:val="00712439"/>
    <w:rsid w:val="00753DB8"/>
    <w:rsid w:val="00784D7C"/>
    <w:rsid w:val="00794019"/>
    <w:rsid w:val="007A589D"/>
    <w:rsid w:val="007D3815"/>
    <w:rsid w:val="00817444"/>
    <w:rsid w:val="0082338F"/>
    <w:rsid w:val="00824ED5"/>
    <w:rsid w:val="008351CF"/>
    <w:rsid w:val="00847BDD"/>
    <w:rsid w:val="0087027F"/>
    <w:rsid w:val="00886164"/>
    <w:rsid w:val="008B6D19"/>
    <w:rsid w:val="008C4D04"/>
    <w:rsid w:val="008C7800"/>
    <w:rsid w:val="008D1492"/>
    <w:rsid w:val="008F75E2"/>
    <w:rsid w:val="00901098"/>
    <w:rsid w:val="00915CEE"/>
    <w:rsid w:val="00916C63"/>
    <w:rsid w:val="00920E73"/>
    <w:rsid w:val="009212B4"/>
    <w:rsid w:val="009244B3"/>
    <w:rsid w:val="00951595"/>
    <w:rsid w:val="00967D76"/>
    <w:rsid w:val="00971266"/>
    <w:rsid w:val="00997493"/>
    <w:rsid w:val="009A3E35"/>
    <w:rsid w:val="009F7052"/>
    <w:rsid w:val="00A238E7"/>
    <w:rsid w:val="00A338CF"/>
    <w:rsid w:val="00A35853"/>
    <w:rsid w:val="00A53BC9"/>
    <w:rsid w:val="00A65C54"/>
    <w:rsid w:val="00A73913"/>
    <w:rsid w:val="00A85F46"/>
    <w:rsid w:val="00A8770E"/>
    <w:rsid w:val="00A87C58"/>
    <w:rsid w:val="00AC37DB"/>
    <w:rsid w:val="00AE6FD6"/>
    <w:rsid w:val="00AF3545"/>
    <w:rsid w:val="00AF55C3"/>
    <w:rsid w:val="00B01DB8"/>
    <w:rsid w:val="00B024C2"/>
    <w:rsid w:val="00B31C6E"/>
    <w:rsid w:val="00B33432"/>
    <w:rsid w:val="00B37CA1"/>
    <w:rsid w:val="00B53F54"/>
    <w:rsid w:val="00B626E5"/>
    <w:rsid w:val="00B62E29"/>
    <w:rsid w:val="00B87D22"/>
    <w:rsid w:val="00B909FB"/>
    <w:rsid w:val="00BB49D8"/>
    <w:rsid w:val="00BC220D"/>
    <w:rsid w:val="00BC577D"/>
    <w:rsid w:val="00BD4295"/>
    <w:rsid w:val="00BD7454"/>
    <w:rsid w:val="00C06FE4"/>
    <w:rsid w:val="00C112F7"/>
    <w:rsid w:val="00C202C8"/>
    <w:rsid w:val="00C242FA"/>
    <w:rsid w:val="00C365B4"/>
    <w:rsid w:val="00C36669"/>
    <w:rsid w:val="00C745C1"/>
    <w:rsid w:val="00C76159"/>
    <w:rsid w:val="00C95659"/>
    <w:rsid w:val="00C9697B"/>
    <w:rsid w:val="00CB1B38"/>
    <w:rsid w:val="00CF043C"/>
    <w:rsid w:val="00CF0B7A"/>
    <w:rsid w:val="00D01FE5"/>
    <w:rsid w:val="00D10784"/>
    <w:rsid w:val="00D16F57"/>
    <w:rsid w:val="00D45009"/>
    <w:rsid w:val="00D6002F"/>
    <w:rsid w:val="00D64553"/>
    <w:rsid w:val="00D76B17"/>
    <w:rsid w:val="00D86E5D"/>
    <w:rsid w:val="00DB5AAB"/>
    <w:rsid w:val="00DD67D7"/>
    <w:rsid w:val="00DF78BC"/>
    <w:rsid w:val="00E435B6"/>
    <w:rsid w:val="00E61A0C"/>
    <w:rsid w:val="00E771B9"/>
    <w:rsid w:val="00E87C61"/>
    <w:rsid w:val="00EB50EB"/>
    <w:rsid w:val="00EE4C70"/>
    <w:rsid w:val="00EE5B1A"/>
    <w:rsid w:val="00EF2185"/>
    <w:rsid w:val="00F03868"/>
    <w:rsid w:val="00F03D56"/>
    <w:rsid w:val="00F042E8"/>
    <w:rsid w:val="00F278BC"/>
    <w:rsid w:val="00F51146"/>
    <w:rsid w:val="00F5738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sma.europa.eu/press-news/consultations/call-evidence-review-ucits-eligible-assets-directiv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B18E0224E67D4998A339C0008297E8" ma:contentTypeVersion="14" ma:contentTypeDescription="Create a new document." ma:contentTypeScope="" ma:versionID="2f3b9afaa8a98eeccd6e5aafebce27cc">
  <xsd:schema xmlns:xsd="http://www.w3.org/2001/XMLSchema" xmlns:xs="http://www.w3.org/2001/XMLSchema" xmlns:p="http://schemas.microsoft.com/office/2006/metadata/properties" xmlns:ns2="9acd5d89-4c15-4de4-a020-2927cc75d153" xmlns:ns3="1ff8736b-dc9c-4a25-bdd2-0a39276d4f89" targetNamespace="http://schemas.microsoft.com/office/2006/metadata/properties" ma:root="true" ma:fieldsID="8b8541628316e86a43730b5ce762c4a9" ns2:_="" ns3:_="">
    <xsd:import namespace="9acd5d89-4c15-4de4-a020-2927cc75d153"/>
    <xsd:import namespace="1ff8736b-dc9c-4a25-bdd2-0a39276d4f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d5d89-4c15-4de4-a020-2927cc75d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8736b-dc9c-4a25-bdd2-0a39276d4f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7f29d3-8438-4f9a-b630-a213fdf5d172}" ma:internalName="TaxCatchAll" ma:showField="CatchAllData" ma:web="1ff8736b-dc9c-4a25-bdd2-0a39276d4f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f8736b-dc9c-4a25-bdd2-0a39276d4f89" xsi:nil="true"/>
    <SharedWithUsers xmlns="1ff8736b-dc9c-4a25-bdd2-0a39276d4f89">
      <UserInfo>
        <DisplayName/>
        <AccountId xsi:nil="true"/>
        <AccountType/>
      </UserInfo>
    </SharedWithUsers>
    <lcf76f155ced4ddcb4097134ff3c332f xmlns="9acd5d89-4c15-4de4-a020-2927cc75d1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EC7362-CE0E-45A1-9F25-BE624802C55F}">
  <ds:schemaRefs>
    <ds:schemaRef ds:uri="http://schemas.microsoft.com/sharepoint/v3/contenttype/forms"/>
  </ds:schemaRefs>
</ds:datastoreItem>
</file>

<file path=customXml/itemProps2.xml><?xml version="1.0" encoding="utf-8"?>
<ds:datastoreItem xmlns:ds="http://schemas.openxmlformats.org/officeDocument/2006/customXml" ds:itemID="{CB51EF57-C9E8-4014-BF9D-C50D823B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d5d89-4c15-4de4-a020-2927cc75d153"/>
    <ds:schemaRef ds:uri="1ff8736b-dc9c-4a25-bdd2-0a39276d4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697FA-BE24-4878-AFDB-AD64CEE0912C}">
  <ds:schemaRefs>
    <ds:schemaRef ds:uri="1ff8736b-dc9c-4a25-bdd2-0a39276d4f89"/>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9acd5d89-4c15-4de4-a020-2927cc75d1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Peter Capper</cp:lastModifiedBy>
  <cp:revision>31</cp:revision>
  <dcterms:created xsi:type="dcterms:W3CDTF">2024-08-07T14:30:00Z</dcterms:created>
  <dcterms:modified xsi:type="dcterms:W3CDTF">2024-08-07T15:42:00Z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0x01010038B18E0224E67D4998A339C0008297E8</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y fmtid="{D5CDD505-2E9C-101B-9397-08002B2CF9AE}" pid="10" name="MediaServiceImageTags">
    <vt:lpwstr/>
  </property>
</Properties>
</file>