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A38AE"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3"/>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4"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5">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133CD925" w:rsidR="00635BCA" w:rsidRPr="00557BD2" w:rsidRDefault="00A36031" w:rsidP="00D21C35">
                <w:r>
                  <w:t>AFG</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EndPr/>
          <w:sdtContent>
            <w:permStart w:id="476595074" w:edGrp="everyone" w:displacedByCustomXml="prev"/>
            <w:tc>
              <w:tcPr>
                <w:tcW w:w="4531" w:type="dxa"/>
              </w:tcPr>
              <w:p w14:paraId="7403D812" w14:textId="6458BCBD" w:rsidR="00635BCA" w:rsidRPr="00557BD2" w:rsidRDefault="00A36031" w:rsidP="00D21C35">
                <w:r>
                  <w:t>French asset management association</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082BEFC3" w:rsidR="00635BCA" w:rsidRPr="00557BD2" w:rsidRDefault="00A36031" w:rsidP="00D21C35">
                <w:r>
                  <w:t>France</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059ABBD5" w14:textId="5F8CA89D" w:rsidR="00454A4A" w:rsidRDefault="0071528B" w:rsidP="00667FF6">
      <w:permStart w:id="1975413025" w:edGrp="everyone"/>
      <w:r>
        <w:t xml:space="preserve">For AFG members the </w:t>
      </w:r>
      <w:r w:rsidR="00856B31">
        <w:t>priority</w:t>
      </w:r>
      <w:r>
        <w:t xml:space="preserve"> is to maintain the global reputation of the UCITS “brand” </w:t>
      </w:r>
      <w:r>
        <w:rPr>
          <w:lang w:val="en-US"/>
        </w:rPr>
        <w:t>as</w:t>
      </w:r>
      <w:r w:rsidRPr="00B73674">
        <w:rPr>
          <w:lang w:val="en-US"/>
        </w:rPr>
        <w:t xml:space="preserve"> a secure, well-diversified, liquid, and transparent collective investment </w:t>
      </w:r>
      <w:r w:rsidR="00306EC1" w:rsidRPr="00B73674">
        <w:rPr>
          <w:lang w:val="en-US"/>
        </w:rPr>
        <w:t>vehicle</w:t>
      </w:r>
      <w:r w:rsidR="00306EC1">
        <w:t xml:space="preserve">. </w:t>
      </w:r>
      <w:r w:rsidR="004F72A7">
        <w:t>T</w:t>
      </w:r>
      <w:r w:rsidR="00454A4A" w:rsidRPr="00454A4A">
        <w:t>he "UCITS” brand offers investors diversified investments (and protection) and its success at European and international level should be preserved</w:t>
      </w:r>
      <w:r w:rsidR="00D2301C">
        <w:t>. Accordingly</w:t>
      </w:r>
      <w:r w:rsidR="004F72A7">
        <w:t>,</w:t>
      </w:r>
      <w:r w:rsidR="00D2301C">
        <w:t xml:space="preserve"> </w:t>
      </w:r>
      <w:r w:rsidR="00454A4A" w:rsidRPr="00454A4A">
        <w:t>it would be dangerous for the brand to distinguish within UCITS between complex and non-complex UCITS</w:t>
      </w:r>
      <w:r w:rsidR="00454A4A">
        <w:t>.</w:t>
      </w:r>
    </w:p>
    <w:p w14:paraId="1E7C868E" w14:textId="59F4DB48" w:rsidR="00667FF6" w:rsidRDefault="00306EC1" w:rsidP="00667FF6">
      <w:r>
        <w:t>Consequently</w:t>
      </w:r>
      <w:r w:rsidR="0071528B">
        <w:t>, the regulatory stability is of utmost importance</w:t>
      </w:r>
      <w:r>
        <w:t xml:space="preserve"> and </w:t>
      </w:r>
      <w:r w:rsidR="00454A4A">
        <w:t>t</w:t>
      </w:r>
      <w:r w:rsidR="00454A4A" w:rsidRPr="00454A4A">
        <w:t>here is no need at the European level to re-open th</w:t>
      </w:r>
      <w:r w:rsidR="00F36EF3">
        <w:t>e level one directive</w:t>
      </w:r>
      <w:r w:rsidR="00454A4A" w:rsidRPr="00454A4A">
        <w:t xml:space="preserve"> for additional changes; </w:t>
      </w:r>
      <w:r>
        <w:t>this review should be limited</w:t>
      </w:r>
      <w:r w:rsidR="0071528B">
        <w:t xml:space="preserve"> </w:t>
      </w:r>
      <w:r>
        <w:t>to situation</w:t>
      </w:r>
      <w:r w:rsidR="0066741A">
        <w:t>s</w:t>
      </w:r>
      <w:r>
        <w:t xml:space="preserve"> where </w:t>
      </w:r>
      <w:r w:rsidR="00856B31">
        <w:t xml:space="preserve">it </w:t>
      </w:r>
      <w:r>
        <w:t xml:space="preserve">is </w:t>
      </w:r>
      <w:r w:rsidR="0066741A">
        <w:t xml:space="preserve">strictly </w:t>
      </w:r>
      <w:r>
        <w:t>necessary</w:t>
      </w:r>
      <w:r w:rsidR="0066741A">
        <w:t xml:space="preserve">, </w:t>
      </w:r>
      <w:r w:rsidR="0066741A" w:rsidRPr="0066741A">
        <w:t>i.e. in a “targeted and limited review” spirit.</w:t>
      </w:r>
    </w:p>
    <w:p w14:paraId="7DA4A5DC" w14:textId="37D2ADAB" w:rsidR="00454A4A" w:rsidRDefault="00306EC1" w:rsidP="00667FF6">
      <w:r>
        <w:t xml:space="preserve">The most pressing issue </w:t>
      </w:r>
      <w:r w:rsidR="0066741A">
        <w:t>in such</w:t>
      </w:r>
      <w:r>
        <w:t xml:space="preserve"> necessary </w:t>
      </w:r>
      <w:r w:rsidR="0066741A">
        <w:t xml:space="preserve">review </w:t>
      </w:r>
      <w:r>
        <w:t xml:space="preserve">is </w:t>
      </w:r>
      <w:r w:rsidR="00454A4A">
        <w:t xml:space="preserve">to reach </w:t>
      </w:r>
      <w:r w:rsidR="00454A4A" w:rsidRPr="00454A4A">
        <w:t xml:space="preserve">a better convergence between National Competent Authorities in the implementation of the current rules (e.g. look-through approach) </w:t>
      </w:r>
      <w:r w:rsidR="0066741A">
        <w:t>to foster the</w:t>
      </w:r>
      <w:r w:rsidR="00454A4A" w:rsidRPr="00454A4A">
        <w:t xml:space="preserve"> competitiveness </w:t>
      </w:r>
      <w:r w:rsidR="0066741A">
        <w:t>of the EU AM market.</w:t>
      </w:r>
    </w:p>
    <w:p w14:paraId="251555FF" w14:textId="225ADC80" w:rsidR="00306EC1" w:rsidRDefault="000B734B" w:rsidP="00667FF6">
      <w:r>
        <w:t xml:space="preserve"> </w:t>
      </w:r>
      <w:r w:rsidR="00FD4278">
        <w:t xml:space="preserve">The second priority for AFG members is </w:t>
      </w:r>
      <w:r w:rsidR="00306EC1">
        <w:t>to eliminate wherever it is possible the cases of unlevel playing fields</w:t>
      </w:r>
      <w:r w:rsidR="0066741A">
        <w:t xml:space="preserve"> between EU countries.</w:t>
      </w:r>
      <w:r w:rsidR="00306EC1">
        <w:t xml:space="preserve"> </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w:t>
      </w:r>
      <w:r>
        <w:lastRenderedPageBreak/>
        <w:t xml:space="preserve">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33291A42" w14:textId="111737BB" w:rsidR="00667FF6" w:rsidRPr="00306EC1" w:rsidRDefault="00306EC1" w:rsidP="00667FF6">
      <w:pPr>
        <w:rPr>
          <w:lang w:val="en-US"/>
        </w:rPr>
      </w:pPr>
      <w:permStart w:id="85149166" w:edGrp="everyone"/>
      <w:r>
        <w:rPr>
          <w:lang w:val="en-US"/>
        </w:rPr>
        <w:t>No issues have been flagged</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4BC4533F" w:rsidR="00667FF6" w:rsidRPr="00856B31" w:rsidRDefault="00856B31" w:rsidP="00667FF6">
      <w:pPr>
        <w:rPr>
          <w:lang w:val="en-US"/>
        </w:rPr>
      </w:pPr>
      <w:permStart w:id="1981048397" w:edGrp="everyone"/>
      <w:r>
        <w:rPr>
          <w:lang w:val="en-US"/>
        </w:rPr>
        <w:t>No issues have been flagged</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4658538" w14:textId="3DB997C4" w:rsidR="00667FF6" w:rsidRDefault="00856B31" w:rsidP="00667FF6">
      <w:permStart w:id="1012351271" w:edGrp="everyone"/>
      <w:r>
        <w:lastRenderedPageBreak/>
        <w:t xml:space="preserve">Many additional works have been done on these notions since 2007. AFG members believe that there is no need to be more precise given the fact that fund managers are required to </w:t>
      </w:r>
      <w:r w:rsidR="00AD746B">
        <w:t>design and</w:t>
      </w:r>
      <w:r>
        <w:t xml:space="preserve"> apply elaborated liquidity risk management policies.</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51D5FFEF" w14:textId="77777777" w:rsidR="00A41284" w:rsidRDefault="00C72A51" w:rsidP="00667FF6">
      <w:permStart w:id="1300367218" w:edGrp="everyone"/>
      <w:r w:rsidRPr="00C72A51">
        <w:t xml:space="preserve">This presumption </w:t>
      </w:r>
      <w:r w:rsidR="00A41284">
        <w:t xml:space="preserve">of liquidity should not be amended. </w:t>
      </w:r>
    </w:p>
    <w:p w14:paraId="358BED99" w14:textId="0C2C1C6F" w:rsidR="00A41284" w:rsidRDefault="00A41284" w:rsidP="00667FF6">
      <w:r>
        <w:t xml:space="preserve">It is not the objective of UCITS EAD to define the liquidity risk management requirements. Other </w:t>
      </w:r>
      <w:r w:rsidR="004065BE">
        <w:t>pieces</w:t>
      </w:r>
      <w:r>
        <w:t xml:space="preserve"> of regulation </w:t>
      </w:r>
      <w:r w:rsidR="004065BE">
        <w:t xml:space="preserve">deal with such subject matter such as </w:t>
      </w:r>
      <w:r w:rsidR="00C72A51" w:rsidRPr="004065BE">
        <w:rPr>
          <w:highlight w:val="green"/>
        </w:rPr>
        <w:t xml:space="preserve">ESMA </w:t>
      </w:r>
      <w:r w:rsidR="00C65FD1" w:rsidRPr="004065BE">
        <w:rPr>
          <w:highlight w:val="green"/>
        </w:rPr>
        <w:t>guidelines on l</w:t>
      </w:r>
      <w:r w:rsidR="00C72A51" w:rsidRPr="004065BE">
        <w:rPr>
          <w:highlight w:val="green"/>
        </w:rPr>
        <w:t>iq</w:t>
      </w:r>
      <w:r w:rsidR="00C65FD1" w:rsidRPr="004065BE">
        <w:rPr>
          <w:highlight w:val="green"/>
        </w:rPr>
        <w:t>uidity</w:t>
      </w:r>
      <w:r w:rsidR="00C72A51" w:rsidRPr="004065BE">
        <w:rPr>
          <w:highlight w:val="green"/>
        </w:rPr>
        <w:t xml:space="preserve"> </w:t>
      </w:r>
      <w:r w:rsidR="00C65FD1" w:rsidRPr="004065BE">
        <w:rPr>
          <w:highlight w:val="green"/>
        </w:rPr>
        <w:t>stress tests</w:t>
      </w:r>
      <w:r w:rsidR="004065BE" w:rsidRPr="004065BE">
        <w:rPr>
          <w:highlight w:val="green"/>
        </w:rPr>
        <w:t xml:space="preserve"> and</w:t>
      </w:r>
      <w:r w:rsidRPr="004065BE">
        <w:rPr>
          <w:highlight w:val="green"/>
        </w:rPr>
        <w:t xml:space="preserve"> </w:t>
      </w:r>
      <w:r w:rsidR="004065BE">
        <w:rPr>
          <w:highlight w:val="green"/>
        </w:rPr>
        <w:t>Commission D</w:t>
      </w:r>
      <w:r w:rsidRPr="004065BE">
        <w:rPr>
          <w:highlight w:val="green"/>
        </w:rPr>
        <w:t>irective 2010/43</w:t>
      </w:r>
      <w:r w:rsidR="00C72A51" w:rsidRPr="004065BE">
        <w:rPr>
          <w:highlight w:val="green"/>
        </w:rPr>
        <w:t>.</w:t>
      </w:r>
      <w:r w:rsidR="00C72A51" w:rsidRPr="00C72A51">
        <w:t xml:space="preserve"> </w:t>
      </w:r>
    </w:p>
    <w:p w14:paraId="706AC53E" w14:textId="2DD9BF5C" w:rsidR="00C72A51" w:rsidRDefault="00C72A51" w:rsidP="00667FF6">
      <w:r w:rsidRPr="00C72A51">
        <w:t xml:space="preserve">The </w:t>
      </w:r>
      <w:r w:rsidR="00C65FD1">
        <w:t xml:space="preserve">presumption of liquidity and negotiability </w:t>
      </w:r>
      <w:r w:rsidR="004065BE">
        <w:t xml:space="preserve">set out in EAD is focused on the financial instruments level. But the question of liquidity risk management must be assessed at </w:t>
      </w:r>
      <w:r w:rsidRPr="00C72A51">
        <w:t>portfolio level.</w:t>
      </w:r>
    </w:p>
    <w:permEnd w:id="1300367218"/>
    <w:p w14:paraId="25A344BA" w14:textId="127011E2"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2D8E0C45" w14:textId="117E2491" w:rsidR="00DE7AA8" w:rsidRDefault="00DE7AA8" w:rsidP="00DE7AA8">
      <w:pPr>
        <w:rPr>
          <w:color w:val="auto"/>
        </w:rPr>
      </w:pPr>
      <w:permStart w:id="974730357" w:edGrp="everyone"/>
      <w:r>
        <w:rPr>
          <w:lang w:val="en-US"/>
        </w:rPr>
        <w:t xml:space="preserve">The UCITS level 1 Directive exposes that “UCITS may hold ancillary liquid assets” on one side and </w:t>
      </w:r>
      <w:r w:rsidR="00C72507">
        <w:rPr>
          <w:lang w:val="en-US"/>
        </w:rPr>
        <w:t xml:space="preserve">lists </w:t>
      </w:r>
      <w:r w:rsidR="00BB27A5">
        <w:rPr>
          <w:lang w:val="en-US"/>
        </w:rPr>
        <w:t xml:space="preserve">deposits with banks </w:t>
      </w:r>
      <w:r w:rsidR="00C72507">
        <w:rPr>
          <w:lang w:val="en-US"/>
        </w:rPr>
        <w:t xml:space="preserve">as </w:t>
      </w:r>
      <w:r>
        <w:rPr>
          <w:lang w:val="en-US"/>
        </w:rPr>
        <w:t xml:space="preserve">eligible investments assets on the other side. UCITS Directive permits investment in deposits since the Product Directive and sets a specific ratio for that. </w:t>
      </w:r>
      <w:r>
        <w:rPr>
          <w:lang w:val="en-US"/>
        </w:rPr>
        <w:lastRenderedPageBreak/>
        <w:t xml:space="preserve">Deposits were introduced as an investment asset with the Product Directive, distinct from ancillary liquid assets that are foreseen since the Original 1985 Directive, </w:t>
      </w:r>
      <w:r w:rsidR="00D5433E" w:rsidRPr="00D5433E">
        <w:rPr>
          <w:lang w:val="en-US"/>
        </w:rPr>
        <w:t xml:space="preserve">which mentioned  </w:t>
      </w:r>
      <w:r>
        <w:rPr>
          <w:lang w:val="en-US"/>
        </w:rPr>
        <w:t xml:space="preserve">ancillary liquid assets </w:t>
      </w:r>
      <w:r w:rsidR="00D5433E">
        <w:rPr>
          <w:lang w:val="en-US"/>
        </w:rPr>
        <w:t>that</w:t>
      </w:r>
      <w:r>
        <w:rPr>
          <w:lang w:val="en-US"/>
        </w:rPr>
        <w:t xml:space="preserve"> would be used to cover payments, facilitate reinvestment of proceeds from the sale of portfolio holdings or where market conditions require suspension of investment in other financial assets. The UCITS Directive distinguishes thus between cash held at sight and bank deposits held for investment under the UCITS prospectus as part of its investment strategy. A UCITS can always use ancillary liquid assets, while some investment strategies will not cover deposits in their scope. </w:t>
      </w:r>
    </w:p>
    <w:p w14:paraId="3FEE353B" w14:textId="1291ED73" w:rsidR="00667FF6" w:rsidRDefault="00DE7AA8" w:rsidP="00667FF6">
      <w:pPr>
        <w:rPr>
          <w:lang w:val="en-US"/>
        </w:rPr>
      </w:pPr>
      <w:r>
        <w:rPr>
          <w:lang w:val="en-US"/>
        </w:rPr>
        <w:t xml:space="preserve">Level 1 Directive does not set a ratio for ancillary liquid assets as some market situations may necessitate to hold more ancillary liquid assets that normal “business as usual” circumstances. This is thus not harmonized at European level since 1985 (with no problem arising from </w:t>
      </w:r>
      <w:r w:rsidR="00614240">
        <w:rPr>
          <w:lang w:val="en-US"/>
        </w:rPr>
        <w:t>this and</w:t>
      </w:r>
      <w:r>
        <w:rPr>
          <w:lang w:val="en-US"/>
        </w:rPr>
        <w:t xml:space="preserve"> leaving thus room to enough flexibility to adapt). Only a level 1 measure could eventually set a ratio</w:t>
      </w:r>
      <w:r w:rsidR="000A0EED">
        <w:rPr>
          <w:lang w:val="en-US"/>
        </w:rPr>
        <w:t>.</w:t>
      </w:r>
    </w:p>
    <w:p w14:paraId="677DD064" w14:textId="56E796B2" w:rsidR="000A0EED" w:rsidRDefault="000A0EED" w:rsidP="00667FF6">
      <w:pPr>
        <w:rPr>
          <w:lang w:val="en-US"/>
        </w:rPr>
      </w:pPr>
      <w:r>
        <w:rPr>
          <w:lang w:val="en-US"/>
        </w:rPr>
        <w:t>In France, AMF has set for ancillary liquid assets a separate ratio from the UCITS Directive’s deposits. Ancillary liquid assets can have a maximum of 10% that can be raised up of 20% in case of exceptional circumstances. In this case, AMF sets the obligation to respect a maximum of 30% exposure with a counterparty in total, by including this (unsegregated) cash held at sight.</w:t>
      </w:r>
    </w:p>
    <w:p w14:paraId="6224602C" w14:textId="6EBC09DB" w:rsidR="009819A5" w:rsidRDefault="009819A5" w:rsidP="00667FF6">
      <w:pPr>
        <w:rPr>
          <w:lang w:val="en-US"/>
        </w:rPr>
      </w:pPr>
      <w:r>
        <w:rPr>
          <w:lang w:val="en-US"/>
        </w:rPr>
        <w:t>AFG members are well aware of the fact that other local rules are stricter.</w:t>
      </w:r>
      <w:r w:rsidRPr="009819A5">
        <w:rPr>
          <w:lang w:val="en-US"/>
        </w:rPr>
        <w:t xml:space="preserve"> </w:t>
      </w:r>
      <w:r w:rsidR="004B51A8">
        <w:rPr>
          <w:lang w:val="en-US"/>
        </w:rPr>
        <w:t>But</w:t>
      </w:r>
      <w:r>
        <w:rPr>
          <w:lang w:val="en-US"/>
        </w:rPr>
        <w:t xml:space="preserve"> they are worried that these local problems may trigger a detrimental harmonization at pan-European level.</w:t>
      </w:r>
    </w:p>
    <w:p w14:paraId="67C88548" w14:textId="5AB9ACC4" w:rsidR="009819A5" w:rsidRPr="000A0EED" w:rsidRDefault="00DA17C0" w:rsidP="00667FF6">
      <w:pPr>
        <w:rPr>
          <w:color w:val="auto"/>
        </w:rPr>
      </w:pPr>
      <w:r>
        <w:rPr>
          <w:lang w:val="en-US"/>
        </w:rPr>
        <w:t>It can be observed that i</w:t>
      </w:r>
      <w:r w:rsidR="009819A5">
        <w:rPr>
          <w:lang w:val="en-US"/>
        </w:rPr>
        <w:t>n the context of shortening of the settlement cycle in the US to T+1, some implementations prove to be more efficient.</w:t>
      </w:r>
    </w:p>
    <w:permEnd w:id="974730357"/>
    <w:p w14:paraId="307CFCEA" w14:textId="77777777" w:rsidR="00667FF6" w:rsidRDefault="00667FF6" w:rsidP="00667FF6">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6FDED48C" w14:textId="50D1757E" w:rsidR="00D902E8" w:rsidRDefault="00D902E8" w:rsidP="00667FF6">
      <w:permStart w:id="12191390" w:edGrp="everyone"/>
      <w:r>
        <w:t>AFG do not see why such investment possibility should be specifically contemplated. There is no reason to restrain UCITS fund</w:t>
      </w:r>
      <w:r w:rsidR="002C70CD">
        <w:t>’s possibility</w:t>
      </w:r>
      <w:r>
        <w:t xml:space="preserve"> to be exposed to foreign currency for investment purposes. These investments should naturally be subject to the risk management policy of the </w:t>
      </w:r>
      <w:r>
        <w:lastRenderedPageBreak/>
        <w:t xml:space="preserve">fund manager (market risk, liquidity risk, etc …)  </w:t>
      </w:r>
      <w:r w:rsidR="00CB31E5">
        <w:t>and an appropriate disclosure in the documents</w:t>
      </w:r>
      <w:r w:rsidR="00B13E54">
        <w:t>,</w:t>
      </w:r>
      <w:r w:rsidR="00CB31E5">
        <w:t xml:space="preserve"> </w:t>
      </w:r>
      <w:r w:rsidR="00734B5B">
        <w:t>whether</w:t>
      </w:r>
      <w:r>
        <w:t xml:space="preserve"> </w:t>
      </w:r>
      <w:r w:rsidR="00734B5B">
        <w:t>they</w:t>
      </w:r>
      <w:r>
        <w:t xml:space="preserve"> are implemented directly through bank deposit or indirectly </w:t>
      </w:r>
      <w:r w:rsidR="00734B5B">
        <w:t>with FX forward typically.</w:t>
      </w:r>
    </w:p>
    <w:permEnd w:id="12191390"/>
    <w:p w14:paraId="1D468445" w14:textId="38069715"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79D7193A" w14:textId="3AF98034" w:rsidR="00734B5B" w:rsidRDefault="009819A5" w:rsidP="00E94413">
      <w:pPr>
        <w:rPr>
          <w:lang w:val="en-US"/>
        </w:rPr>
      </w:pPr>
      <w:permStart w:id="1602386857" w:edGrp="everyone"/>
      <w:r w:rsidRPr="00254A4E">
        <w:rPr>
          <w:lang w:val="en-US"/>
        </w:rPr>
        <w:t xml:space="preserve">AFG members spotted </w:t>
      </w:r>
      <w:r w:rsidR="004B51A8" w:rsidRPr="00254A4E">
        <w:rPr>
          <w:lang w:val="en-US"/>
        </w:rPr>
        <w:t>one</w:t>
      </w:r>
      <w:r w:rsidRPr="00254A4E">
        <w:rPr>
          <w:lang w:val="en-US"/>
        </w:rPr>
        <w:t xml:space="preserve"> significant issue. </w:t>
      </w:r>
      <w:r w:rsidR="00FE2D2D" w:rsidRPr="00254A4E">
        <w:rPr>
          <w:lang w:val="en-US"/>
        </w:rPr>
        <w:t>In 2012, ESMA issued an opinion on the eligibility on units or share</w:t>
      </w:r>
      <w:r w:rsidR="00962496">
        <w:rPr>
          <w:lang w:val="en-US"/>
        </w:rPr>
        <w:t>s</w:t>
      </w:r>
      <w:r w:rsidR="00FE2D2D" w:rsidRPr="00254A4E">
        <w:rPr>
          <w:lang w:val="en-US"/>
        </w:rPr>
        <w:t xml:space="preserve"> of collective investment undertakings to this ratio.</w:t>
      </w:r>
      <w:r w:rsidR="004B51A8" w:rsidRPr="00254A4E">
        <w:rPr>
          <w:lang w:val="en-US"/>
        </w:rPr>
        <w:t xml:space="preserve"> ESMA’s opinion is that UCITS may only invest in units or shares of collective investment undertakings as defined in Article 50(1)(e) of the UCITS Directive. AFG sees merits in allowing other type of units of CIS to be eligible to the 10% trash ratio</w:t>
      </w:r>
      <w:r w:rsidR="00734B5B">
        <w:rPr>
          <w:lang w:val="en-US"/>
        </w:rPr>
        <w:t xml:space="preserve">. </w:t>
      </w:r>
      <w:r w:rsidR="00734B5B" w:rsidRPr="00734B5B">
        <w:rPr>
          <w:lang w:val="en-US"/>
        </w:rPr>
        <w:t xml:space="preserve">Being allowed to invest in funds that do not comply with the “4 </w:t>
      </w:r>
      <w:r w:rsidR="007464E3" w:rsidRPr="00734B5B">
        <w:rPr>
          <w:lang w:val="en-US"/>
        </w:rPr>
        <w:t>Criteria” of</w:t>
      </w:r>
      <w:r w:rsidR="00734B5B">
        <w:rPr>
          <w:lang w:val="en-US"/>
        </w:rPr>
        <w:t xml:space="preserve"> </w:t>
      </w:r>
      <w:r w:rsidR="00734B5B" w:rsidRPr="00254A4E">
        <w:rPr>
          <w:lang w:val="en-US"/>
        </w:rPr>
        <w:t>Article 50(1)</w:t>
      </w:r>
      <w:r w:rsidR="00AF6292">
        <w:rPr>
          <w:lang w:val="en-US"/>
        </w:rPr>
        <w:t xml:space="preserve"> </w:t>
      </w:r>
      <w:r w:rsidR="00962496">
        <w:rPr>
          <w:lang w:val="en-US"/>
        </w:rPr>
        <w:t>(</w:t>
      </w:r>
      <w:r w:rsidR="00AF6292">
        <w:rPr>
          <w:lang w:val="en-US"/>
        </w:rPr>
        <w:t>e</w:t>
      </w:r>
      <w:r w:rsidR="00962496">
        <w:rPr>
          <w:lang w:val="en-US"/>
        </w:rPr>
        <w:t>)</w:t>
      </w:r>
      <w:r w:rsidR="00734B5B">
        <w:rPr>
          <w:lang w:val="en-US"/>
        </w:rPr>
        <w:t xml:space="preserve"> </w:t>
      </w:r>
      <w:r w:rsidR="00734B5B" w:rsidRPr="00734B5B">
        <w:rPr>
          <w:lang w:val="en-US"/>
        </w:rPr>
        <w:t>would allow new investment opportunities to asset managers</w:t>
      </w:r>
      <w:r w:rsidR="00734B5B">
        <w:rPr>
          <w:lang w:val="en-US"/>
        </w:rPr>
        <w:t>.</w:t>
      </w:r>
    </w:p>
    <w:p w14:paraId="3334222E" w14:textId="14912DD1" w:rsidR="00667FF6" w:rsidRPr="00254A4E" w:rsidRDefault="004B51A8" w:rsidP="00E94413">
      <w:pPr>
        <w:rPr>
          <w:lang w:val="en-US"/>
        </w:rPr>
      </w:pPr>
      <w:r w:rsidRPr="00254A4E">
        <w:rPr>
          <w:lang w:val="en-US"/>
        </w:rPr>
        <w:t xml:space="preserve"> Some of these CIS give exposure</w:t>
      </w:r>
      <w:r w:rsidR="009B4DAC">
        <w:rPr>
          <w:lang w:val="en-US"/>
        </w:rPr>
        <w:t xml:space="preserve"> to</w:t>
      </w:r>
      <w:r w:rsidRPr="00254A4E">
        <w:rPr>
          <w:lang w:val="en-US"/>
        </w:rPr>
        <w:t xml:space="preserve"> asset</w:t>
      </w:r>
      <w:r w:rsidR="009B4DAC">
        <w:rPr>
          <w:lang w:val="en-US"/>
        </w:rPr>
        <w:t>s</w:t>
      </w:r>
      <w:r w:rsidRPr="00254A4E">
        <w:rPr>
          <w:lang w:val="en-US"/>
        </w:rPr>
        <w:t xml:space="preserve"> already </w:t>
      </w:r>
      <w:r w:rsidR="00254A4E" w:rsidRPr="00254A4E">
        <w:rPr>
          <w:lang w:val="en-US"/>
        </w:rPr>
        <w:t xml:space="preserve">compliant with the derogation in Article 50(2)(a) of the UCITS Directive such as ELTIF. But it could also be expanded to non-UCITS eligible </w:t>
      </w:r>
      <w:r w:rsidR="00AF6292" w:rsidRPr="00254A4E">
        <w:rPr>
          <w:lang w:val="en-US"/>
        </w:rPr>
        <w:t>underlying</w:t>
      </w:r>
      <w:r w:rsidR="00254A4E" w:rsidRPr="00254A4E">
        <w:rPr>
          <w:lang w:val="en-US"/>
        </w:rPr>
        <w:t xml:space="preserve"> </w:t>
      </w:r>
      <w:r w:rsidR="009B4DAC">
        <w:rPr>
          <w:lang w:val="en-US"/>
        </w:rPr>
        <w:t>such as</w:t>
      </w:r>
      <w:r w:rsidR="00254A4E" w:rsidRPr="00254A4E">
        <w:rPr>
          <w:lang w:val="en-US"/>
        </w:rPr>
        <w:t xml:space="preserve"> commodities.</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1A3C20D9" w14:textId="77777777" w:rsidR="00254A4E" w:rsidRDefault="004B51A8" w:rsidP="00667FF6">
      <w:permStart w:id="1226657538" w:edGrp="everyone"/>
      <w:r w:rsidRPr="004B51A8">
        <w:t xml:space="preserve">AFG suggests aligning with Article 4(1)(44) of MiFID II in order to </w:t>
      </w:r>
      <w:r w:rsidR="00254A4E">
        <w:t>streamline</w:t>
      </w:r>
      <w:r w:rsidRPr="004B51A8">
        <w:t xml:space="preserve"> the </w:t>
      </w:r>
      <w:r w:rsidR="00254A4E">
        <w:t>criteria and foster clarity and supervisory convergence</w:t>
      </w:r>
    </w:p>
    <w:permEnd w:id="1226657538"/>
    <w:p w14:paraId="362436C7" w14:textId="570948D6"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0BA52450" w14:textId="734D370A" w:rsidR="00667FF6" w:rsidRPr="00254A4E" w:rsidRDefault="00254A4E" w:rsidP="00667FF6">
      <w:pPr>
        <w:rPr>
          <w:lang w:val="en-US"/>
        </w:rPr>
      </w:pPr>
      <w:permStart w:id="1286214635" w:edGrp="everyone"/>
      <w:r>
        <w:rPr>
          <w:lang w:val="en-US"/>
        </w:rPr>
        <w:t>No issues have been flagged. The AFG understanding is that such criteria include both risk manager skills but also</w:t>
      </w:r>
      <w:r w:rsidR="00854D12">
        <w:rPr>
          <w:lang w:val="en-US"/>
        </w:rPr>
        <w:t xml:space="preserve"> IT infrastructure capability to integrate and com</w:t>
      </w:r>
      <w:r w:rsidR="007464E3">
        <w:rPr>
          <w:lang w:val="en-US"/>
        </w:rPr>
        <w:t>p</w:t>
      </w:r>
      <w:r w:rsidR="00854D12">
        <w:rPr>
          <w:lang w:val="en-US"/>
        </w:rPr>
        <w:t xml:space="preserve">ute risk metrics by the fund manager </w:t>
      </w:r>
      <w:r w:rsidR="00E94413">
        <w:rPr>
          <w:lang w:val="en-US"/>
        </w:rPr>
        <w:t>(Art</w:t>
      </w:r>
      <w:r w:rsidR="00854D12">
        <w:rPr>
          <w:lang w:val="en-US"/>
        </w:rPr>
        <w:t xml:space="preserve"> 2g).</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0E3B2DB0" w14:textId="73B28B8A" w:rsidR="00667FF6" w:rsidRPr="00CB41A4" w:rsidRDefault="00CB41A4" w:rsidP="00667FF6">
      <w:pPr>
        <w:rPr>
          <w:lang w:val="en-US"/>
        </w:rPr>
      </w:pPr>
      <w:permStart w:id="704664972" w:edGrp="everyone"/>
      <w:r>
        <w:rPr>
          <w:lang w:val="en-US"/>
        </w:rPr>
        <w:t xml:space="preserve">No issues have been flagged regarding those provisions. </w:t>
      </w:r>
      <w:r w:rsidR="00D67693">
        <w:rPr>
          <w:lang w:val="en-US"/>
        </w:rPr>
        <w:t>Typically,</w:t>
      </w:r>
      <w:r w:rsidR="00CD4739">
        <w:rPr>
          <w:lang w:val="en-US"/>
        </w:rPr>
        <w:t xml:space="preserve"> Asset Back Securities should remain eligible for UCITS funds.</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259CC93E" w14:textId="61ED6F91" w:rsidR="00667FF6" w:rsidRDefault="00CD4739" w:rsidP="00667FF6">
      <w:permStart w:id="624035433" w:edGrp="everyone"/>
      <w:r>
        <w:lastRenderedPageBreak/>
        <w:t>Please refer to Q13</w:t>
      </w:r>
    </w:p>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2E1954FA" w14:textId="54795C22" w:rsidR="00231536" w:rsidRDefault="00231536" w:rsidP="00667FF6">
      <w:permStart w:id="1487874619" w:edGrp="everyone"/>
      <w:r w:rsidRPr="00231536">
        <w:t>AFG considers that the diverg</w:t>
      </w:r>
      <w:r>
        <w:t>ing interpretations</w:t>
      </w:r>
      <w:r w:rsidRPr="00231536">
        <w:t xml:space="preserve"> </w:t>
      </w:r>
      <w:r>
        <w:t>o</w:t>
      </w:r>
      <w:r w:rsidRPr="00231536">
        <w:t>n the treatment of derivatives are very detrimental to the UCITS “brand”. They lead to distortions of competition and numerous possibilities for arbitra</w:t>
      </w:r>
      <w:r w:rsidR="00CD4739">
        <w:t>ge</w:t>
      </w:r>
      <w:r w:rsidRPr="00231536">
        <w:t xml:space="preserve"> between jurisdictions.</w:t>
      </w:r>
      <w:r w:rsidR="001C032B">
        <w:t xml:space="preserve"> </w:t>
      </w:r>
      <w:r w:rsidRPr="00231536">
        <w:t xml:space="preserve">AFG calls for clarification and harmonization of these rules in Europe. </w:t>
      </w:r>
    </w:p>
    <w:p w14:paraId="6BE14F4C" w14:textId="27D7783D" w:rsidR="00231536" w:rsidRDefault="00231536" w:rsidP="00667FF6">
      <w:r w:rsidRPr="00231536">
        <w:t xml:space="preserve">AFG </w:t>
      </w:r>
      <w:r>
        <w:t>is not</w:t>
      </w:r>
      <w:r w:rsidRPr="00231536">
        <w:t xml:space="preserve"> oppose</w:t>
      </w:r>
      <w:r>
        <w:t xml:space="preserve">d to let UCITS funds </w:t>
      </w:r>
      <w:r w:rsidRPr="00231536">
        <w:t xml:space="preserve">offering exposure to non-eligible assets </w:t>
      </w:r>
      <w:r w:rsidR="002F3E72">
        <w:t>using</w:t>
      </w:r>
      <w:r>
        <w:t xml:space="preserve"> </w:t>
      </w:r>
      <w:r w:rsidRPr="00231536">
        <w:t>delta one instruments</w:t>
      </w:r>
      <w:r w:rsidR="002F3E72">
        <w:t>.</w:t>
      </w:r>
      <w:r w:rsidRPr="00231536">
        <w:t xml:space="preserve"> This</w:t>
      </w:r>
      <w:r>
        <w:t xml:space="preserve"> possibility </w:t>
      </w:r>
      <w:r w:rsidRPr="00231536">
        <w:t xml:space="preserve">is </w:t>
      </w:r>
      <w:r>
        <w:t xml:space="preserve">very </w:t>
      </w:r>
      <w:r w:rsidR="002F3E72">
        <w:t>useful</w:t>
      </w:r>
      <w:r w:rsidRPr="00231536">
        <w:t xml:space="preserve"> as a tool for portfolio </w:t>
      </w:r>
      <w:r>
        <w:t>diversification</w:t>
      </w:r>
      <w:r w:rsidR="001C032B">
        <w:t xml:space="preserve"> notably</w:t>
      </w:r>
      <w:r>
        <w:t xml:space="preserve"> during stressed markets </w:t>
      </w:r>
      <w:r w:rsidRPr="00231536">
        <w:t xml:space="preserve">when all classic asset classes </w:t>
      </w:r>
      <w:r>
        <w:t>become</w:t>
      </w:r>
      <w:r w:rsidRPr="00231536">
        <w:t xml:space="preserve"> correlated. It helps </w:t>
      </w:r>
      <w:r>
        <w:t>to amortize</w:t>
      </w:r>
      <w:r w:rsidRPr="00231536">
        <w:t xml:space="preserve"> market shocks and</w:t>
      </w:r>
      <w:r>
        <w:t xml:space="preserve"> is valuable fr</w:t>
      </w:r>
      <w:r w:rsidR="002F3E72">
        <w:t>o</w:t>
      </w:r>
      <w:r>
        <w:t xml:space="preserve">m an </w:t>
      </w:r>
      <w:r w:rsidR="002F3E72">
        <w:t>investor’s</w:t>
      </w:r>
      <w:r>
        <w:t xml:space="preserve"> protection perspective</w:t>
      </w:r>
      <w:r w:rsidRPr="00231536">
        <w:t xml:space="preserve">. </w:t>
      </w:r>
      <w:r>
        <w:t>UCITS f</w:t>
      </w:r>
      <w:r w:rsidR="002F3E72">
        <w:t>u</w:t>
      </w:r>
      <w:r>
        <w:t>nds should benefit from a minimum of</w:t>
      </w:r>
      <w:r w:rsidRPr="00231536">
        <w:t xml:space="preserve"> flexibility </w:t>
      </w:r>
      <w:r>
        <w:t>and leeway regarding their</w:t>
      </w:r>
      <w:r w:rsidRPr="00231536">
        <w:t xml:space="preserve"> investment universe, but it must be limited so as not to distort the "UCITS" brand. </w:t>
      </w:r>
    </w:p>
    <w:p w14:paraId="3405066E" w14:textId="2C09BED9" w:rsidR="002F3E72" w:rsidRDefault="002F3E72" w:rsidP="00667FF6">
      <w:r>
        <w:t xml:space="preserve">Therefore, a </w:t>
      </w:r>
      <w:r w:rsidR="00B931C6">
        <w:t>room should be arranged to allow an allocation is such instruments. This could be done by setting out a ratio</w:t>
      </w:r>
      <w:r>
        <w:t xml:space="preserve"> in UCITS EAD or</w:t>
      </w:r>
      <w:r w:rsidR="00C56229">
        <w:t xml:space="preserve"> any limit defined </w:t>
      </w:r>
      <w:r w:rsidR="00965492">
        <w:t xml:space="preserve">by the fund manager </w:t>
      </w:r>
      <w:r w:rsidR="00C56229">
        <w:t xml:space="preserve">according to </w:t>
      </w:r>
      <w:r w:rsidR="00965492">
        <w:t>its</w:t>
      </w:r>
      <w:r w:rsidR="00C56229">
        <w:t xml:space="preserve"> risk management</w:t>
      </w:r>
      <w:r w:rsidR="007637BF">
        <w:t xml:space="preserve"> rules and processes.</w:t>
      </w:r>
    </w:p>
    <w:permEnd w:id="1487874619"/>
    <w:p w14:paraId="7EE4CE59" w14:textId="7A961CF1"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 xml:space="preserve">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w:t>
      </w:r>
      <w:r>
        <w:lastRenderedPageBreak/>
        <w:t>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D6D0453" w14:textId="53D843E7" w:rsidR="00667FF6" w:rsidRDefault="002F3E72" w:rsidP="00667FF6">
      <w:permStart w:id="1362129429" w:edGrp="everyone"/>
      <w:r w:rsidRPr="002F3E72">
        <w:rPr>
          <w:lang w:val="en-US"/>
        </w:rPr>
        <w:t>France faces a real i</w:t>
      </w:r>
      <w:r>
        <w:rPr>
          <w:lang w:val="en-US"/>
        </w:rPr>
        <w:t xml:space="preserve">ssue regarding the </w:t>
      </w:r>
      <w:r>
        <w:t>application of the rules on UCITS investments in other UCITS and alternative investment funds (AIFs). This issue comes from an incorrect translation</w:t>
      </w:r>
      <w:r w:rsidR="007A1531">
        <w:t xml:space="preserve"> into the </w:t>
      </w:r>
      <w:r w:rsidR="00D67693">
        <w:t>French</w:t>
      </w:r>
      <w:r w:rsidR="007A1531">
        <w:t xml:space="preserve"> </w:t>
      </w:r>
      <w:r w:rsidR="00CD4739">
        <w:t>version of the level one Directive</w:t>
      </w:r>
      <w:r>
        <w:t xml:space="preserve"> of the word “</w:t>
      </w:r>
      <w:r w:rsidR="007A1531">
        <w:t xml:space="preserve">asset </w:t>
      </w:r>
      <w:r>
        <w:t>segregation”</w:t>
      </w:r>
      <w:r w:rsidR="007A1531">
        <w:t xml:space="preserve"> in article 50 (1) e (ii). This translation </w:t>
      </w:r>
      <w:r w:rsidR="004E16F1">
        <w:t>issue led</w:t>
      </w:r>
      <w:r w:rsidR="007A1531">
        <w:t xml:space="preserve"> the AMF to interpret </w:t>
      </w:r>
      <w:r w:rsidR="001C032B">
        <w:t>those criteria</w:t>
      </w:r>
      <w:r w:rsidR="007A1531">
        <w:t xml:space="preserve"> as equivalent to the current risk spreading rule of the UCITS </w:t>
      </w:r>
      <w:r w:rsidR="004E16F1">
        <w:t>(5</w:t>
      </w:r>
      <w:r w:rsidR="007A1531">
        <w:t>/10/20/40) of Article 52.</w:t>
      </w:r>
    </w:p>
    <w:p w14:paraId="6FBF06D1" w14:textId="1F2897E3" w:rsidR="007A1531" w:rsidRDefault="00CF46CA" w:rsidP="00667FF6">
      <w:pPr>
        <w:rPr>
          <w:lang w:val="en-US"/>
        </w:rPr>
      </w:pPr>
      <w:r w:rsidRPr="00CF46CA">
        <w:rPr>
          <w:lang w:val="en-US"/>
        </w:rPr>
        <w:t xml:space="preserve">This is a case of divergence which handicaps French UCITS because </w:t>
      </w:r>
      <w:r>
        <w:rPr>
          <w:lang w:val="en-US"/>
        </w:rPr>
        <w:t>most of the AIFs</w:t>
      </w:r>
      <w:r w:rsidRPr="00CF46CA">
        <w:rPr>
          <w:lang w:val="en-US"/>
        </w:rPr>
        <w:t xml:space="preserve"> are </w:t>
      </w:r>
      <w:r>
        <w:rPr>
          <w:lang w:val="en-US"/>
        </w:rPr>
        <w:t xml:space="preserve">not </w:t>
      </w:r>
      <w:r w:rsidRPr="00CF46CA">
        <w:rPr>
          <w:lang w:val="en-US"/>
        </w:rPr>
        <w:t xml:space="preserve">eligible </w:t>
      </w:r>
      <w:r w:rsidR="001C032B">
        <w:rPr>
          <w:lang w:val="en-US"/>
        </w:rPr>
        <w:t>to</w:t>
      </w:r>
      <w:r w:rsidRPr="00CF46CA">
        <w:rPr>
          <w:lang w:val="en-US"/>
        </w:rPr>
        <w:t xml:space="preserve"> the 30% ratio</w:t>
      </w:r>
      <w:r w:rsidR="001C032B">
        <w:rPr>
          <w:lang w:val="en-US"/>
        </w:rPr>
        <w:t xml:space="preserve"> according to the prevailing rules in France.</w:t>
      </w:r>
    </w:p>
    <w:p w14:paraId="02F72DB3" w14:textId="50720783" w:rsidR="00CD4739" w:rsidRDefault="00CD4739" w:rsidP="00667FF6">
      <w:pPr>
        <w:rPr>
          <w:lang w:val="en-US"/>
        </w:rPr>
      </w:pPr>
      <w:r>
        <w:rPr>
          <w:lang w:val="en-US"/>
        </w:rPr>
        <w:t>AFG is of the view that this translation problem should be fixed</w:t>
      </w:r>
      <w:r w:rsidR="004E16F1">
        <w:rPr>
          <w:lang w:val="en-US"/>
        </w:rPr>
        <w:t>.</w:t>
      </w:r>
    </w:p>
    <w:p w14:paraId="1E60FF51" w14:textId="1FE3DBFA" w:rsidR="00CF46CA" w:rsidRPr="002F3E72" w:rsidRDefault="00950EE1" w:rsidP="00667FF6">
      <w:pPr>
        <w:rPr>
          <w:lang w:val="en-US"/>
        </w:rPr>
      </w:pPr>
      <w:r>
        <w:rPr>
          <w:lang w:val="en-US"/>
        </w:rPr>
        <w:t>Ano</w:t>
      </w:r>
      <w:r w:rsidR="00CF46CA">
        <w:rPr>
          <w:lang w:val="en-US"/>
        </w:rPr>
        <w:t>ther problem regarding the closed ended funds</w:t>
      </w:r>
      <w:r>
        <w:rPr>
          <w:lang w:val="en-US"/>
        </w:rPr>
        <w:t xml:space="preserve"> has been raised by AFG members.</w:t>
      </w:r>
      <w:r w:rsidR="00CF46CA">
        <w:rPr>
          <w:lang w:val="en-US"/>
        </w:rPr>
        <w:t xml:space="preserve"> </w:t>
      </w:r>
      <w:r>
        <w:rPr>
          <w:lang w:val="en-US"/>
        </w:rPr>
        <w:t>M</w:t>
      </w:r>
      <w:r w:rsidR="00CF46CA">
        <w:rPr>
          <w:lang w:val="en-US"/>
        </w:rPr>
        <w:t xml:space="preserve">ost of the French funds are FCP </w:t>
      </w:r>
      <w:r w:rsidR="00E94413">
        <w:rPr>
          <w:lang w:val="en-US"/>
        </w:rPr>
        <w:t>(Fonds</w:t>
      </w:r>
      <w:r w:rsidR="00CF46CA">
        <w:rPr>
          <w:lang w:val="en-US"/>
        </w:rPr>
        <w:t xml:space="preserve"> </w:t>
      </w:r>
      <w:proofErr w:type="spellStart"/>
      <w:r w:rsidR="00CF46CA">
        <w:rPr>
          <w:lang w:val="en-US"/>
        </w:rPr>
        <w:t>Commun</w:t>
      </w:r>
      <w:proofErr w:type="spellEnd"/>
      <w:r w:rsidR="00CF46CA">
        <w:rPr>
          <w:lang w:val="en-US"/>
        </w:rPr>
        <w:t xml:space="preserve"> de Placement</w:t>
      </w:r>
      <w:r w:rsidR="00D67693">
        <w:rPr>
          <w:lang w:val="en-US"/>
        </w:rPr>
        <w:t xml:space="preserve">, </w:t>
      </w:r>
      <w:proofErr w:type="spellStart"/>
      <w:r w:rsidR="00D67693">
        <w:rPr>
          <w:lang w:val="en-US"/>
        </w:rPr>
        <w:t>ie</w:t>
      </w:r>
      <w:proofErr w:type="spellEnd"/>
      <w:r w:rsidR="00D67693">
        <w:rPr>
          <w:lang w:val="en-US"/>
        </w:rPr>
        <w:t xml:space="preserve"> common funds format) </w:t>
      </w:r>
      <w:r w:rsidR="00CF46CA">
        <w:rPr>
          <w:lang w:val="en-US"/>
        </w:rPr>
        <w:t>with no legal personality. Hence, they cannot comply with the governance requirement of Art 2.2 of UCITS EAD. In such case, these requirements should apply to the management company who runs the FCP</w:t>
      </w:r>
    </w:p>
    <w:permEnd w:id="1362129429"/>
    <w:p w14:paraId="1A4BA964" w14:textId="77777777"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lastRenderedPageBreak/>
        <w:t>&lt;ESMA_QUESTION_EADC_15&gt;</w:t>
      </w:r>
    </w:p>
    <w:p w14:paraId="3ED72F29" w14:textId="77777777" w:rsidR="004E16F1" w:rsidRDefault="004E16F1" w:rsidP="00667FF6">
      <w:permStart w:id="493775816" w:edGrp="everyone"/>
      <w:r>
        <w:t>AFG believes that ETF are a category of funds and as such must comply to the same rules.</w:t>
      </w:r>
    </w:p>
    <w:p w14:paraId="219AC147" w14:textId="6F22C4EB" w:rsidR="00CF46CA" w:rsidRDefault="004E16F1" w:rsidP="00667FF6">
      <w:r>
        <w:t>P</w:t>
      </w:r>
      <w:r w:rsidR="00CF46CA" w:rsidRPr="00CF46CA">
        <w:t>lease refer to comments above on the</w:t>
      </w:r>
      <w:r w:rsidR="001C032B">
        <w:t xml:space="preserve"> French</w:t>
      </w:r>
      <w:r w:rsidR="00CF46CA" w:rsidRPr="00CF46CA">
        <w:t xml:space="preserve"> translation issue and the compliance with the 4 criteria</w:t>
      </w:r>
      <w:r w:rsidR="00CF46CA">
        <w:t xml:space="preserve"> of article 50 (1) e</w:t>
      </w:r>
      <w:r w:rsidR="00CF46CA" w:rsidRPr="00CF46CA">
        <w:t xml:space="preserve"> </w:t>
      </w:r>
    </w:p>
    <w:permEnd w:id="493775816"/>
    <w:p w14:paraId="2FCB81E2" w14:textId="6B11B6B2"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322FCDE4" w14:textId="77777777" w:rsidR="007A315A" w:rsidRDefault="007A315A" w:rsidP="00667FF6">
      <w:permStart w:id="1032210024" w:edGrp="everyone"/>
      <w:r w:rsidRPr="007A315A">
        <w:t xml:space="preserve">The existing regulations are satisfactory. </w:t>
      </w:r>
    </w:p>
    <w:permEnd w:id="1032210024"/>
    <w:p w14:paraId="09F73C64" w14:textId="73C39B75"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0A21A428" w14:textId="3EF3588C" w:rsidR="00667FF6" w:rsidRDefault="007B0E93" w:rsidP="00667FF6">
      <w:permStart w:id="589041498" w:edGrp="everyone"/>
      <w:r>
        <w:t>These two notions do not cover</w:t>
      </w:r>
      <w:r w:rsidR="004E2CA2">
        <w:t xml:space="preserve"> </w:t>
      </w:r>
      <w:r w:rsidR="0066741A">
        <w:t>the same</w:t>
      </w:r>
      <w:r>
        <w:t xml:space="preserve"> perimeter. Consequently</w:t>
      </w:r>
      <w:r w:rsidR="0040505C">
        <w:t>, AFG is not in favour to replace or link one with another</w:t>
      </w:r>
      <w:r w:rsidR="004E2CA2">
        <w:t>.</w:t>
      </w:r>
    </w:p>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lastRenderedPageBreak/>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1396FB8B" w14:textId="77777777" w:rsidR="00667FF6" w:rsidRDefault="00667FF6" w:rsidP="00667FF6">
      <w:permStart w:id="1158356501" w:edGrp="everyone"/>
      <w:r>
        <w:t>TYPE YOUR TEXT HERE</w:t>
      </w:r>
    </w:p>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2B449671" w14:textId="77777777" w:rsidR="00667FF6" w:rsidRDefault="00667FF6" w:rsidP="00667FF6">
      <w:permStart w:id="784558918" w:edGrp="everyone"/>
      <w:r>
        <w:t>TYPE YOUR TEXT HERE</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xml:space="preserve">.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w:t>
      </w:r>
      <w:r>
        <w:lastRenderedPageBreak/>
        <w:t>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6AEF8535" w14:textId="77777777" w:rsidR="00667FF6" w:rsidRDefault="00667FF6" w:rsidP="00667FF6">
      <w:permStart w:id="1828006997" w:edGrp="everyone"/>
      <w:r>
        <w:t>TYPE YOUR TEXT HERE</w:t>
      </w: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026D7EED" w14:textId="058F9915" w:rsidR="00667FF6" w:rsidRDefault="00295E51" w:rsidP="00667FF6">
      <w:pPr>
        <w:rPr>
          <w:lang w:val="en-US"/>
        </w:rPr>
      </w:pPr>
      <w:permStart w:id="199050040" w:edGrp="everyone"/>
      <w:r w:rsidRPr="00295E51">
        <w:rPr>
          <w:lang w:val="en-US"/>
        </w:rPr>
        <w:t xml:space="preserve">Indirect exposure may increase </w:t>
      </w:r>
      <w:r w:rsidR="00B931C6" w:rsidRPr="00295E51">
        <w:rPr>
          <w:lang w:val="en-US"/>
        </w:rPr>
        <w:t>c</w:t>
      </w:r>
      <w:r w:rsidR="00B931C6">
        <w:rPr>
          <w:lang w:val="en-US"/>
        </w:rPr>
        <w:t>osts:</w:t>
      </w:r>
      <w:r>
        <w:rPr>
          <w:lang w:val="en-US"/>
        </w:rPr>
        <w:t xml:space="preserve"> structuration fees, index license fees, costs of market data. </w:t>
      </w:r>
      <w:r w:rsidR="0040505C">
        <w:rPr>
          <w:lang w:val="en-US"/>
        </w:rPr>
        <w:t>O</w:t>
      </w:r>
      <w:r>
        <w:rPr>
          <w:lang w:val="en-US"/>
        </w:rPr>
        <w:t xml:space="preserve">n </w:t>
      </w:r>
      <w:r w:rsidR="0040505C">
        <w:rPr>
          <w:lang w:val="en-US"/>
        </w:rPr>
        <w:t xml:space="preserve">the </w:t>
      </w:r>
      <w:r>
        <w:rPr>
          <w:lang w:val="en-US"/>
        </w:rPr>
        <w:t xml:space="preserve">other </w:t>
      </w:r>
      <w:r w:rsidR="0040505C">
        <w:rPr>
          <w:lang w:val="en-US"/>
        </w:rPr>
        <w:t>hand</w:t>
      </w:r>
      <w:r>
        <w:rPr>
          <w:lang w:val="en-US"/>
        </w:rPr>
        <w:t>, indirect exposure grants access to asset classes which are difficult to access directly (NFD or emerging markets). Economies of scale can be achieved by using bank capital market infrastructures.</w:t>
      </w:r>
    </w:p>
    <w:p w14:paraId="38BF538B" w14:textId="5124A5D8" w:rsidR="00295E51" w:rsidRDefault="00295E51" w:rsidP="00667FF6">
      <w:pPr>
        <w:rPr>
          <w:lang w:val="en-US"/>
        </w:rPr>
      </w:pPr>
      <w:r>
        <w:rPr>
          <w:lang w:val="en-US"/>
        </w:rPr>
        <w:t xml:space="preserve">It is the responsibility of the management company to choose whether direct or indirect investment </w:t>
      </w:r>
      <w:r w:rsidR="00B931C6">
        <w:rPr>
          <w:lang w:val="en-US"/>
        </w:rPr>
        <w:t>is</w:t>
      </w:r>
      <w:r>
        <w:rPr>
          <w:lang w:val="en-US"/>
        </w:rPr>
        <w:t xml:space="preserve"> </w:t>
      </w:r>
      <w:r w:rsidR="001C032B">
        <w:rPr>
          <w:lang w:val="en-US"/>
        </w:rPr>
        <w:t xml:space="preserve">in </w:t>
      </w:r>
      <w:r>
        <w:rPr>
          <w:lang w:val="en-US"/>
        </w:rPr>
        <w:t>the best interest of the UCITS shareholders.</w:t>
      </w:r>
    </w:p>
    <w:p w14:paraId="037ADED6" w14:textId="3908D0E7" w:rsidR="00295E51" w:rsidRDefault="00295E51" w:rsidP="00667FF6">
      <w:pPr>
        <w:rPr>
          <w:lang w:val="en-US"/>
        </w:rPr>
      </w:pPr>
      <w:r>
        <w:rPr>
          <w:lang w:val="en-US"/>
        </w:rPr>
        <w:t xml:space="preserve">The choice should be preserved as it allows the manager to select the </w:t>
      </w:r>
      <w:r w:rsidR="0040505C">
        <w:rPr>
          <w:lang w:val="en-US"/>
        </w:rPr>
        <w:t xml:space="preserve">appropriate </w:t>
      </w:r>
      <w:r>
        <w:rPr>
          <w:lang w:val="en-US"/>
        </w:rPr>
        <w:t xml:space="preserve">solution </w:t>
      </w:r>
      <w:r w:rsidR="0040505C">
        <w:rPr>
          <w:lang w:val="en-US"/>
        </w:rPr>
        <w:t xml:space="preserve">from a risk/return perspective and </w:t>
      </w:r>
      <w:r>
        <w:rPr>
          <w:lang w:val="en-US"/>
        </w:rPr>
        <w:t xml:space="preserve">for the </w:t>
      </w:r>
      <w:r w:rsidR="0040505C">
        <w:rPr>
          <w:lang w:val="en-US"/>
        </w:rPr>
        <w:t xml:space="preserve">ultimate </w:t>
      </w:r>
      <w:r>
        <w:rPr>
          <w:lang w:val="en-US"/>
        </w:rPr>
        <w:t>benefit of investors.</w:t>
      </w:r>
    </w:p>
    <w:p w14:paraId="3C4069F2" w14:textId="139E98CB" w:rsidR="004F3AC5" w:rsidRPr="004F3AC5" w:rsidRDefault="004F3AC5" w:rsidP="00667FF6">
      <w:pPr>
        <w:rPr>
          <w:lang w:val="en-US"/>
        </w:rPr>
      </w:pPr>
      <w:r w:rsidRPr="004F3AC5">
        <w:rPr>
          <w:lang w:val="en-US"/>
        </w:rPr>
        <w:t>Riks management processes should be</w:t>
      </w:r>
      <w:r>
        <w:rPr>
          <w:lang w:val="en-US"/>
        </w:rPr>
        <w:t xml:space="preserve"> systematically applied in order to avoid </w:t>
      </w:r>
      <w:r w:rsidR="008C71BF">
        <w:rPr>
          <w:lang w:val="en-US"/>
        </w:rPr>
        <w:t>erroneous assessment</w:t>
      </w:r>
      <w:r>
        <w:rPr>
          <w:lang w:val="en-US"/>
        </w:rPr>
        <w:t xml:space="preserve"> in risk spreading UCITS rules.</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 xml:space="preserve">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w:t>
      </w:r>
      <w:r>
        <w:lastRenderedPageBreak/>
        <w:t>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29E5D892" w14:textId="77777777" w:rsidR="00BB01DF" w:rsidRDefault="00901E01" w:rsidP="00667FF6">
      <w:permStart w:id="1004748421" w:edGrp="everyone"/>
      <w:r>
        <w:t>Regarding the delta one instruments,</w:t>
      </w:r>
    </w:p>
    <w:p w14:paraId="466AEDAC" w14:textId="222E6CC6" w:rsidR="00BB01DF" w:rsidRPr="00BB01DF" w:rsidRDefault="00BB01DF" w:rsidP="00BB01DF">
      <w:pPr>
        <w:ind w:left="360"/>
      </w:pPr>
      <w:r w:rsidRPr="00BB01DF">
        <w:t>AFG is of the view that a complete harmonization of the rule is desirable for numerous reasons (distortion of competition, legal certainty, clarification for investors, strengthening of the UCITS brand, etc.)</w:t>
      </w:r>
    </w:p>
    <w:p w14:paraId="0F2CB116" w14:textId="081CC61C" w:rsidR="00BB01DF" w:rsidRPr="00BB01DF" w:rsidRDefault="00BB01DF" w:rsidP="00BB01DF">
      <w:pPr>
        <w:ind w:left="360"/>
      </w:pPr>
      <w:r>
        <w:t>Without</w:t>
      </w:r>
      <w:r w:rsidRPr="00BB01DF">
        <w:t xml:space="preserve"> the look-through approach</w:t>
      </w:r>
      <w:r>
        <w:t>,</w:t>
      </w:r>
      <w:r w:rsidRPr="00BB01DF">
        <w:t xml:space="preserve"> a UCITS fund </w:t>
      </w:r>
      <w:r>
        <w:t>can</w:t>
      </w:r>
      <w:r w:rsidRPr="00BB01DF">
        <w:t xml:space="preserve"> indirectly and significantly expose itself to assets not eligible for the UCITS </w:t>
      </w:r>
      <w:r w:rsidR="001C032B">
        <w:t>D</w:t>
      </w:r>
      <w:r w:rsidRPr="00BB01DF">
        <w:t>irective</w:t>
      </w:r>
      <w:r w:rsidR="001C032B">
        <w:t>. T</w:t>
      </w:r>
      <w:r w:rsidRPr="00BB01DF">
        <w:t xml:space="preserve">his makes the </w:t>
      </w:r>
      <w:r w:rsidR="001C032B">
        <w:t>D</w:t>
      </w:r>
      <w:r w:rsidRPr="00BB01DF">
        <w:t xml:space="preserve">irective incoherent because it </w:t>
      </w:r>
      <w:r w:rsidR="001C032B">
        <w:t>grants an access to</w:t>
      </w:r>
      <w:r w:rsidRPr="00BB01DF">
        <w:t xml:space="preserve"> asset classes by delta one </w:t>
      </w:r>
      <w:r w:rsidR="004F3AC5" w:rsidRPr="00BB01DF">
        <w:t>instrument,</w:t>
      </w:r>
      <w:r w:rsidRPr="00BB01DF">
        <w:t xml:space="preserve"> which are not directly </w:t>
      </w:r>
      <w:r>
        <w:t>investible</w:t>
      </w:r>
      <w:r w:rsidRPr="00BB01DF">
        <w:t>.</w:t>
      </w:r>
    </w:p>
    <w:p w14:paraId="39B57ABC" w14:textId="1D70C91B" w:rsidR="00C7753E" w:rsidRDefault="00BB01DF" w:rsidP="00C7753E">
      <w:pPr>
        <w:ind w:left="360"/>
      </w:pPr>
      <w:r w:rsidRPr="00BB01DF">
        <w:t xml:space="preserve">But the 100% application of the look-through approach, as in France, limits the possibilities of diversification </w:t>
      </w:r>
      <w:r w:rsidR="001C032B">
        <w:t>i</w:t>
      </w:r>
      <w:r w:rsidRPr="00BB01DF">
        <w:t>n uncorrelated assets.</w:t>
      </w:r>
    </w:p>
    <w:p w14:paraId="59B051EE" w14:textId="5345D97D" w:rsidR="00BB01DF" w:rsidRPr="00BB01DF" w:rsidRDefault="00BB01DF" w:rsidP="00C7753E">
      <w:pPr>
        <w:ind w:left="360"/>
      </w:pPr>
      <w:r w:rsidRPr="00BB01DF">
        <w:t xml:space="preserve">AFG proposes an intermediate solution </w:t>
      </w:r>
      <w:proofErr w:type="spellStart"/>
      <w:r w:rsidRPr="00BB01DF">
        <w:t>wich</w:t>
      </w:r>
      <w:proofErr w:type="spellEnd"/>
      <w:r w:rsidRPr="00BB01DF">
        <w:t xml:space="preserve"> allows an indirect exposure to non-eligible assets to a limited extent which could be the trash ratio for example.</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57C1BB11" w14:textId="3E61DD31" w:rsidR="00667FF6" w:rsidRDefault="00975DBF" w:rsidP="00667FF6">
      <w:permStart w:id="1208368603" w:edGrp="everyone"/>
      <w:r>
        <w:t>The current regulation is satisfactory.</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 xml:space="preserve">What are the risks and benefits of permitting UCITS to build up short positions through the use of (embedded) derivatives, delta-one instruments or </w:t>
      </w:r>
      <w:r>
        <w:lastRenderedPageBreak/>
        <w:t>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19888CB" w14:textId="3C939958" w:rsidR="00667FF6" w:rsidRDefault="00975DBF" w:rsidP="00667FF6">
      <w:permStart w:id="160252285" w:edGrp="everyone"/>
      <w:r>
        <w:t xml:space="preserve">AFG members believe that short positions should </w:t>
      </w:r>
      <w:r w:rsidR="001C032B">
        <w:t>remained permitted</w:t>
      </w:r>
      <w:r>
        <w:t xml:space="preserve"> as long as it is necessary to the investment strategy </w:t>
      </w:r>
      <w:r w:rsidR="00E344AF">
        <w:t>(</w:t>
      </w:r>
      <w:r w:rsidR="00B931C6">
        <w:t>ex:</w:t>
      </w:r>
      <w:r>
        <w:t xml:space="preserve"> long/short equity strategy)</w:t>
      </w:r>
    </w:p>
    <w:p w14:paraId="78F6FB99" w14:textId="46FA4FF3" w:rsidR="00975DBF" w:rsidRDefault="00950EE1" w:rsidP="00667FF6">
      <w:r>
        <w:t>However,</w:t>
      </w:r>
      <w:r w:rsidR="00975DBF">
        <w:t xml:space="preserve"> this possibility should not be used for the sole purpose of circumventing the rules.</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3D007DCF" w14:textId="137F63D2" w:rsidR="00667FF6" w:rsidRDefault="00CC6AD5" w:rsidP="00667FF6">
      <w:permStart w:id="478484191" w:edGrp="everyone"/>
      <w:r w:rsidRPr="001C5E23">
        <w:rPr>
          <w:lang w:val="en-US"/>
        </w:rPr>
        <w:t>Along with</w:t>
      </w:r>
      <w:r w:rsidR="001C5E23" w:rsidRPr="001C5E23">
        <w:rPr>
          <w:lang w:val="en-US"/>
        </w:rPr>
        <w:t xml:space="preserve"> the discussions regarding this analysis of the level 2 directive, many points arose regarding divergences of interpretation of the level 1 directive among the NCAs, such so basics interpretations of diversifications rules. We strongly advise </w:t>
      </w:r>
      <w:r w:rsidRPr="001C5E23">
        <w:rPr>
          <w:lang w:val="en-US"/>
        </w:rPr>
        <w:t>running</w:t>
      </w:r>
      <w:r w:rsidR="001C5E23" w:rsidRPr="001C5E23">
        <w:rPr>
          <w:lang w:val="en-US"/>
        </w:rPr>
        <w:t xml:space="preserve"> the same work for the level 1 than the current one for the level 2 </w:t>
      </w:r>
      <w:r w:rsidR="001C5E23">
        <w:rPr>
          <w:lang w:val="en-US"/>
        </w:rPr>
        <w:t>.</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8729C" w14:textId="77777777" w:rsidR="00462824" w:rsidRDefault="00462824" w:rsidP="007E7997">
      <w:pPr>
        <w:spacing w:line="240" w:lineRule="auto"/>
      </w:pPr>
      <w:r>
        <w:separator/>
      </w:r>
    </w:p>
  </w:endnote>
  <w:endnote w:type="continuationSeparator" w:id="0">
    <w:p w14:paraId="71848F05" w14:textId="77777777" w:rsidR="00462824" w:rsidRDefault="00462824" w:rsidP="007E7997">
      <w:pPr>
        <w:spacing w:line="240" w:lineRule="auto"/>
      </w:pPr>
      <w:r>
        <w:continuationSeparator/>
      </w:r>
    </w:p>
  </w:endnote>
  <w:endnote w:type="continuationNotice" w:id="1">
    <w:p w14:paraId="25F1FE12" w14:textId="77777777" w:rsidR="00462824" w:rsidRDefault="004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DF5A9" w14:textId="77777777" w:rsidR="00462824" w:rsidRDefault="00462824" w:rsidP="007E7997">
      <w:pPr>
        <w:spacing w:line="240" w:lineRule="auto"/>
      </w:pPr>
      <w:r>
        <w:separator/>
      </w:r>
    </w:p>
  </w:footnote>
  <w:footnote w:type="continuationSeparator" w:id="0">
    <w:p w14:paraId="61C0E917" w14:textId="77777777" w:rsidR="00462824" w:rsidRDefault="00462824" w:rsidP="007E7997">
      <w:pPr>
        <w:spacing w:line="240" w:lineRule="auto"/>
      </w:pPr>
      <w:r>
        <w:continuationSeparator/>
      </w:r>
    </w:p>
  </w:footnote>
  <w:footnote w:type="continuationNotice" w:id="1">
    <w:p w14:paraId="61DA64BC" w14:textId="77777777" w:rsidR="00462824" w:rsidRDefault="0046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8CC"/>
    <w:multiLevelType w:val="hybridMultilevel"/>
    <w:tmpl w:val="28FCC2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0D6B45"/>
    <w:multiLevelType w:val="hybridMultilevel"/>
    <w:tmpl w:val="03ECF1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9D7018"/>
    <w:multiLevelType w:val="hybridMultilevel"/>
    <w:tmpl w:val="2FB81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4"/>
  </w:num>
  <w:num w:numId="2" w16cid:durableId="1144354351">
    <w:abstractNumId w:val="6"/>
  </w:num>
  <w:num w:numId="3" w16cid:durableId="1006909420">
    <w:abstractNumId w:val="11"/>
  </w:num>
  <w:num w:numId="4" w16cid:durableId="569996677">
    <w:abstractNumId w:val="5"/>
  </w:num>
  <w:num w:numId="5" w16cid:durableId="807014924">
    <w:abstractNumId w:val="2"/>
  </w:num>
  <w:num w:numId="6" w16cid:durableId="310985182">
    <w:abstractNumId w:val="7"/>
  </w:num>
  <w:num w:numId="7" w16cid:durableId="492061559">
    <w:abstractNumId w:val="15"/>
  </w:num>
  <w:num w:numId="8" w16cid:durableId="2063743978">
    <w:abstractNumId w:val="4"/>
  </w:num>
  <w:num w:numId="9" w16cid:durableId="1378703109">
    <w:abstractNumId w:val="13"/>
  </w:num>
  <w:num w:numId="10" w16cid:durableId="632100844">
    <w:abstractNumId w:val="10"/>
  </w:num>
  <w:num w:numId="11" w16cid:durableId="1573200029">
    <w:abstractNumId w:val="9"/>
  </w:num>
  <w:num w:numId="12" w16cid:durableId="1587836858">
    <w:abstractNumId w:val="9"/>
    <w:lvlOverride w:ilvl="0">
      <w:startOverride w:val="1"/>
    </w:lvlOverride>
  </w:num>
  <w:num w:numId="13" w16cid:durableId="1548224532">
    <w:abstractNumId w:val="3"/>
  </w:num>
  <w:num w:numId="14" w16cid:durableId="501431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5658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673899">
    <w:abstractNumId w:val="1"/>
  </w:num>
  <w:num w:numId="18" w16cid:durableId="190460289">
    <w:abstractNumId w:val="12"/>
  </w:num>
  <w:num w:numId="19" w16cid:durableId="120699170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EED"/>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34B"/>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C46"/>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32B"/>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5E23"/>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453"/>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342D"/>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536"/>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B2B"/>
    <w:rsid w:val="00251F26"/>
    <w:rsid w:val="00252076"/>
    <w:rsid w:val="00252A09"/>
    <w:rsid w:val="002533FC"/>
    <w:rsid w:val="0025354A"/>
    <w:rsid w:val="00253719"/>
    <w:rsid w:val="002537CE"/>
    <w:rsid w:val="00253AF4"/>
    <w:rsid w:val="00253BF8"/>
    <w:rsid w:val="00253F4A"/>
    <w:rsid w:val="0025474C"/>
    <w:rsid w:val="0025491B"/>
    <w:rsid w:val="002549E6"/>
    <w:rsid w:val="00254A4E"/>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E51"/>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7DA"/>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0CD"/>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E7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6EC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240"/>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27"/>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AED"/>
    <w:rsid w:val="003A1B8D"/>
    <w:rsid w:val="003A1ED2"/>
    <w:rsid w:val="003A2DC9"/>
    <w:rsid w:val="003A2F5F"/>
    <w:rsid w:val="003A30AE"/>
    <w:rsid w:val="003A3270"/>
    <w:rsid w:val="003A44E9"/>
    <w:rsid w:val="003A5382"/>
    <w:rsid w:val="003A575A"/>
    <w:rsid w:val="003A58FE"/>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6"/>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05C"/>
    <w:rsid w:val="00405453"/>
    <w:rsid w:val="00405739"/>
    <w:rsid w:val="004065BE"/>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4A4A"/>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101"/>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8"/>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6F1"/>
    <w:rsid w:val="004E1A40"/>
    <w:rsid w:val="004E1C3A"/>
    <w:rsid w:val="004E1EAD"/>
    <w:rsid w:val="004E1FBC"/>
    <w:rsid w:val="004E234D"/>
    <w:rsid w:val="004E2854"/>
    <w:rsid w:val="004E2CA2"/>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AC5"/>
    <w:rsid w:val="004F3BEE"/>
    <w:rsid w:val="004F4117"/>
    <w:rsid w:val="004F4161"/>
    <w:rsid w:val="004F4296"/>
    <w:rsid w:val="004F452E"/>
    <w:rsid w:val="004F4EB7"/>
    <w:rsid w:val="004F5AC2"/>
    <w:rsid w:val="004F5C2F"/>
    <w:rsid w:val="004F5F52"/>
    <w:rsid w:val="004F641D"/>
    <w:rsid w:val="004F64A1"/>
    <w:rsid w:val="004F6BEB"/>
    <w:rsid w:val="004F6FEB"/>
    <w:rsid w:val="004F72A7"/>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24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41A"/>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28B"/>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B5B"/>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4E3"/>
    <w:rsid w:val="007465BC"/>
    <w:rsid w:val="00746758"/>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AC0"/>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7BF"/>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3B18"/>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31"/>
    <w:rsid w:val="007A15D3"/>
    <w:rsid w:val="007A1712"/>
    <w:rsid w:val="007A1A9D"/>
    <w:rsid w:val="007A1E30"/>
    <w:rsid w:val="007A28AF"/>
    <w:rsid w:val="007A315A"/>
    <w:rsid w:val="007A37AE"/>
    <w:rsid w:val="007A3A27"/>
    <w:rsid w:val="007A3E0A"/>
    <w:rsid w:val="007A415F"/>
    <w:rsid w:val="007A4668"/>
    <w:rsid w:val="007A4EF9"/>
    <w:rsid w:val="007A51AC"/>
    <w:rsid w:val="007A51C5"/>
    <w:rsid w:val="007A5AB6"/>
    <w:rsid w:val="007A5D93"/>
    <w:rsid w:val="007A6114"/>
    <w:rsid w:val="007A6735"/>
    <w:rsid w:val="007A6940"/>
    <w:rsid w:val="007A6EEF"/>
    <w:rsid w:val="007A7881"/>
    <w:rsid w:val="007B0A46"/>
    <w:rsid w:val="007B0E93"/>
    <w:rsid w:val="007B1037"/>
    <w:rsid w:val="007B1175"/>
    <w:rsid w:val="007B1975"/>
    <w:rsid w:val="007B198E"/>
    <w:rsid w:val="007B28C4"/>
    <w:rsid w:val="007B2E4F"/>
    <w:rsid w:val="007B2EFF"/>
    <w:rsid w:val="007B2F1D"/>
    <w:rsid w:val="007B2F22"/>
    <w:rsid w:val="007B30F5"/>
    <w:rsid w:val="007B338B"/>
    <w:rsid w:val="007B36C1"/>
    <w:rsid w:val="007B398A"/>
    <w:rsid w:val="007B3EB2"/>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722"/>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4D12"/>
    <w:rsid w:val="0085559D"/>
    <w:rsid w:val="00855717"/>
    <w:rsid w:val="00855C9B"/>
    <w:rsid w:val="00855E72"/>
    <w:rsid w:val="00856B31"/>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78F"/>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3D30"/>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1BF"/>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1E01"/>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EE1"/>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496"/>
    <w:rsid w:val="00962649"/>
    <w:rsid w:val="00962C03"/>
    <w:rsid w:val="00962FF1"/>
    <w:rsid w:val="00963234"/>
    <w:rsid w:val="009633EF"/>
    <w:rsid w:val="00963428"/>
    <w:rsid w:val="00963456"/>
    <w:rsid w:val="009636B5"/>
    <w:rsid w:val="009637BC"/>
    <w:rsid w:val="00963BFD"/>
    <w:rsid w:val="00963D27"/>
    <w:rsid w:val="00963EE1"/>
    <w:rsid w:val="00964B7C"/>
    <w:rsid w:val="00965492"/>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DBF"/>
    <w:rsid w:val="00976526"/>
    <w:rsid w:val="009768B2"/>
    <w:rsid w:val="00976C8F"/>
    <w:rsid w:val="00976E83"/>
    <w:rsid w:val="00976F71"/>
    <w:rsid w:val="009770A3"/>
    <w:rsid w:val="00977A54"/>
    <w:rsid w:val="00980251"/>
    <w:rsid w:val="00980DB0"/>
    <w:rsid w:val="00980E3A"/>
    <w:rsid w:val="00980E8B"/>
    <w:rsid w:val="009814A9"/>
    <w:rsid w:val="009817EE"/>
    <w:rsid w:val="009819A5"/>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4DAC"/>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93"/>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31"/>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284"/>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D746B"/>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292"/>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3E54"/>
    <w:rsid w:val="00B141CE"/>
    <w:rsid w:val="00B14CC4"/>
    <w:rsid w:val="00B14D0D"/>
    <w:rsid w:val="00B14DFF"/>
    <w:rsid w:val="00B1515A"/>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1E0"/>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1C6"/>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1DF"/>
    <w:rsid w:val="00BB02DB"/>
    <w:rsid w:val="00BB0B6E"/>
    <w:rsid w:val="00BB14D4"/>
    <w:rsid w:val="00BB153A"/>
    <w:rsid w:val="00BB187D"/>
    <w:rsid w:val="00BB2004"/>
    <w:rsid w:val="00BB21F2"/>
    <w:rsid w:val="00BB27A5"/>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9AA"/>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229"/>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5FD1"/>
    <w:rsid w:val="00C6639C"/>
    <w:rsid w:val="00C6665B"/>
    <w:rsid w:val="00C668F5"/>
    <w:rsid w:val="00C67A23"/>
    <w:rsid w:val="00C67E40"/>
    <w:rsid w:val="00C7017B"/>
    <w:rsid w:val="00C702A3"/>
    <w:rsid w:val="00C71855"/>
    <w:rsid w:val="00C71B41"/>
    <w:rsid w:val="00C71F8B"/>
    <w:rsid w:val="00C72507"/>
    <w:rsid w:val="00C72837"/>
    <w:rsid w:val="00C72A51"/>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3E"/>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1E5"/>
    <w:rsid w:val="00CB3571"/>
    <w:rsid w:val="00CB41A4"/>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AD5"/>
    <w:rsid w:val="00CC6BD6"/>
    <w:rsid w:val="00CC6D74"/>
    <w:rsid w:val="00CC7117"/>
    <w:rsid w:val="00CC71F2"/>
    <w:rsid w:val="00CC7C5C"/>
    <w:rsid w:val="00CD04DC"/>
    <w:rsid w:val="00CD0789"/>
    <w:rsid w:val="00CD0D42"/>
    <w:rsid w:val="00CD1538"/>
    <w:rsid w:val="00CD2066"/>
    <w:rsid w:val="00CD4080"/>
    <w:rsid w:val="00CD4739"/>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A73"/>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6C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17EF2"/>
    <w:rsid w:val="00D203BF"/>
    <w:rsid w:val="00D206B3"/>
    <w:rsid w:val="00D209FF"/>
    <w:rsid w:val="00D21195"/>
    <w:rsid w:val="00D211D0"/>
    <w:rsid w:val="00D21C35"/>
    <w:rsid w:val="00D21C75"/>
    <w:rsid w:val="00D220E2"/>
    <w:rsid w:val="00D2297E"/>
    <w:rsid w:val="00D22F2F"/>
    <w:rsid w:val="00D2301C"/>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5FFF"/>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33E"/>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693"/>
    <w:rsid w:val="00D67BB2"/>
    <w:rsid w:val="00D67D72"/>
    <w:rsid w:val="00D700C0"/>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2E8"/>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17C0"/>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E7AA8"/>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19"/>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4AF"/>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3A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413"/>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6EF3"/>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D61"/>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278"/>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2D2D"/>
    <w:rsid w:val="00FE3552"/>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Default">
    <w:name w:val="Default"/>
    <w:rsid w:val="00254A4E"/>
    <w:pPr>
      <w:autoSpaceDE w:val="0"/>
      <w:autoSpaceDN w:val="0"/>
      <w:adjustRightInd w:val="0"/>
      <w:spacing w:after="0" w:line="240" w:lineRule="auto"/>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2332">
      <w:bodyDiv w:val="1"/>
      <w:marLeft w:val="0"/>
      <w:marRight w:val="0"/>
      <w:marTop w:val="0"/>
      <w:marBottom w:val="0"/>
      <w:divBdr>
        <w:top w:val="none" w:sz="0" w:space="0" w:color="auto"/>
        <w:left w:val="none" w:sz="0" w:space="0" w:color="auto"/>
        <w:bottom w:val="none" w:sz="0" w:space="0" w:color="auto"/>
        <w:right w:val="none" w:sz="0" w:space="0" w:color="auto"/>
      </w:divBdr>
    </w:div>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23548421">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0405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sma.europa.eu/press-news/consultations/call-evidence-review-ucits-eligible-assets-directiv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ma.europa.e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0342D"/>
    <w:rsid w:val="002826FB"/>
    <w:rsid w:val="002F71C9"/>
    <w:rsid w:val="003C3A27"/>
    <w:rsid w:val="003E2607"/>
    <w:rsid w:val="004E4CF9"/>
    <w:rsid w:val="00747575"/>
    <w:rsid w:val="00754AC0"/>
    <w:rsid w:val="00793B18"/>
    <w:rsid w:val="007A6735"/>
    <w:rsid w:val="007B3EB2"/>
    <w:rsid w:val="00813189"/>
    <w:rsid w:val="008222A0"/>
    <w:rsid w:val="00836D47"/>
    <w:rsid w:val="0086278F"/>
    <w:rsid w:val="0087748B"/>
    <w:rsid w:val="00893D30"/>
    <w:rsid w:val="00967557"/>
    <w:rsid w:val="00993561"/>
    <w:rsid w:val="009B6B9C"/>
    <w:rsid w:val="009C794D"/>
    <w:rsid w:val="00A06F93"/>
    <w:rsid w:val="00A408D7"/>
    <w:rsid w:val="00AC6273"/>
    <w:rsid w:val="00B22006"/>
    <w:rsid w:val="00C336E8"/>
    <w:rsid w:val="00D17EF2"/>
    <w:rsid w:val="00D35FFF"/>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5B3A5F4E362043AEB18836450758F6" ma:contentTypeVersion="16" ma:contentTypeDescription="Create a new document." ma:contentTypeScope="" ma:versionID="af49e07b5ab3006773050245c06f349b">
  <xsd:schema xmlns:xsd="http://www.w3.org/2001/XMLSchema" xmlns:xs="http://www.w3.org/2001/XMLSchema" xmlns:p="http://schemas.microsoft.com/office/2006/metadata/properties" xmlns:ns3="a8bf010d-d1ea-4f36-8440-0d48fa0f65bd" xmlns:ns4="53225a3a-ddaf-4cee-8f74-e71aec479ce6" targetNamespace="http://schemas.microsoft.com/office/2006/metadata/properties" ma:root="true" ma:fieldsID="5a1790dc5b5d8e58899f9d4d96722858" ns3:_="" ns4:_="">
    <xsd:import namespace="a8bf010d-d1ea-4f36-8440-0d48fa0f65bd"/>
    <xsd:import namespace="53225a3a-ddaf-4cee-8f74-e71aec479c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f010d-d1ea-4f36-8440-0d48fa0f6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25a3a-ddaf-4cee-8f74-e71aec479c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225a3a-ddaf-4cee-8f74-e71aec479ce6">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_activity xmlns="a8bf010d-d1ea-4f36-8440-0d48fa0f65bd" xsi:nil="true"/>
  </documentManagement>
</p:properties>
</file>

<file path=customXml/itemProps1.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2.xml><?xml version="1.0" encoding="utf-8"?>
<ds:datastoreItem xmlns:ds="http://schemas.openxmlformats.org/officeDocument/2006/customXml" ds:itemID="{E27C86EB-4D55-4AE1-B408-CC011807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f010d-d1ea-4f36-8440-0d48fa0f65bd"/>
    <ds:schemaRef ds:uri="53225a3a-ddaf-4cee-8f74-e71aec479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purl.org/dc/elements/1.1/"/>
    <ds:schemaRef ds:uri="53225a3a-ddaf-4cee-8f74-e71aec479ce6"/>
    <ds:schemaRef ds:uri="a8bf010d-d1ea-4f36-8440-0d48fa0f65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4163</Words>
  <Characters>22899</Characters>
  <Application>Microsoft Office Word</Application>
  <DocSecurity>8</DocSecurity>
  <Lines>190</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AIDAN Stéphane</cp:lastModifiedBy>
  <cp:revision>12</cp:revision>
  <cp:lastPrinted>2024-08-07T14:42:00Z</cp:lastPrinted>
  <dcterms:created xsi:type="dcterms:W3CDTF">2024-07-26T14:50:00Z</dcterms:created>
  <dcterms:modified xsi:type="dcterms:W3CDTF">2024-08-07T14:43:00Z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0x010100D35B3A5F4E362043AEB18836450758F6</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