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19FC5ED4" w:rsidR="00563C1F" w:rsidRDefault="00EC6066" w:rsidP="00F72D28">
          <w:pPr>
            <w:pStyle w:val="Titel"/>
          </w:pPr>
          <w:r>
            <w:t>Reply form</w:t>
          </w:r>
        </w:p>
        <w:p w14:paraId="031F2108" w14:textId="0F73999B" w:rsidR="007E7997" w:rsidRDefault="00D77369" w:rsidP="00D77369">
          <w:pPr>
            <w:pStyle w:val="Untertitel"/>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E77E2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Untertitel"/>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enabsatz"/>
          </w:pPr>
          <w:r w:rsidRPr="00E13D25">
            <w:t>respond to the question stated;</w:t>
          </w:r>
        </w:p>
        <w:p w14:paraId="72FD40F6" w14:textId="77777777" w:rsidR="002533FC" w:rsidRPr="00E13D25" w:rsidRDefault="002533FC" w:rsidP="00EC6066">
          <w:pPr>
            <w:pStyle w:val="Listenabsatz"/>
          </w:pPr>
          <w:r w:rsidRPr="00E13D25">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E13D25" w:rsidRDefault="002533FC" w:rsidP="00EC6066">
          <w:pPr>
            <w:pStyle w:val="Listenabsatz"/>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6">
            <w:r w:rsidR="4B7EB2E9" w:rsidRPr="5788A89C">
              <w:rPr>
                <w:rStyle w:val="Hyperlink"/>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025A7F">
            <w:rPr>
              <w:rStyle w:val="Hyperlink"/>
            </w:rPr>
            <w:t>‘</w:t>
          </w:r>
          <w:hyperlink r:id="rId18"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75F77761" w:rsidR="00635BCA" w:rsidRPr="00557BD2" w:rsidRDefault="00A76FF8" w:rsidP="00D21C35">
                <w:r w:rsidRPr="00A76FF8">
                  <w:rPr>
                    <w:rFonts w:ascii="Myriad Pro" w:hAnsi="Myriad Pro" w:cs="Arial"/>
                    <w:b/>
                    <w:bCs/>
                    <w:sz w:val="20"/>
                    <w:lang w:val="de-DE"/>
                  </w:rPr>
                  <w:t>Bundesverband Alternative Investments e.V. (BAI)</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Content>
            <w:permStart w:id="476595074" w:edGrp="everyone" w:displacedByCustomXml="prev"/>
            <w:tc>
              <w:tcPr>
                <w:tcW w:w="4531" w:type="dxa"/>
              </w:tcPr>
              <w:p w14:paraId="0E49559E" w14:textId="10A76B8C" w:rsidR="00A76FF8" w:rsidRPr="007048EB" w:rsidRDefault="00A76FF8" w:rsidP="00A76FF8">
                <w:pPr>
                  <w:pBdr>
                    <w:top w:val="single" w:sz="4" w:space="1" w:color="auto"/>
                    <w:left w:val="single" w:sz="4" w:space="4" w:color="auto"/>
                    <w:bottom w:val="single" w:sz="4" w:space="1" w:color="auto"/>
                    <w:right w:val="single" w:sz="4" w:space="4" w:color="auto"/>
                  </w:pBdr>
                  <w:ind w:left="-142"/>
                  <w:rPr>
                    <w:rFonts w:ascii="Myriad Pro" w:hAnsi="Myriad Pro" w:cs="Arial"/>
                    <w:sz w:val="20"/>
                    <w:lang w:val="en-US"/>
                  </w:rPr>
                </w:pPr>
                <w:r w:rsidRPr="00AB4D3C">
                  <w:rPr>
                    <w:rFonts w:ascii="Myriad Pro" w:hAnsi="Myriad Pro" w:cs="Arial"/>
                    <w:b/>
                    <w:bCs/>
                    <w:sz w:val="20"/>
                    <w:lang w:val="en-US"/>
                  </w:rPr>
                  <w:t>BA</w:t>
                </w:r>
                <w:r>
                  <w:rPr>
                    <w:rFonts w:ascii="Myriad Pro" w:hAnsi="Myriad Pro" w:cs="Arial"/>
                    <w:b/>
                    <w:bCs/>
                    <w:sz w:val="20"/>
                    <w:lang w:val="en-US"/>
                  </w:rPr>
                  <w:t>I</w:t>
                </w:r>
                <w:r w:rsidRPr="007048EB">
                  <w:rPr>
                    <w:rFonts w:ascii="Myriad Pro" w:hAnsi="Myriad Pro" w:cs="Arial"/>
                    <w:sz w:val="20"/>
                    <w:lang w:val="en-US"/>
                  </w:rPr>
                  <w:t xml:space="preserve"> is the cross-asset and cross-product lobby association for the alternative investment industry in Germany and we consider ourselves as a catalyzer between professional German investors and suppliers of </w:t>
                </w:r>
                <w:r>
                  <w:rPr>
                    <w:rFonts w:ascii="Myriad Pro" w:hAnsi="Myriad Pro" w:cs="Arial"/>
                    <w:sz w:val="20"/>
                    <w:lang w:val="en-US"/>
                  </w:rPr>
                  <w:t>a</w:t>
                </w:r>
                <w:r w:rsidRPr="007048EB">
                  <w:rPr>
                    <w:rFonts w:ascii="Myriad Pro" w:hAnsi="Myriad Pro" w:cs="Arial"/>
                    <w:sz w:val="20"/>
                    <w:lang w:val="en-US"/>
                  </w:rPr>
                  <w:t xml:space="preserve">lternative </w:t>
                </w:r>
                <w:r>
                  <w:rPr>
                    <w:rFonts w:ascii="Myriad Pro" w:hAnsi="Myriad Pro" w:cs="Arial"/>
                    <w:sz w:val="20"/>
                    <w:lang w:val="en-US"/>
                  </w:rPr>
                  <w:t>i</w:t>
                </w:r>
                <w:r w:rsidRPr="007048EB">
                  <w:rPr>
                    <w:rFonts w:ascii="Myriad Pro" w:hAnsi="Myriad Pro" w:cs="Arial"/>
                    <w:sz w:val="20"/>
                    <w:lang w:val="en-US"/>
                  </w:rPr>
                  <w:t xml:space="preserve">nvestment products worldwide. </w:t>
                </w:r>
              </w:p>
              <w:p w14:paraId="2E665967" w14:textId="77777777" w:rsidR="00A76FF8" w:rsidRPr="00E6378B" w:rsidRDefault="00A76FF8" w:rsidP="00A76FF8">
                <w:pPr>
                  <w:pBdr>
                    <w:top w:val="single" w:sz="4" w:space="1" w:color="auto"/>
                    <w:left w:val="single" w:sz="4" w:space="4" w:color="auto"/>
                    <w:bottom w:val="single" w:sz="4" w:space="1" w:color="auto"/>
                    <w:right w:val="single" w:sz="4" w:space="4" w:color="auto"/>
                  </w:pBdr>
                  <w:ind w:left="-142"/>
                  <w:rPr>
                    <w:rFonts w:ascii="Myriad Pro" w:hAnsi="Myriad Pro" w:cs="Arial"/>
                    <w:sz w:val="20"/>
                    <w:lang w:val="en-US"/>
                  </w:rPr>
                </w:pPr>
                <w:r w:rsidRPr="007048EB">
                  <w:rPr>
                    <w:rFonts w:ascii="Myriad Pro" w:hAnsi="Myriad Pro" w:cs="Arial"/>
                    <w:sz w:val="20"/>
                    <w:lang w:val="en-US"/>
                  </w:rPr>
                  <w:t>BAI</w:t>
                </w:r>
                <w:r>
                  <w:rPr>
                    <w:rFonts w:ascii="Myriad Pro" w:hAnsi="Myriad Pro" w:cs="Arial"/>
                    <w:sz w:val="20"/>
                    <w:lang w:val="en-US"/>
                  </w:rPr>
                  <w:t xml:space="preserve"> </w:t>
                </w:r>
                <w:r w:rsidRPr="007048EB">
                  <w:rPr>
                    <w:rFonts w:ascii="Myriad Pro" w:hAnsi="Myriad Pro" w:cs="Arial"/>
                    <w:sz w:val="20"/>
                    <w:lang w:val="en-US"/>
                  </w:rPr>
                  <w:t xml:space="preserve">members are recruited from all areas of the </w:t>
                </w:r>
                <w:r>
                  <w:rPr>
                    <w:rFonts w:ascii="Myriad Pro" w:hAnsi="Myriad Pro" w:cs="Arial"/>
                    <w:sz w:val="20"/>
                    <w:lang w:val="en-US"/>
                  </w:rPr>
                  <w:t>a</w:t>
                </w:r>
                <w:r w:rsidRPr="007048EB">
                  <w:rPr>
                    <w:rFonts w:ascii="Myriad Pro" w:hAnsi="Myriad Pro" w:cs="Arial"/>
                    <w:sz w:val="20"/>
                    <w:lang w:val="en-US"/>
                  </w:rPr>
                  <w:t xml:space="preserve">lternative </w:t>
                </w:r>
                <w:r>
                  <w:rPr>
                    <w:rFonts w:ascii="Myriad Pro" w:hAnsi="Myriad Pro" w:cs="Arial"/>
                    <w:sz w:val="20"/>
                    <w:lang w:val="en-US"/>
                  </w:rPr>
                  <w:t>i</w:t>
                </w:r>
                <w:r w:rsidRPr="007048EB">
                  <w:rPr>
                    <w:rFonts w:ascii="Myriad Pro" w:hAnsi="Myriad Pro" w:cs="Arial"/>
                    <w:sz w:val="20"/>
                    <w:lang w:val="en-US"/>
                  </w:rPr>
                  <w:t>nvestments’ industry, e.g.</w:t>
                </w:r>
                <w:r>
                  <w:rPr>
                    <w:rFonts w:ascii="Myriad Pro" w:hAnsi="Myriad Pro" w:cs="Arial"/>
                    <w:sz w:val="20"/>
                    <w:lang w:val="en-US"/>
                  </w:rPr>
                  <w:t>,</w:t>
                </w:r>
                <w:r w:rsidRPr="007048EB">
                  <w:rPr>
                    <w:rFonts w:ascii="Myriad Pro" w:hAnsi="Myriad Pro" w:cs="Arial"/>
                    <w:sz w:val="20"/>
                    <w:lang w:val="en-US"/>
                  </w:rPr>
                  <w:t xml:space="preserve"> AIF managers and banks as well as service providers. At present, the BAI counts almost 300 national and international member companies and is growing continuously.</w:t>
                </w:r>
              </w:p>
              <w:p w14:paraId="7403D812" w14:textId="27809771" w:rsidR="00635BCA" w:rsidRPr="00557BD2" w:rsidRDefault="00635BCA" w:rsidP="00D21C35"/>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3458E037" w:rsidR="00635BCA" w:rsidRPr="00557BD2" w:rsidRDefault="005F3E0D" w:rsidP="00D21C35">
                <w:r>
                  <w:t>Germany</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berschrift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25508FD4" w14:textId="435E6172" w:rsidR="00370F5E" w:rsidRPr="00370F5E" w:rsidRDefault="00370F5E" w:rsidP="00370F5E">
      <w:pPr>
        <w:rPr>
          <w:color w:val="auto"/>
          <w:lang w:val="en-US"/>
        </w:rPr>
      </w:pPr>
      <w:permStart w:id="1975413025" w:edGrp="everyone"/>
      <w:r w:rsidRPr="00370F5E">
        <w:rPr>
          <w:color w:val="auto"/>
          <w:lang w:val="en-US"/>
        </w:rPr>
        <w:t xml:space="preserve">We do not believe that there is one single most pressing issue to address within this review with regard – only – to the three aspects investor protection, clarity and supervisory convergence across the EU. </w:t>
      </w:r>
      <w:r w:rsidRPr="00370F5E">
        <w:rPr>
          <w:color w:val="auto"/>
          <w:lang w:val="en-US"/>
        </w:rPr>
        <w:t>Of course,</w:t>
      </w:r>
      <w:r w:rsidRPr="00370F5E">
        <w:rPr>
          <w:color w:val="auto"/>
          <w:lang w:val="en-US"/>
        </w:rPr>
        <w:t xml:space="preserve"> it is valid within this review process to focus on improving investor protection, clarity and supervisory convergence across the EU, however, with regard to the overarching objectives of the Capital Markets Union we would advocate to also explicitly include the CMU objective “Offering new opportunities for savers and investors” in this initial question to get a full picture of quite pressing issues to address in the review </w:t>
      </w:r>
      <w:r w:rsidRPr="00370F5E">
        <w:rPr>
          <w:color w:val="auto"/>
          <w:lang w:val="en-US"/>
        </w:rPr>
        <w:lastRenderedPageBreak/>
        <w:t xml:space="preserve">process. We are well aware that especially Q20 et seq. address specific eligibility issues with regard to new or non-traditional assets and if and how they can be included within </w:t>
      </w:r>
      <w:r>
        <w:rPr>
          <w:color w:val="auto"/>
          <w:lang w:val="en-US"/>
        </w:rPr>
        <w:t xml:space="preserve">the UCITS </w:t>
      </w:r>
      <w:r w:rsidRPr="00370F5E">
        <w:rPr>
          <w:color w:val="auto"/>
          <w:lang w:val="en-US"/>
        </w:rPr>
        <w:t xml:space="preserve">EAD and that this has to be seen in the context of the aforementioned CMU objective. </w:t>
      </w:r>
      <w:r w:rsidRPr="00370F5E">
        <w:rPr>
          <w:color w:val="auto"/>
          <w:lang w:val="en-US"/>
        </w:rPr>
        <w:t>Nevertheless,</w:t>
      </w:r>
      <w:r w:rsidRPr="00370F5E">
        <w:rPr>
          <w:color w:val="auto"/>
          <w:lang w:val="en-US"/>
        </w:rPr>
        <w:t xml:space="preserve"> we would like to emphasize that our entire feedback statement is aligned with this objective.</w:t>
      </w:r>
    </w:p>
    <w:p w14:paraId="1EAA84D2" w14:textId="77777777" w:rsidR="00370F5E" w:rsidRPr="00370F5E" w:rsidRDefault="00370F5E" w:rsidP="00370F5E">
      <w:pPr>
        <w:rPr>
          <w:color w:val="auto"/>
          <w:lang w:val="en-US"/>
        </w:rPr>
      </w:pPr>
      <w:r w:rsidRPr="00370F5E">
        <w:rPr>
          <w:color w:val="auto"/>
          <w:lang w:val="en-US"/>
        </w:rPr>
        <w:t xml:space="preserve">Thus, we would like to outline that from our point of view one pressing issue is </w:t>
      </w:r>
      <w:r w:rsidRPr="00370F5E">
        <w:rPr>
          <w:b/>
          <w:bCs/>
          <w:color w:val="auto"/>
          <w:lang w:val="en-US"/>
        </w:rPr>
        <w:t>i)</w:t>
      </w:r>
      <w:r w:rsidRPr="00370F5E">
        <w:rPr>
          <w:color w:val="auto"/>
          <w:lang w:val="en-US"/>
        </w:rPr>
        <w:t xml:space="preserve"> to make investments by UCITS more efficient, </w:t>
      </w:r>
      <w:r w:rsidRPr="00370F5E">
        <w:rPr>
          <w:b/>
          <w:bCs/>
          <w:color w:val="auto"/>
          <w:lang w:val="en-US"/>
        </w:rPr>
        <w:t>ii)</w:t>
      </w:r>
      <w:r w:rsidRPr="00370F5E">
        <w:rPr>
          <w:color w:val="auto"/>
          <w:lang w:val="en-US"/>
        </w:rPr>
        <w:t xml:space="preserve"> extend the universe of eligible assets and </w:t>
      </w:r>
      <w:r w:rsidRPr="00370F5E">
        <w:rPr>
          <w:b/>
          <w:bCs/>
          <w:color w:val="auto"/>
          <w:lang w:val="en-US"/>
        </w:rPr>
        <w:t>iii)</w:t>
      </w:r>
      <w:r w:rsidRPr="00370F5E">
        <w:rPr>
          <w:color w:val="auto"/>
          <w:lang w:val="en-US"/>
        </w:rPr>
        <w:t xml:space="preserve"> facilitate cross-border distribution of national retail funds which are not – yet – in the scope of the UCITS directive.</w:t>
      </w:r>
    </w:p>
    <w:p w14:paraId="0EB626BD" w14:textId="7B33D37E" w:rsidR="00370F5E" w:rsidRPr="00370F5E" w:rsidRDefault="00370F5E" w:rsidP="00370F5E">
      <w:pPr>
        <w:rPr>
          <w:color w:val="auto"/>
          <w:lang w:val="en-US"/>
        </w:rPr>
      </w:pPr>
      <w:r w:rsidRPr="00370F5E">
        <w:rPr>
          <w:b/>
          <w:bCs/>
          <w:color w:val="auto"/>
          <w:lang w:val="en-US"/>
        </w:rPr>
        <w:t xml:space="preserve">Regarding i) </w:t>
      </w:r>
      <w:r w:rsidRPr="00370F5E">
        <w:rPr>
          <w:color w:val="auto"/>
          <w:lang w:val="en-US"/>
        </w:rPr>
        <w:t xml:space="preserve">making investments by UCITS more efficient we believe that the UCITS framework should allow direct investments of all assets/financial instruments which can also be invested in indirectly, e.g. via delta-one-certificates or other means, of course subject to the relevant general UCITS requirements with regard e.g. to liquidity. We believe that additional layers, wrappers, etc. for specific assets/financial instruments maybe helpful, however, ESMA and also the </w:t>
      </w:r>
      <w:r>
        <w:rPr>
          <w:color w:val="auto"/>
          <w:lang w:val="en-US"/>
        </w:rPr>
        <w:t xml:space="preserve">EU </w:t>
      </w:r>
      <w:r w:rsidRPr="00370F5E">
        <w:rPr>
          <w:color w:val="auto"/>
          <w:lang w:val="en-US"/>
        </w:rPr>
        <w:t>Commission should check how more direct investments could be admitted so that investing for UCITS might become more efficient, especially cost efficient.</w:t>
      </w:r>
    </w:p>
    <w:p w14:paraId="7CF8C7D8" w14:textId="5A18D4E9" w:rsidR="00370F5E" w:rsidRPr="00370F5E" w:rsidRDefault="00370F5E" w:rsidP="00370F5E">
      <w:pPr>
        <w:rPr>
          <w:color w:val="auto"/>
          <w:lang w:val="en-US"/>
        </w:rPr>
      </w:pPr>
      <w:r w:rsidRPr="00370F5E">
        <w:rPr>
          <w:b/>
          <w:bCs/>
          <w:color w:val="auto"/>
          <w:lang w:val="en-US"/>
        </w:rPr>
        <w:t>Regarding ii)</w:t>
      </w:r>
      <w:r w:rsidRPr="00370F5E">
        <w:rPr>
          <w:color w:val="auto"/>
          <w:lang w:val="en-US"/>
        </w:rPr>
        <w:t xml:space="preserve"> extend the universe of eligible assets (beyond assets/financial instruments covered under i)) we welcome the approach under Q20 et seq. to clarify and – to some extent – broaden the scope of </w:t>
      </w:r>
      <w:r>
        <w:rPr>
          <w:color w:val="auto"/>
          <w:lang w:val="en-US"/>
        </w:rPr>
        <w:t xml:space="preserve">the UCITS </w:t>
      </w:r>
      <w:r w:rsidRPr="00370F5E">
        <w:rPr>
          <w:color w:val="auto"/>
          <w:lang w:val="en-US"/>
        </w:rPr>
        <w:t>EAD. As there is partially disagreement among regulators and supervisors in the EU with regard to eligibility of specific assets (e.g. ILS</w:t>
      </w:r>
      <w:r>
        <w:rPr>
          <w:color w:val="auto"/>
          <w:lang w:val="en-US"/>
        </w:rPr>
        <w:t xml:space="preserve"> and cat bonds</w:t>
      </w:r>
      <w:r w:rsidRPr="00370F5E">
        <w:rPr>
          <w:color w:val="auto"/>
          <w:lang w:val="en-US"/>
        </w:rPr>
        <w:t xml:space="preserve">, which we give specific focus on in our feedback statement) we would welcome a material approach to allow different types of new assets, even beyond those who are now addressed in this consultation, especially in Q20 et seq. To avoid misunderstandings, we fully support the </w:t>
      </w:r>
      <w:r w:rsidRPr="00370F5E">
        <w:rPr>
          <w:color w:val="auto"/>
          <w:lang w:val="en-US"/>
        </w:rPr>
        <w:t>well-established</w:t>
      </w:r>
      <w:r w:rsidRPr="00370F5E">
        <w:rPr>
          <w:color w:val="auto"/>
          <w:lang w:val="en-US"/>
        </w:rPr>
        <w:t xml:space="preserve"> UCITS concepts which safeguards a very high level of investor </w:t>
      </w:r>
      <w:r w:rsidRPr="00370F5E">
        <w:rPr>
          <w:color w:val="auto"/>
          <w:lang w:val="en-US"/>
        </w:rPr>
        <w:t>protection,</w:t>
      </w:r>
      <w:r w:rsidRPr="00370F5E">
        <w:rPr>
          <w:color w:val="auto"/>
          <w:lang w:val="en-US"/>
        </w:rPr>
        <w:t xml:space="preserve"> and we also believe that the UCITS brand must be protected as much as possible and at the same time UCITS shall remain the universe for predominantly liquid funds whereas ELTIF shall become the universe for predominantly semi-liquid or illiquid funds. At the same </w:t>
      </w:r>
      <w:r w:rsidRPr="00370F5E">
        <w:rPr>
          <w:color w:val="auto"/>
          <w:lang w:val="en-US"/>
        </w:rPr>
        <w:t>time,</w:t>
      </w:r>
      <w:r w:rsidRPr="00370F5E">
        <w:rPr>
          <w:color w:val="auto"/>
          <w:lang w:val="en-US"/>
        </w:rPr>
        <w:t xml:space="preserve"> we believe that moderate exposure to new or non-traditional and partially illiquid assets may be permissible if the exposure remains limited and specific safeguards have to be regarded. In consequence we would advocate for a new “residiual quota” for UCITS in which non-core assets could be acquired with additional return opportunities for investors.</w:t>
      </w:r>
    </w:p>
    <w:p w14:paraId="6F17A998" w14:textId="718AF6E5" w:rsidR="00370F5E" w:rsidRPr="00370F5E" w:rsidRDefault="00370F5E" w:rsidP="00370F5E">
      <w:pPr>
        <w:rPr>
          <w:color w:val="auto"/>
          <w:lang w:val="en-US"/>
        </w:rPr>
      </w:pPr>
      <w:r w:rsidRPr="00370F5E">
        <w:rPr>
          <w:b/>
          <w:bCs/>
          <w:color w:val="auto"/>
          <w:lang w:val="en-US"/>
        </w:rPr>
        <w:t>Regarding iii)</w:t>
      </w:r>
      <w:r w:rsidRPr="00370F5E">
        <w:rPr>
          <w:color w:val="auto"/>
          <w:lang w:val="en-US"/>
        </w:rPr>
        <w:t xml:space="preserve"> facilitate cross-border distribution of national retail funds which are not – yet – in the scope of the UCITS directive we would like to emphasize that there are many specific retail funds established in the EU which are neither subject to the UCITS directive nor to </w:t>
      </w:r>
      <w:r>
        <w:rPr>
          <w:color w:val="auto"/>
          <w:lang w:val="en-US"/>
        </w:rPr>
        <w:t xml:space="preserve">the </w:t>
      </w:r>
      <w:r w:rsidRPr="00370F5E">
        <w:rPr>
          <w:color w:val="auto"/>
          <w:lang w:val="en-US"/>
        </w:rPr>
        <w:t xml:space="preserve">AIFMD. To strengthen and to enlarge the European funds market we believe that cross-border distribution of these types of funds should be facilitated and at the same time the possibility for UCITS to invest in these funds so that UCITS can further diversify and access further return </w:t>
      </w:r>
      <w:r w:rsidRPr="00370F5E">
        <w:rPr>
          <w:color w:val="auto"/>
          <w:lang w:val="en-US"/>
        </w:rPr>
        <w:lastRenderedPageBreak/>
        <w:t xml:space="preserve">opportunities, but also giving better access to these funds to investors within the EU. This would be a further effort to broaden and deepen the European Capital Markets.      </w:t>
      </w:r>
    </w:p>
    <w:p w14:paraId="2DE99672" w14:textId="65DBD748" w:rsidR="005F3E0D" w:rsidRPr="00370F5E" w:rsidRDefault="00370F5E" w:rsidP="005F3E0D">
      <w:pPr>
        <w:rPr>
          <w:color w:val="auto"/>
          <w:lang w:val="en-US"/>
        </w:rPr>
      </w:pPr>
      <w:r w:rsidRPr="00370F5E">
        <w:rPr>
          <w:b/>
          <w:bCs/>
          <w:color w:val="auto"/>
          <w:lang w:val="en-US"/>
        </w:rPr>
        <w:t>Finally</w:t>
      </w:r>
      <w:r w:rsidRPr="00370F5E">
        <w:rPr>
          <w:color w:val="auto"/>
          <w:lang w:val="en-US"/>
        </w:rPr>
        <w:t xml:space="preserve">, we would like to comment on the aspect of supervisory convergence which indeed can be further developed. From our point of view institutional/procedural aspects are mainly the reasons for lacking supervisory convergence. Regarding e.g. the eligibility of specific assets we believe that ESMA should decide on mandatory submissions of NCAs </w:t>
      </w:r>
      <w:r>
        <w:rPr>
          <w:color w:val="auto"/>
          <w:lang w:val="en-US"/>
        </w:rPr>
        <w:t>a</w:t>
      </w:r>
      <w:r w:rsidRPr="00370F5E">
        <w:rPr>
          <w:color w:val="auto"/>
          <w:lang w:val="en-US"/>
        </w:rPr>
        <w:t>t its’ own discretion about the eligibility after hearing the opinions of other NCAs. Decision making procedures should be streamlined. We are happy to further explain our ideas in the further course of this review process.</w:t>
      </w: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32F6BB0B" w14:textId="36377D08" w:rsidR="000C0AA3" w:rsidRDefault="000C0AA3" w:rsidP="000C0AA3">
      <w:permStart w:id="85149166" w:edGrp="everyone"/>
      <w:r w:rsidRPr="000F3C35">
        <w:rPr>
          <w:b/>
          <w:bCs/>
        </w:rPr>
        <w:t>In general</w:t>
      </w:r>
      <w:r>
        <w:t>, the requirement for UCITS funds to list in the investment objective all financial indices they are exposed to through investment in derivatives is overly cumbersome. Instead, UCITS funds should be permitted to take exposures to diversified indices as allowed by regulations.</w:t>
      </w:r>
    </w:p>
    <w:p w14:paraId="17802BA3" w14:textId="034AA47D" w:rsidR="000C0AA3" w:rsidRDefault="000C0AA3" w:rsidP="00667FF6">
      <w:r>
        <w:t>The requirement to ensure that financial indices are sufficiently diversified, and to notify the home regulator of the UCITS fund if they meet certain criteria is a burdensome, manual and inefficient process. It would be appreciated if ESMA could consider how this process could be made more streamlined and efficient. For example, it may be helpful to update the rules on financial indices to reflect the developments that have taken place under the EU Benchmark Regulation (BMR).</w:t>
      </w:r>
    </w:p>
    <w:p w14:paraId="2DD5E20B" w14:textId="09C47D3E" w:rsidR="000C0AA3" w:rsidRDefault="000C0AA3" w:rsidP="00667FF6">
      <w:r w:rsidRPr="000F3C35">
        <w:rPr>
          <w:b/>
          <w:bCs/>
        </w:rPr>
        <w:t>Especially</w:t>
      </w:r>
      <w:r>
        <w:t xml:space="preserve"> </w:t>
      </w:r>
      <w:r w:rsidRPr="000F3C35">
        <w:rPr>
          <w:b/>
          <w:bCs/>
        </w:rPr>
        <w:t>with regard on the asset class of insurance-linked securities / catastrophe bonds</w:t>
      </w:r>
      <w:r>
        <w:t>, t</w:t>
      </w:r>
      <w:r w:rsidRPr="000C0AA3">
        <w:t>he relevant (benchmark) index is the Swiss Re Cat Bond Index (see Bloomberg SRGLTRR Index for reference). This index has not experienced any issues since the launch of the publication of the data; as such, we do not have a specific comment for this question.</w:t>
      </w:r>
    </w:p>
    <w:permEnd w:id="85149166"/>
    <w:p w14:paraId="4AE132E3" w14:textId="483AEC18" w:rsidR="00667FF6" w:rsidRDefault="00667FF6" w:rsidP="00667FF6">
      <w:r>
        <w:lastRenderedPageBreak/>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66CBED74" w14:textId="241A76F7" w:rsidR="00667FF6" w:rsidRDefault="00A801B2" w:rsidP="00667FF6">
      <w:permStart w:id="1981048397" w:edGrp="everyone"/>
      <w:r w:rsidRPr="00A801B2">
        <w:t>While cash in custody accounts earns close to zero, US and Gilt money funds are earning around 5%. For many funds, the 10% limitation on investment in money market instruments has been problematic, resulting in diminished yields for unused cash.</w:t>
      </w:r>
      <w:r w:rsidR="00591B5E">
        <w:t xml:space="preserve"> Therefore, we invite ESMA to think on the 10% limitation on investments in money market instruments.</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52C3EAE2" w14:textId="0B0BE784" w:rsidR="00A05A6A" w:rsidRDefault="000F3C35" w:rsidP="00A05A6A">
      <w:permStart w:id="1012351271" w:edGrp="everyone"/>
      <w:r w:rsidRPr="000F3C35">
        <w:rPr>
          <w:b/>
          <w:bCs/>
        </w:rPr>
        <w:t>In general</w:t>
      </w:r>
      <w:r>
        <w:t>, t</w:t>
      </w:r>
      <w:r w:rsidR="00591B5E" w:rsidRPr="00591B5E">
        <w:t xml:space="preserve">he notion of </w:t>
      </w:r>
      <w:r w:rsidR="00591B5E">
        <w:t>“</w:t>
      </w:r>
      <w:r w:rsidR="00591B5E" w:rsidRPr="00591B5E">
        <w:t>liquidity</w:t>
      </w:r>
      <w:r w:rsidR="00591B5E">
        <w:t>” or “liquid financial assets”</w:t>
      </w:r>
      <w:r w:rsidR="00591B5E" w:rsidRPr="00591B5E">
        <w:t xml:space="preserve"> is difficult to define precisely</w:t>
      </w:r>
      <w:r w:rsidR="00591B5E">
        <w:t xml:space="preserve"> and depends on a variety of criteria. In our view</w:t>
      </w:r>
      <w:r w:rsidR="00A05A6A">
        <w:t>,</w:t>
      </w:r>
      <w:r w:rsidR="00591B5E" w:rsidRPr="00591B5E">
        <w:t xml:space="preserve"> further development of rules on the liquidity of eligible assets is </w:t>
      </w:r>
      <w:r w:rsidR="00591B5E">
        <w:t xml:space="preserve">rather </w:t>
      </w:r>
      <w:r w:rsidR="00591B5E" w:rsidRPr="00591B5E">
        <w:t xml:space="preserve">impracticable. While market liquidity can be measured, an asset's liquidity is not absolute and can vary over time. </w:t>
      </w:r>
      <w:r w:rsidR="00A05A6A">
        <w:t xml:space="preserve">The key factor is whether a position in the fund portfolio cannot be sold, liquidated, or closed at limited cost in an adequately short time frame. As market liquidity is constantly changing, it is advisable to continuously monitor the assessment of which assets are considered liquid. </w:t>
      </w:r>
      <w:r w:rsidR="00591B5E" w:rsidRPr="00591B5E">
        <w:t xml:space="preserve">The requirements set out in the UCITS Directive provide sufficient clarity. Designating a universe of inherently liquid assets through </w:t>
      </w:r>
      <w:r w:rsidR="00591B5E" w:rsidRPr="00591B5E">
        <w:lastRenderedPageBreak/>
        <w:t>qualitative criteria or legal definitions is unfeasible and could have unintended systemic risk consequences</w:t>
      </w:r>
      <w:r w:rsidR="00A76FF8">
        <w:t>.</w:t>
      </w:r>
    </w:p>
    <w:p w14:paraId="03FF49E7" w14:textId="643656CC" w:rsidR="00591B5E" w:rsidRDefault="00591B5E" w:rsidP="00A05A6A">
      <w:r w:rsidRPr="000F3C35">
        <w:rPr>
          <w:b/>
          <w:bCs/>
        </w:rPr>
        <w:t xml:space="preserve">Especially regarding </w:t>
      </w:r>
      <w:r w:rsidRPr="000F3C35">
        <w:rPr>
          <w:b/>
          <w:bCs/>
          <w:highlight w:val="yellow"/>
          <w:lang w:val="en-US"/>
        </w:rPr>
        <w:t>insurance-linked securities</w:t>
      </w:r>
      <w:r w:rsidRPr="000F3C35">
        <w:rPr>
          <w:b/>
          <w:bCs/>
        </w:rPr>
        <w:t xml:space="preserve"> and cat bonds</w:t>
      </w:r>
      <w:r>
        <w:t>, we</w:t>
      </w:r>
      <w:r w:rsidRPr="00591B5E">
        <w:t xml:space="preserve"> have not experienced any issues with the interpretation or consistent application of UCITS EAD provisions using the notions of «liquidity» or «liquid financial assets».</w:t>
      </w:r>
    </w:p>
    <w:permEnd w:id="1012351271"/>
    <w:p w14:paraId="65B48BCF" w14:textId="77777777" w:rsidR="00667FF6" w:rsidRDefault="00667FF6" w:rsidP="00667FF6">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09734178" w14:textId="73D67CEC" w:rsidR="00667FF6" w:rsidRDefault="00943245" w:rsidP="00667FF6">
      <w:permStart w:id="1300367218" w:edGrp="everyone"/>
      <w:r>
        <w:t>Yes,</w:t>
      </w:r>
      <w:r w:rsidR="000F3C35">
        <w:t xml:space="preserve"> </w:t>
      </w:r>
      <w:r w:rsidR="000F3C35" w:rsidRPr="000F3C35">
        <w:rPr>
          <w:b/>
          <w:bCs/>
        </w:rPr>
        <w:t>in general</w:t>
      </w:r>
      <w:r w:rsidR="000F3C35">
        <w:t>,</w:t>
      </w:r>
      <w:r>
        <w:t xml:space="preserve"> w</w:t>
      </w:r>
      <w:r w:rsidRPr="00943245">
        <w:t>e consider that the presumptions of liquidity and negotiability remain appropriate. This is especially the case for new primary issuance of bonds as there is no history of reliable trading data available directly for that bond for several days or weeks after it has been issued. In most cases it is possible to substantiate the presumption of liquidity and negotiability by using data from bonds already issued from the same issuer or bonds from different issuers with similar characteristics, however this is not always possible depending on the circumstances. Hence the presumption should remain. Limiting the ability for UCITS to take part in new primary issues by removing the rebuttable presumptions of liquidity and negotiability would limit the returns provided to investors.</w:t>
      </w:r>
    </w:p>
    <w:p w14:paraId="1DA36FC5" w14:textId="1640E622" w:rsidR="00943245" w:rsidRPr="00A05A6A" w:rsidRDefault="00943245" w:rsidP="00943245">
      <w:pPr>
        <w:rPr>
          <w:color w:val="auto"/>
        </w:rPr>
      </w:pPr>
      <w:r w:rsidRPr="000F3C35">
        <w:rPr>
          <w:b/>
          <w:bCs/>
        </w:rPr>
        <w:t>What is a good example for the issuance of bonds, is also true for cat bonds</w:t>
      </w:r>
      <w:r>
        <w:t xml:space="preserve">: These securities inherently mitigate liquidity risk through their structure, consisting of a floating element that pays a risk-free return and a coupon element reflecting the underlying risk. This structure ensures stable price indications even amidst fluctuating interest rates. Additionally, cat bonds typically have short maturities (three to five years), providing a natural liquidity stream from maturing positions. </w:t>
      </w:r>
      <w:r w:rsidRPr="00A05A6A">
        <w:rPr>
          <w:color w:val="auto"/>
          <w:highlight w:val="darkRed"/>
        </w:rPr>
        <w:t>The low correlation of cat bonds with financial market movements, as shown in our attached correlation analysis, further mitigates liquidity risk.</w:t>
      </w:r>
    </w:p>
    <w:p w14:paraId="01958054" w14:textId="77777777" w:rsidR="00943245" w:rsidRDefault="00943245" w:rsidP="00943245">
      <w:r>
        <w:t xml:space="preserve">The market for insurance-linked securities has seen substantial growth, nearly doubling in size from 2016 to 2024, enhancing market stability and reducing potential liquidity risk. Given this growth and the consistent high liquidity observed in the cat bond market, particularly during financial volatility, the presumption of liquidity and negotiability remains appropriate. Removing </w:t>
      </w:r>
      <w:r>
        <w:lastRenderedPageBreak/>
        <w:t>this presumption could hinder UCITS from participating in new primary issues, limiting investor returns.</w:t>
      </w:r>
    </w:p>
    <w:p w14:paraId="5410F050" w14:textId="77777777" w:rsidR="00943245" w:rsidRDefault="00943245" w:rsidP="00943245">
      <w:r>
        <w:t>Cat bonds have demonstrated remarkable liquidity, even during the COVID-19 pandemic, where cat bond UCITS funds managed redemptions smoothly, unlike traditional corporate bond markets. Broker statistics and market activity affirm this high liquidity, with the market generating significant annual liquidity through maturities, regular coupons, and secondary market trading. Projected liquidity for 2024 is expected to exceed $40 billion, nearly matching the market size.</w:t>
      </w:r>
    </w:p>
    <w:p w14:paraId="38443D42" w14:textId="77777777" w:rsidR="00943245" w:rsidRDefault="00943245" w:rsidP="00943245">
      <w:r>
        <w:t>Furthermore, the independent risk profile of cat bonds from traditional financial market risks enhances their appeal, providing resilience during financial market stress and ensuring sufficient liquidity within cat bond UCITS funds. This characteristic contributes to reducing overall liquidity risk in investors' portfolios and stabilizing financial markets.</w:t>
      </w:r>
    </w:p>
    <w:p w14:paraId="4576E0E2" w14:textId="24368C38" w:rsidR="00943245" w:rsidRDefault="00943245" w:rsidP="00943245">
      <w:r>
        <w:t xml:space="preserve">In conclusion, maintaining the UCITS eligibility of cat bonds is crucial due to their demonstrated liquidity, diversification benefits, and resilience to traditional market stresses, making them a vital component in investors' portfolios and a stabilizing factor in financial markets. Hence, </w:t>
      </w:r>
      <w:r w:rsidRPr="00943245">
        <w:t>the presumptions of liquidity and negotiability remain appropriate</w:t>
      </w:r>
      <w:r>
        <w:t>.</w:t>
      </w:r>
    </w:p>
    <w:permEnd w:id="1300367218"/>
    <w:p w14:paraId="25A344BA" w14:textId="77777777" w:rsidR="00667FF6" w:rsidRDefault="00667FF6" w:rsidP="00667FF6">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3FEE353B" w14:textId="3AA32EFD" w:rsidR="00667FF6" w:rsidRDefault="00463B02" w:rsidP="00667FF6">
      <w:permStart w:id="974730357" w:edGrp="everyone"/>
      <w:r>
        <w:t>In our view, t</w:t>
      </w:r>
      <w:r w:rsidRPr="00463B02">
        <w:t xml:space="preserve">here has been some divergence </w:t>
      </w:r>
      <w:r>
        <w:t>regarding the meaning and interpretation of</w:t>
      </w:r>
      <w:r w:rsidRPr="00463B02">
        <w:t xml:space="preserve"> </w:t>
      </w:r>
      <w:r>
        <w:t>“</w:t>
      </w:r>
      <w:r w:rsidRPr="00463B02">
        <w:t>ancillary liquid assets</w:t>
      </w:r>
      <w:r>
        <w:t>”</w:t>
      </w:r>
      <w:r w:rsidRPr="00463B02">
        <w:t xml:space="preserve"> </w:t>
      </w:r>
      <w:r>
        <w:t>in different Member States’ jurisdictions</w:t>
      </w:r>
      <w:r w:rsidR="00686C50">
        <w:t xml:space="preserve"> (whilst </w:t>
      </w:r>
      <w:r w:rsidR="00686C50" w:rsidRPr="00686C50">
        <w:t>the issue of “ancillary liquid assets” has not been transposed into German law</w:t>
      </w:r>
      <w:r w:rsidR="00686C50">
        <w:t>)</w:t>
      </w:r>
      <w:r w:rsidRPr="00463B02">
        <w:t>. It would be beneficial for a common definition to be used for all jurisdictions.</w:t>
      </w:r>
    </w:p>
    <w:p w14:paraId="1884557C" w14:textId="7B9AC244" w:rsidR="00463B02" w:rsidRDefault="00463B02" w:rsidP="00667FF6">
      <w:r w:rsidRPr="000F3C35">
        <w:rPr>
          <w:b/>
          <w:bCs/>
        </w:rPr>
        <w:t>Regarding UCTIS cat bonds funds</w:t>
      </w:r>
      <w:r>
        <w:t>, our member companies informed us that their</w:t>
      </w:r>
      <w:r w:rsidRPr="00463B02">
        <w:t xml:space="preserve"> UCITS insurance-linked securities (cat bond) funds invest exclusively in cat bond positions and hold such positions in the custody account of the fund. Based on </w:t>
      </w:r>
      <w:r>
        <w:t>their</w:t>
      </w:r>
      <w:r w:rsidRPr="00463B02">
        <w:t xml:space="preserve"> assessment, any “ancillary liquid assets” for insurance-linked securities (UCITS) funds are thus limited to excess cash </w:t>
      </w:r>
      <w:r w:rsidRPr="00463B02">
        <w:lastRenderedPageBreak/>
        <w:t xml:space="preserve">holdings. In the lifetime of the fund, such excess cash fluctuates – drivers are movements around subscriptions/redemptions or FX hedges. To reduce the associated credit risk (vis-à-vis the custody bank), </w:t>
      </w:r>
      <w:r>
        <w:t>the managers</w:t>
      </w:r>
      <w:r w:rsidRPr="00463B02">
        <w:t xml:space="preserve"> would always hold excess cash in the form of government bonds, issued in the fund currency (USD). </w:t>
      </w:r>
      <w:r>
        <w:t>Our member companies did not</w:t>
      </w:r>
      <w:r w:rsidRPr="00463B02">
        <w:t xml:space="preserve"> experience any challenges around managing such ancillary liquid assets.</w:t>
      </w:r>
    </w:p>
    <w:permEnd w:id="974730357"/>
    <w:p w14:paraId="307CFCEA" w14:textId="77777777" w:rsidR="00667FF6" w:rsidRDefault="00667FF6" w:rsidP="00667FF6">
      <w:r>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Beyond holding currency for liquidity purposes, do you think UCITS should be permitted to acquire or hold foreign currency also for investment purposes, taking into account the high volatility and devaluation/depreciation of some currencies? Where relevant, please distinguish between direct and indirect investments.</w:t>
      </w:r>
    </w:p>
    <w:p w14:paraId="31EB23C3" w14:textId="77777777" w:rsidR="00667FF6" w:rsidRDefault="00667FF6" w:rsidP="00667FF6">
      <w:r>
        <w:t>&lt;ESMA_QUESTION_EADC_7&gt;</w:t>
      </w:r>
    </w:p>
    <w:p w14:paraId="3E66B940" w14:textId="00E73658" w:rsidR="008A2F39" w:rsidRDefault="008A2F39" w:rsidP="00686C50">
      <w:permStart w:id="12191390" w:edGrp="everyone"/>
      <w:r w:rsidRPr="000F3C35">
        <w:rPr>
          <w:b/>
          <w:bCs/>
        </w:rPr>
        <w:t>In general</w:t>
      </w:r>
      <w:r>
        <w:t>, holding</w:t>
      </w:r>
      <w:r w:rsidRPr="008A2F39">
        <w:t xml:space="preserve"> foreign currencies opens opportunities for potential gains from favourable exchange rate movements, contributing to enhanced returns. </w:t>
      </w:r>
      <w:r>
        <w:t>Currency volatility usually is much lower than equity volatility. P</w:t>
      </w:r>
      <w:r w:rsidRPr="008A2F39">
        <w:t>ermitting access to foreign currencies supports a more robust and versatile investment strategy, thereby enabling investment managers to respond effectively to changing global market conditions and taking advantage of diverse investment opportunities.</w:t>
      </w:r>
      <w:r w:rsidR="00686C50">
        <w:t xml:space="preserve"> Therefore, UCITS should be allowed to hold foreign currencies for investment purposes.</w:t>
      </w:r>
    </w:p>
    <w:p w14:paraId="24C7BA65" w14:textId="3F1E6691" w:rsidR="00667FF6" w:rsidRPr="008A2F39" w:rsidRDefault="008A2F39" w:rsidP="00667FF6">
      <w:pPr>
        <w:rPr>
          <w:lang w:val="en-US"/>
        </w:rPr>
      </w:pPr>
      <w:r w:rsidRPr="000F3C35">
        <w:rPr>
          <w:b/>
          <w:bCs/>
          <w:highlight w:val="yellow"/>
          <w:lang w:val="en-US"/>
        </w:rPr>
        <w:t>Regarding insurance-linked securities and cat bonds</w:t>
      </w:r>
      <w:r>
        <w:rPr>
          <w:highlight w:val="yellow"/>
          <w:lang w:val="en-US"/>
        </w:rPr>
        <w:t>, i</w:t>
      </w:r>
      <w:r w:rsidRPr="00AB1E19">
        <w:rPr>
          <w:highlight w:val="yellow"/>
          <w:lang w:val="en-US"/>
        </w:rPr>
        <w:t xml:space="preserve">nvestors in insurance-linked securities typically seek the low correlation benefits of this asset class. Market exposure should be avoided / mitigated to the best degree possible. For the purpose of </w:t>
      </w:r>
      <w:r>
        <w:rPr>
          <w:highlight w:val="yellow"/>
          <w:lang w:val="en-US"/>
        </w:rPr>
        <w:t>this</w:t>
      </w:r>
      <w:r w:rsidRPr="00AB1E19">
        <w:rPr>
          <w:highlight w:val="yellow"/>
          <w:lang w:val="en-US"/>
        </w:rPr>
        <w:t xml:space="preserve"> </w:t>
      </w:r>
      <w:r>
        <w:rPr>
          <w:highlight w:val="yellow"/>
          <w:lang w:val="en-US"/>
        </w:rPr>
        <w:t xml:space="preserve">specific </w:t>
      </w:r>
      <w:r w:rsidRPr="00AB1E19">
        <w:rPr>
          <w:highlight w:val="yellow"/>
          <w:lang w:val="en-US"/>
        </w:rPr>
        <w:t>investment case – insurance-linked securities / catastrophe bonds – we would thus not see a need to actively invest in foreign currency as part of the investment strategy.</w:t>
      </w:r>
    </w:p>
    <w:permEnd w:id="12191390"/>
    <w:p w14:paraId="1D468445" w14:textId="77777777"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lastRenderedPageBreak/>
        <w:t>&lt;ESMA_QUESTION_EADC_8&gt;</w:t>
      </w:r>
    </w:p>
    <w:p w14:paraId="3334222E" w14:textId="2A87B12B" w:rsidR="00667FF6" w:rsidRDefault="008A2F39" w:rsidP="00667FF6">
      <w:permStart w:id="1602386857" w:edGrp="everyone"/>
      <w:r>
        <w:t xml:space="preserve">Regarding the </w:t>
      </w:r>
      <w:r w:rsidR="008A4BDB" w:rsidRPr="008A4BDB">
        <w:t xml:space="preserve">interpretation or consistent application of the 10% limit </w:t>
      </w:r>
      <w:r w:rsidR="008A4BDB">
        <w:t>we have only got feedback from member companies managing UCITS cat bond funds. Hence, t</w:t>
      </w:r>
      <w:r w:rsidR="008A4BDB" w:rsidRPr="008A4BDB">
        <w:t>his is not an issue for cat bond UCITS funds, given their broad diversification. As there are over 300 cat bonds available in the market, covering various perils, geographies and sponsors, cat bond UCITS funds are well diversified within their cat bond portfolio. Also, liquidity is typically managed through a combination of cash deposits and T-Bills from sovereigns with high credit quality, such as US or German T-bills. We are not aware of any cat bond UCITS fund that would come anywhere near this limit.</w:t>
      </w:r>
      <w:r w:rsidR="008A4BDB">
        <w:t xml:space="preserve"> T</w:t>
      </w:r>
      <w:r w:rsidR="008A4BDB" w:rsidRPr="008A4BDB">
        <w:t xml:space="preserve">his limitation </w:t>
      </w:r>
      <w:r w:rsidR="008A4BDB">
        <w:t xml:space="preserve">is </w:t>
      </w:r>
      <w:r w:rsidR="008A4BDB" w:rsidRPr="008A4BDB">
        <w:t xml:space="preserve">as a sensible approach to ensure the open tradability and thus liquidity of each outstanding bond. </w:t>
      </w:r>
      <w:r w:rsidR="008A4BDB">
        <w:t xml:space="preserve">Our member companies </w:t>
      </w:r>
      <w:r w:rsidR="008A4BDB" w:rsidRPr="008A4BDB">
        <w:t xml:space="preserve">can confirm that </w:t>
      </w:r>
      <w:r w:rsidR="008A4BDB">
        <w:t>they</w:t>
      </w:r>
      <w:r w:rsidR="008A4BDB" w:rsidRPr="008A4BDB">
        <w:t xml:space="preserve"> never experienced any recurring or significant issues with the interpretation or consistent application of this 10% limit.</w:t>
      </w:r>
    </w:p>
    <w:permEnd w:id="1602386857"/>
    <w:p w14:paraId="720FFABA" w14:textId="77777777" w:rsidR="00667FF6" w:rsidRDefault="00667FF6" w:rsidP="00667FF6">
      <w:r>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7B44A569" w14:textId="68B86B46" w:rsidR="00EC4005" w:rsidRDefault="00EC4005" w:rsidP="00667FF6">
      <w:permStart w:id="1226657538" w:edGrp="everyone"/>
      <w:r w:rsidRPr="00EC4005">
        <w:t>The term "transferable security" is defined in Art. 2</w:t>
      </w:r>
      <w:r>
        <w:t>(1)(n)</w:t>
      </w:r>
      <w:r w:rsidRPr="00EC4005">
        <w:t xml:space="preserve"> UCITS Directive and further specified in Art. 2 </w:t>
      </w:r>
      <w:r>
        <w:t>EAD</w:t>
      </w:r>
      <w:r w:rsidRPr="00EC4005">
        <w:t>. There are delineation issues between the concept of a security under Art. 2</w:t>
      </w:r>
      <w:r>
        <w:t>(2)</w:t>
      </w:r>
      <w:r w:rsidRPr="00EC4005">
        <w:t xml:space="preserve"> </w:t>
      </w:r>
      <w:r>
        <w:t>(</w:t>
      </w:r>
      <w:r w:rsidRPr="00EC4005">
        <w:t xml:space="preserve">c) </w:t>
      </w:r>
      <w:r>
        <w:t>EAD</w:t>
      </w:r>
      <w:r w:rsidRPr="00EC4005">
        <w:t xml:space="preserve"> and the concept of a security with an embedded derivative under Art. 10 </w:t>
      </w:r>
      <w:r>
        <w:t>EAD</w:t>
      </w:r>
      <w:r w:rsidRPr="00EC4005">
        <w:t>. Both concepts allow linkage to another asset. However, it is unclear what constitutes a permissible underlying asset under Art. 2</w:t>
      </w:r>
      <w:r>
        <w:t>(2)(c)</w:t>
      </w:r>
      <w:r w:rsidRPr="00EC4005">
        <w:t xml:space="preserve"> </w:t>
      </w:r>
      <w:r>
        <w:t>EAD</w:t>
      </w:r>
      <w:r w:rsidRPr="00EC4005">
        <w:t xml:space="preserve"> and what criteria it should adhere to.</w:t>
      </w:r>
      <w:r>
        <w:t xml:space="preserve"> This point might be clarified.</w:t>
      </w:r>
    </w:p>
    <w:p w14:paraId="58EC4F86" w14:textId="2184ABF0" w:rsidR="00EC4005" w:rsidRDefault="00EC4005" w:rsidP="00667FF6">
      <w:r>
        <w:t>In general, w</w:t>
      </w:r>
      <w:r w:rsidRPr="00EC4005">
        <w:t>e believe that the definition of “transferable securities” could be broadened to allow for the investment by UCITS in all forms of tradeable financial assets. This should encompass financial assets that are both legally transferable and have some liquidity due to the existence of some form of regular market, even if it is not a "regulated market" as defined in MiFID</w:t>
      </w:r>
      <w:r>
        <w:t xml:space="preserve"> II</w:t>
      </w:r>
      <w:r w:rsidRPr="00EC4005">
        <w:t>.</w:t>
      </w:r>
    </w:p>
    <w:permEnd w:id="1226657538"/>
    <w:p w14:paraId="362436C7" w14:textId="77777777" w:rsidR="00667FF6" w:rsidRDefault="00667FF6" w:rsidP="00667FF6">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lastRenderedPageBreak/>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0BA52450" w14:textId="58057107" w:rsidR="00667FF6" w:rsidRDefault="00560F08" w:rsidP="00667FF6">
      <w:permStart w:id="1286214635" w:edGrp="everyone"/>
      <w:r>
        <w:t xml:space="preserve">In our view, there is </w:t>
      </w:r>
      <w:r w:rsidR="000F3C35" w:rsidRPr="000F3C35">
        <w:rPr>
          <w:b/>
          <w:bCs/>
        </w:rPr>
        <w:t>in general</w:t>
      </w:r>
      <w:r w:rsidR="000F3C35">
        <w:t xml:space="preserve"> </w:t>
      </w:r>
      <w:r>
        <w:t xml:space="preserve">no need to amend the criteria, as we </w:t>
      </w:r>
      <w:r w:rsidRPr="00560F08">
        <w:t xml:space="preserve">believe the criteria set out in the UCITS EAD are sufficiently clear. In our view the introduction of more detailed criteria is not possible given the </w:t>
      </w:r>
      <w:r>
        <w:t xml:space="preserve">wide </w:t>
      </w:r>
      <w:r w:rsidRPr="00560F08">
        <w:t>range of eligible assets.</w:t>
      </w:r>
    </w:p>
    <w:p w14:paraId="681B28A2" w14:textId="4168E82D" w:rsidR="00040DE3" w:rsidRDefault="00560F08" w:rsidP="00560F08">
      <w:r w:rsidRPr="000F3C35">
        <w:rPr>
          <w:b/>
          <w:bCs/>
        </w:rPr>
        <w:t>Regarding UCITS cat bond f</w:t>
      </w:r>
      <w:r w:rsidR="00A76FF8" w:rsidRPr="000F3C35">
        <w:rPr>
          <w:b/>
          <w:bCs/>
        </w:rPr>
        <w:t>u</w:t>
      </w:r>
      <w:r w:rsidRPr="000F3C35">
        <w:rPr>
          <w:b/>
          <w:bCs/>
        </w:rPr>
        <w:t>nds</w:t>
      </w:r>
      <w:r>
        <w:t>, our observations are as follows</w:t>
      </w:r>
      <w:r w:rsidR="00040DE3">
        <w:t xml:space="preserve"> hereinafter</w:t>
      </w:r>
      <w:r w:rsidR="000F3C35">
        <w:t xml:space="preserve"> (cf. also our accompanying document which is attached to this response)</w:t>
      </w:r>
      <w:r w:rsidR="00A76FF8">
        <w:t>:</w:t>
      </w:r>
    </w:p>
    <w:p w14:paraId="3883946F" w14:textId="22792712" w:rsidR="00040DE3" w:rsidRPr="00040DE3" w:rsidRDefault="00040DE3" w:rsidP="00040DE3">
      <w:pPr>
        <w:pStyle w:val="Listenabsatz"/>
        <w:numPr>
          <w:ilvl w:val="0"/>
          <w:numId w:val="18"/>
        </w:numPr>
      </w:pPr>
      <w:r w:rsidRPr="00040DE3">
        <w:t>Risks to be “adequately captured” by the risk management process</w:t>
      </w:r>
    </w:p>
    <w:p w14:paraId="4D681274" w14:textId="48DB6C9D" w:rsidR="00BB6192" w:rsidRDefault="00040DE3" w:rsidP="00BB6192">
      <w:r>
        <w:t xml:space="preserve">The managers have implemented </w:t>
      </w:r>
      <w:r w:rsidR="00BB6192">
        <w:t xml:space="preserve">a permanent risk management function which has the following responsibilities: </w:t>
      </w:r>
    </w:p>
    <w:p w14:paraId="2C98C10A" w14:textId="77777777" w:rsidR="00BB6192" w:rsidRPr="00BB6192" w:rsidRDefault="00BB6192" w:rsidP="00BB6192">
      <w:pPr>
        <w:pStyle w:val="Listenabsatz"/>
        <w:numPr>
          <w:ilvl w:val="0"/>
          <w:numId w:val="19"/>
        </w:numPr>
        <w:rPr>
          <w:b w:val="0"/>
          <w:bCs w:val="0"/>
        </w:rPr>
      </w:pPr>
      <w:r w:rsidRPr="00BB6192">
        <w:rPr>
          <w:b w:val="0"/>
          <w:bCs w:val="0"/>
        </w:rPr>
        <w:t>Implementing effective risk management policies and procedures in order to identify, measure, manage and monitor on an ongoing basis all risks relevant to the investment strategy of the fund; ensuring that the risk profile of the fund disclosed to investors is consistent with the risk limits set out in the applicable regulations;</w:t>
      </w:r>
    </w:p>
    <w:p w14:paraId="7B325F64" w14:textId="217F07C5" w:rsidR="00BB6192" w:rsidRPr="00BB6192" w:rsidRDefault="00BB6192" w:rsidP="00BB6192">
      <w:pPr>
        <w:pStyle w:val="Listenabsatz"/>
        <w:numPr>
          <w:ilvl w:val="0"/>
          <w:numId w:val="19"/>
        </w:numPr>
        <w:rPr>
          <w:b w:val="0"/>
          <w:bCs w:val="0"/>
        </w:rPr>
      </w:pPr>
      <w:r w:rsidRPr="00BB6192">
        <w:rPr>
          <w:b w:val="0"/>
          <w:bCs w:val="0"/>
        </w:rPr>
        <w:t xml:space="preserve">monitoring compliance with the risk limits set in accordance with the applicable regulations and notifying the </w:t>
      </w:r>
      <w:r>
        <w:rPr>
          <w:b w:val="0"/>
          <w:bCs w:val="0"/>
        </w:rPr>
        <w:t>b</w:t>
      </w:r>
      <w:r w:rsidRPr="00BB6192">
        <w:rPr>
          <w:b w:val="0"/>
          <w:bCs w:val="0"/>
        </w:rPr>
        <w:t>oard in a timely manner when it considers that the risk profile is inconsistent with those limits or sees a material risk that the risk profile will become inconsistent with the limits;</w:t>
      </w:r>
    </w:p>
    <w:p w14:paraId="56827976" w14:textId="0F54C28C" w:rsidR="00BB6192" w:rsidRPr="00BB6192" w:rsidRDefault="00BB6192" w:rsidP="00BB6192">
      <w:pPr>
        <w:pStyle w:val="Listenabsatz"/>
        <w:numPr>
          <w:ilvl w:val="0"/>
          <w:numId w:val="19"/>
        </w:numPr>
        <w:rPr>
          <w:b w:val="0"/>
          <w:bCs w:val="0"/>
        </w:rPr>
      </w:pPr>
      <w:r w:rsidRPr="00BB6192">
        <w:rPr>
          <w:b w:val="0"/>
          <w:bCs w:val="0"/>
        </w:rPr>
        <w:t xml:space="preserve">providing updates to the </w:t>
      </w:r>
      <w:r>
        <w:rPr>
          <w:b w:val="0"/>
          <w:bCs w:val="0"/>
        </w:rPr>
        <w:t>b</w:t>
      </w:r>
      <w:r w:rsidRPr="00BB6192">
        <w:rPr>
          <w:b w:val="0"/>
          <w:bCs w:val="0"/>
        </w:rPr>
        <w:t>oard on a regular basis and at least quarterly:</w:t>
      </w:r>
    </w:p>
    <w:p w14:paraId="667A80B4" w14:textId="55EF004C" w:rsidR="00BB6192" w:rsidRPr="00BB6192" w:rsidRDefault="00BB6192" w:rsidP="00BB6192">
      <w:pPr>
        <w:pStyle w:val="Listenabsatz"/>
        <w:numPr>
          <w:ilvl w:val="0"/>
          <w:numId w:val="21"/>
        </w:numPr>
        <w:ind w:firstLine="131"/>
        <w:rPr>
          <w:b w:val="0"/>
          <w:bCs w:val="0"/>
        </w:rPr>
      </w:pPr>
      <w:r w:rsidRPr="00BB6192">
        <w:rPr>
          <w:b w:val="0"/>
          <w:bCs w:val="0"/>
        </w:rPr>
        <w:t>the consistency between and compliance with the risk limits set in accordance with the applicable regulations and the risk profile of the fund as disclosed to investors; and</w:t>
      </w:r>
    </w:p>
    <w:p w14:paraId="4FF3484B" w14:textId="5E2BB7CF" w:rsidR="00BB6192" w:rsidRPr="00BB6192" w:rsidRDefault="00BB6192" w:rsidP="00BB6192">
      <w:pPr>
        <w:pStyle w:val="Listenabsatz"/>
        <w:numPr>
          <w:ilvl w:val="0"/>
          <w:numId w:val="21"/>
        </w:numPr>
        <w:ind w:firstLine="131"/>
        <w:rPr>
          <w:b w:val="0"/>
          <w:bCs w:val="0"/>
        </w:rPr>
      </w:pPr>
      <w:r w:rsidRPr="00BB6192">
        <w:rPr>
          <w:b w:val="0"/>
          <w:bCs w:val="0"/>
        </w:rPr>
        <w:t xml:space="preserve">the adequacy and effectiveness of the risk management process, indicating in particular whether appropriate remedial actions or measures have been, or will be, taken in the event of any actual or anticipated deficiencies; and providing regular updates to senior management outlining the current level of risk incurred by the fund </w:t>
      </w:r>
      <w:r w:rsidRPr="00BB6192">
        <w:rPr>
          <w:b w:val="0"/>
          <w:bCs w:val="0"/>
        </w:rPr>
        <w:lastRenderedPageBreak/>
        <w:t xml:space="preserve">and any actual or foreseeable breaches of any risk limits set in accordance with the applicable regulations so as to ensure that prompt and appropriate action can be taken. </w:t>
      </w:r>
    </w:p>
    <w:p w14:paraId="59C75DAB" w14:textId="3F74766C" w:rsidR="00040DE3" w:rsidRPr="00040DE3" w:rsidRDefault="00040DE3" w:rsidP="00BB6192">
      <w:pPr>
        <w:pStyle w:val="Listenabsatz"/>
        <w:numPr>
          <w:ilvl w:val="0"/>
          <w:numId w:val="18"/>
        </w:numPr>
      </w:pPr>
      <w:r w:rsidRPr="00040DE3">
        <w:t xml:space="preserve">Having “reliable” valuation/prices </w:t>
      </w:r>
    </w:p>
    <w:p w14:paraId="4F8DD7C7" w14:textId="77777777" w:rsidR="00BB6192" w:rsidRDefault="00040DE3" w:rsidP="00040DE3">
      <w:pPr>
        <w:rPr>
          <w:highlight w:val="magenta"/>
          <w:lang w:val="en-US"/>
        </w:rPr>
      </w:pPr>
      <w:r w:rsidRPr="005A27FD">
        <w:rPr>
          <w:highlight w:val="magenta"/>
          <w:lang w:val="en-US"/>
        </w:rPr>
        <w:t>Valuation processes in the cat bond market have proven highly effective, even during phases of natural catastrophes. Most cat bond funds conservatively value their positions at bid prices, accurately reflecting uncertainties during or after a natural catastrophe. Notably, even during the most severe events in the past 25 years, the performance of cat bonds has surpassed that of investment-grade corporate bonds. In over 20 years, the cat bond market has never experienced a drawdown exceeding 20%, presenting a more favorable drawdown profile than the investment-grade corporate bond market, which is generally considered very safe.</w:t>
      </w:r>
    </w:p>
    <w:p w14:paraId="66025738" w14:textId="1C845F3D" w:rsidR="00BB6192" w:rsidRDefault="00BB6192" w:rsidP="00040DE3">
      <w:pPr>
        <w:rPr>
          <w:highlight w:val="magenta"/>
          <w:lang w:val="en-US"/>
        </w:rPr>
      </w:pPr>
      <w:r>
        <w:rPr>
          <w:lang w:val="en-US"/>
        </w:rPr>
        <w:t>To give an example from practice:</w:t>
      </w:r>
      <w:r w:rsidRPr="00BB6192">
        <w:rPr>
          <w:lang w:val="en-US"/>
        </w:rPr>
        <w:t xml:space="preserve"> </w:t>
      </w:r>
      <w:r>
        <w:rPr>
          <w:lang w:val="en-US"/>
        </w:rPr>
        <w:t>the</w:t>
      </w:r>
      <w:r w:rsidRPr="00BB6192">
        <w:rPr>
          <w:lang w:val="en-US"/>
        </w:rPr>
        <w:t xml:space="preserve"> independent fund administrator</w:t>
      </w:r>
      <w:r>
        <w:rPr>
          <w:lang w:val="en-US"/>
        </w:rPr>
        <w:t xml:space="preserve"> of a UCITS cat bond fund</w:t>
      </w:r>
      <w:r w:rsidRPr="00BB6192">
        <w:rPr>
          <w:lang w:val="en-US"/>
        </w:rPr>
        <w:t xml:space="preserve"> applies a clearly defined valuation methodology to value </w:t>
      </w:r>
      <w:r>
        <w:rPr>
          <w:lang w:val="en-US"/>
        </w:rPr>
        <w:t>the cat bond fund</w:t>
      </w:r>
      <w:r w:rsidRPr="00BB6192">
        <w:rPr>
          <w:lang w:val="en-US"/>
        </w:rPr>
        <w:t xml:space="preserve">. Cat bonds are typically traded over-the-counter (OTC) and </w:t>
      </w:r>
      <w:r>
        <w:rPr>
          <w:lang w:val="en-US"/>
        </w:rPr>
        <w:t>fund administrator</w:t>
      </w:r>
      <w:r w:rsidRPr="00BB6192">
        <w:rPr>
          <w:lang w:val="en-US"/>
        </w:rPr>
        <w:t xml:space="preserve"> bases the valuation of these instruments on the best bid price available from the financial intermediaries listed above (banks, broker dealers, other market makers) for each relevant fund valuation date. A dedicated team within </w:t>
      </w:r>
      <w:r>
        <w:rPr>
          <w:lang w:val="en-US"/>
        </w:rPr>
        <w:t>the fund administrator</w:t>
      </w:r>
      <w:r w:rsidRPr="00BB6192">
        <w:rPr>
          <w:lang w:val="en-US"/>
        </w:rPr>
        <w:t xml:space="preserve"> is responsible for the data management of all security relevant information related to the fund; this team prepares all price and interest rate information for the valuation based on data delivered by financial intermediaries. Price indications are received directly from up to ten price providers; as a rule, </w:t>
      </w:r>
      <w:r>
        <w:rPr>
          <w:lang w:val="en-US"/>
        </w:rPr>
        <w:t>the fund administrator</w:t>
      </w:r>
      <w:r w:rsidRPr="00BB6192">
        <w:rPr>
          <w:lang w:val="en-US"/>
        </w:rPr>
        <w:t xml:space="preserve"> seeks to receive at least three independent price sources for all cat bonds at each valuation point. Valuation prices are reviewed against transaction prices in the case of security sales. Any discrepancy detected between the valuation prices (best bid price) and the sale prices will be analysed for inconsistency over the period. Trading is daily with traded prices supplied to the Financial Industry Regulatory Authority’s (FINRA) trade reporting and compliance engine (TRACE), which is accessible via Bloomberg, and in addition, marks are typically provided on a weekly basis in the form of a pricing sheet, listing bid / ask indications for all outstanding cat bonds. Upon request, we can provide the referenced pricing sheets obtained from price providers, which exhibit bid / ask price indications for each cat bond position. Furthermore, we would kindly refer you to the latest Market Insights document issued by Swiss Re. We would thus argue that “reliable pricing and valuation data” is available in the form of accurate, reliable and regular prices which are either market prices or prices made available by valuation systems independent from issuers, is considered to be met.</w:t>
      </w:r>
    </w:p>
    <w:p w14:paraId="2F6300CB" w14:textId="0F9BC5DD" w:rsidR="00040DE3" w:rsidRPr="005A27FD" w:rsidRDefault="00040DE3" w:rsidP="00040DE3">
      <w:pPr>
        <w:rPr>
          <w:highlight w:val="magenta"/>
          <w:lang w:val="en-US"/>
        </w:rPr>
      </w:pPr>
      <w:r w:rsidRPr="005A27FD">
        <w:rPr>
          <w:noProof/>
          <w:highlight w:val="magenta"/>
        </w:rPr>
        <w:lastRenderedPageBreak/>
        <w:drawing>
          <wp:inline distT="0" distB="0" distL="0" distR="0" wp14:anchorId="3990DB6B" wp14:editId="053E7443">
            <wp:extent cx="5753100" cy="2276475"/>
            <wp:effectExtent l="0" t="0" r="0" b="9525"/>
            <wp:docPr id="1530093058" name="Grafik 1" descr="A graph of a stock mark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stock market&#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0" cy="2276475"/>
                    </a:xfrm>
                    <a:prstGeom prst="rect">
                      <a:avLst/>
                    </a:prstGeom>
                    <a:noFill/>
                    <a:ln>
                      <a:noFill/>
                    </a:ln>
                  </pic:spPr>
                </pic:pic>
              </a:graphicData>
            </a:graphic>
          </wp:inline>
        </w:drawing>
      </w:r>
    </w:p>
    <w:p w14:paraId="042226B8" w14:textId="77777777" w:rsidR="00040DE3" w:rsidRPr="00040DE3" w:rsidRDefault="00040DE3" w:rsidP="00040DE3">
      <w:pPr>
        <w:rPr>
          <w:sz w:val="18"/>
          <w:szCs w:val="18"/>
          <w:highlight w:val="magenta"/>
          <w:lang w:val="en-US"/>
        </w:rPr>
      </w:pPr>
      <w:r w:rsidRPr="00040DE3">
        <w:rPr>
          <w:sz w:val="18"/>
          <w:szCs w:val="18"/>
          <w:highlight w:val="magenta"/>
          <w:lang w:val="en-US"/>
        </w:rPr>
        <w:t>Source: Icosa Investments AG per 30 June 2024</w:t>
      </w:r>
    </w:p>
    <w:p w14:paraId="5EFDF4F7" w14:textId="77777777" w:rsidR="00040DE3" w:rsidRDefault="00040DE3" w:rsidP="00040DE3">
      <w:pPr>
        <w:rPr>
          <w:highlight w:val="magenta"/>
          <w:lang w:val="en-US"/>
        </w:rPr>
      </w:pPr>
    </w:p>
    <w:p w14:paraId="2D341273" w14:textId="3B3AEF5F" w:rsidR="00040DE3" w:rsidRPr="005A27FD" w:rsidRDefault="00040DE3" w:rsidP="00040DE3">
      <w:pPr>
        <w:rPr>
          <w:highlight w:val="magenta"/>
          <w:lang w:val="en-US"/>
        </w:rPr>
      </w:pPr>
      <w:r w:rsidRPr="005A27FD">
        <w:rPr>
          <w:highlight w:val="magenta"/>
          <w:lang w:val="en-US"/>
        </w:rPr>
        <w:t>The data</w:t>
      </w:r>
      <w:r>
        <w:rPr>
          <w:highlight w:val="magenta"/>
          <w:lang w:val="en-US"/>
        </w:rPr>
        <w:t xml:space="preserve"> above</w:t>
      </w:r>
      <w:r w:rsidRPr="005A27FD">
        <w:rPr>
          <w:highlight w:val="magenta"/>
          <w:lang w:val="en-US"/>
        </w:rPr>
        <w:t xml:space="preserve"> clearly demonstrates that cat bonds, while bearing certain risks, have consistently proven to be a stable and rewarding asset class for investors. Over the past 25 years, the cat bond market has exhibited significantly less volatility and drawdown risk compared to almost all other asset classes. Importantly, drawdowns in cat bonds occur independently of financial markets, providing investors with valuable diversification. Consequently, this asset class has a stabilizing effect on broader financial markets. Cat bond UCITS funds effectively protect investors from excessive drawdown risk and volatility in their overall portfolios.</w:t>
      </w:r>
    </w:p>
    <w:p w14:paraId="41B482B2" w14:textId="684A79E7" w:rsidR="00040DE3" w:rsidRPr="005A27FD" w:rsidRDefault="00040DE3" w:rsidP="00040DE3">
      <w:pPr>
        <w:rPr>
          <w:highlight w:val="magenta"/>
          <w:lang w:val="en-US"/>
        </w:rPr>
      </w:pPr>
      <w:r w:rsidRPr="005A27FD">
        <w:rPr>
          <w:highlight w:val="magenta"/>
          <w:lang w:val="en-US"/>
        </w:rPr>
        <w:t>We believe that the merits of the asset class are best summarized by a recent paper of the ECB and EIOPA, who wr</w:t>
      </w:r>
      <w:r w:rsidR="00B2321F">
        <w:rPr>
          <w:highlight w:val="magenta"/>
          <w:lang w:val="en-US"/>
        </w:rPr>
        <w:t>o</w:t>
      </w:r>
      <w:r w:rsidRPr="005A27FD">
        <w:rPr>
          <w:highlight w:val="magenta"/>
          <w:lang w:val="en-US"/>
        </w:rPr>
        <w:t xml:space="preserve">te the following: </w:t>
      </w:r>
    </w:p>
    <w:p w14:paraId="4506B3FD" w14:textId="77777777" w:rsidR="00040DE3" w:rsidRPr="005A27FD" w:rsidRDefault="00040DE3" w:rsidP="00040DE3">
      <w:pPr>
        <w:rPr>
          <w:i/>
          <w:iCs/>
          <w:highlight w:val="magenta"/>
          <w:lang w:val="en-US"/>
        </w:rPr>
      </w:pPr>
      <w:r w:rsidRPr="005A27FD">
        <w:rPr>
          <w:i/>
          <w:iCs/>
          <w:highlight w:val="magenta"/>
          <w:lang w:val="en-US"/>
        </w:rPr>
        <w:t>“Investors in cat bonds benefit from low correlation with equity and credit markets. As such, cat bonds can provide useful diversification, particularly during episodes of crisis and high market volatility. Investors in the environmental, social and governance (ESG) space are also turning to cat bonds as an instrument for impact investment – an investment strategy aimed at generating social or environmental benefits while delivering financial gains. For example, investors in cat bonds intermediated by the World Bank to enhance resilience against natural disasters in lower income countries include pension funds, insurers and other institutional asset managers.”</w:t>
      </w:r>
    </w:p>
    <w:p w14:paraId="2D33DC22" w14:textId="77777777" w:rsidR="00040DE3" w:rsidRDefault="00040DE3" w:rsidP="00040DE3">
      <w:pPr>
        <w:rPr>
          <w:rFonts w:ascii="Arial" w:hAnsi="Arial" w:cs="Arial"/>
          <w:sz w:val="20"/>
        </w:rPr>
      </w:pPr>
      <w:r w:rsidRPr="00040DE3">
        <w:rPr>
          <w:rFonts w:ascii="Arial" w:hAnsi="Arial" w:cs="Arial"/>
          <w:sz w:val="18"/>
          <w:szCs w:val="18"/>
          <w:highlight w:val="magenta"/>
          <w:lang w:val="en-US"/>
        </w:rPr>
        <w:t xml:space="preserve">Source: ECB &amp; EIOPA: Policy Options to reduce the climate insurance protection gap. </w:t>
      </w:r>
      <w:r w:rsidRPr="00040DE3">
        <w:rPr>
          <w:rFonts w:ascii="Arial" w:hAnsi="Arial" w:cs="Arial"/>
          <w:sz w:val="18"/>
          <w:szCs w:val="18"/>
          <w:highlight w:val="magenta"/>
        </w:rPr>
        <w:t>April 2023.</w:t>
      </w:r>
      <w:r w:rsidRPr="005A27FD">
        <w:rPr>
          <w:rFonts w:ascii="Arial" w:hAnsi="Arial" w:cs="Arial"/>
          <w:sz w:val="20"/>
          <w:highlight w:val="magenta"/>
        </w:rPr>
        <w:t xml:space="preserve"> </w:t>
      </w:r>
      <w:hyperlink r:id="rId23" w:history="1">
        <w:r w:rsidRPr="005A27FD">
          <w:rPr>
            <w:rStyle w:val="Hyperlink"/>
            <w:rFonts w:ascii="Arial" w:hAnsi="Arial" w:cs="Arial"/>
            <w:sz w:val="20"/>
            <w:highlight w:val="magenta"/>
          </w:rPr>
          <w:t>https://www.ecb.europa.eu/pub/pdf/other/ecb.policyoptions_EIOPA~c0adae58b7.el.pdf</w:t>
        </w:r>
      </w:hyperlink>
    </w:p>
    <w:p w14:paraId="6B20D6BA" w14:textId="77777777" w:rsidR="00560F08" w:rsidRDefault="00560F08" w:rsidP="00560F08">
      <w:r>
        <w:t>Conclusion:</w:t>
      </w:r>
    </w:p>
    <w:p w14:paraId="58A64E24" w14:textId="01AAF3EF" w:rsidR="00560F08" w:rsidRDefault="00560F08" w:rsidP="00667FF6">
      <w:r>
        <w:lastRenderedPageBreak/>
        <w:t>The merits of cat bonds include low correlation with equity and credit markets, making them a useful diversification tool, particularly during crises and high market volatility. They also attract ESG investors seeking to generate social or environmental benefits while achieving financial gains. Overall, maintaining the UCITS eligibility of cat bonds is crucial due to their demonstrated liquidity, diversification benefits, and resilience to traditional market stresses.</w:t>
      </w:r>
    </w:p>
    <w:permEnd w:id="1286214635"/>
    <w:p w14:paraId="596ED339" w14:textId="77777777"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t>&lt;ESMA_QUESTION_EADC_11&gt;</w:t>
      </w:r>
    </w:p>
    <w:p w14:paraId="0E3B2DB0" w14:textId="701546D6" w:rsidR="00667FF6" w:rsidRDefault="00C84F2D" w:rsidP="0062736A">
      <w:permStart w:id="704664972" w:edGrp="everyone"/>
      <w:r>
        <w:t xml:space="preserve">In our view, the </w:t>
      </w:r>
      <w:r w:rsidRPr="00C84F2D">
        <w:t>UCITS EAD provisions on investments in financial instruments backed by, or linked to the performance of assets other than those listed in Article 50(1) of the UCITS Directive</w:t>
      </w:r>
      <w:r>
        <w:t xml:space="preserve"> are</w:t>
      </w:r>
      <w:r w:rsidRPr="00C84F2D">
        <w:t xml:space="preserve"> adequate and clear enough</w:t>
      </w:r>
      <w:r>
        <w:t xml:space="preserve">. </w:t>
      </w:r>
      <w:r w:rsidR="0062736A">
        <w:t>But currently it seems not to be a level playing field across Europe in the application of this. The UCITS EAD provisions on investments in financial instruments backed by</w:t>
      </w:r>
      <w:r w:rsidR="000F3C35">
        <w:t>,</w:t>
      </w:r>
      <w:r w:rsidR="0062736A">
        <w:t xml:space="preserve"> or linked to the performance of assets other than those listed in Article 50(1) of the UCITS Directive should be applied across Europe to permit investments in delta-one certificates regardless of the underlying to allow UCITS to invest in delta-one notes. In general, UCITS should be permitted to investments into securities agnostic of their underlying, because this complies with the spirit of the UCITS EAD and offers an important contribution to ensuring asset diversification for UCITS funds.</w:t>
      </w:r>
    </w:p>
    <w:permEnd w:id="704664972"/>
    <w:p w14:paraId="0F547A6E" w14:textId="77777777"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t>&lt;ESMA_QUESTION_EADC_12&gt;</w:t>
      </w:r>
    </w:p>
    <w:p w14:paraId="4FC1C218" w14:textId="77777777" w:rsidR="00183287" w:rsidRDefault="00183287" w:rsidP="00667FF6">
      <w:permStart w:id="624035433" w:edGrp="everyone"/>
      <w:r>
        <w:lastRenderedPageBreak/>
        <w:t>The concept of “embedded” derivatives set out in the UCITS EAD is rather complex and source of certain unclarity. A simplification of the rules would be welcomed.</w:t>
      </w:r>
    </w:p>
    <w:p w14:paraId="259CC93E" w14:textId="50EE323D" w:rsidR="00667FF6" w:rsidRDefault="00183287" w:rsidP="00667FF6">
      <w:r w:rsidRPr="000F3C35">
        <w:rPr>
          <w:b/>
          <w:bCs/>
        </w:rPr>
        <w:t>Regarding insurance-linked securities and cat bonds</w:t>
      </w:r>
      <w:r>
        <w:t xml:space="preserve">, we would like to underpin that </w:t>
      </w:r>
      <w:r w:rsidRPr="00183287">
        <w:t>Insurance-linked securities (UCITS) funds are not allocating to “embedded” derivatives as set out in the UCITS EAD; we thus believe these criteria to be adequately defined</w:t>
      </w:r>
      <w:r>
        <w:t xml:space="preserve"> regarding this asset-class</w:t>
      </w:r>
      <w:r w:rsidRPr="00183287">
        <w:t xml:space="preserve">. </w:t>
      </w:r>
    </w:p>
    <w:p w14:paraId="6AFEC4E3" w14:textId="3E57DF97" w:rsidR="00837C81" w:rsidRDefault="00837C81" w:rsidP="00837C81">
      <w:r>
        <w:t xml:space="preserve">We appreciate the opportunity to clarify why cat bonds do not include « embedded » derivatives, as indicated by BaFin, the German Federal Financial Supervisory Authority, in its Q&amp;A publication from 2013, revised in 2016 (see also BaFin, “Fragenkatalog zu erwerbbaren Vermögensgegenständen (Eligible Assets), Teil 1, Frage 15, cat bonds as derivatives” available in German under </w:t>
      </w:r>
      <w:hyperlink r:id="rId24" w:history="1">
        <w:r w:rsidRPr="00837C81">
          <w:rPr>
            <w:rStyle w:val="Hyperlink"/>
          </w:rPr>
          <w:t>https://www.bafin.de/SharedDocs/Veroeffentlichungen/DE/Auslegungsentscheidung/WA/ae_130722_fragen_ea.html</w:t>
        </w:r>
      </w:hyperlink>
      <w:r>
        <w:t>).</w:t>
      </w:r>
    </w:p>
    <w:p w14:paraId="4AD42902" w14:textId="77777777" w:rsidR="00837C81" w:rsidRDefault="00837C81" w:rsidP="00837C81">
      <w:r>
        <w:t>Cat bonds are financial instruments designed to transfer specific risks, such as natural disasters, from a(n) (re-)insurer to the capital markets. Investors who buy these bonds receive yields in exchange for bearing the risk of a predefined catastrophic event. If such an event occurs (e.g., an earthquake or hurricane), the principal and interest payments to investors are partially or fully forfeited to cover the insurer's losses.</w:t>
      </w:r>
    </w:p>
    <w:p w14:paraId="483604F9" w14:textId="77777777" w:rsidR="00837C81" w:rsidRDefault="00837C81" w:rsidP="00837C81">
      <w:r>
        <w:t>Generally, cat bonds are structured to align with the requirements of the Commission Directive 2007/16/EC on UCITS eligible assets (‘UCITS EAD’).</w:t>
      </w:r>
    </w:p>
    <w:p w14:paraId="5B6996BA" w14:textId="7DE4DF3F" w:rsidR="00837C81" w:rsidRDefault="00837C81" w:rsidP="00837C81">
      <w:r w:rsidRPr="00837C81">
        <w:rPr>
          <w:b/>
          <w:bCs/>
        </w:rPr>
        <w:t>Direct Link to Natural Events/Subordination</w:t>
      </w:r>
      <w:r>
        <w:t xml:space="preserve">: The payout of cat bonds is directly tied to the occurrence (or non-occurrence) of specific, observable natural events. These events are predefined, such as hurricanes, earthquakes, or other natural catastrophes. The occurrence of these events triggers the bond's payout structure. Technically, the issuer of a cat bond – usually a special purpose vehicle (SPV) subject to (re)insurance regulation of the specific domicile – enters, as a protection seller, into a risk transfer arrangement with a protection buyer. The contractual framework and cat bond terms are designed </w:t>
      </w:r>
      <w:r w:rsidR="00B2321F">
        <w:t xml:space="preserve">in that way </w:t>
      </w:r>
      <w:r>
        <w:t>that any claim of the protection buyer under the risk transfer contract has priority over the investors’ claim of repayment. In case of occurrence of a pre-defined specific event, the protection seller makes payment to the protection buyer in accordance with the terms of the risk transfer agreement. As a result, by operation of subordination, no or limited (re)payment of the cat bond to investors is made in such an event. In the absence of the occurrence of any qualifying event during the term of a cat bond, repayment is made to the investors upon maturity.</w:t>
      </w:r>
    </w:p>
    <w:p w14:paraId="7CC84857" w14:textId="77777777" w:rsidR="00837C81" w:rsidRDefault="00837C81" w:rsidP="00837C81">
      <w:r w:rsidRPr="00837C81">
        <w:rPr>
          <w:b/>
          <w:bCs/>
        </w:rPr>
        <w:t>Lack of Financial Variables</w:t>
      </w:r>
      <w:r>
        <w:t xml:space="preserve">: Unlike financial derivatives whose values depend on financial variables (such as interest rates, stock prices, or market indices), cat bonds' payouts are </w:t>
      </w:r>
      <w:r>
        <w:lastRenderedPageBreak/>
        <w:t>contingent solely on the predefined natural events. This absence of dependency on financial market variables distinguishes them from instruments that contain embedded derivatives.</w:t>
      </w:r>
    </w:p>
    <w:p w14:paraId="2A8C2B97" w14:textId="77777777" w:rsidR="00837C81" w:rsidRDefault="00837C81" w:rsidP="00837C81">
      <w:r w:rsidRPr="00837C81">
        <w:rPr>
          <w:b/>
          <w:bCs/>
        </w:rPr>
        <w:t>Absence of Derivative Characteristics</w:t>
      </w:r>
      <w:r>
        <w:t>: Key derivative characteristics include determination of valuation by the performance of a defined underlying, leverage and deferred settlement. While, similar to equity and traditional debt issued by (re)insurance companies, the value of cat bonds depends on the (non-)occurrence of insured events, they are fully funded securities without any leverage involved and are issued and traded delivery against payment. In addition, interest payments are a standard component of cat bonds, a feature which is absent in a derivative context. An analysis of the basic structure of cat bonds therefore suggests that they differ from derivatives fundamentally and appear as standard transferable securities.</w:t>
      </w:r>
    </w:p>
    <w:p w14:paraId="5E710E9B" w14:textId="77777777" w:rsidR="00837C81" w:rsidRDefault="00837C81" w:rsidP="00837C81">
      <w:r>
        <w:t>BaFin, in its Q&amp;A publication, raised the question of whether cat bonds might contain embedded derivatives. However, the core argument against this interpretation is that:</w:t>
      </w:r>
    </w:p>
    <w:p w14:paraId="324A267A" w14:textId="77777777" w:rsidR="00837C81" w:rsidRDefault="00837C81" w:rsidP="00837C81">
      <w:r w:rsidRPr="00837C81">
        <w:rPr>
          <w:b/>
          <w:bCs/>
        </w:rPr>
        <w:t>Straightforward Payout Mechanism</w:t>
      </w:r>
      <w:r>
        <w:t>: Cat bonds operate on a simple principle where the payout is based on the occurrence of a predefined event. There is no derivative contract embedded within the bond that alters the payout based on financial market performance.</w:t>
      </w:r>
    </w:p>
    <w:p w14:paraId="61B2EBD0" w14:textId="77777777" w:rsidR="00837C81" w:rsidRDefault="00837C81" w:rsidP="00837C81">
      <w:r w:rsidRPr="00837C81">
        <w:rPr>
          <w:b/>
          <w:bCs/>
        </w:rPr>
        <w:t>Transparency and Predictability</w:t>
      </w:r>
      <w:r>
        <w:t>: The risk and performance metrics of cat bonds are transparent and directly tied to specific events, providing a clear and predictable investment outcome. This straightforwardness contrasts with the often complex nature of financial derivatives.</w:t>
      </w:r>
    </w:p>
    <w:p w14:paraId="280D6E12" w14:textId="77777777" w:rsidR="00837C81" w:rsidRPr="00837C81" w:rsidRDefault="00837C81" w:rsidP="00837C81">
      <w:pPr>
        <w:rPr>
          <w:b/>
          <w:bCs/>
        </w:rPr>
      </w:pPr>
      <w:r w:rsidRPr="00837C81">
        <w:rPr>
          <w:b/>
          <w:bCs/>
        </w:rPr>
        <w:t>Additional Context on Investor Transparency and Risk</w:t>
      </w:r>
    </w:p>
    <w:p w14:paraId="26446469" w14:textId="77777777" w:rsidR="00837C81" w:rsidRDefault="00837C81" w:rsidP="00837C81">
      <w:r w:rsidRPr="00837C81">
        <w:rPr>
          <w:b/>
          <w:bCs/>
        </w:rPr>
        <w:t>Focused Risk Exposure</w:t>
      </w:r>
      <w:r>
        <w:t>: Cat bonds provide investors with exposure to specific, well-defined risks associated with catastrophic events. This is in contrast to investing in the equities of (re-)insurance companies, which exposes investors to a broader array of risks inherent in the underwriting business.</w:t>
      </w:r>
    </w:p>
    <w:p w14:paraId="28CCC8A4" w14:textId="77777777" w:rsidR="00837C81" w:rsidRDefault="00837C81" w:rsidP="00837C81">
      <w:r w:rsidRPr="00837C81">
        <w:rPr>
          <w:b/>
          <w:bCs/>
        </w:rPr>
        <w:t>Enhanced Transparency</w:t>
      </w:r>
      <w:r>
        <w:t>: Because cat bonds are tied to specific events, they offer a higher level of transparency in risk assessment. Investors can better understand and manage their exposure, leading to more precise investment decisions.</w:t>
      </w:r>
    </w:p>
    <w:p w14:paraId="533A13C5" w14:textId="77777777" w:rsidR="00837C81" w:rsidRDefault="00837C81" w:rsidP="00837C81">
      <w:r>
        <w:t>In conclusion, cat bonds do not contain embedded derivatives because their performance is directly linked to specific, observable catastrophic events rather than financial variables. This structure ensures compliance with the UCITS EAD by avoiding the complexities associated with embedded derivatives, thereby offering a transparent and straightforward investment vehicle for managing catastrophic risk.</w:t>
      </w:r>
    </w:p>
    <w:p w14:paraId="76153E63" w14:textId="46A7A72D" w:rsidR="00837C81" w:rsidRDefault="00837C81" w:rsidP="00837C81">
      <w:r w:rsidRPr="00837C81">
        <w:rPr>
          <w:lang w:val="de-DE"/>
        </w:rPr>
        <w:lastRenderedPageBreak/>
        <w:t xml:space="preserve">We therefore respectfully differ with BaFin's interpretation in </w:t>
      </w:r>
      <w:r>
        <w:rPr>
          <w:lang w:val="de-DE"/>
        </w:rPr>
        <w:t xml:space="preserve">the above-mentioned </w:t>
      </w:r>
      <w:r w:rsidRPr="00837C81">
        <w:rPr>
          <w:lang w:val="de-DE"/>
        </w:rPr>
        <w:t xml:space="preserve">“Fragenkatalog zu erwerbbaren Vermögensgegenständen (Eligible Assets), Teil 1, Frage 15”. </w:t>
      </w:r>
      <w:r>
        <w:t>As outlined, cat bonds are structured to directly link their performance to specific, observable catastrophic events rather than market-driven financial instruments, ensuring they do not contain embedded derivatives. This distinction is crucial in understanding their compliance with the UCITS Directive and underscores the suitability and robustness of cat bonds as investment instruments within UCITS-compliant portfolios.</w:t>
      </w:r>
    </w:p>
    <w:p w14:paraId="7B4D5BB6" w14:textId="2807434B" w:rsidR="00183287" w:rsidRDefault="00837C81" w:rsidP="00837C81">
      <w:r>
        <w:t>Should a firmly held view prevail that cat bonds exhibit derivative components, we strongly suggest that UCITS eligibility rules and/or their interpretation clarify that insurance risk constitutes an eligible underlying given their clearly defined, transparent and observable nature and their established, tested and proven structure and functioning during periods of ordinary and extraordinary market conditions.</w:t>
      </w:r>
    </w:p>
    <w:permEnd w:id="624035433"/>
    <w:p w14:paraId="0AE10AA5" w14:textId="77777777"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4BCF1066" w14:textId="0ACD367A" w:rsidR="00735BF4" w:rsidRPr="00631530" w:rsidRDefault="00735BF4" w:rsidP="00631530">
      <w:permStart w:id="1487874619" w:edGrp="everyone"/>
      <w:r>
        <w:t xml:space="preserve">Delta-one instruments track the value of the underlying asset on a one-to-one basis and, therefore, do not constitute a derivative underlying asset. For diversification reasons, UCITS should be able to invest in such instruments, as they did without any problems. </w:t>
      </w:r>
      <w:r w:rsidR="00631530">
        <w:t xml:space="preserve">UCITS should be allowed to invest in delta-one instruments, allowing </w:t>
      </w:r>
      <w:r w:rsidR="003E1EF0">
        <w:t xml:space="preserve">this way </w:t>
      </w:r>
      <w:r w:rsidR="00631530">
        <w:t>indirect investments in, e.g., precious metals, oil and other commodities indices, vs. currently non-permitted direct investments, which not only improves the risk-diversification of portfolios but also results in lower costs for investors compared to an even riskier, non</w:t>
      </w:r>
      <w:r w:rsidR="003E1EF0">
        <w:t>-</w:t>
      </w:r>
      <w:r w:rsidR="00631530">
        <w:t xml:space="preserve">diversified direct investment in, e.g., commodities. </w:t>
      </w:r>
      <w:r>
        <w:t>ESMA is invited to ensure that this is possible within the EU. In our view, it is rather a question of (Member State) interpretation than that there is need to re-define the UCITS EAD criteria.</w:t>
      </w:r>
    </w:p>
    <w:permEnd w:id="1487874619"/>
    <w:p w14:paraId="7EE4CE59" w14:textId="77777777"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t>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3D6D0453" w14:textId="1EA4C4C3" w:rsidR="00667FF6" w:rsidRDefault="00304FA1" w:rsidP="00667FF6">
      <w:pPr>
        <w:rPr>
          <w:lang w:val="en-US"/>
        </w:rPr>
      </w:pPr>
      <w:permStart w:id="1362129429" w:edGrp="everyone"/>
      <w:r>
        <w:t>In general, the UCITS EAD should allow flexibility for investments in other UCITS and AIFs. UCITS should in each case be allowed to invest in any type of other funds, financial instruments and asset classes retail investors are allowed to invest in directly, e.g. ELTIFs or other UCITS</w:t>
      </w:r>
      <w:r w:rsidR="001D2720">
        <w:t>, crypto-assets and many derivatives</w:t>
      </w:r>
      <w:r>
        <w:t xml:space="preserve">. UCITS are very highly regulated products and (probably therefore) very successful, managed by qualified and authorised managers. </w:t>
      </w:r>
      <w:r w:rsidR="001D2720">
        <w:t xml:space="preserve">Although we are aware the complexity of certain AIF strategies (such as the above-mentioned real estate, hedge fund, private equity, venture capital etc.), these asset classes might also be part of a well-diversified UCITS portfolio with other risk/return profiles. </w:t>
      </w:r>
      <w:r>
        <w:t>The introduction of the AIFMD in 2011 and the review of the AIFMD</w:t>
      </w:r>
      <w:r w:rsidR="003E1EF0">
        <w:t>, the introduction of the ELTIF and the review of its framework</w:t>
      </w:r>
      <w:r>
        <w:t xml:space="preserve"> in recent years should be considered, too, as there are no more unregulated funds/fund managers, at least within the EU. </w:t>
      </w:r>
      <w:r w:rsidR="001D2720" w:rsidRPr="001D2720">
        <w:rPr>
          <w:lang w:val="en-US"/>
        </w:rPr>
        <w:t>The regulated funds and their managers have implemented portfolio</w:t>
      </w:r>
      <w:r w:rsidR="001D2720">
        <w:rPr>
          <w:lang w:val="en-US"/>
        </w:rPr>
        <w:t xml:space="preserve">, risk and liquidity management techniques retail investors as such do not profit from without an investment via a UCITS. </w:t>
      </w:r>
    </w:p>
    <w:p w14:paraId="4ED0ED4F" w14:textId="621BBF50" w:rsidR="003E1EF0" w:rsidRPr="003E1EF0" w:rsidRDefault="003E1EF0" w:rsidP="00667FF6">
      <w:pPr>
        <w:rPr>
          <w:lang w:val="en-US"/>
        </w:rPr>
      </w:pPr>
      <w:r>
        <w:rPr>
          <w:lang w:val="en-US"/>
        </w:rPr>
        <w:t>Regarding the</w:t>
      </w:r>
      <w:r w:rsidRPr="003E1EF0">
        <w:rPr>
          <w:lang w:val="en-US"/>
        </w:rPr>
        <w:t xml:space="preserve"> need to update the legal wording used in the UCITS EAD and UCITS Directive</w:t>
      </w:r>
      <w:r>
        <w:rPr>
          <w:lang w:val="en-US"/>
        </w:rPr>
        <w:t xml:space="preserve"> </w:t>
      </w:r>
      <w:r w:rsidRPr="003E1EF0">
        <w:rPr>
          <w:lang w:val="en-US"/>
        </w:rPr>
        <w:t>given the fact that</w:t>
      </w:r>
      <w:r>
        <w:rPr>
          <w:lang w:val="en-US"/>
        </w:rPr>
        <w:t>,</w:t>
      </w:r>
      <w:r w:rsidRPr="003E1EF0">
        <w:rPr>
          <w:lang w:val="en-US"/>
        </w:rPr>
        <w:t xml:space="preserve"> e.g. they refer to ‘open-ended’ and ‘closed ended funds’, whereas it might seem</w:t>
      </w:r>
      <w:r>
        <w:rPr>
          <w:lang w:val="en-US"/>
        </w:rPr>
        <w:t xml:space="preserve"> </w:t>
      </w:r>
      <w:r w:rsidRPr="003E1EF0">
        <w:rPr>
          <w:lang w:val="en-US"/>
        </w:rPr>
        <w:t>preferable to use the notion of ‘AIFs’ by now given the subsequent introduction of the AIFMD in 2011</w:t>
      </w:r>
      <w:r>
        <w:rPr>
          <w:lang w:val="en-US"/>
        </w:rPr>
        <w:t xml:space="preserve"> and its recent review, we would, indeed, prefer the use of the notion of “AIFs” (cf. Art. 2(2) UCITS EAD)</w:t>
      </w:r>
      <w:r w:rsidRPr="003E1EF0">
        <w:rPr>
          <w:lang w:val="en-US"/>
        </w:rPr>
        <w:t>.</w:t>
      </w:r>
    </w:p>
    <w:permEnd w:id="1362129429"/>
    <w:p w14:paraId="1A4BA964" w14:textId="77777777" w:rsidR="00667FF6" w:rsidRDefault="00667FF6" w:rsidP="00667FF6">
      <w:r>
        <w:lastRenderedPageBreak/>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6FD553AD" w14:textId="77777777" w:rsidR="00661BCD" w:rsidRDefault="00661BCD" w:rsidP="00661BCD">
      <w:permStart w:id="493775816" w:edGrp="everyone"/>
      <w:r>
        <w:t xml:space="preserve">Most </w:t>
      </w:r>
      <w:r w:rsidRPr="000F3C35">
        <w:rPr>
          <w:b/>
          <w:bCs/>
        </w:rPr>
        <w:t>EU ETFs</w:t>
      </w:r>
      <w:r>
        <w:t xml:space="preserve"> are structured as UCITS, why we do not see a need to amend the respective UCITS EAD rules. With regard to non-EU ETFs, in our view, there should be a great(er) flexibility for UCITS to invest in other funds/non-EU ETFs to not limit the investment universe for UCITS and their (retail) investors. </w:t>
      </w:r>
    </w:p>
    <w:p w14:paraId="5F11E9C9" w14:textId="505574C3" w:rsidR="00661BCD" w:rsidRPr="00661BCD" w:rsidRDefault="00661BCD" w:rsidP="00667FF6">
      <w:r w:rsidRPr="000F3C35">
        <w:rPr>
          <w:b/>
          <w:bCs/>
        </w:rPr>
        <w:t>Non-EU ETFs</w:t>
      </w:r>
      <w:r>
        <w:t xml:space="preserve"> can be an efficient way to access certain markets (e.g. Australia), in particular on a transitionary basis or as an addon to a strategy which generally invest</w:t>
      </w:r>
      <w:r w:rsidR="00B2321F">
        <w:t>s</w:t>
      </w:r>
      <w:r>
        <w:t xml:space="preserve"> in individual securities. Not all indices that are relevant for UCITS investing on a global basis are available in UCITS format. It would therefore be very helpful to achieve diversification and investment goals if a UCITS would generally be permitted to invest in non-EU ETFs subject to supervision in certain highly regulated jurisdictions such as Australia, Hong Kong, Japan, Switzerland and the United States of America. These jurisdictions have been recognised by European regulators as having regulation equivalent to EU jurisdictions on multiple occasions.</w:t>
      </w:r>
    </w:p>
    <w:permEnd w:id="493775816"/>
    <w:p w14:paraId="2FCB81E2" w14:textId="77777777"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5525ED3F" w14:textId="6091F797" w:rsidR="007412EB" w:rsidRDefault="007412EB" w:rsidP="00667FF6">
      <w:permStart w:id="1032210024" w:edGrp="everyone"/>
      <w:r>
        <w:lastRenderedPageBreak/>
        <w:t>In our view, there is no need to amend the UCITS EAD regarding EPM-related issues.</w:t>
      </w:r>
    </w:p>
    <w:permEnd w:id="1032210024"/>
    <w:p w14:paraId="09F73C64" w14:textId="77777777"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Would you see merit in linking or replacing the notion of EPM techniques set out in the UCITS Directive and UCITS EAD with the notion of securities 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76B4FF9E" w14:textId="611F868B" w:rsidR="00ED547A" w:rsidRPr="00ED547A" w:rsidRDefault="00665510" w:rsidP="00667FF6">
      <w:pPr>
        <w:rPr>
          <w:color w:val="FF0000"/>
        </w:rPr>
      </w:pPr>
      <w:permStart w:id="589041498" w:edGrp="everyone"/>
      <w:r>
        <w:t>No, we do not</w:t>
      </w:r>
      <w:r w:rsidRPr="00665510">
        <w:t xml:space="preserve"> see merit in linking or replacing the notion of EPM techniques set out in the UCITS Directive and UCITS EAD with the notion of securities financing transaction (SFT) set out in the SFTR</w:t>
      </w:r>
      <w:r>
        <w:t>.</w:t>
      </w:r>
    </w:p>
    <w:permEnd w:id="589041498"/>
    <w:p w14:paraId="47A34CC0" w14:textId="25D946C5"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6118D7DD" w14:textId="112D57D4" w:rsidR="00ED547A" w:rsidRDefault="00665510" w:rsidP="00665510">
      <w:permStart w:id="1158356501" w:edGrp="everyone"/>
      <w:r>
        <w:t>No, we do not see any other definitions, notions or concepts used in the UCITS EAD that may require updates, further clarification or better consistency with definitions and concepts used in other pieces of EU financial legislation.</w:t>
      </w:r>
    </w:p>
    <w:permEnd w:id="1158356501"/>
    <w:p w14:paraId="223CC270" w14:textId="77777777" w:rsidR="00667FF6" w:rsidRDefault="00667FF6" w:rsidP="00667FF6">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 xml:space="preserve">Are there any national rules, guidance, definitions or concepts in national regulatory frameworks that go beyond (‘gold-plating’), diverge or are more </w:t>
      </w:r>
      <w:r>
        <w:lastRenderedPageBreak/>
        <w:t>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488042AD" w14:textId="704466F2" w:rsidR="00517274" w:rsidRPr="000F3C35" w:rsidRDefault="00517274" w:rsidP="00B51662">
      <w:pPr>
        <w:rPr>
          <w:b/>
          <w:bCs/>
        </w:rPr>
      </w:pPr>
      <w:permStart w:id="784558918" w:edGrp="everyone"/>
      <w:r w:rsidRPr="000F3C35">
        <w:rPr>
          <w:b/>
          <w:bCs/>
        </w:rPr>
        <w:t>In our answer to this Q19, we focus on two topics notified by several of our member companies offering UCITS cat bond f</w:t>
      </w:r>
      <w:r w:rsidR="00B2321F" w:rsidRPr="000F3C35">
        <w:rPr>
          <w:b/>
          <w:bCs/>
        </w:rPr>
        <w:t>u</w:t>
      </w:r>
      <w:r w:rsidRPr="000F3C35">
        <w:rPr>
          <w:b/>
          <w:bCs/>
        </w:rPr>
        <w:t>nds.</w:t>
      </w:r>
    </w:p>
    <w:p w14:paraId="5AB8E9FE" w14:textId="7D544C78" w:rsidR="00517274" w:rsidRPr="00517274" w:rsidRDefault="00517274" w:rsidP="00517274">
      <w:pPr>
        <w:pStyle w:val="Listenabsatz"/>
        <w:numPr>
          <w:ilvl w:val="0"/>
          <w:numId w:val="27"/>
        </w:numPr>
      </w:pPr>
      <w:r>
        <w:t>Germany</w:t>
      </w:r>
    </w:p>
    <w:p w14:paraId="1E7ECB0E" w14:textId="0C5F8BBB" w:rsidR="00517274" w:rsidRDefault="00517274" w:rsidP="00B51662">
      <w:r>
        <w:t>Please cf. also our answer to Q12 above concerning “embedded” derivatives.</w:t>
      </w:r>
    </w:p>
    <w:p w14:paraId="0140A484" w14:textId="528E2E86" w:rsidR="00517274" w:rsidRDefault="00517274" w:rsidP="00B51662">
      <w:r>
        <w:t xml:space="preserve">As we have stated in our answer to Q12, we appreciate the opportunity to clarify why cat bonds do </w:t>
      </w:r>
      <w:r w:rsidRPr="00ED547A">
        <w:rPr>
          <w:u w:val="single"/>
        </w:rPr>
        <w:t>not</w:t>
      </w:r>
      <w:r>
        <w:t xml:space="preserve"> include « embedded » derivatives, as indicated by BaFin, the German Federal Financial Supervisory Authority, in its Q&amp;A publication from 2013, revised in 2016 (see also BaFin, “Fragenkatalog zu erwerbbaren Vermögensgegenständen (Eligible Assets), Teil 1, Frage 15, cat bonds as derivatives” available in German under </w:t>
      </w:r>
      <w:hyperlink r:id="rId25" w:history="1">
        <w:r w:rsidRPr="00665510">
          <w:rPr>
            <w:rStyle w:val="Hyperlink"/>
          </w:rPr>
          <w:t>https://www.bafin.de/SharedDocs/Veroeffentlichungen/DE/Auslegungsentscheidung/WA/ae_130722_fragen_ea.html</w:t>
        </w:r>
      </w:hyperlink>
      <w:r>
        <w:t>).</w:t>
      </w:r>
    </w:p>
    <w:p w14:paraId="27F419EC" w14:textId="77777777" w:rsidR="00517274" w:rsidRDefault="00517274" w:rsidP="00B51662">
      <w:r>
        <w:t>Cat bonds are financial instruments designed to transfer specific risks, such as natural disasters, from a(n) (re-)insurer to the capital markets. Investors who buy these bonds receive yields in exchange for bearing the risk of a predefined catastrophic event. If such an event occurs (e.g., an earthquake or hurricane), the principal and interest payments to investors are partially or fully forfeited to cover the insurer's losses.</w:t>
      </w:r>
    </w:p>
    <w:p w14:paraId="5A932E87" w14:textId="77777777" w:rsidR="00517274" w:rsidRDefault="00517274" w:rsidP="00B51662">
      <w:r>
        <w:t>Cat bonds do not contain embedded derivatives because their performance is directly linked to specific, observable catastrophic events rather than financial variables. This structure ensures compliance with the UCITS EAD by avoiding the complexities associated with embedded derivatives, thereby offering a transparent and straightforward investment vehicle for managing catastrophic risk.</w:t>
      </w:r>
    </w:p>
    <w:p w14:paraId="5B6CD46F" w14:textId="77777777" w:rsidR="00517274" w:rsidRDefault="00517274" w:rsidP="00B51662">
      <w:r w:rsidRPr="00183287">
        <w:rPr>
          <w:lang w:val="de-DE"/>
        </w:rPr>
        <w:t xml:space="preserve">We therefore respectfully differ with BaFin's interpretation in “Fragenkatalog zu erwerbbaren Vermögensgegenständen (Eligible Assets), Teil 1, Frage 15,”. </w:t>
      </w:r>
      <w:r>
        <w:t>As outlined, cat bonds are structured to directly link their performance to specific, observable catastrophic events rather than market-driven financial instruments, ensuring they do not contain embedded derivatives. This distinction is crucial in understanding their compliance with the UCITS Directive and underscores the suitability and robustness of cat bonds as investment instruments within UCITS-compliant portfolios.</w:t>
      </w:r>
    </w:p>
    <w:p w14:paraId="1385BAE4" w14:textId="77777777" w:rsidR="00517274" w:rsidRDefault="00517274" w:rsidP="00667FF6">
      <w:r>
        <w:lastRenderedPageBreak/>
        <w:t>The regulatory treatment of the eligibility of cat bonds for UCITS by BaFin obviously also differs from the regulatory treatment in Ireland, Luxembourg or Liechtenstein. Consistent application and interpretation of the UCITS EAD should be ensured.</w:t>
      </w:r>
    </w:p>
    <w:p w14:paraId="63E0B6F7" w14:textId="1BA712AC" w:rsidR="00517274" w:rsidRPr="00EC233D" w:rsidRDefault="00517274" w:rsidP="00EC233D">
      <w:pPr>
        <w:pStyle w:val="Listenabsatz"/>
        <w:numPr>
          <w:ilvl w:val="0"/>
          <w:numId w:val="27"/>
        </w:numPr>
      </w:pPr>
      <w:r w:rsidRPr="00EC233D">
        <w:t>Luxembourg</w:t>
      </w:r>
    </w:p>
    <w:p w14:paraId="72AD5494" w14:textId="1438A3D7" w:rsidR="00517274" w:rsidRPr="00EC233D" w:rsidRDefault="00000000" w:rsidP="00EC233D">
      <w:pPr>
        <w:rPr>
          <w:lang w:val="en-US"/>
        </w:rPr>
      </w:pPr>
      <w:hyperlink r:id="rId26" w:history="1">
        <w:r w:rsidR="00517274" w:rsidRPr="00EC233D">
          <w:rPr>
            <w:rStyle w:val="Hyperlink"/>
            <w:highlight w:val="yellow"/>
            <w:lang w:val="en-US"/>
          </w:rPr>
          <w:t>ESMA 12/832</w:t>
        </w:r>
      </w:hyperlink>
      <w:r w:rsidR="00EC233D">
        <w:rPr>
          <w:highlight w:val="yellow"/>
          <w:lang w:val="en-US"/>
        </w:rPr>
        <w:t xml:space="preserve"> (</w:t>
      </w:r>
      <w:r w:rsidR="00EC233D" w:rsidRPr="00EC233D">
        <w:rPr>
          <w:lang w:val="en-US"/>
        </w:rPr>
        <w:t>Guidelines for competent authorities and UCITS management companies</w:t>
      </w:r>
      <w:r w:rsidR="00EC233D">
        <w:rPr>
          <w:lang w:val="en-US"/>
        </w:rPr>
        <w:t xml:space="preserve"> – </w:t>
      </w:r>
      <w:r w:rsidR="00EC233D" w:rsidRPr="00EC233D">
        <w:rPr>
          <w:lang w:val="en-US"/>
        </w:rPr>
        <w:t>Guidelines on ETFs and other UCITS issues</w:t>
      </w:r>
      <w:r w:rsidR="00EC233D">
        <w:rPr>
          <w:lang w:val="en-US"/>
        </w:rPr>
        <w:t>)</w:t>
      </w:r>
      <w:r w:rsidR="00517274" w:rsidRPr="00AB1E19">
        <w:rPr>
          <w:highlight w:val="yellow"/>
          <w:lang w:val="en-US"/>
        </w:rPr>
        <w:t>, section XIII, point 50 states that a UCITS should not invest in a financial index which as a single component that has an impact on the overall [index] return which exceeds the relevant diversification requirements</w:t>
      </w:r>
      <w:r w:rsidR="00517274">
        <w:rPr>
          <w:highlight w:val="yellow"/>
          <w:lang w:val="en-US"/>
        </w:rPr>
        <w:t>,</w:t>
      </w:r>
      <w:r w:rsidR="00517274" w:rsidRPr="00AB1E19">
        <w:rPr>
          <w:highlight w:val="yellow"/>
          <w:lang w:val="en-US"/>
        </w:rPr>
        <w:t xml:space="preserve"> i.e. 20%/35%. Arguably, this rule applies to investments in a financial index. In 2016, the Luxembourg regulator CSSF decided to expand the enforcement to the adherence to this rule also to the asset class of insurance-linked securities / </w:t>
      </w:r>
      <w:r w:rsidR="00517274">
        <w:rPr>
          <w:highlight w:val="yellow"/>
          <w:lang w:val="en-US"/>
        </w:rPr>
        <w:t>cat</w:t>
      </w:r>
      <w:r w:rsidR="00517274" w:rsidRPr="00AB1E19">
        <w:rPr>
          <w:highlight w:val="yellow"/>
          <w:lang w:val="en-US"/>
        </w:rPr>
        <w:t xml:space="preserve"> bonds. Managers with Luxembourg-based funds are thus required to adhere to this “20%/35% rule”. We however understand that other jurisdictions with active UCITS </w:t>
      </w:r>
      <w:r w:rsidR="00EC233D">
        <w:rPr>
          <w:highlight w:val="yellow"/>
          <w:lang w:val="en-US"/>
        </w:rPr>
        <w:t>cat</w:t>
      </w:r>
      <w:r w:rsidR="00517274" w:rsidRPr="00AB1E19">
        <w:rPr>
          <w:highlight w:val="yellow"/>
          <w:lang w:val="en-US"/>
        </w:rPr>
        <w:t xml:space="preserve"> bond funds, such as Ireland and Liechtenstein, are not actively enforcing the adherence to this rule. In</w:t>
      </w:r>
      <w:r w:rsidR="00EC233D">
        <w:rPr>
          <w:highlight w:val="yellow"/>
          <w:lang w:val="en-US"/>
        </w:rPr>
        <w:t xml:space="preserve"> our</w:t>
      </w:r>
      <w:r w:rsidR="00517274" w:rsidRPr="00AB1E19">
        <w:rPr>
          <w:highlight w:val="yellow"/>
          <w:lang w:val="en-US"/>
        </w:rPr>
        <w:t xml:space="preserve"> answer to Q19, the “20%/35% rule” is thus viewed as a national rule only applicable to Luxembourg-domiciled insurance-linked securities funds. </w:t>
      </w:r>
    </w:p>
    <w:p w14:paraId="573A23F7" w14:textId="0B2E4A07" w:rsidR="00517274" w:rsidRPr="00517274" w:rsidRDefault="00517274" w:rsidP="00667FF6">
      <w:pPr>
        <w:rPr>
          <w:lang w:val="en-US"/>
        </w:rPr>
      </w:pPr>
      <w:r w:rsidRPr="00AB1E19">
        <w:rPr>
          <w:highlight w:val="yellow"/>
          <w:lang w:val="en-US"/>
        </w:rPr>
        <w:t>For further background</w:t>
      </w:r>
      <w:r w:rsidR="00EC233D">
        <w:rPr>
          <w:highlight w:val="yellow"/>
          <w:lang w:val="en-US"/>
        </w:rPr>
        <w:t xml:space="preserve"> and to provide you with an example</w:t>
      </w:r>
      <w:r w:rsidRPr="00AB1E19">
        <w:rPr>
          <w:highlight w:val="yellow"/>
          <w:lang w:val="en-US"/>
        </w:rPr>
        <w:t xml:space="preserve">, the investment objective of </w:t>
      </w:r>
      <w:r w:rsidR="00EC233D">
        <w:rPr>
          <w:highlight w:val="yellow"/>
          <w:lang w:val="en-US"/>
        </w:rPr>
        <w:t>a typical (LUX)</w:t>
      </w:r>
      <w:r w:rsidRPr="00AB1E19">
        <w:rPr>
          <w:highlight w:val="yellow"/>
          <w:lang w:val="en-US"/>
        </w:rPr>
        <w:t xml:space="preserve"> </w:t>
      </w:r>
      <w:r w:rsidR="00EC233D">
        <w:rPr>
          <w:highlight w:val="yellow"/>
          <w:lang w:val="en-US"/>
        </w:rPr>
        <w:t>c</w:t>
      </w:r>
      <w:r w:rsidRPr="00AB1E19">
        <w:rPr>
          <w:highlight w:val="yellow"/>
          <w:lang w:val="en-US"/>
        </w:rPr>
        <w:t xml:space="preserve">at </w:t>
      </w:r>
      <w:r w:rsidR="00EC233D">
        <w:rPr>
          <w:highlight w:val="yellow"/>
          <w:lang w:val="en-US"/>
        </w:rPr>
        <w:t>b</w:t>
      </w:r>
      <w:r w:rsidRPr="00AB1E19">
        <w:rPr>
          <w:highlight w:val="yellow"/>
          <w:lang w:val="en-US"/>
        </w:rPr>
        <w:t xml:space="preserve">ond </w:t>
      </w:r>
      <w:r w:rsidR="00EC233D">
        <w:rPr>
          <w:highlight w:val="yellow"/>
          <w:lang w:val="en-US"/>
        </w:rPr>
        <w:t>f</w:t>
      </w:r>
      <w:r w:rsidRPr="00AB1E19">
        <w:rPr>
          <w:highlight w:val="yellow"/>
          <w:lang w:val="en-US"/>
        </w:rPr>
        <w:t xml:space="preserve">und is to invest in insurance-linked securities (ILS) / cat bonds which focus on extreme catastrophe events across the globe. Investors within the </w:t>
      </w:r>
      <w:r w:rsidR="00EC233D">
        <w:rPr>
          <w:highlight w:val="yellow"/>
          <w:lang w:val="en-US"/>
        </w:rPr>
        <w:t>fund</w:t>
      </w:r>
      <w:r w:rsidRPr="00AB1E19">
        <w:rPr>
          <w:highlight w:val="yellow"/>
          <w:lang w:val="en-US"/>
        </w:rPr>
        <w:t xml:space="preserve"> appreciate and actively seek this type of risk exposure which shows a very low correlation to financial market fluctuations. Key risk drivers within the fund are natural catastrophe risks such as severe earthquakes or windstorm events; geographical focus </w:t>
      </w:r>
      <w:r w:rsidR="00EC233D">
        <w:rPr>
          <w:highlight w:val="yellow"/>
          <w:lang w:val="en-US"/>
        </w:rPr>
        <w:t xml:space="preserve">usually </w:t>
      </w:r>
      <w:r w:rsidRPr="00AB1E19">
        <w:rPr>
          <w:highlight w:val="yellow"/>
          <w:lang w:val="en-US"/>
        </w:rPr>
        <w:t>is on US / Canada, Europe, Japan and Australia / New Zealand. Each ILS/cat bond transaction covers a different counterparty (“sponsor”, an insurance or reinsurance company) with very distinct portfolio of structures (individual buildings – houses, warehouses, factories etc</w:t>
      </w:r>
      <w:r w:rsidR="00B2321F">
        <w:rPr>
          <w:highlight w:val="yellow"/>
          <w:lang w:val="en-US"/>
        </w:rPr>
        <w:t>.</w:t>
      </w:r>
      <w:r w:rsidRPr="00AB1E19">
        <w:rPr>
          <w:highlight w:val="yellow"/>
          <w:lang w:val="en-US"/>
        </w:rPr>
        <w:t>). The region with the highest concentration risk for the insurance-linked securities market and thus for</w:t>
      </w:r>
      <w:r w:rsidR="00EC233D">
        <w:rPr>
          <w:highlight w:val="yellow"/>
          <w:lang w:val="en-US"/>
        </w:rPr>
        <w:t xml:space="preserve"> a typical cat bond fund </w:t>
      </w:r>
      <w:r w:rsidRPr="00AB1E19">
        <w:rPr>
          <w:highlight w:val="yellow"/>
          <w:lang w:val="en-US"/>
        </w:rPr>
        <w:t>is traditionally “hurricane south-east US”. Yet in such a given peril/region, the fund combines ILS/cat bond transactions with a large number of insurance and reinsurance companies with exposures in different regions</w:t>
      </w:r>
      <w:r w:rsidR="00EC233D">
        <w:rPr>
          <w:highlight w:val="yellow"/>
          <w:lang w:val="en-US"/>
        </w:rPr>
        <w:t>, e.g.</w:t>
      </w:r>
      <w:r w:rsidRPr="00AB1E19">
        <w:rPr>
          <w:highlight w:val="yellow"/>
          <w:lang w:val="en-US"/>
        </w:rPr>
        <w:t xml:space="preserve"> in Texas, Louisiana, Mississippi, Alabama, Florida, Georgia, and South &amp; North Carolina. Every individual sponsor of such an ILS/cat bond transaction focuses on a very distinct area of business; some companies focus on commercially used buildings, some on private residences, etc. Lastly, the portfolio within any given region depends on the agent network of the counterparty and the regional brand name of the company. The result is a very well diversified portfolio within any given peril/region. In order to assess the concentration risk within a given region and in order to comply with the 20%/35% rule and in line with the requirements of the Luxembourg regulator CSSF, </w:t>
      </w:r>
      <w:r w:rsidR="00EC233D">
        <w:rPr>
          <w:highlight w:val="yellow"/>
          <w:lang w:val="en-US"/>
        </w:rPr>
        <w:t>the LUX cat bond fund</w:t>
      </w:r>
      <w:r w:rsidRPr="00AB1E19">
        <w:rPr>
          <w:highlight w:val="yellow"/>
          <w:lang w:val="en-US"/>
        </w:rPr>
        <w:t xml:space="preserve"> applies the 99% Value-at-Risk (VaR) approach for stress-testing the concentration risk and to ensure that the fund always meets the 20%/35% rule. Adequate independent controls are in place to ensure adherence to this rule at all times.</w:t>
      </w:r>
      <w:r w:rsidRPr="00AB1E19">
        <w:rPr>
          <w:lang w:val="en-US"/>
        </w:rPr>
        <w:t xml:space="preserve"> </w:t>
      </w:r>
    </w:p>
    <w:permEnd w:id="784558918"/>
    <w:p w14:paraId="014C3237" w14:textId="1454C7E8" w:rsidR="00667FF6" w:rsidRDefault="00667FF6" w:rsidP="00667FF6">
      <w:r>
        <w:lastRenderedPageBreak/>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Please assess and provide evidence on the merits of such exposures in light of their risks and benefits taking into account the characteristics of the underlying markets (e.g. 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t>&lt;ESMA_QUESTION_EADC_20&gt;</w:t>
      </w:r>
    </w:p>
    <w:p w14:paraId="6AEF8535" w14:textId="5343C2D5" w:rsidR="00667FF6" w:rsidRPr="00665510" w:rsidRDefault="00665510" w:rsidP="00667FF6">
      <w:pPr>
        <w:rPr>
          <w:color w:val="auto"/>
        </w:rPr>
      </w:pPr>
      <w:permStart w:id="1828006997" w:edGrp="everyone"/>
      <w:r w:rsidRPr="00665510">
        <w:rPr>
          <w:color w:val="auto"/>
        </w:rPr>
        <w:t>Please see the attached table to this Q20.</w:t>
      </w:r>
    </w:p>
    <w:permEnd w:id="1828006997"/>
    <w:p w14:paraId="01D62D2E" w14:textId="77777777"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757774BD" w14:textId="0557D863" w:rsidR="00665510" w:rsidRPr="00665510" w:rsidRDefault="00665510" w:rsidP="00A735A0">
      <w:pPr>
        <w:rPr>
          <w:color w:val="auto"/>
          <w:lang w:val="en-US"/>
        </w:rPr>
      </w:pPr>
      <w:permStart w:id="199050040" w:edGrp="everyone"/>
      <w:r w:rsidRPr="000F3C35">
        <w:rPr>
          <w:b/>
          <w:bCs/>
          <w:color w:val="auto"/>
          <w:lang w:val="en-US"/>
        </w:rPr>
        <w:t>In general</w:t>
      </w:r>
      <w:r>
        <w:rPr>
          <w:color w:val="auto"/>
          <w:lang w:val="en-US"/>
        </w:rPr>
        <w:t xml:space="preserve">, indirect exposures to the aforementioned asset classes through delta-one instruments, ETNs, derivatives etc. have several </w:t>
      </w:r>
      <w:r w:rsidRPr="00665510">
        <w:rPr>
          <w:color w:val="auto"/>
          <w:lang w:val="en-US"/>
        </w:rPr>
        <w:t xml:space="preserve">advantages </w:t>
      </w:r>
      <w:r>
        <w:rPr>
          <w:color w:val="auto"/>
          <w:lang w:val="en-US"/>
        </w:rPr>
        <w:t xml:space="preserve">such as </w:t>
      </w:r>
      <w:r w:rsidRPr="00665510">
        <w:rPr>
          <w:color w:val="auto"/>
          <w:lang w:val="en-US"/>
        </w:rPr>
        <w:t>operational ease and regulatory security, reducing costs and risks borne by</w:t>
      </w:r>
      <w:r>
        <w:rPr>
          <w:color w:val="auto"/>
          <w:lang w:val="en-US"/>
        </w:rPr>
        <w:t xml:space="preserve"> </w:t>
      </w:r>
      <w:r w:rsidRPr="00665510">
        <w:rPr>
          <w:color w:val="auto"/>
          <w:lang w:val="en-US"/>
        </w:rPr>
        <w:t xml:space="preserve">UCITS investors. </w:t>
      </w:r>
      <w:r>
        <w:rPr>
          <w:color w:val="auto"/>
          <w:lang w:val="en-US"/>
        </w:rPr>
        <w:t xml:space="preserve">It is also a cost-efficient way to “buy” </w:t>
      </w:r>
      <w:r w:rsidRPr="00665510">
        <w:rPr>
          <w:color w:val="auto"/>
          <w:lang w:val="en-US"/>
        </w:rPr>
        <w:t>the necessary expertise to operationally</w:t>
      </w:r>
      <w:r>
        <w:rPr>
          <w:color w:val="auto"/>
          <w:lang w:val="en-US"/>
        </w:rPr>
        <w:t xml:space="preserve"> </w:t>
      </w:r>
      <w:r w:rsidRPr="00665510">
        <w:rPr>
          <w:color w:val="auto"/>
          <w:lang w:val="en-US"/>
        </w:rPr>
        <w:t>enabling direct investments and or doing so would require many resources</w:t>
      </w:r>
      <w:r w:rsidR="00A735A0">
        <w:rPr>
          <w:color w:val="auto"/>
          <w:lang w:val="en-US"/>
        </w:rPr>
        <w:t>. On the other hand, indirect exposures might impact also the costs of the fund.</w:t>
      </w:r>
      <w:r w:rsidRPr="00665510">
        <w:rPr>
          <w:color w:val="auto"/>
          <w:lang w:val="en-US"/>
        </w:rPr>
        <w:t xml:space="preserve"> </w:t>
      </w:r>
    </w:p>
    <w:p w14:paraId="026D7EED" w14:textId="00D9BBC3" w:rsidR="00667FF6" w:rsidRPr="00665510" w:rsidRDefault="00665510" w:rsidP="00665510">
      <w:pPr>
        <w:rPr>
          <w:color w:val="auto"/>
          <w:lang w:val="en-US"/>
        </w:rPr>
      </w:pPr>
      <w:r w:rsidRPr="00665510">
        <w:rPr>
          <w:color w:val="auto"/>
          <w:lang w:val="en-US"/>
        </w:rPr>
        <w:lastRenderedPageBreak/>
        <w:t>Derivatives are in the interest of investors as well because in many cases, it would be more cost</w:t>
      </w:r>
      <w:r w:rsidR="00A735A0">
        <w:rPr>
          <w:color w:val="auto"/>
          <w:lang w:val="en-US"/>
        </w:rPr>
        <w:t>-</w:t>
      </w:r>
      <w:r w:rsidRPr="00665510">
        <w:rPr>
          <w:color w:val="auto"/>
          <w:lang w:val="en-US"/>
        </w:rPr>
        <w:t>efficient (e.g. no management fee, tighter bid-ask-spreads) than the current repackaging into investable</w:t>
      </w:r>
      <w:r w:rsidR="00D675DD">
        <w:rPr>
          <w:color w:val="auto"/>
          <w:lang w:val="en-US"/>
        </w:rPr>
        <w:t xml:space="preserve"> </w:t>
      </w:r>
      <w:r w:rsidRPr="00665510">
        <w:rPr>
          <w:color w:val="auto"/>
          <w:lang w:val="en-US"/>
        </w:rPr>
        <w:t>ETN via an investment bank.</w:t>
      </w:r>
    </w:p>
    <w:p w14:paraId="65D02B3B" w14:textId="6260E81F" w:rsidR="00EC233D" w:rsidRDefault="00EC233D" w:rsidP="00667FF6">
      <w:r w:rsidRPr="000F3C35">
        <w:rPr>
          <w:b/>
          <w:bCs/>
        </w:rPr>
        <w:t>Regarding the</w:t>
      </w:r>
      <w:r w:rsidR="00A735A0" w:rsidRPr="000F3C35">
        <w:rPr>
          <w:b/>
          <w:bCs/>
        </w:rPr>
        <w:t xml:space="preserve"> specific</w:t>
      </w:r>
      <w:r w:rsidRPr="000F3C35">
        <w:rPr>
          <w:b/>
          <w:bCs/>
        </w:rPr>
        <w:t xml:space="preserve"> asset class of insurance-linked securities / cat bonds</w:t>
      </w:r>
      <w:r>
        <w:t>, UCITS cat bond funds usually</w:t>
      </w:r>
      <w:r w:rsidRPr="00EC233D">
        <w:t xml:space="preserve"> invest in UCITS-compliant, liquid insurance-linked security positions and </w:t>
      </w:r>
      <w:r>
        <w:t>are</w:t>
      </w:r>
      <w:r w:rsidRPr="00EC233D">
        <w:t xml:space="preserve"> fully allocating to direct exposures only. The full look-through costing across the entire investment value chain is covered in the Total Expense Ratio as listed in </w:t>
      </w:r>
      <w:r w:rsidR="00D96353">
        <w:t>the</w:t>
      </w:r>
      <w:r w:rsidRPr="00EC233D">
        <w:t xml:space="preserve"> annual report</w:t>
      </w:r>
      <w:r w:rsidR="00D96353">
        <w:t>s</w:t>
      </w:r>
      <w:r w:rsidRPr="00EC233D">
        <w:t>; furthermore, all risk elements are transparently reported on a monthly basis as part of detailed investor report</w:t>
      </w:r>
      <w:r w:rsidR="00D96353">
        <w:t>s.</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Directive would be deemed exhaustive and reduce risk of circumvention by 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60C9E25B" w14:textId="091483C3" w:rsidR="00D96353" w:rsidRDefault="00D96353" w:rsidP="00A735A0">
      <w:permStart w:id="1004748421" w:edGrp="everyone"/>
      <w:r>
        <w:t>Considering the fact that UCITS are highly regulated investment products with high levels of eligibility requirements, and detailed requirements for portfolio, risk and liquidity management, we do not see any need for a look-through approach.</w:t>
      </w:r>
      <w:r w:rsidR="00A735A0">
        <w:t xml:space="preserve"> Regarding the eligibility of asset classes, there is some flexibility needed, both with regard to market developments and regulatory developments. A list of eligible assets on UCITS Directive Level 1 deemed exhaustive would restrict managers’ decisions too much. The UCITS EAD clearly permits investments into transferable securities that are backed by, or linked to the performance of, other assets which may differ from those referred to in UCITS Level 1</w:t>
      </w:r>
      <w:r w:rsidR="008242DB">
        <w:t xml:space="preserve"> (such as oil, precious metals, and other commodities)</w:t>
      </w:r>
      <w:r w:rsidR="00A735A0">
        <w:t>.</w:t>
      </w:r>
      <w:r w:rsidR="008242DB">
        <w:t xml:space="preserve"> This should be permitted also in the future, and across all EU Member States (cf. our answer to Q13).</w:t>
      </w:r>
    </w:p>
    <w:permEnd w:id="1004748421"/>
    <w:p w14:paraId="36473833" w14:textId="77777777"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57C1BB11" w14:textId="0B01F484" w:rsidR="00667FF6" w:rsidRDefault="00D96353" w:rsidP="00667FF6">
      <w:permStart w:id="1208368603" w:edGrp="everyone"/>
      <w:r w:rsidRPr="000F3C35">
        <w:rPr>
          <w:b/>
          <w:bCs/>
        </w:rPr>
        <w:t>In general</w:t>
      </w:r>
      <w:r>
        <w:t xml:space="preserve">, UCITS investments in securities issued by securitisation vehicles (SPVs) allows UCITS to expand the universe of eligible assets and to invest this way in a wider </w:t>
      </w:r>
      <w:r w:rsidR="008242DB">
        <w:t>r</w:t>
      </w:r>
      <w:r>
        <w:t>ange of asset classes, which helps to further diversify the portfolio.</w:t>
      </w:r>
      <w:r w:rsidR="008242DB">
        <w:t xml:space="preserve"> Examples include ABS, MBS or CLOs.</w:t>
      </w:r>
    </w:p>
    <w:p w14:paraId="40FA4121" w14:textId="103993CD" w:rsidR="00D96353" w:rsidRDefault="00D96353" w:rsidP="00D96353">
      <w:r w:rsidRPr="000F3C35">
        <w:rPr>
          <w:b/>
          <w:bCs/>
        </w:rPr>
        <w:t>Regarding the specific asset class of insurance-linked securities and cat bonds</w:t>
      </w:r>
      <w:r>
        <w:t>, ILS arrangements employ SPVs to facilitate the transformation of insurance risk into securities providing access to insurance exposure (cat bonds are often issued by stand-alone SPVs – however, certain SPVs operate multiple compartments which are legally segregated similar to umbrella fund platforms with multiple sub-funds). As a rule, SPVs are corporate structures which are authorised to conduct (re)insurance business. Therefore, SPVs issue notes to investors and enter into a risk transfer contract with a protection buyer, making the repayment of the notes contingent upon the (non-)occurrence of a specific defined event.</w:t>
      </w:r>
    </w:p>
    <w:p w14:paraId="5BA16E25" w14:textId="77777777" w:rsidR="00D96353" w:rsidRDefault="00D96353" w:rsidP="00D96353">
      <w:r>
        <w:t>The structure of cat bonds involves several key steps:</w:t>
      </w:r>
    </w:p>
    <w:p w14:paraId="5B0B7581" w14:textId="09DAA89E" w:rsidR="00D96353" w:rsidRDefault="00D96353" w:rsidP="00D96353">
      <w:r>
        <w:t>1.</w:t>
      </w:r>
      <w:r>
        <w:tab/>
        <w:t>Sponsor and SP</w:t>
      </w:r>
      <w:r w:rsidR="00F823FC">
        <w:t>V</w:t>
      </w:r>
      <w:r>
        <w:t>: Typically, an insurance or reinsurance company (sponsor) seeking to transfer risk</w:t>
      </w:r>
      <w:r w:rsidR="00B2321F">
        <w:t>,</w:t>
      </w:r>
      <w:r>
        <w:t xml:space="preserve"> sets up a SPV, which is a legally separate entity created specifically for issuing cat bonds.</w:t>
      </w:r>
    </w:p>
    <w:p w14:paraId="61A7BD90" w14:textId="77777777" w:rsidR="00D96353" w:rsidRDefault="00D96353" w:rsidP="00D96353">
      <w:r>
        <w:t>2.</w:t>
      </w:r>
      <w:r>
        <w:tab/>
        <w:t>Bond Issuance: The SPV issues cat bonds to investors, who provide capital in exchange for periodic interest payments and the return of principal at the bond's maturity, provided no qualifying catastrophe event occurs.</w:t>
      </w:r>
    </w:p>
    <w:p w14:paraId="7B202622" w14:textId="77777777" w:rsidR="00D96353" w:rsidRDefault="00D96353" w:rsidP="00D96353">
      <w:r>
        <w:t>3.</w:t>
      </w:r>
      <w:r>
        <w:tab/>
        <w:t>Collateral and Investment: The funds raised from investors are placed in a collateral account, typically invested in low-risk securities. This collateral is used to ensure that the SPV can meet its obligations to the sponsor if a catastrophic event occurs. It is important to note that there is no credit risk of the cedent involved, as the collateral fully secures the SPV's obligations, eliminating any exposure to the cedent's creditworthiness.</w:t>
      </w:r>
    </w:p>
    <w:p w14:paraId="1B63EAFA" w14:textId="77777777" w:rsidR="00D96353" w:rsidRDefault="00D96353" w:rsidP="00D96353">
      <w:r>
        <w:t>4.</w:t>
      </w:r>
      <w:r>
        <w:tab/>
        <w:t>Trigger Events: The bonds are structured around specific trigger events, such as a hurricane reaching a certain wind speed or an earthquake exceeding a particular magnitude. If a trigger event occurs, the bond’s principal is either partially or fully forfeited and used to cover the sponsor's losses.</w:t>
      </w:r>
    </w:p>
    <w:p w14:paraId="633A3FC7" w14:textId="77777777" w:rsidR="00D96353" w:rsidRDefault="00D96353" w:rsidP="00D96353">
      <w:r>
        <w:lastRenderedPageBreak/>
        <w:t>5.</w:t>
      </w:r>
      <w:r>
        <w:tab/>
        <w:t>Payout: If no trigger event occurs during the bond’s term, the principal is returned to the investors at maturity.</w:t>
      </w:r>
    </w:p>
    <w:p w14:paraId="02A2D56F" w14:textId="74004C51" w:rsidR="00D96353" w:rsidRDefault="00D96353" w:rsidP="00667FF6">
      <w:r>
        <w:t>Evidence from the market indicates that cat bonds have provided robust risk transfer mechanisms, contributing to the resilience of the insurance sector, particularly also through the use of SPVs. Cat bonds have proven effective in covering large-scale losses from catastrophic events, offering a valuable diversification tool for UCITS funds.</w:t>
      </w:r>
    </w:p>
    <w:permEnd w:id="1208368603"/>
    <w:p w14:paraId="3E326846" w14:textId="77777777"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What are the risks and benefits of permitting UCITS to build up short positions through the use of (embedded) derivatives, delta-one instruments or 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519888CB" w14:textId="1B9821C6" w:rsidR="00667FF6" w:rsidRDefault="00F823FC" w:rsidP="00667FF6">
      <w:permStart w:id="160252285" w:edGrp="everyone"/>
      <w:r>
        <w:t>Short selling or the use of short positions within a UCITS increases the portfolio management tools, the managers’ flexibility and the spectre of investment strategies. Usually, short selling increases also market liquidity. In sum, greater flexibility when allowing short selling might also diversify the risk management and reduce the overall portfolio risk.</w:t>
      </w:r>
    </w:p>
    <w:permEnd w:id="160252285"/>
    <w:p w14:paraId="63C4C4A9" w14:textId="77777777"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Apart from the topics covered in the above sections, have you observed any other issues with respect to the interpretation or consistent application of the UCITS EAD? If so, please describe the issues and how you would propose to revise the UCITS EAD or UCITS Directive with a view to improve investor protection, clarity and supervisory convergence.</w:t>
      </w:r>
    </w:p>
    <w:p w14:paraId="03144DFC" w14:textId="77777777" w:rsidR="00667FF6" w:rsidRDefault="00667FF6" w:rsidP="00667FF6">
      <w:r>
        <w:t>&lt;ESMA_QUESTION_EADC_25&gt;</w:t>
      </w:r>
    </w:p>
    <w:p w14:paraId="3D007DCF" w14:textId="3BF008C6" w:rsidR="00667FF6" w:rsidRDefault="00F823FC" w:rsidP="00667FF6">
      <w:permStart w:id="478484191" w:edGrp="everyone"/>
      <w:r>
        <w:t xml:space="preserve">Regarding the interpretation by different Member States and the consistent application we refer explicitly to our answer to Q19. Clarification in this regard would be highly welcome. </w:t>
      </w:r>
    </w:p>
    <w:p w14:paraId="5E4B7615" w14:textId="44B28227" w:rsidR="00F823FC" w:rsidRDefault="00F823FC" w:rsidP="00667FF6">
      <w:r>
        <w:t>In general, the UCITS EAD should be adapted in a flexible manner to the market developments and the regulatory developments (reviews of UCTIS Directive and AIFMD, ELTIF Regulation, MiCAR, etc.)</w:t>
      </w:r>
      <w:r w:rsidR="003679AD">
        <w:t>.</w:t>
      </w:r>
    </w:p>
    <w:permEnd w:id="478484191"/>
    <w:p w14:paraId="56E7500F" w14:textId="77777777" w:rsidR="00667FF6" w:rsidRDefault="00667FF6" w:rsidP="00667FF6">
      <w:r>
        <w:lastRenderedPageBreak/>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7"/>
      <w:footerReference w:type="default" r:id="rId28"/>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E9634" w14:textId="77777777" w:rsidR="003C75BB" w:rsidRDefault="003C75BB" w:rsidP="007E7997">
      <w:pPr>
        <w:spacing w:line="240" w:lineRule="auto"/>
      </w:pPr>
      <w:r>
        <w:separator/>
      </w:r>
    </w:p>
  </w:endnote>
  <w:endnote w:type="continuationSeparator" w:id="0">
    <w:p w14:paraId="5293B30B" w14:textId="77777777" w:rsidR="003C75BB" w:rsidRDefault="003C75BB" w:rsidP="007E7997">
      <w:pPr>
        <w:spacing w:line="240" w:lineRule="auto"/>
      </w:pPr>
      <w:r>
        <w:continuationSeparator/>
      </w:r>
    </w:p>
  </w:endnote>
  <w:endnote w:type="continuationNotice" w:id="1">
    <w:p w14:paraId="06637AA8" w14:textId="77777777" w:rsidR="003C75BB" w:rsidRDefault="003C7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1B4F" w:themeColor="text1" w:themeShade="80"/>
        <w:sz w:val="16"/>
        <w:szCs w:val="16"/>
      </w:rPr>
      <w:id w:val="-1421483652"/>
      <w:docPartObj>
        <w:docPartGallery w:val="Page Numbers (Bottom of Page)"/>
        <w:docPartUnique/>
      </w:docPartObj>
    </w:sdtPr>
    <w:sdtContent>
      <w:p w14:paraId="70AFCDE4" w14:textId="77777777" w:rsidR="00045BA9" w:rsidRDefault="00045BA9" w:rsidP="002533FC">
        <w:pPr>
          <w:rPr>
            <w:i/>
            <w:iCs/>
          </w:rPr>
        </w:pPr>
      </w:p>
      <w:p w14:paraId="237A920D" w14:textId="56870BC6" w:rsidR="00787413" w:rsidRPr="004E5FF8" w:rsidRDefault="0043139E" w:rsidP="004E5FF8">
        <w:pPr>
          <w:pStyle w:val="Fuzeile"/>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3CB28" w14:textId="77777777" w:rsidR="003C75BB" w:rsidRDefault="003C75BB" w:rsidP="007E7997">
      <w:pPr>
        <w:spacing w:line="240" w:lineRule="auto"/>
      </w:pPr>
      <w:r>
        <w:separator/>
      </w:r>
    </w:p>
  </w:footnote>
  <w:footnote w:type="continuationSeparator" w:id="0">
    <w:p w14:paraId="4C37EC49" w14:textId="77777777" w:rsidR="003C75BB" w:rsidRDefault="003C75BB" w:rsidP="007E7997">
      <w:pPr>
        <w:spacing w:line="240" w:lineRule="auto"/>
      </w:pPr>
      <w:r>
        <w:continuationSeparator/>
      </w:r>
    </w:p>
  </w:footnote>
  <w:footnote w:type="continuationNotice" w:id="1">
    <w:p w14:paraId="3320E397" w14:textId="77777777" w:rsidR="003C75BB" w:rsidRDefault="003C7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E930342" w:rsidR="00D77369" w:rsidRPr="008858FE" w:rsidRDefault="00D77369" w:rsidP="008858FE">
    <w:pPr>
      <w:pStyle w:val="Kopfzeile"/>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Kopfzeile"/>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FB72" w14:textId="122D2DD4" w:rsidR="006A44DA" w:rsidRDefault="006A44DA" w:rsidP="0043139E">
    <w:pPr>
      <w:pStyle w:val="Kopfzeile"/>
    </w:pPr>
  </w:p>
  <w:p w14:paraId="6A43EA5E" w14:textId="4A830C83" w:rsidR="00AD0B10" w:rsidRDefault="00AD0B10" w:rsidP="0043139E">
    <w:pPr>
      <w:pStyle w:val="Kopfzeile"/>
    </w:pPr>
  </w:p>
  <w:p w14:paraId="2083DACE" w14:textId="77777777" w:rsidR="00AD0B10" w:rsidRPr="0043139E" w:rsidRDefault="00AD0B10" w:rsidP="0043139E">
    <w:pPr>
      <w:pStyle w:val="Kopfzeile"/>
    </w:pPr>
  </w:p>
  <w:p w14:paraId="140A363C" w14:textId="77777777" w:rsidR="006A44DA" w:rsidRPr="0043139E" w:rsidRDefault="006A44DA" w:rsidP="0043139E">
    <w:pPr>
      <w:pStyle w:val="Kopfzeile"/>
    </w:pPr>
  </w:p>
  <w:p w14:paraId="66CF4BF9" w14:textId="4F625EE8" w:rsidR="006A44DA" w:rsidRPr="0043139E" w:rsidRDefault="008858FE" w:rsidP="0043139E">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Kopfzeile"/>
    </w:pPr>
  </w:p>
  <w:p w14:paraId="70942C9C" w14:textId="77777777" w:rsidR="00672010" w:rsidRPr="0043139E" w:rsidRDefault="00672010" w:rsidP="0043139E">
    <w:pPr>
      <w:pStyle w:val="Kopfzeile"/>
    </w:pPr>
  </w:p>
  <w:p w14:paraId="7F8040EC" w14:textId="77777777" w:rsidR="0018540C" w:rsidRPr="0043139E" w:rsidRDefault="0018540C" w:rsidP="0043139E">
    <w:pPr>
      <w:pStyle w:val="Kopfzeile"/>
    </w:pPr>
  </w:p>
  <w:p w14:paraId="76479F6F" w14:textId="77777777" w:rsidR="00CA565A" w:rsidRPr="0043139E" w:rsidRDefault="00CA565A" w:rsidP="0043139E">
    <w:pPr>
      <w:pStyle w:val="Kopfzeile"/>
    </w:pPr>
  </w:p>
  <w:p w14:paraId="34BC4F59" w14:textId="77777777" w:rsidR="00CA565A" w:rsidRPr="0043139E" w:rsidRDefault="00CA565A" w:rsidP="0043139E">
    <w:pPr>
      <w:pStyle w:val="Kopfzeile"/>
    </w:pPr>
  </w:p>
  <w:p w14:paraId="373CE412" w14:textId="77777777" w:rsidR="0018540C" w:rsidRPr="0043139E" w:rsidRDefault="0018540C" w:rsidP="0043139E">
    <w:pPr>
      <w:pStyle w:val="Kopfzeile"/>
    </w:pPr>
  </w:p>
  <w:p w14:paraId="36065F1B" w14:textId="154438DA" w:rsidR="0018540C" w:rsidRDefault="0018540C" w:rsidP="0043139E">
    <w:pPr>
      <w:pStyle w:val="Kopfzeile"/>
    </w:pPr>
  </w:p>
  <w:p w14:paraId="7545C91A" w14:textId="77777777" w:rsidR="0043139E" w:rsidRPr="0043139E" w:rsidRDefault="0043139E" w:rsidP="0043139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D944" w14:textId="77777777" w:rsidR="006A44DA" w:rsidRDefault="006A44DA">
    <w:pPr>
      <w:pStyle w:val="Kopfzeile"/>
    </w:pPr>
  </w:p>
  <w:p w14:paraId="410BE8FC" w14:textId="77777777" w:rsidR="006A44DA" w:rsidRDefault="006A44DA">
    <w:pPr>
      <w:pStyle w:val="Kopfzeile"/>
    </w:pPr>
  </w:p>
  <w:p w14:paraId="00F5D8E1" w14:textId="77777777" w:rsidR="006A44DA" w:rsidRDefault="006A44DA">
    <w:pPr>
      <w:pStyle w:val="Kopfzeile"/>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035E"/>
    <w:multiLevelType w:val="hybridMultilevel"/>
    <w:tmpl w:val="BC64C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F2DA7"/>
    <w:multiLevelType w:val="hybridMultilevel"/>
    <w:tmpl w:val="2084BFE6"/>
    <w:lvl w:ilvl="0" w:tplc="64824CE8">
      <w:start w:val="1"/>
      <w:numFmt w:val="lowerLetter"/>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2CE26E0"/>
    <w:multiLevelType w:val="hybridMultilevel"/>
    <w:tmpl w:val="55F02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AE2AE4"/>
    <w:multiLevelType w:val="hybridMultilevel"/>
    <w:tmpl w:val="8EAA94F8"/>
    <w:lvl w:ilvl="0" w:tplc="730E51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56540BE"/>
    <w:multiLevelType w:val="hybridMultilevel"/>
    <w:tmpl w:val="F6C4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AF1AAF"/>
    <w:multiLevelType w:val="hybridMultilevel"/>
    <w:tmpl w:val="C9FA1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8121FA"/>
    <w:multiLevelType w:val="hybridMultilevel"/>
    <w:tmpl w:val="1F00986E"/>
    <w:lvl w:ilvl="0" w:tplc="3EC68230">
      <w:start w:val="1"/>
      <w:numFmt w:val="decimal"/>
      <w:pStyle w:val="Listenabsatz"/>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232097"/>
    <w:multiLevelType w:val="hybridMultilevel"/>
    <w:tmpl w:val="8470314A"/>
    <w:lvl w:ilvl="0" w:tplc="AA3431D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264D3"/>
    <w:multiLevelType w:val="hybridMultilevel"/>
    <w:tmpl w:val="707CC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D86662"/>
    <w:multiLevelType w:val="hybridMultilevel"/>
    <w:tmpl w:val="F2D47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7F5B63"/>
    <w:multiLevelType w:val="hybridMultilevel"/>
    <w:tmpl w:val="77A2054A"/>
    <w:lvl w:ilvl="0" w:tplc="64824CE8">
      <w:start w:val="1"/>
      <w:numFmt w:val="lowerLetter"/>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3801430">
    <w:abstractNumId w:val="19"/>
  </w:num>
  <w:num w:numId="2" w16cid:durableId="1144354351">
    <w:abstractNumId w:val="6"/>
  </w:num>
  <w:num w:numId="3" w16cid:durableId="1006909420">
    <w:abstractNumId w:val="13"/>
  </w:num>
  <w:num w:numId="4" w16cid:durableId="569996677">
    <w:abstractNumId w:val="5"/>
  </w:num>
  <w:num w:numId="5" w16cid:durableId="807014924">
    <w:abstractNumId w:val="0"/>
  </w:num>
  <w:num w:numId="6" w16cid:durableId="310985182">
    <w:abstractNumId w:val="7"/>
  </w:num>
  <w:num w:numId="7" w16cid:durableId="492061559">
    <w:abstractNumId w:val="20"/>
  </w:num>
  <w:num w:numId="8" w16cid:durableId="2063743978">
    <w:abstractNumId w:val="3"/>
  </w:num>
  <w:num w:numId="9" w16cid:durableId="1378703109">
    <w:abstractNumId w:val="17"/>
  </w:num>
  <w:num w:numId="10" w16cid:durableId="632100844">
    <w:abstractNumId w:val="12"/>
  </w:num>
  <w:num w:numId="11" w16cid:durableId="1573200029">
    <w:abstractNumId w:val="9"/>
  </w:num>
  <w:num w:numId="12" w16cid:durableId="1587836858">
    <w:abstractNumId w:val="9"/>
    <w:lvlOverride w:ilvl="0">
      <w:startOverride w:val="1"/>
    </w:lvlOverride>
  </w:num>
  <w:num w:numId="13" w16cid:durableId="1548224532">
    <w:abstractNumId w:val="2"/>
  </w:num>
  <w:num w:numId="14" w16cid:durableId="501431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4046541">
    <w:abstractNumId w:val="22"/>
  </w:num>
  <w:num w:numId="17" w16cid:durableId="1960523686">
    <w:abstractNumId w:val="16"/>
  </w:num>
  <w:num w:numId="18" w16cid:durableId="739250431">
    <w:abstractNumId w:val="16"/>
    <w:lvlOverride w:ilvl="0">
      <w:startOverride w:val="1"/>
    </w:lvlOverride>
  </w:num>
  <w:num w:numId="19" w16cid:durableId="1964336666">
    <w:abstractNumId w:val="10"/>
  </w:num>
  <w:num w:numId="20" w16cid:durableId="2040280029">
    <w:abstractNumId w:val="23"/>
  </w:num>
  <w:num w:numId="21" w16cid:durableId="1463841229">
    <w:abstractNumId w:val="4"/>
  </w:num>
  <w:num w:numId="22" w16cid:durableId="484198383">
    <w:abstractNumId w:val="18"/>
  </w:num>
  <w:num w:numId="23" w16cid:durableId="1571842997">
    <w:abstractNumId w:val="14"/>
  </w:num>
  <w:num w:numId="24" w16cid:durableId="1873418191">
    <w:abstractNumId w:val="1"/>
  </w:num>
  <w:num w:numId="25" w16cid:durableId="904756445">
    <w:abstractNumId w:val="21"/>
  </w:num>
  <w:num w:numId="26" w16cid:durableId="118186282">
    <w:abstractNumId w:val="15"/>
  </w:num>
  <w:num w:numId="27" w16cid:durableId="6490915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DE3"/>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3FF5"/>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A3"/>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3C35"/>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287"/>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87B05"/>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720"/>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8E9"/>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18B"/>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4FA1"/>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679AD"/>
    <w:rsid w:val="003700CA"/>
    <w:rsid w:val="0037015B"/>
    <w:rsid w:val="0037020E"/>
    <w:rsid w:val="00370671"/>
    <w:rsid w:val="00370DC9"/>
    <w:rsid w:val="00370F5E"/>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5BB"/>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1EF0"/>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29"/>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B02"/>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280"/>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274"/>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0F08"/>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1B5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3E0D"/>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26E0"/>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36A"/>
    <w:rsid w:val="00627D59"/>
    <w:rsid w:val="00630165"/>
    <w:rsid w:val="0063138F"/>
    <w:rsid w:val="00631530"/>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1BCD"/>
    <w:rsid w:val="006623DF"/>
    <w:rsid w:val="00662853"/>
    <w:rsid w:val="00662882"/>
    <w:rsid w:val="00663072"/>
    <w:rsid w:val="006630E0"/>
    <w:rsid w:val="006631EB"/>
    <w:rsid w:val="00663691"/>
    <w:rsid w:val="00663F4C"/>
    <w:rsid w:val="006644F7"/>
    <w:rsid w:val="00665510"/>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50"/>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63"/>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4C77"/>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BF4"/>
    <w:rsid w:val="00735C87"/>
    <w:rsid w:val="00740229"/>
    <w:rsid w:val="00740703"/>
    <w:rsid w:val="00740996"/>
    <w:rsid w:val="00740CE4"/>
    <w:rsid w:val="00740FDB"/>
    <w:rsid w:val="007412E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485"/>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2DB"/>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37C81"/>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2F39"/>
    <w:rsid w:val="008A391C"/>
    <w:rsid w:val="008A4053"/>
    <w:rsid w:val="008A4474"/>
    <w:rsid w:val="008A44F9"/>
    <w:rsid w:val="008A4BDB"/>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245"/>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086"/>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5A6A"/>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5A0"/>
    <w:rsid w:val="00A73D62"/>
    <w:rsid w:val="00A7505B"/>
    <w:rsid w:val="00A75A15"/>
    <w:rsid w:val="00A75C4C"/>
    <w:rsid w:val="00A76335"/>
    <w:rsid w:val="00A7664A"/>
    <w:rsid w:val="00A767FC"/>
    <w:rsid w:val="00A76A15"/>
    <w:rsid w:val="00A76A1B"/>
    <w:rsid w:val="00A76AD8"/>
    <w:rsid w:val="00A76EDB"/>
    <w:rsid w:val="00A76FF8"/>
    <w:rsid w:val="00A772D0"/>
    <w:rsid w:val="00A773DC"/>
    <w:rsid w:val="00A778BC"/>
    <w:rsid w:val="00A801B2"/>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5CA"/>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A97"/>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21F"/>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192"/>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2D"/>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4A6"/>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1DF4"/>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5DD"/>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35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9B6"/>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C7BB6"/>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56F"/>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33D"/>
    <w:rsid w:val="00EC2402"/>
    <w:rsid w:val="00EC2BE8"/>
    <w:rsid w:val="00EC3223"/>
    <w:rsid w:val="00EC3B9E"/>
    <w:rsid w:val="00EC4005"/>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A47"/>
    <w:rsid w:val="00EC7DCA"/>
    <w:rsid w:val="00ED05E5"/>
    <w:rsid w:val="00ED1271"/>
    <w:rsid w:val="00ED14E7"/>
    <w:rsid w:val="00ED1A7B"/>
    <w:rsid w:val="00ED1C96"/>
    <w:rsid w:val="00ED1F42"/>
    <w:rsid w:val="00ED223C"/>
    <w:rsid w:val="00ED2A57"/>
    <w:rsid w:val="00ED2E20"/>
    <w:rsid w:val="00ED2E3B"/>
    <w:rsid w:val="00ED397D"/>
    <w:rsid w:val="00ED3D9B"/>
    <w:rsid w:val="00ED41E4"/>
    <w:rsid w:val="00ED4213"/>
    <w:rsid w:val="00ED4858"/>
    <w:rsid w:val="00ED547A"/>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3FC"/>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075"/>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32FB"/>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val="0"/>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040DE3"/>
    <w:pPr>
      <w:numPr>
        <w:numId w:val="17"/>
      </w:numPr>
    </w:pPr>
    <w:rPr>
      <w:rFonts w:asciiTheme="majorHAnsi" w:hAnsiTheme="majorHAnsi" w:cstheme="majorHAnsi"/>
      <w:b/>
      <w:bCs/>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Absatz-Standardschriftart"/>
    <w:link w:val="Questionstyle"/>
    <w:rsid w:val="00DB686B"/>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040DE3"/>
    <w:rPr>
      <w:rFonts w:asciiTheme="majorHAnsi" w:hAnsiTheme="majorHAnsi" w:cstheme="majorHAnsi"/>
      <w:b/>
      <w:bCs/>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5984261">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jpeg"/><Relationship Id="rId18" Type="http://schemas.openxmlformats.org/officeDocument/2006/relationships/hyperlink" Target="https://www.esma.europa.eu/about-esma/data-protection" TargetMode="External"/><Relationship Id="rId26" Type="http://schemas.openxmlformats.org/officeDocument/2006/relationships/hyperlink" Target="https://www.esma.europa.eu/sites/default/files/library/2015/11/2012-832en_guidelines_on_etfs_and_other_ucits_issues.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hyperlink" Target="https://www.bafin.de/SharedDocs/Veroeffentlichungen/DE/Auslegungsentscheidung/WA/ae_130722_fragen_ea.html" TargetMode="External"/><Relationship Id="rId2" Type="http://schemas.openxmlformats.org/officeDocument/2006/relationships/customXml" Target="../customXml/item2.xml"/><Relationship Id="rId16" Type="http://schemas.openxmlformats.org/officeDocument/2006/relationships/hyperlink" Target="https://www.esma.europa.eu/press-news/consultations/call-evidence-review-ucits-eligible-assets-directive"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afin.de/SharedDocs/Veroeffentlichungen/DE/Auslegungsentscheidung/WA/ae_130722_fragen_ea.html" TargetMode="Externa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hyperlink" Target="https://www.ecb.europa.eu/pub/pdf/other/ecb.policyoptions_EIOPA~c0adae58b7.el.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tzhalt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swiss"/>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826FB"/>
    <w:rsid w:val="0028331A"/>
    <w:rsid w:val="002F71C9"/>
    <w:rsid w:val="0032437C"/>
    <w:rsid w:val="003C3A27"/>
    <w:rsid w:val="003E2607"/>
    <w:rsid w:val="00437829"/>
    <w:rsid w:val="004B43C5"/>
    <w:rsid w:val="004E4CF9"/>
    <w:rsid w:val="006F2163"/>
    <w:rsid w:val="00747575"/>
    <w:rsid w:val="00813189"/>
    <w:rsid w:val="008222A0"/>
    <w:rsid w:val="008338A4"/>
    <w:rsid w:val="00836D47"/>
    <w:rsid w:val="0087748B"/>
    <w:rsid w:val="00967557"/>
    <w:rsid w:val="00993561"/>
    <w:rsid w:val="009B4EA7"/>
    <w:rsid w:val="009B57EC"/>
    <w:rsid w:val="009B6B9C"/>
    <w:rsid w:val="009C794D"/>
    <w:rsid w:val="00A408D7"/>
    <w:rsid w:val="00AC6273"/>
    <w:rsid w:val="00B22006"/>
    <w:rsid w:val="00C336E8"/>
    <w:rsid w:val="00C8251E"/>
    <w:rsid w:val="00DA1B68"/>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254</Value>
      <Value>5</Value>
      <Value>33</Value>
      <Value>6</Value>
      <Value>345</Value>
      <Value>54</Value>
    </TaxCatchAll>
    <_dlc_DocId xmlns="d0fb0f98-34f9-4d57-9559-eb8efd17aa5e">ESMA34-1270380148-1033</_dlc_DocId>
    <_dlc_DocIdUrl xmlns="d0fb0f98-34f9-4d57-9559-eb8efd17aa5e">
      <Url>https://securitiesandmarketsauth.sharepoint.com/sites/sherpa-ivm/_layouts/15/DocIdRedir.aspx?ID=ESMA34-1270380148-1033</Url>
      <Description>ESMA34-1270380148-1033</Description>
    </_dlc_DocIdUrl>
    <_dlc_DocIdPersistId xmlns="d0fb0f98-34f9-4d57-9559-eb8efd17aa5e" xsi:nil="true"/>
    <MeetingDate xmlns="d0fb0f98-34f9-4d57-9559-eb8efd17aa5e" xsi:nil="true"/>
    <Year xmlns="d0fb0f98-34f9-4d57-9559-eb8efd17aa5e">2023</Year>
    <SharedWithUsers xmlns="d0fb0f98-34f9-4d57-9559-eb8efd17aa5e">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k9db3a09612944c49e649e0ff38a506b>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oa4fe03ffd8943c1880fe290404e8de7>
  </documentManagement>
</p:properties>
</file>

<file path=customXml/itemProps1.xml><?xml version="1.0" encoding="utf-8"?>
<ds:datastoreItem xmlns:ds="http://schemas.openxmlformats.org/officeDocument/2006/customXml" ds:itemID="{DC48F54A-A86B-41B6-A72A-7F928FC2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9060</Words>
  <Characters>52011</Characters>
  <Application>Microsoft Office Word</Application>
  <DocSecurity>8</DocSecurity>
  <Lines>866</Lines>
  <Paragraphs>254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Michael Bommer</cp:lastModifiedBy>
  <cp:revision>3</cp:revision>
  <cp:lastPrinted>2023-09-09T09:53:00Z</cp:lastPrinted>
  <dcterms:created xsi:type="dcterms:W3CDTF">2024-08-07T14:08:00Z</dcterms:created>
  <dcterms:modified xsi:type="dcterms:W3CDTF">2024-08-07T14:09:00Z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8f87ab28-9cc0-4a5f-bef3-0462a96fe99e</vt:lpwstr>
  </property>
  <property fmtid="{D5CDD505-2E9C-101B-9397-08002B2CF9AE}" pid="8" name="EsmaAudience">
    <vt:lpwstr>345;#Post-Trading Standing Committee|b4466ad1-2610-4bb4-b77e-13cd08e75663</vt:lpwstr>
  </property>
  <property fmtid="{D5CDD505-2E9C-101B-9397-08002B2CF9AE}" pid="9" name="Topic">
    <vt:lpwstr>254</vt:lpwstr>
  </property>
  <property fmtid="{D5CDD505-2E9C-101B-9397-08002B2CF9AE}" pid="10" name="ConfidentialityLevel">
    <vt:lpwstr>6;#Regular|07f1e362-856b-423d-bea6-a14079762141</vt:lpwstr>
  </property>
  <property fmtid="{D5CDD505-2E9C-101B-9397-08002B2CF9AE}" pid="11" name="DocumentType">
    <vt:lpwstr>54;#Call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5</vt:lpwstr>
  </property>
  <property fmtid="{D5CDD505-2E9C-101B-9397-08002B2CF9AE}" pid="15" name="SubTopic">
    <vt:lpwstr>323;#CSDR General - T + 1|a5a376d4-84eb-4354-ab81-b0766b380093</vt:lpwstr>
  </property>
  <property fmtid="{D5CDD505-2E9C-101B-9397-08002B2CF9AE}" pid="16" name="TeamTopic">
    <vt:lpwstr>33;#UCITS|a853cb80-aed9-44bd-ac2a-0e80b5a444d7</vt:lpwstr>
  </property>
</Properties>
</file>