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AC959" w14:textId="7FC9DA19" w:rsidR="001D0FB9" w:rsidRPr="00B93B88" w:rsidRDefault="001D0FB9" w:rsidP="00B93B88">
      <w:pPr>
        <w:pStyle w:val="Bodytext"/>
        <w:jc w:val="right"/>
        <w:rPr>
          <w:rFonts w:eastAsia="Times New Roman" w:cs="Arial"/>
          <w:color w:val="7F7F7F" w:themeColor="text1" w:themeTint="80"/>
          <w:szCs w:val="20"/>
          <w:lang w:eastAsia="en-GB"/>
        </w:rPr>
      </w:pPr>
      <w:r w:rsidRPr="009E7D8E">
        <w:rPr>
          <w:rFonts w:eastAsia="Times New Roman" w:cs="Arial"/>
          <w:color w:val="7F7F7F" w:themeColor="text1" w:themeTint="80"/>
          <w:szCs w:val="20"/>
          <w:lang w:eastAsia="en-GB"/>
        </w:rPr>
        <w:t xml:space="preserve">London, </w:t>
      </w:r>
      <w:r w:rsidR="00FB1888">
        <w:rPr>
          <w:rFonts w:eastAsia="Times New Roman" w:cs="Arial"/>
          <w:color w:val="7F7F7F" w:themeColor="text1" w:themeTint="80"/>
          <w:szCs w:val="20"/>
          <w:lang w:eastAsia="en-GB"/>
        </w:rPr>
        <w:t>31</w:t>
      </w:r>
      <w:r w:rsidR="009837E0">
        <w:rPr>
          <w:rFonts w:eastAsia="Times New Roman" w:cs="Arial"/>
          <w:color w:val="7F7F7F" w:themeColor="text1" w:themeTint="80"/>
          <w:szCs w:val="20"/>
          <w:lang w:eastAsia="en-GB"/>
        </w:rPr>
        <w:t xml:space="preserve"> </w:t>
      </w:r>
      <w:r w:rsidR="00FB1888">
        <w:rPr>
          <w:rFonts w:eastAsia="Times New Roman" w:cs="Arial"/>
          <w:color w:val="7F7F7F" w:themeColor="text1" w:themeTint="80"/>
          <w:szCs w:val="20"/>
          <w:lang w:eastAsia="en-GB"/>
        </w:rPr>
        <w:t>July</w:t>
      </w:r>
      <w:r w:rsidRPr="009E7D8E">
        <w:rPr>
          <w:rFonts w:eastAsia="Times New Roman" w:cs="Arial"/>
          <w:color w:val="7F7F7F" w:themeColor="text1" w:themeTint="80"/>
          <w:szCs w:val="20"/>
          <w:lang w:eastAsia="en-GB"/>
        </w:rPr>
        <w:t xml:space="preserve"> 202</w:t>
      </w:r>
      <w:r w:rsidR="00EA53C2">
        <w:rPr>
          <w:rFonts w:eastAsia="Times New Roman" w:cs="Arial"/>
          <w:color w:val="7F7F7F" w:themeColor="text1" w:themeTint="80"/>
          <w:szCs w:val="20"/>
          <w:lang w:eastAsia="en-GB"/>
        </w:rPr>
        <w:t>4</w:t>
      </w:r>
      <w:r w:rsidR="00B93B88">
        <w:rPr>
          <w:rFonts w:eastAsia="Times New Roman" w:cs="Arial"/>
          <w:color w:val="7F7F7F" w:themeColor="text1" w:themeTint="80"/>
          <w:szCs w:val="20"/>
          <w:lang w:eastAsia="en-GB"/>
        </w:rPr>
        <w:br/>
      </w:r>
      <w:r w:rsidR="00B93B88">
        <w:rPr>
          <w:rFonts w:eastAsia="Times New Roman" w:cs="Arial"/>
          <w:color w:val="7F7F7F" w:themeColor="text1" w:themeTint="80"/>
          <w:szCs w:val="20"/>
          <w:lang w:eastAsia="en-GB"/>
        </w:rPr>
        <w:br/>
      </w:r>
    </w:p>
    <w:p w14:paraId="05CB31BA" w14:textId="6F4631F3" w:rsidR="001D0FB9" w:rsidRPr="00FB1888" w:rsidRDefault="001D0FB9" w:rsidP="00FB1888">
      <w:pPr>
        <w:rPr>
          <w:rFonts w:ascii="Arial" w:hAnsi="Arial" w:cs="Arial"/>
          <w:color w:val="555555"/>
          <w:sz w:val="36"/>
          <w:szCs w:val="36"/>
        </w:rPr>
      </w:pPr>
      <w:r w:rsidRPr="009E7D8E">
        <w:rPr>
          <w:rFonts w:ascii="Arial" w:hAnsi="Arial" w:cs="Arial"/>
          <w:color w:val="555555"/>
          <w:sz w:val="36"/>
          <w:szCs w:val="36"/>
        </w:rPr>
        <w:t xml:space="preserve">Response to </w:t>
      </w:r>
      <w:r w:rsidR="003E26DD">
        <w:rPr>
          <w:rFonts w:ascii="Arial" w:hAnsi="Arial" w:cs="Arial"/>
          <w:color w:val="555555"/>
          <w:sz w:val="36"/>
          <w:szCs w:val="36"/>
        </w:rPr>
        <w:t xml:space="preserve">the </w:t>
      </w:r>
      <w:r w:rsidR="00FB1888">
        <w:rPr>
          <w:rFonts w:ascii="Arial" w:hAnsi="Arial" w:cs="Arial"/>
          <w:color w:val="555555"/>
          <w:sz w:val="36"/>
          <w:szCs w:val="36"/>
        </w:rPr>
        <w:t>Call for Evidence</w:t>
      </w:r>
      <w:r w:rsidR="003E26DD">
        <w:rPr>
          <w:rFonts w:ascii="Arial" w:hAnsi="Arial" w:cs="Arial"/>
          <w:color w:val="555555"/>
          <w:sz w:val="36"/>
          <w:szCs w:val="36"/>
        </w:rPr>
        <w:t xml:space="preserve"> o</w:t>
      </w:r>
      <w:r w:rsidR="00FB1888" w:rsidRPr="00FB1888">
        <w:rPr>
          <w:rFonts w:ascii="Arial" w:hAnsi="Arial" w:cs="Arial"/>
          <w:color w:val="555555"/>
          <w:sz w:val="36"/>
          <w:szCs w:val="36"/>
        </w:rPr>
        <w:t>n the review of the UCITS Eligible Assets Directive</w:t>
      </w:r>
    </w:p>
    <w:p w14:paraId="5F3F709B" w14:textId="0600DBCA" w:rsidR="001D0FB9" w:rsidRPr="00EA53C2" w:rsidRDefault="001D0FB9" w:rsidP="001D0FB9">
      <w:pPr>
        <w:jc w:val="both"/>
        <w:rPr>
          <w:rFonts w:ascii="Arial" w:eastAsia="Times New Roman" w:hAnsi="Arial" w:cs="Arial"/>
          <w:color w:val="000000"/>
          <w:lang w:eastAsia="en-GB"/>
        </w:rPr>
      </w:pPr>
      <w:r w:rsidRPr="00EA53C2">
        <w:rPr>
          <w:rFonts w:ascii="Arial" w:eastAsia="Times New Roman" w:hAnsi="Arial" w:cs="Arial"/>
          <w:color w:val="000000"/>
          <w:lang w:eastAsia="en-GB"/>
        </w:rPr>
        <w:t xml:space="preserve">The World Gold Council welcomes the opportunity to comment </w:t>
      </w:r>
      <w:r w:rsidR="000C5BD8">
        <w:rPr>
          <w:rFonts w:ascii="Arial" w:eastAsia="Times New Roman" w:hAnsi="Arial" w:cs="Arial"/>
          <w:color w:val="000000"/>
          <w:lang w:eastAsia="en-GB"/>
        </w:rPr>
        <w:t>to the Call for Evidence</w:t>
      </w:r>
      <w:r w:rsidR="003E26DD">
        <w:rPr>
          <w:rFonts w:ascii="Arial" w:eastAsia="Times New Roman" w:hAnsi="Arial" w:cs="Arial"/>
          <w:color w:val="000000"/>
          <w:lang w:eastAsia="en-GB"/>
        </w:rPr>
        <w:t xml:space="preserve"> </w:t>
      </w:r>
      <w:r w:rsidR="000C5BD8">
        <w:rPr>
          <w:rFonts w:ascii="Arial" w:eastAsia="Times New Roman" w:hAnsi="Arial" w:cs="Arial"/>
          <w:color w:val="000000"/>
          <w:lang w:eastAsia="en-GB"/>
        </w:rPr>
        <w:t>o</w:t>
      </w:r>
      <w:r w:rsidR="00FB1888" w:rsidRPr="00FB1888">
        <w:rPr>
          <w:rFonts w:ascii="Arial" w:eastAsia="Times New Roman" w:hAnsi="Arial" w:cs="Arial"/>
          <w:color w:val="000000"/>
          <w:lang w:eastAsia="en-GB"/>
        </w:rPr>
        <w:t>n the review of the UCITS Eligible Assets Directive</w:t>
      </w:r>
      <w:r w:rsidR="00EA53C2" w:rsidRPr="00EA53C2">
        <w:rPr>
          <w:rFonts w:ascii="Arial" w:eastAsia="Times New Roman" w:hAnsi="Arial" w:cs="Arial"/>
          <w:color w:val="000000"/>
          <w:lang w:eastAsia="en-GB"/>
        </w:rPr>
        <w:t>’</w:t>
      </w:r>
      <w:r w:rsidRPr="00EA53C2">
        <w:rPr>
          <w:rFonts w:ascii="Arial" w:eastAsia="Times New Roman" w:hAnsi="Arial" w:cs="Arial"/>
          <w:color w:val="000000"/>
          <w:lang w:eastAsia="en-GB"/>
        </w:rPr>
        <w:t>.</w:t>
      </w:r>
    </w:p>
    <w:p w14:paraId="1FCFC174" w14:textId="77777777" w:rsidR="001D0FB9" w:rsidRPr="003C1F46" w:rsidRDefault="001D0FB9" w:rsidP="001D0FB9">
      <w:pPr>
        <w:jc w:val="both"/>
        <w:rPr>
          <w:rFonts w:ascii="Arial" w:eastAsia="Times New Roman" w:hAnsi="Arial" w:cs="Arial"/>
          <w:b/>
          <w:bCs/>
          <w:color w:val="000000"/>
          <w:lang w:eastAsia="en-GB"/>
        </w:rPr>
      </w:pPr>
      <w:r w:rsidRPr="003C1F46">
        <w:rPr>
          <w:rFonts w:ascii="Arial" w:eastAsia="Times New Roman" w:hAnsi="Arial" w:cs="Arial"/>
          <w:b/>
          <w:bCs/>
          <w:color w:val="000000"/>
          <w:lang w:eastAsia="en-GB"/>
        </w:rPr>
        <w:t>About the World Gold Council</w:t>
      </w:r>
    </w:p>
    <w:p w14:paraId="003D3C23" w14:textId="77777777" w:rsidR="001D0FB9" w:rsidRPr="003C1F46" w:rsidRDefault="001D0FB9" w:rsidP="001D0FB9">
      <w:pPr>
        <w:jc w:val="both"/>
        <w:rPr>
          <w:rFonts w:ascii="Arial" w:eastAsia="Times New Roman" w:hAnsi="Arial" w:cs="Arial"/>
          <w:color w:val="000000"/>
          <w:lang w:eastAsia="en-GB"/>
        </w:rPr>
      </w:pPr>
      <w:r w:rsidRPr="003C1F46">
        <w:rPr>
          <w:rFonts w:ascii="Arial" w:eastAsia="Times New Roman" w:hAnsi="Arial" w:cs="Arial"/>
          <w:color w:val="000000"/>
          <w:lang w:eastAsia="en-GB"/>
        </w:rPr>
        <w:t>The World Gold Council is dedicated to ensuring that gold remains an integral part of the global economy.</w:t>
      </w:r>
    </w:p>
    <w:p w14:paraId="4838B8A5" w14:textId="1E25FCFE" w:rsidR="001D0FB9" w:rsidRPr="003C1F46" w:rsidRDefault="001D0FB9" w:rsidP="001D0FB9">
      <w:pPr>
        <w:jc w:val="both"/>
        <w:rPr>
          <w:rFonts w:ascii="Arial" w:eastAsia="Times New Roman" w:hAnsi="Arial" w:cs="Arial"/>
          <w:color w:val="000000"/>
          <w:lang w:eastAsia="en-GB"/>
        </w:rPr>
      </w:pPr>
      <w:r w:rsidRPr="003C1F46">
        <w:rPr>
          <w:rFonts w:ascii="Arial" w:eastAsia="Times New Roman" w:hAnsi="Arial" w:cs="Arial"/>
          <w:color w:val="000000"/>
          <w:lang w:eastAsia="en-GB"/>
        </w:rPr>
        <w:t>We are an association whose 3</w:t>
      </w:r>
      <w:r w:rsidR="00016C42">
        <w:rPr>
          <w:rFonts w:ascii="Arial" w:eastAsia="Times New Roman" w:hAnsi="Arial" w:cs="Arial"/>
          <w:color w:val="000000"/>
          <w:lang w:eastAsia="en-GB"/>
        </w:rPr>
        <w:t>2</w:t>
      </w:r>
      <w:r w:rsidRPr="003C1F46">
        <w:rPr>
          <w:rFonts w:ascii="Arial" w:eastAsia="Times New Roman" w:hAnsi="Arial" w:cs="Arial"/>
          <w:color w:val="000000"/>
          <w:lang w:eastAsia="en-GB"/>
        </w:rPr>
        <w:t xml:space="preserve"> members are the world’s leading gold mining companies with operations in over 45 countries, and our initiatives impact every aspect of the gold industry. We aim at:</w:t>
      </w:r>
    </w:p>
    <w:p w14:paraId="4310790B" w14:textId="77777777" w:rsidR="001D0FB9" w:rsidRPr="00EA53C2" w:rsidRDefault="001D0FB9" w:rsidP="001D0FB9">
      <w:pPr>
        <w:pStyle w:val="ListParagraph"/>
        <w:numPr>
          <w:ilvl w:val="0"/>
          <w:numId w:val="2"/>
        </w:numPr>
        <w:spacing w:after="0" w:line="240" w:lineRule="auto"/>
        <w:jc w:val="both"/>
        <w:rPr>
          <w:rFonts w:ascii="Arial" w:eastAsia="Times New Roman" w:hAnsi="Arial" w:cs="Arial"/>
          <w:color w:val="000000"/>
          <w:lang w:eastAsia="en-GB"/>
        </w:rPr>
      </w:pPr>
      <w:r w:rsidRPr="00EA53C2">
        <w:rPr>
          <w:rFonts w:ascii="Arial" w:eastAsia="Times New Roman" w:hAnsi="Arial" w:cs="Arial"/>
          <w:color w:val="000000"/>
          <w:lang w:eastAsia="en-GB"/>
        </w:rPr>
        <w:t>Improving access to gold by tackling regulatory and infrastructure barriers to gold investment</w:t>
      </w:r>
    </w:p>
    <w:p w14:paraId="6A0080D2" w14:textId="77777777" w:rsidR="001D0FB9" w:rsidRPr="00EA53C2" w:rsidRDefault="001D0FB9" w:rsidP="001D0FB9">
      <w:pPr>
        <w:pStyle w:val="ListParagraph"/>
        <w:numPr>
          <w:ilvl w:val="0"/>
          <w:numId w:val="2"/>
        </w:numPr>
        <w:spacing w:after="0" w:line="240" w:lineRule="auto"/>
        <w:jc w:val="both"/>
        <w:rPr>
          <w:rFonts w:ascii="Arial" w:eastAsia="Times New Roman" w:hAnsi="Arial" w:cs="Arial"/>
          <w:color w:val="000000"/>
          <w:lang w:eastAsia="en-GB"/>
        </w:rPr>
      </w:pPr>
      <w:r w:rsidRPr="00EA53C2">
        <w:rPr>
          <w:rFonts w:ascii="Arial" w:eastAsia="Times New Roman" w:hAnsi="Arial" w:cs="Arial"/>
          <w:color w:val="000000"/>
          <w:lang w:eastAsia="en-GB"/>
        </w:rPr>
        <w:t>Improving understanding of the gold market and the role of gold as an investment asset</w:t>
      </w:r>
    </w:p>
    <w:p w14:paraId="305AF2B9" w14:textId="37292C3C" w:rsidR="001D0FB9" w:rsidRPr="00EA53C2" w:rsidRDefault="001D0FB9" w:rsidP="00EA53C2">
      <w:pPr>
        <w:pStyle w:val="ListParagraph"/>
        <w:numPr>
          <w:ilvl w:val="0"/>
          <w:numId w:val="2"/>
        </w:numPr>
        <w:spacing w:line="240" w:lineRule="auto"/>
        <w:ind w:left="714" w:hanging="357"/>
        <w:jc w:val="both"/>
        <w:rPr>
          <w:rFonts w:ascii="Arial" w:eastAsia="Times New Roman" w:hAnsi="Arial" w:cs="Arial"/>
          <w:color w:val="000000"/>
          <w:lang w:eastAsia="en-GB"/>
        </w:rPr>
      </w:pPr>
      <w:r w:rsidRPr="00EA53C2">
        <w:rPr>
          <w:rFonts w:ascii="Arial" w:eastAsia="Times New Roman" w:hAnsi="Arial" w:cs="Arial"/>
          <w:color w:val="000000"/>
          <w:lang w:eastAsia="en-GB"/>
        </w:rPr>
        <w:t>Developing industry standards and improving integrity and trust in gold.</w:t>
      </w:r>
    </w:p>
    <w:p w14:paraId="278AD439" w14:textId="77777777" w:rsidR="001D0FB9" w:rsidRPr="003C1F46" w:rsidRDefault="001D0FB9" w:rsidP="001D0FB9">
      <w:pPr>
        <w:jc w:val="both"/>
        <w:rPr>
          <w:rFonts w:ascii="Arial" w:eastAsia="Times New Roman" w:hAnsi="Arial" w:cs="Arial"/>
          <w:color w:val="000000"/>
          <w:lang w:eastAsia="en-GB"/>
        </w:rPr>
      </w:pPr>
      <w:r w:rsidRPr="003C1F46">
        <w:rPr>
          <w:rFonts w:ascii="Arial" w:eastAsia="Times New Roman" w:hAnsi="Arial" w:cs="Arial"/>
          <w:color w:val="000000"/>
          <w:lang w:eastAsia="en-GB"/>
        </w:rPr>
        <w:t xml:space="preserve">Since we were founded in 1987, the structure and size of the gold industry has changed dramatically. The gold market has almost doubled in size and grown seven-fold in value. Today, gold is increasingly recognised as a mainstream asset that meaningfully contributes to prosperity, financial market stability, and </w:t>
      </w:r>
      <w:proofErr w:type="gramStart"/>
      <w:r w:rsidRPr="003C1F46">
        <w:rPr>
          <w:rFonts w:ascii="Arial" w:eastAsia="Times New Roman" w:hAnsi="Arial" w:cs="Arial"/>
          <w:color w:val="000000"/>
          <w:lang w:eastAsia="en-GB"/>
        </w:rPr>
        <w:t>society as a whole</w:t>
      </w:r>
      <w:proofErr w:type="gramEnd"/>
      <w:r w:rsidRPr="003C1F46">
        <w:rPr>
          <w:rFonts w:ascii="Arial" w:eastAsia="Times New Roman" w:hAnsi="Arial" w:cs="Arial"/>
          <w:color w:val="000000"/>
          <w:lang w:eastAsia="en-GB"/>
        </w:rPr>
        <w:t xml:space="preserve">. </w:t>
      </w:r>
    </w:p>
    <w:p w14:paraId="13FC6673" w14:textId="707C49D7" w:rsidR="001D0FB9" w:rsidRPr="003C1F46" w:rsidRDefault="001D0FB9" w:rsidP="001D0FB9">
      <w:pPr>
        <w:jc w:val="both"/>
        <w:rPr>
          <w:rFonts w:ascii="Arial" w:eastAsia="Times New Roman" w:hAnsi="Arial" w:cs="Arial"/>
          <w:color w:val="000000"/>
          <w:lang w:eastAsia="en-GB"/>
        </w:rPr>
      </w:pPr>
      <w:r w:rsidRPr="003C1F46">
        <w:rPr>
          <w:rFonts w:ascii="Arial" w:eastAsia="Times New Roman" w:hAnsi="Arial" w:cs="Arial"/>
          <w:color w:val="000000"/>
          <w:lang w:eastAsia="en-GB"/>
        </w:rPr>
        <w:t>The World Gold Council’s ambition is to further the digital transformation of the global gold market to meet the expectations of today’s consumers, investors, and the financial services community. The tokenisation of gold and digitalisation of trading and supply management processes is essential to the modernisation of the market.</w:t>
      </w:r>
    </w:p>
    <w:p w14:paraId="54F31827" w14:textId="77777777" w:rsidR="001D0FB9" w:rsidRPr="003C1F46" w:rsidRDefault="001D0FB9" w:rsidP="001D0FB9">
      <w:pPr>
        <w:jc w:val="both"/>
        <w:rPr>
          <w:rFonts w:ascii="Arial" w:eastAsia="Times New Roman" w:hAnsi="Arial" w:cs="Arial"/>
          <w:color w:val="000000"/>
          <w:lang w:eastAsia="en-GB"/>
        </w:rPr>
      </w:pPr>
      <w:r w:rsidRPr="003C1F46">
        <w:rPr>
          <w:rFonts w:ascii="Arial" w:eastAsia="Times New Roman" w:hAnsi="Arial" w:cs="Arial"/>
          <w:color w:val="000000"/>
          <w:lang w:eastAsia="en-GB"/>
        </w:rPr>
        <w:t>The World Gold Council is a Partner Member of the Financial Markets Standards Board (FMSB) in the United Kingdom, and our CEO, David Tait, chairs its Precious Metals Working Group.</w:t>
      </w:r>
    </w:p>
    <w:p w14:paraId="0CF269DC" w14:textId="77777777" w:rsidR="001D0FB9" w:rsidRPr="003C1F46" w:rsidRDefault="001D0FB9" w:rsidP="001D0FB9">
      <w:pPr>
        <w:jc w:val="both"/>
        <w:rPr>
          <w:rFonts w:ascii="Arial" w:eastAsia="Times New Roman" w:hAnsi="Arial" w:cs="Arial"/>
          <w:b/>
          <w:bCs/>
          <w:color w:val="000000"/>
          <w:lang w:eastAsia="en-GB"/>
        </w:rPr>
      </w:pPr>
      <w:r w:rsidRPr="003C1F46">
        <w:rPr>
          <w:rFonts w:ascii="Arial" w:eastAsia="Times New Roman" w:hAnsi="Arial" w:cs="Arial"/>
          <w:b/>
          <w:bCs/>
          <w:color w:val="000000"/>
          <w:lang w:eastAsia="en-GB"/>
        </w:rPr>
        <w:t>Gold as an asset class</w:t>
      </w:r>
    </w:p>
    <w:p w14:paraId="4AD3E0A8" w14:textId="725784E1" w:rsidR="001D0FB9" w:rsidRDefault="001D0FB9" w:rsidP="001D0FB9">
      <w:pPr>
        <w:jc w:val="both"/>
        <w:rPr>
          <w:rFonts w:ascii="Arial" w:eastAsia="Times New Roman" w:hAnsi="Arial" w:cs="Arial"/>
          <w:color w:val="000000"/>
          <w:lang w:eastAsia="en-GB"/>
        </w:rPr>
      </w:pPr>
      <w:r w:rsidRPr="003C1F46">
        <w:rPr>
          <w:rFonts w:ascii="Arial" w:eastAsia="Times New Roman" w:hAnsi="Arial" w:cs="Arial"/>
          <w:color w:val="000000"/>
          <w:lang w:eastAsia="en-GB"/>
        </w:rPr>
        <w:t xml:space="preserve">Gold has unique properties and is an essential investment for many individual and institutional investors. Private investments in gold account for </w:t>
      </w:r>
      <w:r w:rsidR="009F498E">
        <w:rPr>
          <w:rFonts w:ascii="Arial" w:eastAsia="Times New Roman" w:hAnsi="Arial" w:cs="Arial"/>
          <w:color w:val="000000"/>
          <w:lang w:eastAsia="en-GB"/>
        </w:rPr>
        <w:t>more than</w:t>
      </w:r>
      <w:r w:rsidRPr="003C1F46">
        <w:rPr>
          <w:rFonts w:ascii="Arial" w:eastAsia="Times New Roman" w:hAnsi="Arial" w:cs="Arial"/>
          <w:color w:val="000000"/>
          <w:lang w:eastAsia="en-GB"/>
        </w:rPr>
        <w:t xml:space="preserve"> US$ 3</w:t>
      </w:r>
      <w:r w:rsidR="009F498E">
        <w:rPr>
          <w:rFonts w:ascii="Arial" w:eastAsia="Times New Roman" w:hAnsi="Arial" w:cs="Arial"/>
          <w:color w:val="000000"/>
          <w:lang w:eastAsia="en-GB"/>
        </w:rPr>
        <w:t>.5</w:t>
      </w:r>
      <w:r w:rsidRPr="003C1F46">
        <w:rPr>
          <w:rFonts w:ascii="Arial" w:eastAsia="Times New Roman" w:hAnsi="Arial" w:cs="Arial"/>
          <w:color w:val="000000"/>
          <w:lang w:eastAsia="en-GB"/>
        </w:rPr>
        <w:t xml:space="preserve"> trillion in holdings, and </w:t>
      </w:r>
      <w:r w:rsidR="00AA6A94">
        <w:rPr>
          <w:rFonts w:ascii="Arial" w:eastAsia="Times New Roman" w:hAnsi="Arial" w:cs="Arial"/>
          <w:color w:val="000000"/>
          <w:lang w:eastAsia="en-GB"/>
        </w:rPr>
        <w:t>nearly</w:t>
      </w:r>
      <w:r w:rsidRPr="003C1F46">
        <w:rPr>
          <w:rFonts w:ascii="Arial" w:eastAsia="Times New Roman" w:hAnsi="Arial" w:cs="Arial"/>
          <w:color w:val="000000"/>
          <w:lang w:eastAsia="en-GB"/>
        </w:rPr>
        <w:t xml:space="preserve"> US$ </w:t>
      </w:r>
      <w:r w:rsidR="00AA6A94">
        <w:rPr>
          <w:rFonts w:ascii="Arial" w:eastAsia="Times New Roman" w:hAnsi="Arial" w:cs="Arial"/>
          <w:color w:val="000000"/>
          <w:lang w:eastAsia="en-GB"/>
        </w:rPr>
        <w:t>3</w:t>
      </w:r>
      <w:r w:rsidRPr="003C1F46">
        <w:rPr>
          <w:rFonts w:ascii="Arial" w:eastAsia="Times New Roman" w:hAnsi="Arial" w:cs="Arial"/>
          <w:color w:val="000000"/>
          <w:lang w:eastAsia="en-GB"/>
        </w:rPr>
        <w:t xml:space="preserve"> trillion are held in gold reserves by central banks around the world.</w:t>
      </w:r>
      <w:r w:rsidRPr="003C1F46">
        <w:rPr>
          <w:rStyle w:val="FootnoteReference"/>
          <w:rFonts w:eastAsia="Times New Roman" w:cs="Arial"/>
          <w:color w:val="000000"/>
          <w:lang w:eastAsia="en-GB"/>
        </w:rPr>
        <w:footnoteReference w:id="2"/>
      </w:r>
      <w:r w:rsidRPr="003C1F46">
        <w:rPr>
          <w:rFonts w:ascii="Arial" w:eastAsia="Times New Roman" w:hAnsi="Arial" w:cs="Arial"/>
          <w:color w:val="000000"/>
          <w:lang w:eastAsia="en-GB"/>
        </w:rPr>
        <w:t xml:space="preserve"> In today’s environment, gold has an increasingly relevant role to play in helping investors navigate an evolving landscape of risk and uncertainty and, ultimately, protecting savers.</w:t>
      </w:r>
    </w:p>
    <w:p w14:paraId="0290FAAF" w14:textId="0E4FAA10" w:rsidR="00C14858" w:rsidRPr="00C14858" w:rsidRDefault="00C14858" w:rsidP="00C14858">
      <w:pPr>
        <w:jc w:val="both"/>
        <w:rPr>
          <w:rFonts w:ascii="Arial" w:eastAsia="Times New Roman" w:hAnsi="Arial" w:cs="Arial"/>
          <w:color w:val="000000"/>
          <w:lang w:eastAsia="en-GB"/>
        </w:rPr>
      </w:pPr>
      <w:r w:rsidRPr="00C14858">
        <w:rPr>
          <w:rFonts w:ascii="Arial" w:eastAsia="Times New Roman" w:hAnsi="Arial" w:cs="Arial"/>
          <w:color w:val="000000"/>
          <w:lang w:eastAsia="en-GB"/>
        </w:rPr>
        <w:t xml:space="preserve">Annual private investment demand for gold – including bars, coins, but also </w:t>
      </w:r>
      <w:r w:rsidR="00053D3E">
        <w:rPr>
          <w:rFonts w:ascii="Arial" w:eastAsia="Times New Roman" w:hAnsi="Arial" w:cs="Arial"/>
          <w:color w:val="000000"/>
          <w:lang w:eastAsia="en-GB"/>
        </w:rPr>
        <w:t xml:space="preserve">exchange traded instruments </w:t>
      </w:r>
      <w:r w:rsidRPr="00C14858">
        <w:rPr>
          <w:rFonts w:ascii="Arial" w:eastAsia="Times New Roman" w:hAnsi="Arial" w:cs="Arial"/>
          <w:color w:val="000000"/>
          <w:lang w:eastAsia="en-GB"/>
        </w:rPr>
        <w:t xml:space="preserve">stands at </w:t>
      </w:r>
      <w:r w:rsidR="00AA6A94">
        <w:rPr>
          <w:rFonts w:ascii="Arial" w:eastAsia="Times New Roman" w:hAnsi="Arial" w:cs="Arial"/>
          <w:color w:val="000000"/>
          <w:lang w:eastAsia="en-GB"/>
        </w:rPr>
        <w:t>about</w:t>
      </w:r>
      <w:r w:rsidRPr="00C14858">
        <w:rPr>
          <w:rFonts w:ascii="Arial" w:eastAsia="Times New Roman" w:hAnsi="Arial" w:cs="Arial"/>
          <w:color w:val="000000"/>
          <w:lang w:eastAsia="en-GB"/>
        </w:rPr>
        <w:t xml:space="preserve"> US$ 60 billion. About 45% of global retail investors have already invested in gold and additional 38% are considering investing in gold.</w:t>
      </w:r>
    </w:p>
    <w:p w14:paraId="516B2B89" w14:textId="25647468" w:rsidR="00C14858" w:rsidRDefault="00053D3E" w:rsidP="00053D3E">
      <w:pPr>
        <w:jc w:val="both"/>
        <w:rPr>
          <w:rFonts w:ascii="Arial" w:eastAsia="Times New Roman" w:hAnsi="Arial" w:cs="Arial"/>
          <w:color w:val="000000"/>
          <w:lang w:eastAsia="en-GB"/>
        </w:rPr>
      </w:pPr>
      <w:r>
        <w:rPr>
          <w:rFonts w:ascii="Arial" w:eastAsia="Times New Roman" w:hAnsi="Arial" w:cs="Arial"/>
          <w:color w:val="000000"/>
          <w:lang w:eastAsia="en-GB"/>
        </w:rPr>
        <w:t xml:space="preserve">In recent years, various </w:t>
      </w:r>
      <w:proofErr w:type="gramStart"/>
      <w:r>
        <w:rPr>
          <w:rFonts w:ascii="Arial" w:eastAsia="Times New Roman" w:hAnsi="Arial" w:cs="Arial"/>
          <w:color w:val="000000"/>
          <w:lang w:eastAsia="en-GB"/>
        </w:rPr>
        <w:t>crypto-assets</w:t>
      </w:r>
      <w:proofErr w:type="gramEnd"/>
      <w:r>
        <w:rPr>
          <w:rFonts w:ascii="Arial" w:eastAsia="Times New Roman" w:hAnsi="Arial" w:cs="Arial"/>
          <w:color w:val="000000"/>
          <w:lang w:eastAsia="en-GB"/>
        </w:rPr>
        <w:t xml:space="preserve"> entirely backed by gold were launched. Examples of such tokens are</w:t>
      </w:r>
      <w:r w:rsidR="00C14858" w:rsidRPr="00C14858">
        <w:rPr>
          <w:rFonts w:ascii="Arial" w:eastAsia="Times New Roman" w:hAnsi="Arial" w:cs="Arial"/>
          <w:color w:val="000000"/>
          <w:lang w:eastAsia="en-GB"/>
        </w:rPr>
        <w:t xml:space="preserve"> Pax Gold</w:t>
      </w:r>
      <w:r w:rsidR="00C14858" w:rsidRPr="00C14858">
        <w:rPr>
          <w:rFonts w:ascii="Arial" w:eastAsia="Times New Roman" w:hAnsi="Arial" w:cs="Arial"/>
          <w:color w:val="000000"/>
          <w:vertAlign w:val="superscript"/>
          <w:lang w:eastAsia="en-GB"/>
        </w:rPr>
        <w:footnoteReference w:id="3"/>
      </w:r>
      <w:r w:rsidR="00C14858" w:rsidRPr="00C14858">
        <w:rPr>
          <w:rFonts w:ascii="Arial" w:eastAsia="Times New Roman" w:hAnsi="Arial" w:cs="Arial"/>
          <w:color w:val="000000"/>
          <w:lang w:eastAsia="en-GB"/>
        </w:rPr>
        <w:t>, DGLD</w:t>
      </w:r>
      <w:r w:rsidR="00C14858" w:rsidRPr="00C14858">
        <w:rPr>
          <w:rFonts w:ascii="Arial" w:eastAsia="Times New Roman" w:hAnsi="Arial" w:cs="Arial"/>
          <w:color w:val="000000"/>
          <w:vertAlign w:val="superscript"/>
          <w:lang w:eastAsia="en-GB"/>
        </w:rPr>
        <w:footnoteReference w:id="4"/>
      </w:r>
      <w:r w:rsidR="00C14858" w:rsidRPr="00C14858">
        <w:rPr>
          <w:rFonts w:ascii="Arial" w:eastAsia="Times New Roman" w:hAnsi="Arial" w:cs="Arial"/>
          <w:color w:val="000000"/>
          <w:lang w:eastAsia="en-GB"/>
        </w:rPr>
        <w:t>, VNX GOLD</w:t>
      </w:r>
      <w:r w:rsidR="00C14858" w:rsidRPr="00C14858">
        <w:rPr>
          <w:rFonts w:ascii="Arial" w:eastAsia="Times New Roman" w:hAnsi="Arial" w:cs="Arial"/>
          <w:color w:val="000000"/>
          <w:vertAlign w:val="superscript"/>
          <w:lang w:eastAsia="en-GB"/>
        </w:rPr>
        <w:footnoteReference w:id="5"/>
      </w:r>
      <w:r w:rsidR="00C14858" w:rsidRPr="00C14858">
        <w:rPr>
          <w:rFonts w:ascii="Arial" w:eastAsia="Times New Roman" w:hAnsi="Arial" w:cs="Arial"/>
          <w:color w:val="000000"/>
          <w:lang w:eastAsia="en-GB"/>
        </w:rPr>
        <w:t xml:space="preserve"> and Tether Gold</w:t>
      </w:r>
      <w:r w:rsidR="00C14858" w:rsidRPr="00C14858">
        <w:rPr>
          <w:rFonts w:ascii="Arial" w:eastAsia="Times New Roman" w:hAnsi="Arial" w:cs="Arial"/>
          <w:color w:val="000000"/>
          <w:vertAlign w:val="superscript"/>
          <w:lang w:eastAsia="en-GB"/>
        </w:rPr>
        <w:footnoteReference w:id="6"/>
      </w:r>
      <w:r w:rsidR="00C14858" w:rsidRPr="00C14858">
        <w:rPr>
          <w:rFonts w:ascii="Arial" w:eastAsia="Times New Roman" w:hAnsi="Arial" w:cs="Arial"/>
          <w:color w:val="000000"/>
          <w:lang w:eastAsia="en-GB"/>
        </w:rPr>
        <w:t>.</w:t>
      </w:r>
      <w:r>
        <w:rPr>
          <w:rFonts w:ascii="Arial" w:eastAsia="Times New Roman" w:hAnsi="Arial" w:cs="Arial"/>
          <w:color w:val="000000"/>
          <w:lang w:eastAsia="en-GB"/>
        </w:rPr>
        <w:t xml:space="preserve"> The two largest ones, Pax </w:t>
      </w:r>
      <w:r>
        <w:rPr>
          <w:rFonts w:ascii="Arial" w:eastAsia="Times New Roman" w:hAnsi="Arial" w:cs="Arial"/>
          <w:color w:val="000000"/>
          <w:lang w:eastAsia="en-GB"/>
        </w:rPr>
        <w:lastRenderedPageBreak/>
        <w:t xml:space="preserve">Gold and Tether Gold have a </w:t>
      </w:r>
      <w:r w:rsidR="002F74F0">
        <w:rPr>
          <w:rFonts w:ascii="Arial" w:eastAsia="Times New Roman" w:hAnsi="Arial" w:cs="Arial"/>
          <w:color w:val="000000"/>
          <w:lang w:eastAsia="en-GB"/>
        </w:rPr>
        <w:t xml:space="preserve">current </w:t>
      </w:r>
      <w:r>
        <w:rPr>
          <w:rFonts w:ascii="Arial" w:eastAsia="Times New Roman" w:hAnsi="Arial" w:cs="Arial"/>
          <w:color w:val="000000"/>
          <w:lang w:eastAsia="en-GB"/>
        </w:rPr>
        <w:t>combined market capitalisation of more than US$ 1 billion.</w:t>
      </w:r>
      <w:r>
        <w:rPr>
          <w:rStyle w:val="FootnoteReference"/>
          <w:rFonts w:eastAsia="Times New Roman" w:cs="Arial"/>
          <w:color w:val="000000"/>
          <w:lang w:eastAsia="en-GB"/>
        </w:rPr>
        <w:footnoteReference w:id="7"/>
      </w:r>
      <w:r>
        <w:rPr>
          <w:rFonts w:ascii="Arial" w:eastAsia="Times New Roman" w:hAnsi="Arial" w:cs="Arial"/>
          <w:color w:val="000000"/>
          <w:lang w:eastAsia="en-GB"/>
        </w:rPr>
        <w:t xml:space="preserve"> </w:t>
      </w:r>
    </w:p>
    <w:p w14:paraId="7940FCF2" w14:textId="376231C3" w:rsidR="00053D3E" w:rsidRPr="00053D3E" w:rsidRDefault="00053D3E" w:rsidP="00053D3E">
      <w:pPr>
        <w:jc w:val="both"/>
        <w:rPr>
          <w:rFonts w:ascii="Arial" w:eastAsia="Times New Roman" w:hAnsi="Arial" w:cs="Arial"/>
          <w:b/>
          <w:bCs/>
          <w:color w:val="000000"/>
          <w:lang w:eastAsia="en-GB"/>
        </w:rPr>
      </w:pPr>
      <w:r>
        <w:rPr>
          <w:rFonts w:ascii="Arial" w:eastAsia="Times New Roman" w:hAnsi="Arial" w:cs="Arial"/>
          <w:b/>
          <w:bCs/>
          <w:color w:val="000000"/>
          <w:lang w:eastAsia="en-GB"/>
        </w:rPr>
        <w:t>UCITS and Gold</w:t>
      </w:r>
    </w:p>
    <w:p w14:paraId="69760D9B" w14:textId="249F579B" w:rsidR="00053D3E" w:rsidRDefault="00053D3E" w:rsidP="00053D3E">
      <w:pPr>
        <w:pStyle w:val="Bodytext"/>
        <w:jc w:val="both"/>
        <w:rPr>
          <w:rFonts w:cs="Arial"/>
          <w:sz w:val="22"/>
        </w:rPr>
      </w:pPr>
      <w:r w:rsidRPr="00053D3E">
        <w:rPr>
          <w:rFonts w:cs="Arial"/>
          <w:sz w:val="22"/>
        </w:rPr>
        <w:t>As it stands, the UCITS Directive does not allow UCITS to acquire either precious metals or certificates representing them</w:t>
      </w:r>
      <w:r w:rsidRPr="00053D3E">
        <w:rPr>
          <w:rStyle w:val="FootnoteReference"/>
          <w:rFonts w:cs="Arial"/>
          <w:sz w:val="22"/>
        </w:rPr>
        <w:footnoteReference w:id="8"/>
      </w:r>
      <w:r w:rsidRPr="00053D3E">
        <w:rPr>
          <w:rFonts w:cs="Arial"/>
          <w:sz w:val="22"/>
        </w:rPr>
        <w:t xml:space="preserve">. </w:t>
      </w:r>
    </w:p>
    <w:p w14:paraId="7A97F9E0" w14:textId="77777777" w:rsidR="00053D3E" w:rsidRPr="00053D3E" w:rsidRDefault="00053D3E" w:rsidP="00053D3E">
      <w:pPr>
        <w:pStyle w:val="Bodytext"/>
        <w:jc w:val="both"/>
        <w:rPr>
          <w:rFonts w:cs="Arial"/>
          <w:sz w:val="22"/>
        </w:rPr>
      </w:pPr>
    </w:p>
    <w:p w14:paraId="29946D42" w14:textId="0FF0935A" w:rsidR="001346A4" w:rsidRDefault="001346A4" w:rsidP="00053D3E">
      <w:pPr>
        <w:jc w:val="both"/>
        <w:rPr>
          <w:rFonts w:ascii="Arial" w:hAnsi="Arial" w:cs="Arial"/>
        </w:rPr>
      </w:pPr>
      <w:r>
        <w:rPr>
          <w:rFonts w:ascii="Arial" w:hAnsi="Arial" w:cs="Arial"/>
        </w:rPr>
        <w:t xml:space="preserve">While under UCITS, Gold </w:t>
      </w:r>
      <w:r w:rsidR="009F498E">
        <w:rPr>
          <w:rFonts w:ascii="Arial" w:hAnsi="Arial" w:cs="Arial"/>
        </w:rPr>
        <w:t>Exchange Traded Funds</w:t>
      </w:r>
      <w:r>
        <w:rPr>
          <w:rFonts w:ascii="Arial" w:hAnsi="Arial" w:cs="Arial"/>
        </w:rPr>
        <w:t xml:space="preserve"> are not possible, there are at least 17 Exchange Traded </w:t>
      </w:r>
      <w:r w:rsidRPr="009F498E">
        <w:rPr>
          <w:rFonts w:ascii="Arial" w:hAnsi="Arial" w:cs="Arial"/>
        </w:rPr>
        <w:t>Funds</w:t>
      </w:r>
      <w:r w:rsidR="009E524C">
        <w:rPr>
          <w:rFonts w:ascii="Arial" w:hAnsi="Arial" w:cs="Arial"/>
        </w:rPr>
        <w:t xml:space="preserve"> and gold funds</w:t>
      </w:r>
      <w:r>
        <w:rPr>
          <w:rFonts w:ascii="Arial" w:hAnsi="Arial" w:cs="Arial"/>
        </w:rPr>
        <w:t xml:space="preserve"> in Europe which invest in </w:t>
      </w:r>
      <w:r w:rsidRPr="001346A4">
        <w:rPr>
          <w:rFonts w:ascii="Arial" w:hAnsi="Arial" w:cs="Arial"/>
          <w:b/>
          <w:bCs/>
        </w:rPr>
        <w:t>physical gold</w:t>
      </w:r>
      <w:r>
        <w:rPr>
          <w:rFonts w:ascii="Arial" w:hAnsi="Arial" w:cs="Arial"/>
        </w:rPr>
        <w:t xml:space="preserve">: </w:t>
      </w:r>
      <w:r w:rsidR="003E26DD">
        <w:rPr>
          <w:rFonts w:ascii="Arial" w:hAnsi="Arial" w:cs="Arial"/>
        </w:rPr>
        <w:t xml:space="preserve">three </w:t>
      </w:r>
      <w:r>
        <w:rPr>
          <w:rFonts w:ascii="Arial" w:hAnsi="Arial" w:cs="Arial"/>
        </w:rPr>
        <w:t>are domiciled in Liechtenstein and 14 are domiciled in Switzerland. In total they hold more than US$ 23 billion in assets under management.</w:t>
      </w:r>
      <w:r w:rsidR="00272393">
        <w:rPr>
          <w:rStyle w:val="FootnoteReference"/>
          <w:rFonts w:cs="Arial"/>
        </w:rPr>
        <w:footnoteReference w:id="9"/>
      </w:r>
      <w:r>
        <w:rPr>
          <w:rFonts w:ascii="Arial" w:hAnsi="Arial" w:cs="Arial"/>
        </w:rPr>
        <w:t xml:space="preserve"> Gold Exchange Traded </w:t>
      </w:r>
      <w:r w:rsidRPr="009F498E">
        <w:rPr>
          <w:rFonts w:ascii="Arial" w:hAnsi="Arial" w:cs="Arial"/>
        </w:rPr>
        <w:t>Funds</w:t>
      </w:r>
      <w:r>
        <w:rPr>
          <w:rFonts w:ascii="Arial" w:hAnsi="Arial" w:cs="Arial"/>
        </w:rPr>
        <w:t xml:space="preserve"> in North America account even for more than US$ 110 billion in assets under management.</w:t>
      </w:r>
      <w:r w:rsidR="00272393">
        <w:rPr>
          <w:rFonts w:ascii="Arial" w:hAnsi="Arial" w:cs="Arial"/>
        </w:rPr>
        <w:t xml:space="preserve"> Also in Asia, Gold ETFs are prevalent, total market cap is </w:t>
      </w:r>
      <w:r w:rsidR="00C73238">
        <w:rPr>
          <w:rFonts w:ascii="Arial" w:hAnsi="Arial" w:cs="Arial"/>
        </w:rPr>
        <w:t>about</w:t>
      </w:r>
      <w:r w:rsidR="00272393">
        <w:rPr>
          <w:rFonts w:ascii="Arial" w:hAnsi="Arial" w:cs="Arial"/>
        </w:rPr>
        <w:t xml:space="preserve"> US$ </w:t>
      </w:r>
      <w:r w:rsidR="00C73238">
        <w:rPr>
          <w:rFonts w:ascii="Arial" w:hAnsi="Arial" w:cs="Arial"/>
        </w:rPr>
        <w:t>14</w:t>
      </w:r>
      <w:r w:rsidR="00272393">
        <w:rPr>
          <w:rFonts w:ascii="Arial" w:hAnsi="Arial" w:cs="Arial"/>
        </w:rPr>
        <w:t xml:space="preserve"> billion. </w:t>
      </w:r>
    </w:p>
    <w:p w14:paraId="1C17A6ED" w14:textId="1B51A676" w:rsidR="001346A4" w:rsidRPr="00DB3163" w:rsidRDefault="00736967" w:rsidP="00053D3E">
      <w:pPr>
        <w:jc w:val="both"/>
        <w:rPr>
          <w:rFonts w:ascii="Arial" w:hAnsi="Arial" w:cs="Arial"/>
          <w:b/>
          <w:bCs/>
        </w:rPr>
      </w:pPr>
      <w:r>
        <w:rPr>
          <w:rFonts w:ascii="Arial" w:hAnsi="Arial" w:cs="Arial"/>
        </w:rPr>
        <w:t xml:space="preserve">Due to the absence of Gold ETFs under UCITS in the EU, investors are caused to invest into </w:t>
      </w:r>
      <w:r w:rsidR="009F498E">
        <w:rPr>
          <w:rFonts w:ascii="Arial" w:hAnsi="Arial" w:cs="Arial"/>
        </w:rPr>
        <w:t xml:space="preserve">Gold </w:t>
      </w:r>
      <w:r>
        <w:rPr>
          <w:rFonts w:ascii="Arial" w:hAnsi="Arial" w:cs="Arial"/>
        </w:rPr>
        <w:t>Exchange Traded Commodities (</w:t>
      </w:r>
      <w:r w:rsidR="009F498E">
        <w:rPr>
          <w:rFonts w:ascii="Arial" w:hAnsi="Arial" w:cs="Arial"/>
        </w:rPr>
        <w:t xml:space="preserve">Gold </w:t>
      </w:r>
      <w:r>
        <w:rPr>
          <w:rFonts w:ascii="Arial" w:hAnsi="Arial" w:cs="Arial"/>
        </w:rPr>
        <w:t xml:space="preserve">ETCs) </w:t>
      </w:r>
      <w:proofErr w:type="gramStart"/>
      <w:r>
        <w:rPr>
          <w:rFonts w:ascii="Arial" w:hAnsi="Arial" w:cs="Arial"/>
        </w:rPr>
        <w:t>in order to</w:t>
      </w:r>
      <w:proofErr w:type="gramEnd"/>
      <w:r>
        <w:rPr>
          <w:rFonts w:ascii="Arial" w:hAnsi="Arial" w:cs="Arial"/>
        </w:rPr>
        <w:t xml:space="preserve"> get (indirect) exposure to physical gold. Gold ETCs are debt instruments</w:t>
      </w:r>
      <w:r w:rsidR="00895D2D">
        <w:rPr>
          <w:rFonts w:ascii="Arial" w:hAnsi="Arial" w:cs="Arial"/>
        </w:rPr>
        <w:t xml:space="preserve"> (exchange traded notes)</w:t>
      </w:r>
      <w:r>
        <w:rPr>
          <w:rFonts w:ascii="Arial" w:hAnsi="Arial" w:cs="Arial"/>
        </w:rPr>
        <w:t xml:space="preserve">, not funds, essentially providing claims against companies or special purpose vehicles holding physical gold, while investors in a Gold ETF </w:t>
      </w:r>
      <w:r w:rsidRPr="00736967">
        <w:rPr>
          <w:rFonts w:ascii="Arial" w:hAnsi="Arial" w:cs="Arial"/>
        </w:rPr>
        <w:t xml:space="preserve">hold shares in the fund, which represent a proportional ownership of the fund's assets, </w:t>
      </w:r>
      <w:r>
        <w:rPr>
          <w:rFonts w:ascii="Arial" w:hAnsi="Arial" w:cs="Arial"/>
        </w:rPr>
        <w:t>i.e.</w:t>
      </w:r>
      <w:r w:rsidRPr="00736967">
        <w:rPr>
          <w:rFonts w:ascii="Arial" w:hAnsi="Arial" w:cs="Arial"/>
        </w:rPr>
        <w:t xml:space="preserve"> physical gold</w:t>
      </w:r>
      <w:r>
        <w:rPr>
          <w:rFonts w:ascii="Arial" w:hAnsi="Arial" w:cs="Arial"/>
        </w:rPr>
        <w:t xml:space="preserve">. </w:t>
      </w:r>
      <w:r w:rsidRPr="00736967">
        <w:rPr>
          <w:rFonts w:ascii="Arial" w:hAnsi="Arial" w:cs="Arial"/>
          <w:b/>
          <w:bCs/>
        </w:rPr>
        <w:t>In contrast to ETFs, ETCs are less regulated and provide less transparency and investor protection</w:t>
      </w:r>
      <w:r w:rsidR="009D26F7">
        <w:rPr>
          <w:rFonts w:ascii="Arial" w:hAnsi="Arial" w:cs="Arial"/>
        </w:rPr>
        <w:t xml:space="preserve"> since they </w:t>
      </w:r>
      <w:r w:rsidR="00895D2D">
        <w:rPr>
          <w:rFonts w:ascii="Arial" w:hAnsi="Arial" w:cs="Arial"/>
        </w:rPr>
        <w:t>are regulated as securities</w:t>
      </w:r>
      <w:r w:rsidR="003E26DD">
        <w:rPr>
          <w:rFonts w:ascii="Arial" w:hAnsi="Arial" w:cs="Arial"/>
        </w:rPr>
        <w:t>,</w:t>
      </w:r>
      <w:r w:rsidR="00895D2D">
        <w:rPr>
          <w:rFonts w:ascii="Arial" w:hAnsi="Arial" w:cs="Arial"/>
        </w:rPr>
        <w:t xml:space="preserve"> not as funds.</w:t>
      </w:r>
    </w:p>
    <w:p w14:paraId="16779F64" w14:textId="5286329E" w:rsidR="009F498E" w:rsidRDefault="004549F0" w:rsidP="00053D3E">
      <w:pPr>
        <w:jc w:val="both"/>
        <w:rPr>
          <w:rFonts w:ascii="Arial" w:hAnsi="Arial" w:cs="Arial"/>
        </w:rPr>
      </w:pPr>
      <w:r>
        <w:rPr>
          <w:rFonts w:ascii="Arial" w:hAnsi="Arial" w:cs="Arial"/>
        </w:rPr>
        <w:t>Over the last decade, a rise of more specialised ETFs like sector ETFs, thematic ETFs up to leveraged or inverse ETFs can be identified also in the EU under the UCITS regime.</w:t>
      </w:r>
      <w:r w:rsidR="005512F8">
        <w:rPr>
          <w:rFonts w:ascii="Arial" w:hAnsi="Arial" w:cs="Arial"/>
        </w:rPr>
        <w:t xml:space="preserve"> </w:t>
      </w:r>
      <w:r w:rsidR="005512F8" w:rsidRPr="005512F8">
        <w:rPr>
          <w:rFonts w:ascii="Arial" w:hAnsi="Arial" w:cs="Arial"/>
        </w:rPr>
        <w:t xml:space="preserve">At the end of June 2024, there were 156 UCITS thematic ETFs totalling </w:t>
      </w:r>
      <w:r w:rsidR="005512F8">
        <w:rPr>
          <w:rFonts w:ascii="Arial" w:hAnsi="Arial" w:cs="Arial"/>
        </w:rPr>
        <w:t>US</w:t>
      </w:r>
      <w:r w:rsidR="005512F8" w:rsidRPr="005512F8">
        <w:rPr>
          <w:rFonts w:ascii="Arial" w:hAnsi="Arial" w:cs="Arial"/>
        </w:rPr>
        <w:t xml:space="preserve">$37.7 billion in assets under management </w:t>
      </w:r>
      <w:r w:rsidR="005512F8">
        <w:rPr>
          <w:rFonts w:ascii="Arial" w:hAnsi="Arial" w:cs="Arial"/>
        </w:rPr>
        <w:t xml:space="preserve">according to Global X, up from nearly zero </w:t>
      </w:r>
      <w:r w:rsidR="00A165BD">
        <w:rPr>
          <w:rFonts w:ascii="Arial" w:hAnsi="Arial" w:cs="Arial"/>
        </w:rPr>
        <w:t>only ten years ago</w:t>
      </w:r>
      <w:r w:rsidR="005512F8">
        <w:rPr>
          <w:rFonts w:ascii="Arial" w:hAnsi="Arial" w:cs="Arial"/>
        </w:rPr>
        <w:t>.</w:t>
      </w:r>
      <w:r>
        <w:rPr>
          <w:rStyle w:val="FootnoteReference"/>
          <w:rFonts w:cs="Arial"/>
        </w:rPr>
        <w:footnoteReference w:id="10"/>
      </w:r>
      <w:r w:rsidR="0013780A">
        <w:rPr>
          <w:rFonts w:ascii="Arial" w:hAnsi="Arial" w:cs="Arial"/>
        </w:rPr>
        <w:t xml:space="preserve"> </w:t>
      </w:r>
      <w:r w:rsidR="00D47DD5">
        <w:rPr>
          <w:rFonts w:ascii="Arial" w:hAnsi="Arial" w:cs="Arial"/>
        </w:rPr>
        <w:t xml:space="preserve">Based on evidence from the US and Switzerland, where gold ETFs have over US$ 100 billion in assets, there is a clear opportunity for investor demand for ETFs in Europe. </w:t>
      </w:r>
    </w:p>
    <w:p w14:paraId="1F16541E" w14:textId="7A1D27C5" w:rsidR="001346A4" w:rsidRPr="00053D3E" w:rsidRDefault="009F498E" w:rsidP="00053D3E">
      <w:pPr>
        <w:jc w:val="both"/>
        <w:rPr>
          <w:rFonts w:ascii="Arial" w:hAnsi="Arial" w:cs="Arial"/>
        </w:rPr>
      </w:pPr>
      <w:r>
        <w:rPr>
          <w:rFonts w:ascii="Arial" w:hAnsi="Arial" w:cs="Arial"/>
        </w:rPr>
        <w:t>I</w:t>
      </w:r>
      <w:r w:rsidR="001346A4" w:rsidRPr="00053D3E">
        <w:rPr>
          <w:rFonts w:ascii="Arial" w:hAnsi="Arial" w:cs="Arial"/>
        </w:rPr>
        <w:t>n today’s environment, gold has an increasingly relevant role to play in helping European investors navigate an evolving landscape of risk and uncertainty and, ultimately, protecting European savers.</w:t>
      </w:r>
    </w:p>
    <w:p w14:paraId="767119DF" w14:textId="40A1DBE2" w:rsidR="001346A4" w:rsidRPr="00053D3E" w:rsidRDefault="00053D3E" w:rsidP="00E55DB7">
      <w:pPr>
        <w:jc w:val="both"/>
        <w:rPr>
          <w:rFonts w:ascii="Arial" w:hAnsi="Arial" w:cs="Arial"/>
        </w:rPr>
      </w:pPr>
      <w:r w:rsidRPr="00053D3E">
        <w:rPr>
          <w:rFonts w:ascii="Arial" w:hAnsi="Arial" w:cs="Arial"/>
        </w:rPr>
        <w:t xml:space="preserve">Gold is to be considered as a strategic asset </w:t>
      </w:r>
      <w:proofErr w:type="gramStart"/>
      <w:r w:rsidRPr="00053D3E">
        <w:rPr>
          <w:rFonts w:ascii="Arial" w:hAnsi="Arial" w:cs="Arial"/>
        </w:rPr>
        <w:t>in light of</w:t>
      </w:r>
      <w:proofErr w:type="gramEnd"/>
      <w:r w:rsidRPr="00053D3E">
        <w:rPr>
          <w:rFonts w:ascii="Arial" w:hAnsi="Arial" w:cs="Arial"/>
        </w:rPr>
        <w:t xml:space="preserve"> its key features, being its high liquidity, the absence of liability or credit risk and its various sources of demand. Furthermore, its scarcity enables to preserve its value over time. Gold assets are set to enhance portfolios by providing diversification, high liquidity</w:t>
      </w:r>
      <w:r w:rsidR="003E26DD">
        <w:rPr>
          <w:rFonts w:ascii="Arial" w:hAnsi="Arial" w:cs="Arial"/>
        </w:rPr>
        <w:t>,</w:t>
      </w:r>
      <w:r w:rsidRPr="00053D3E">
        <w:rPr>
          <w:rFonts w:ascii="Arial" w:hAnsi="Arial" w:cs="Arial"/>
        </w:rPr>
        <w:t xml:space="preserve"> but also better returns and performance.</w:t>
      </w:r>
    </w:p>
    <w:p w14:paraId="062E618C" w14:textId="10B4C267" w:rsidR="00053D3E" w:rsidRPr="00053D3E" w:rsidRDefault="00053D3E" w:rsidP="00053D3E">
      <w:pPr>
        <w:pStyle w:val="Bodytext"/>
        <w:jc w:val="both"/>
        <w:rPr>
          <w:rFonts w:cs="Arial"/>
          <w:sz w:val="22"/>
        </w:rPr>
      </w:pPr>
      <w:r w:rsidRPr="00053D3E">
        <w:rPr>
          <w:rFonts w:cs="Arial"/>
          <w:sz w:val="22"/>
        </w:rPr>
        <w:t xml:space="preserve">By excluding gold as an eligible asset in the scope of the UCITS Directive (article 50), it prevents such funds </w:t>
      </w:r>
      <w:r w:rsidR="000145A6">
        <w:rPr>
          <w:rFonts w:cs="Arial"/>
          <w:sz w:val="22"/>
        </w:rPr>
        <w:t>from holding and investing</w:t>
      </w:r>
      <w:r w:rsidRPr="00053D3E">
        <w:rPr>
          <w:rFonts w:cs="Arial"/>
          <w:sz w:val="22"/>
        </w:rPr>
        <w:t xml:space="preserve"> in gold. </w:t>
      </w:r>
      <w:r w:rsidR="00EF7BB8">
        <w:rPr>
          <w:rFonts w:cs="Arial"/>
          <w:sz w:val="22"/>
        </w:rPr>
        <w:t>This has had the following impacts</w:t>
      </w:r>
      <w:r w:rsidRPr="00053D3E">
        <w:rPr>
          <w:rFonts w:cs="Arial"/>
          <w:sz w:val="22"/>
        </w:rPr>
        <w:t xml:space="preserve">: </w:t>
      </w:r>
    </w:p>
    <w:p w14:paraId="3C60EE2F" w14:textId="77777777" w:rsidR="00053D3E" w:rsidRPr="00053D3E" w:rsidRDefault="00053D3E" w:rsidP="00053D3E">
      <w:pPr>
        <w:pStyle w:val="Bodytext"/>
        <w:jc w:val="both"/>
        <w:rPr>
          <w:rFonts w:cs="Arial"/>
          <w:sz w:val="22"/>
        </w:rPr>
      </w:pPr>
    </w:p>
    <w:p w14:paraId="4A041702" w14:textId="1D2B27E4" w:rsidR="00F94A77" w:rsidRDefault="00053D3E" w:rsidP="00053D3E">
      <w:pPr>
        <w:pStyle w:val="Bodytext"/>
        <w:numPr>
          <w:ilvl w:val="0"/>
          <w:numId w:val="3"/>
        </w:numPr>
        <w:jc w:val="both"/>
        <w:rPr>
          <w:rFonts w:cs="Arial"/>
          <w:sz w:val="22"/>
        </w:rPr>
      </w:pPr>
      <w:r w:rsidRPr="00053D3E">
        <w:rPr>
          <w:rFonts w:cs="Arial"/>
          <w:b/>
          <w:bCs/>
          <w:sz w:val="22"/>
        </w:rPr>
        <w:t>Investor protection</w:t>
      </w:r>
      <w:r w:rsidRPr="00053D3E">
        <w:rPr>
          <w:rFonts w:cs="Arial"/>
          <w:sz w:val="22"/>
        </w:rPr>
        <w:t xml:space="preserve"> – Investors would </w:t>
      </w:r>
      <w:r w:rsidR="00887B85">
        <w:rPr>
          <w:rFonts w:cs="Arial"/>
          <w:sz w:val="22"/>
        </w:rPr>
        <w:t xml:space="preserve">benefit from reduced risk and increased regulation and security if </w:t>
      </w:r>
      <w:r w:rsidRPr="00053D3E">
        <w:rPr>
          <w:rFonts w:cs="Arial"/>
          <w:sz w:val="22"/>
        </w:rPr>
        <w:t xml:space="preserve">gold </w:t>
      </w:r>
      <w:r w:rsidR="00887B85">
        <w:rPr>
          <w:rFonts w:cs="Arial"/>
          <w:sz w:val="22"/>
        </w:rPr>
        <w:t xml:space="preserve">falls </w:t>
      </w:r>
      <w:r w:rsidRPr="00053D3E">
        <w:rPr>
          <w:rFonts w:cs="Arial"/>
          <w:sz w:val="22"/>
        </w:rPr>
        <w:t xml:space="preserve">under the UCITS framework rather than a non-UCITS or certificate legislative framework </w:t>
      </w:r>
    </w:p>
    <w:p w14:paraId="2E11C599" w14:textId="77777777" w:rsidR="00F94A77" w:rsidRDefault="00F94A77" w:rsidP="00F94A77">
      <w:pPr>
        <w:pStyle w:val="Bodytext"/>
        <w:ind w:left="720"/>
        <w:jc w:val="both"/>
        <w:rPr>
          <w:rFonts w:cs="Arial"/>
          <w:sz w:val="22"/>
        </w:rPr>
      </w:pPr>
    </w:p>
    <w:p w14:paraId="6D9E4EFF" w14:textId="374A8E08" w:rsidR="00053D3E" w:rsidRPr="00053D3E" w:rsidRDefault="00F94A77" w:rsidP="00053D3E">
      <w:pPr>
        <w:pStyle w:val="Bodytext"/>
        <w:numPr>
          <w:ilvl w:val="0"/>
          <w:numId w:val="3"/>
        </w:numPr>
        <w:jc w:val="both"/>
        <w:rPr>
          <w:rFonts w:cs="Arial"/>
          <w:sz w:val="22"/>
        </w:rPr>
      </w:pPr>
      <w:r w:rsidRPr="00F94A77">
        <w:rPr>
          <w:rFonts w:cs="Arial"/>
          <w:b/>
          <w:bCs/>
          <w:sz w:val="22"/>
        </w:rPr>
        <w:t>Diversification</w:t>
      </w:r>
      <w:r>
        <w:rPr>
          <w:rFonts w:cs="Arial"/>
          <w:sz w:val="22"/>
        </w:rPr>
        <w:t xml:space="preserve"> – </w:t>
      </w:r>
      <w:r w:rsidR="00887B85">
        <w:rPr>
          <w:rFonts w:cs="Arial"/>
          <w:sz w:val="22"/>
        </w:rPr>
        <w:t xml:space="preserve">given </w:t>
      </w:r>
      <w:r>
        <w:rPr>
          <w:rFonts w:cs="Arial"/>
          <w:sz w:val="22"/>
        </w:rPr>
        <w:t xml:space="preserve">the strong rise of thematic or otherwise specialised ETFs under UCITS, which </w:t>
      </w:r>
      <w:r w:rsidR="00887B85">
        <w:rPr>
          <w:rFonts w:cs="Arial"/>
          <w:sz w:val="22"/>
        </w:rPr>
        <w:t xml:space="preserve">often </w:t>
      </w:r>
      <w:r>
        <w:rPr>
          <w:rFonts w:cs="Arial"/>
          <w:sz w:val="22"/>
        </w:rPr>
        <w:t xml:space="preserve">lack broad diversification, a strong diversification requirement as </w:t>
      </w:r>
      <w:r w:rsidR="000C30AB">
        <w:rPr>
          <w:rFonts w:cs="Arial"/>
          <w:sz w:val="22"/>
        </w:rPr>
        <w:t xml:space="preserve">that which is </w:t>
      </w:r>
      <w:r>
        <w:rPr>
          <w:rFonts w:cs="Arial"/>
          <w:sz w:val="22"/>
        </w:rPr>
        <w:t xml:space="preserve">currently in place </w:t>
      </w:r>
      <w:r w:rsidR="00C82DDA">
        <w:rPr>
          <w:rFonts w:cs="Arial"/>
          <w:sz w:val="22"/>
        </w:rPr>
        <w:t xml:space="preserve">under UCITS </w:t>
      </w:r>
      <w:r>
        <w:rPr>
          <w:rFonts w:cs="Arial"/>
          <w:sz w:val="22"/>
        </w:rPr>
        <w:t xml:space="preserve">should not hinder the </w:t>
      </w:r>
      <w:r>
        <w:rPr>
          <w:rFonts w:cs="Arial"/>
          <w:sz w:val="22"/>
        </w:rPr>
        <w:lastRenderedPageBreak/>
        <w:t>development of Gold ETFs</w:t>
      </w:r>
      <w:r w:rsidR="00C82DDA">
        <w:rPr>
          <w:rFonts w:cs="Arial"/>
          <w:sz w:val="22"/>
        </w:rPr>
        <w:t xml:space="preserve">. These investments would likely pose lower risks compared to </w:t>
      </w:r>
      <w:r w:rsidR="00A57F8A">
        <w:rPr>
          <w:rFonts w:cs="Arial"/>
          <w:sz w:val="22"/>
        </w:rPr>
        <w:t>many of today’s specialised UCITS funds.</w:t>
      </w:r>
    </w:p>
    <w:p w14:paraId="5003AB0D" w14:textId="77777777" w:rsidR="009F04F1" w:rsidRPr="00C82DDA" w:rsidRDefault="009F04F1" w:rsidP="009F04F1">
      <w:pPr>
        <w:pStyle w:val="Bodytext"/>
        <w:jc w:val="both"/>
        <w:rPr>
          <w:rFonts w:cs="Arial"/>
          <w:sz w:val="22"/>
        </w:rPr>
      </w:pPr>
    </w:p>
    <w:p w14:paraId="048D58F2" w14:textId="67EEEB42" w:rsidR="00E54C15" w:rsidRPr="00B93B88" w:rsidRDefault="00F94A77" w:rsidP="00B93B88">
      <w:pPr>
        <w:pStyle w:val="Bodytext"/>
        <w:numPr>
          <w:ilvl w:val="0"/>
          <w:numId w:val="3"/>
        </w:numPr>
        <w:jc w:val="both"/>
        <w:rPr>
          <w:rFonts w:cs="Arial"/>
          <w:sz w:val="22"/>
        </w:rPr>
      </w:pPr>
      <w:r w:rsidRPr="00F94A77">
        <w:rPr>
          <w:rFonts w:cs="Arial"/>
          <w:b/>
          <w:bCs/>
          <w:sz w:val="22"/>
        </w:rPr>
        <w:t>Fund flows</w:t>
      </w:r>
      <w:r>
        <w:rPr>
          <w:rFonts w:cs="Arial"/>
          <w:sz w:val="22"/>
        </w:rPr>
        <w:t xml:space="preserve"> </w:t>
      </w:r>
      <w:r w:rsidR="003E26DD" w:rsidRPr="00053D3E">
        <w:rPr>
          <w:rFonts w:cs="Arial"/>
          <w:sz w:val="22"/>
        </w:rPr>
        <w:t>–</w:t>
      </w:r>
      <w:r>
        <w:rPr>
          <w:rFonts w:cs="Arial"/>
          <w:sz w:val="22"/>
        </w:rPr>
        <w:t xml:space="preserve"> A</w:t>
      </w:r>
      <w:r w:rsidR="00053D3E" w:rsidRPr="00053D3E">
        <w:rPr>
          <w:rFonts w:cs="Arial"/>
          <w:sz w:val="22"/>
        </w:rPr>
        <w:t xml:space="preserve">s a result of excluding gold investments under the UCITS framework, </w:t>
      </w:r>
      <w:r>
        <w:rPr>
          <w:rFonts w:cs="Arial"/>
          <w:sz w:val="22"/>
        </w:rPr>
        <w:t>non-EU domiciled ETFs</w:t>
      </w:r>
      <w:r w:rsidR="00053D3E" w:rsidRPr="00053D3E">
        <w:rPr>
          <w:rFonts w:cs="Arial"/>
          <w:sz w:val="22"/>
        </w:rPr>
        <w:t xml:space="preserve">, </w:t>
      </w:r>
      <w:r>
        <w:rPr>
          <w:rFonts w:cs="Arial"/>
          <w:sz w:val="22"/>
        </w:rPr>
        <w:t>e.g.</w:t>
      </w:r>
      <w:r w:rsidR="00053D3E" w:rsidRPr="00053D3E">
        <w:rPr>
          <w:rFonts w:cs="Arial"/>
          <w:sz w:val="22"/>
        </w:rPr>
        <w:t xml:space="preserve">, </w:t>
      </w:r>
      <w:r w:rsidR="009F04F1">
        <w:rPr>
          <w:rFonts w:cs="Arial"/>
          <w:sz w:val="22"/>
        </w:rPr>
        <w:t xml:space="preserve">domiciled </w:t>
      </w:r>
      <w:r>
        <w:rPr>
          <w:rFonts w:cs="Arial"/>
          <w:sz w:val="22"/>
        </w:rPr>
        <w:t xml:space="preserve">in </w:t>
      </w:r>
      <w:r w:rsidR="00053D3E" w:rsidRPr="00053D3E">
        <w:rPr>
          <w:rFonts w:cs="Arial"/>
          <w:sz w:val="22"/>
        </w:rPr>
        <w:t xml:space="preserve">Switzerland, </w:t>
      </w:r>
      <w:r>
        <w:rPr>
          <w:rFonts w:cs="Arial"/>
          <w:sz w:val="22"/>
        </w:rPr>
        <w:t>North America</w:t>
      </w:r>
      <w:r w:rsidR="00053D3E" w:rsidRPr="00053D3E">
        <w:rPr>
          <w:rFonts w:cs="Arial"/>
          <w:sz w:val="22"/>
        </w:rPr>
        <w:t xml:space="preserve">, or </w:t>
      </w:r>
      <w:r>
        <w:rPr>
          <w:rFonts w:cs="Arial"/>
          <w:sz w:val="22"/>
        </w:rPr>
        <w:t>Asia</w:t>
      </w:r>
      <w:r w:rsidR="009F04F1">
        <w:rPr>
          <w:rFonts w:cs="Arial"/>
          <w:sz w:val="22"/>
        </w:rPr>
        <w:t>,</w:t>
      </w:r>
      <w:r>
        <w:rPr>
          <w:rFonts w:cs="Arial"/>
          <w:sz w:val="22"/>
        </w:rPr>
        <w:t xml:space="preserve"> </w:t>
      </w:r>
      <w:r w:rsidR="00C82DDA">
        <w:rPr>
          <w:rFonts w:cs="Arial"/>
          <w:sz w:val="22"/>
        </w:rPr>
        <w:t xml:space="preserve">are likely to </w:t>
      </w:r>
      <w:r>
        <w:rPr>
          <w:rFonts w:cs="Arial"/>
          <w:sz w:val="22"/>
        </w:rPr>
        <w:t>attract funds also from investors in the European Union</w:t>
      </w:r>
      <w:r w:rsidR="00053D3E" w:rsidRPr="00053D3E">
        <w:rPr>
          <w:rFonts w:cs="Arial"/>
          <w:sz w:val="22"/>
        </w:rPr>
        <w:t>.</w:t>
      </w:r>
      <w:r w:rsidR="00B93B88">
        <w:rPr>
          <w:rFonts w:cs="Arial"/>
          <w:sz w:val="22"/>
        </w:rPr>
        <w:br/>
      </w:r>
    </w:p>
    <w:p w14:paraId="52D5239B" w14:textId="5B1AD27B" w:rsidR="00053D3E" w:rsidRDefault="00A57F8A" w:rsidP="00DB3163">
      <w:pPr>
        <w:pStyle w:val="Bodytext"/>
        <w:numPr>
          <w:ilvl w:val="0"/>
          <w:numId w:val="3"/>
        </w:numPr>
        <w:jc w:val="both"/>
        <w:rPr>
          <w:rFonts w:cs="Arial"/>
          <w:sz w:val="22"/>
        </w:rPr>
      </w:pPr>
      <w:r w:rsidRPr="00C82DDA">
        <w:rPr>
          <w:rFonts w:cs="Arial"/>
          <w:b/>
          <w:bCs/>
          <w:sz w:val="22"/>
        </w:rPr>
        <w:t>Liquidity</w:t>
      </w:r>
      <w:r w:rsidRPr="00C82DDA">
        <w:rPr>
          <w:rFonts w:cs="Arial"/>
          <w:sz w:val="22"/>
        </w:rPr>
        <w:t xml:space="preserve"> – As US-domiciled gold ETFs with a market cap of over US$ 110 billion demonstrate, the physical gold market would be easily capable of supplying sufficient liquidity for UCITS Gold ETFs. </w:t>
      </w:r>
    </w:p>
    <w:p w14:paraId="551748AB" w14:textId="77777777" w:rsidR="009F04F1" w:rsidRPr="00C82DDA" w:rsidRDefault="009F04F1" w:rsidP="009F04F1">
      <w:pPr>
        <w:pStyle w:val="Bodytext"/>
        <w:ind w:left="720"/>
        <w:jc w:val="both"/>
        <w:rPr>
          <w:rFonts w:cs="Arial"/>
          <w:sz w:val="22"/>
        </w:rPr>
      </w:pPr>
    </w:p>
    <w:p w14:paraId="7A20F79D" w14:textId="78F7281B" w:rsidR="00E55DB7" w:rsidRPr="00E55DB7" w:rsidRDefault="00053D3E" w:rsidP="00E55DB7">
      <w:pPr>
        <w:pStyle w:val="Bodytext"/>
        <w:spacing w:after="160"/>
        <w:jc w:val="both"/>
        <w:rPr>
          <w:rFonts w:cs="Arial"/>
          <w:b/>
          <w:sz w:val="22"/>
        </w:rPr>
      </w:pPr>
      <w:r w:rsidRPr="00053D3E">
        <w:rPr>
          <w:rFonts w:cs="Arial"/>
          <w:b/>
          <w:sz w:val="22"/>
        </w:rPr>
        <w:t xml:space="preserve">Therefore, we believe that making gold an eligible asset under the UCITS Directive, while also amending UCITS diversification requirements (enabling UCITS products fully backed by gold) </w:t>
      </w:r>
      <w:r w:rsidR="009F04F1">
        <w:rPr>
          <w:rFonts w:cs="Arial"/>
          <w:b/>
          <w:sz w:val="22"/>
        </w:rPr>
        <w:t xml:space="preserve">would be </w:t>
      </w:r>
      <w:r w:rsidR="00BC2542">
        <w:rPr>
          <w:rFonts w:cs="Arial"/>
          <w:b/>
          <w:sz w:val="22"/>
        </w:rPr>
        <w:t>highly</w:t>
      </w:r>
      <w:r w:rsidR="009F04F1">
        <w:rPr>
          <w:rFonts w:cs="Arial"/>
          <w:b/>
          <w:sz w:val="22"/>
        </w:rPr>
        <w:t xml:space="preserve"> beneficial</w:t>
      </w:r>
      <w:r w:rsidRPr="00053D3E">
        <w:rPr>
          <w:rFonts w:cs="Arial"/>
          <w:b/>
          <w:sz w:val="22"/>
        </w:rPr>
        <w:t>.</w:t>
      </w:r>
    </w:p>
    <w:p w14:paraId="17720196" w14:textId="6D30BA29" w:rsidR="00C14858" w:rsidRPr="00C14858" w:rsidRDefault="00B93B88" w:rsidP="00C14858">
      <w:pPr>
        <w:jc w:val="both"/>
        <w:rPr>
          <w:rFonts w:ascii="Arial" w:eastAsia="Times New Roman" w:hAnsi="Arial" w:cs="Arial"/>
          <w:b/>
          <w:bCs/>
          <w:color w:val="000000"/>
          <w:lang w:eastAsia="en-GB"/>
        </w:rPr>
      </w:pPr>
      <w:r>
        <w:rPr>
          <w:rFonts w:ascii="Arial" w:eastAsia="Times New Roman" w:hAnsi="Arial" w:cs="Arial"/>
          <w:b/>
          <w:bCs/>
          <w:color w:val="000000"/>
          <w:lang w:eastAsia="en-GB"/>
        </w:rPr>
        <w:br/>
      </w:r>
      <w:r w:rsidR="00FB1888">
        <w:rPr>
          <w:rFonts w:ascii="Arial" w:eastAsia="Times New Roman" w:hAnsi="Arial" w:cs="Arial"/>
          <w:b/>
          <w:bCs/>
          <w:color w:val="000000"/>
          <w:lang w:eastAsia="en-GB"/>
        </w:rPr>
        <w:t>Comments on Call for Evidence</w:t>
      </w:r>
    </w:p>
    <w:p w14:paraId="0BB390AA" w14:textId="605ECAFD" w:rsidR="00C14858" w:rsidRPr="00C14858" w:rsidRDefault="00E55DB7" w:rsidP="00C14858">
      <w:pPr>
        <w:jc w:val="both"/>
        <w:rPr>
          <w:rFonts w:ascii="Arial" w:eastAsia="Times New Roman" w:hAnsi="Arial" w:cs="Arial"/>
          <w:color w:val="000000"/>
          <w:lang w:eastAsia="en-GB"/>
        </w:rPr>
      </w:pPr>
      <w:r>
        <w:rPr>
          <w:rFonts w:ascii="Arial" w:eastAsia="Times New Roman" w:hAnsi="Arial" w:cs="Arial"/>
          <w:color w:val="000000"/>
          <w:lang w:eastAsia="en-GB"/>
        </w:rPr>
        <w:t>W</w:t>
      </w:r>
      <w:r w:rsidR="00C14858" w:rsidRPr="00C14858">
        <w:rPr>
          <w:rFonts w:ascii="Arial" w:eastAsia="Times New Roman" w:hAnsi="Arial" w:cs="Arial"/>
          <w:color w:val="000000"/>
          <w:lang w:eastAsia="en-GB"/>
        </w:rPr>
        <w:t xml:space="preserve">e provide specific </w:t>
      </w:r>
      <w:r w:rsidR="00FB1888">
        <w:rPr>
          <w:rFonts w:ascii="Arial" w:eastAsia="Times New Roman" w:hAnsi="Arial" w:cs="Arial"/>
          <w:color w:val="000000"/>
          <w:lang w:eastAsia="en-GB"/>
        </w:rPr>
        <w:t>comments</w:t>
      </w:r>
      <w:r w:rsidR="00C14858" w:rsidRPr="00C14858">
        <w:rPr>
          <w:rFonts w:ascii="Arial" w:eastAsia="Times New Roman" w:hAnsi="Arial" w:cs="Arial"/>
          <w:color w:val="000000"/>
          <w:lang w:eastAsia="en-GB"/>
        </w:rPr>
        <w:t xml:space="preserve"> </w:t>
      </w:r>
      <w:r w:rsidR="00FB1888">
        <w:rPr>
          <w:rFonts w:ascii="Arial" w:eastAsia="Times New Roman" w:hAnsi="Arial" w:cs="Arial"/>
          <w:color w:val="000000"/>
          <w:lang w:eastAsia="en-GB"/>
        </w:rPr>
        <w:t xml:space="preserve">on matters </w:t>
      </w:r>
      <w:r w:rsidR="00BF3D98">
        <w:rPr>
          <w:rFonts w:ascii="Arial" w:eastAsia="Times New Roman" w:hAnsi="Arial" w:cs="Arial"/>
          <w:color w:val="000000"/>
          <w:lang w:eastAsia="en-GB"/>
        </w:rPr>
        <w:t>set out</w:t>
      </w:r>
      <w:r w:rsidR="00FB1888">
        <w:rPr>
          <w:rFonts w:ascii="Arial" w:eastAsia="Times New Roman" w:hAnsi="Arial" w:cs="Arial"/>
          <w:color w:val="000000"/>
          <w:lang w:eastAsia="en-GB"/>
        </w:rPr>
        <w:t xml:space="preserve"> in the Call for Evidence</w:t>
      </w:r>
      <w:r>
        <w:rPr>
          <w:rFonts w:ascii="Arial" w:eastAsia="Times New Roman" w:hAnsi="Arial" w:cs="Arial"/>
          <w:color w:val="000000"/>
          <w:lang w:eastAsia="en-GB"/>
        </w:rPr>
        <w:t xml:space="preserve"> in the respective Reply form and Reply form Annex</w:t>
      </w:r>
      <w:r w:rsidR="00D02E45">
        <w:rPr>
          <w:rFonts w:ascii="Arial" w:eastAsia="Times New Roman" w:hAnsi="Arial" w:cs="Arial"/>
          <w:color w:val="000000"/>
          <w:lang w:eastAsia="en-GB"/>
        </w:rPr>
        <w:t xml:space="preserve"> as well as a presentation containing various data</w:t>
      </w:r>
      <w:r>
        <w:rPr>
          <w:rFonts w:ascii="Arial" w:eastAsia="Times New Roman" w:hAnsi="Arial" w:cs="Arial"/>
          <w:color w:val="000000"/>
          <w:lang w:eastAsia="en-GB"/>
        </w:rPr>
        <w:t>, which we provide together with the document at hand.</w:t>
      </w:r>
    </w:p>
    <w:p w14:paraId="02C193F1" w14:textId="77777777" w:rsidR="00C14858" w:rsidRPr="00C14858" w:rsidRDefault="00C14858" w:rsidP="00C14858">
      <w:pPr>
        <w:jc w:val="both"/>
        <w:rPr>
          <w:rFonts w:ascii="Arial" w:eastAsia="Times New Roman" w:hAnsi="Arial" w:cs="Arial"/>
          <w:color w:val="000000"/>
          <w:lang w:eastAsia="en-GB"/>
        </w:rPr>
      </w:pPr>
      <w:r w:rsidRPr="00C14858">
        <w:rPr>
          <w:rFonts w:ascii="Arial" w:eastAsia="Times New Roman" w:hAnsi="Arial" w:cs="Arial"/>
          <w:color w:val="000000"/>
          <w:lang w:eastAsia="en-GB"/>
        </w:rPr>
        <w:t>We appreciate your consideration of our comments and remain at your disposal should you have any questions.</w:t>
      </w:r>
    </w:p>
    <w:p w14:paraId="57553148" w14:textId="77777777" w:rsidR="00C14858" w:rsidRPr="00C14858" w:rsidRDefault="00C14858" w:rsidP="00C14858">
      <w:pPr>
        <w:jc w:val="both"/>
        <w:rPr>
          <w:rFonts w:ascii="Arial" w:eastAsia="Times New Roman" w:hAnsi="Arial" w:cs="Arial"/>
          <w:color w:val="000000"/>
          <w:lang w:eastAsia="en-GB"/>
        </w:rPr>
      </w:pPr>
      <w:r w:rsidRPr="00C14858">
        <w:rPr>
          <w:rFonts w:ascii="Arial" w:eastAsia="Times New Roman" w:hAnsi="Arial" w:cs="Arial"/>
          <w:color w:val="000000"/>
          <w:lang w:eastAsia="en-GB"/>
        </w:rPr>
        <w:t>Our contact details:</w:t>
      </w:r>
    </w:p>
    <w:p w14:paraId="7A5081DA" w14:textId="77777777" w:rsidR="00C14858" w:rsidRPr="00C14858" w:rsidRDefault="00C14858" w:rsidP="00C14858">
      <w:pPr>
        <w:jc w:val="both"/>
        <w:rPr>
          <w:rFonts w:ascii="Arial" w:eastAsia="Times New Roman" w:hAnsi="Arial" w:cs="Arial"/>
          <w:color w:val="000000"/>
          <w:lang w:eastAsia="en-GB"/>
        </w:rPr>
      </w:pPr>
      <w:r w:rsidRPr="00C14858">
        <w:rPr>
          <w:rFonts w:ascii="Arial" w:eastAsia="Times New Roman" w:hAnsi="Arial" w:cs="Arial"/>
          <w:color w:val="000000"/>
          <w:lang w:eastAsia="en-GB"/>
        </w:rPr>
        <w:t>Dr Tatiana Fic</w:t>
      </w:r>
    </w:p>
    <w:p w14:paraId="7D929236" w14:textId="77777777" w:rsidR="00C14858" w:rsidRPr="00C14858" w:rsidRDefault="00C14858" w:rsidP="00C14858">
      <w:pPr>
        <w:jc w:val="both"/>
        <w:rPr>
          <w:rFonts w:ascii="Arial" w:eastAsia="Times New Roman" w:hAnsi="Arial" w:cs="Arial"/>
          <w:color w:val="000000"/>
          <w:lang w:eastAsia="en-GB"/>
        </w:rPr>
      </w:pPr>
      <w:r w:rsidRPr="00C14858">
        <w:rPr>
          <w:rFonts w:ascii="Arial" w:eastAsia="Times New Roman" w:hAnsi="Arial" w:cs="Arial"/>
          <w:color w:val="000000"/>
          <w:lang w:eastAsia="en-GB"/>
        </w:rPr>
        <w:t>Director, Central Banks and Public Policy</w:t>
      </w:r>
    </w:p>
    <w:p w14:paraId="7B0011EE" w14:textId="77777777" w:rsidR="00C14858" w:rsidRPr="00C14858" w:rsidRDefault="00C14858" w:rsidP="00C14858">
      <w:pPr>
        <w:jc w:val="both"/>
        <w:rPr>
          <w:rFonts w:ascii="Arial" w:eastAsia="Times New Roman" w:hAnsi="Arial" w:cs="Arial"/>
          <w:color w:val="000000"/>
          <w:lang w:val="fr-FR" w:eastAsia="en-GB"/>
        </w:rPr>
      </w:pPr>
      <w:r w:rsidRPr="00C14858">
        <w:rPr>
          <w:rFonts w:ascii="Arial" w:eastAsia="Times New Roman" w:hAnsi="Arial" w:cs="Arial"/>
          <w:color w:val="000000"/>
          <w:lang w:val="fr-FR" w:eastAsia="en-GB"/>
        </w:rPr>
        <w:t xml:space="preserve">Email: </w:t>
      </w:r>
      <w:hyperlink r:id="rId8" w:history="1">
        <w:r w:rsidRPr="00C14858">
          <w:rPr>
            <w:rStyle w:val="Hyperlink"/>
            <w:rFonts w:ascii="Arial" w:eastAsia="Times New Roman" w:hAnsi="Arial" w:cs="Arial"/>
            <w:lang w:val="fr-FR" w:eastAsia="en-GB"/>
          </w:rPr>
          <w:t>Tatiana.fic@gold.org</w:t>
        </w:r>
      </w:hyperlink>
    </w:p>
    <w:p w14:paraId="4CBCE274" w14:textId="77777777" w:rsidR="00C14858" w:rsidRPr="00C14858" w:rsidRDefault="00C14858" w:rsidP="00C14858">
      <w:pPr>
        <w:jc w:val="both"/>
        <w:rPr>
          <w:rFonts w:ascii="Arial" w:eastAsia="Times New Roman" w:hAnsi="Arial" w:cs="Arial"/>
          <w:color w:val="000000"/>
          <w:lang w:val="fr-FR" w:eastAsia="en-GB"/>
        </w:rPr>
      </w:pPr>
      <w:r w:rsidRPr="00C14858">
        <w:rPr>
          <w:rFonts w:ascii="Arial" w:eastAsia="Times New Roman" w:hAnsi="Arial" w:cs="Arial"/>
          <w:color w:val="000000"/>
          <w:lang w:val="fr-FR" w:eastAsia="en-GB"/>
        </w:rPr>
        <w:t>Phone: +44 7525 990 059</w:t>
      </w:r>
    </w:p>
    <w:p w14:paraId="6E234D32" w14:textId="77777777" w:rsidR="00B93B88" w:rsidRPr="000C30AB" w:rsidRDefault="00B93B88" w:rsidP="00C14858">
      <w:pPr>
        <w:jc w:val="both"/>
        <w:rPr>
          <w:rFonts w:ascii="Arial" w:eastAsia="Times New Roman" w:hAnsi="Arial" w:cs="Arial"/>
          <w:color w:val="000000"/>
          <w:lang w:val="fr-FR" w:eastAsia="en-GB"/>
        </w:rPr>
      </w:pPr>
    </w:p>
    <w:p w14:paraId="054853E3" w14:textId="7DC0F27B" w:rsidR="00C14858" w:rsidRPr="00C14858" w:rsidRDefault="00C14858" w:rsidP="00C14858">
      <w:pPr>
        <w:jc w:val="both"/>
        <w:rPr>
          <w:rFonts w:ascii="Arial" w:eastAsia="Times New Roman" w:hAnsi="Arial" w:cs="Arial"/>
          <w:color w:val="000000"/>
          <w:lang w:eastAsia="en-GB"/>
        </w:rPr>
      </w:pPr>
      <w:r w:rsidRPr="00C14858">
        <w:rPr>
          <w:rFonts w:ascii="Arial" w:eastAsia="Times New Roman" w:hAnsi="Arial" w:cs="Arial"/>
          <w:color w:val="000000"/>
          <w:lang w:eastAsia="en-GB"/>
        </w:rPr>
        <w:t>Yours sincerely,</w:t>
      </w:r>
    </w:p>
    <w:p w14:paraId="4BF966E3" w14:textId="0FD3D57A" w:rsidR="001346A4" w:rsidRPr="00B93B88" w:rsidRDefault="00C14858" w:rsidP="00B93B88">
      <w:pPr>
        <w:jc w:val="both"/>
        <w:rPr>
          <w:rFonts w:ascii="Arial" w:eastAsia="Times New Roman" w:hAnsi="Arial" w:cs="Arial"/>
          <w:color w:val="000000"/>
          <w:lang w:eastAsia="en-GB"/>
        </w:rPr>
      </w:pPr>
      <w:r w:rsidRPr="00C14858">
        <w:rPr>
          <w:rFonts w:ascii="Arial" w:eastAsia="Times New Roman" w:hAnsi="Arial" w:cs="Arial"/>
          <w:color w:val="000000"/>
          <w:lang w:eastAsia="en-GB"/>
        </w:rPr>
        <w:t>The World Gold Counci</w:t>
      </w:r>
      <w:r w:rsidR="00E55DB7">
        <w:rPr>
          <w:rFonts w:ascii="Arial" w:eastAsia="Times New Roman" w:hAnsi="Arial" w:cs="Arial"/>
          <w:color w:val="000000"/>
          <w:lang w:eastAsia="en-GB"/>
        </w:rPr>
        <w:t>l</w:t>
      </w:r>
    </w:p>
    <w:sectPr w:rsidR="001346A4" w:rsidRPr="00B93B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E0C59" w14:textId="77777777" w:rsidR="00BB2797" w:rsidRDefault="00BB2797" w:rsidP="001D0FB9">
      <w:pPr>
        <w:spacing w:after="0" w:line="240" w:lineRule="auto"/>
      </w:pPr>
      <w:r>
        <w:separator/>
      </w:r>
    </w:p>
  </w:endnote>
  <w:endnote w:type="continuationSeparator" w:id="0">
    <w:p w14:paraId="56F4A0DF" w14:textId="77777777" w:rsidR="00BB2797" w:rsidRDefault="00BB2797" w:rsidP="001D0FB9">
      <w:pPr>
        <w:spacing w:after="0" w:line="240" w:lineRule="auto"/>
      </w:pPr>
      <w:r>
        <w:continuationSeparator/>
      </w:r>
    </w:p>
  </w:endnote>
  <w:endnote w:type="continuationNotice" w:id="1">
    <w:p w14:paraId="1959EFF7" w14:textId="77777777" w:rsidR="00BB2797" w:rsidRDefault="00BB27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8F217" w14:textId="77777777" w:rsidR="00BB2797" w:rsidRDefault="00BB2797" w:rsidP="001D0FB9">
      <w:pPr>
        <w:spacing w:after="0" w:line="240" w:lineRule="auto"/>
      </w:pPr>
      <w:r>
        <w:separator/>
      </w:r>
    </w:p>
  </w:footnote>
  <w:footnote w:type="continuationSeparator" w:id="0">
    <w:p w14:paraId="770D611B" w14:textId="77777777" w:rsidR="00BB2797" w:rsidRDefault="00BB2797" w:rsidP="001D0FB9">
      <w:pPr>
        <w:spacing w:after="0" w:line="240" w:lineRule="auto"/>
      </w:pPr>
      <w:r>
        <w:continuationSeparator/>
      </w:r>
    </w:p>
  </w:footnote>
  <w:footnote w:type="continuationNotice" w:id="1">
    <w:p w14:paraId="3194E4DE" w14:textId="77777777" w:rsidR="00BB2797" w:rsidRDefault="00BB2797">
      <w:pPr>
        <w:spacing w:after="0" w:line="240" w:lineRule="auto"/>
      </w:pPr>
    </w:p>
  </w:footnote>
  <w:footnote w:id="2">
    <w:p w14:paraId="6AC83D3B" w14:textId="53B3FF4A" w:rsidR="001D0FB9" w:rsidRPr="00062460" w:rsidRDefault="001D0FB9" w:rsidP="001D0FB9">
      <w:pPr>
        <w:pStyle w:val="FootnoteText"/>
      </w:pPr>
      <w:r>
        <w:rPr>
          <w:rStyle w:val="FootnoteReference"/>
        </w:rPr>
        <w:footnoteRef/>
      </w:r>
      <w:r>
        <w:t xml:space="preserve"> Source: Above Ground Stocks, 202</w:t>
      </w:r>
      <w:r w:rsidR="001346A4">
        <w:t>3</w:t>
      </w:r>
      <w:r>
        <w:t xml:space="preserve">, </w:t>
      </w:r>
      <w:r w:rsidR="00AA6A94">
        <w:t xml:space="preserve">prices as of 19 July 2024, </w:t>
      </w:r>
      <w:r>
        <w:t>https://www.goldhub.com</w:t>
      </w:r>
    </w:p>
  </w:footnote>
  <w:footnote w:id="3">
    <w:p w14:paraId="60ABC902" w14:textId="77777777" w:rsidR="00C14858" w:rsidRPr="003B74C8" w:rsidRDefault="00C14858" w:rsidP="00C14858">
      <w:pPr>
        <w:pStyle w:val="FootnoteText"/>
      </w:pPr>
      <w:r>
        <w:rPr>
          <w:rStyle w:val="FootnoteReference"/>
        </w:rPr>
        <w:footnoteRef/>
      </w:r>
      <w:r>
        <w:t xml:space="preserve"> See </w:t>
      </w:r>
      <w:r w:rsidRPr="003B74C8">
        <w:t>https://paxos.com/paxgold/</w:t>
      </w:r>
    </w:p>
  </w:footnote>
  <w:footnote w:id="4">
    <w:p w14:paraId="394B3BD3" w14:textId="77777777" w:rsidR="00C14858" w:rsidRDefault="00C14858" w:rsidP="00C14858">
      <w:pPr>
        <w:pStyle w:val="FootnoteText"/>
      </w:pPr>
      <w:r>
        <w:rPr>
          <w:rStyle w:val="FootnoteReference"/>
        </w:rPr>
        <w:footnoteRef/>
      </w:r>
      <w:r>
        <w:t xml:space="preserve"> </w:t>
      </w:r>
      <w:r w:rsidRPr="00635A76">
        <w:t xml:space="preserve">See </w:t>
      </w:r>
      <w:hyperlink r:id="rId1" w:history="1">
        <w:r w:rsidRPr="000A2D0D">
          <w:rPr>
            <w:rStyle w:val="Hyperlink"/>
          </w:rPr>
          <w:t>https://dgld.ch/</w:t>
        </w:r>
      </w:hyperlink>
      <w:r>
        <w:t xml:space="preserve"> </w:t>
      </w:r>
    </w:p>
  </w:footnote>
  <w:footnote w:id="5">
    <w:p w14:paraId="1642EF49" w14:textId="77777777" w:rsidR="00C14858" w:rsidRDefault="00C14858" w:rsidP="00C14858">
      <w:pPr>
        <w:pStyle w:val="FootnoteText"/>
      </w:pPr>
      <w:r>
        <w:rPr>
          <w:rStyle w:val="FootnoteReference"/>
        </w:rPr>
        <w:footnoteRef/>
      </w:r>
      <w:r>
        <w:t xml:space="preserve"> See</w:t>
      </w:r>
      <w:r w:rsidRPr="00635A76">
        <w:t xml:space="preserve"> </w:t>
      </w:r>
      <w:hyperlink r:id="rId2" w:history="1">
        <w:r w:rsidRPr="000A2D0D">
          <w:rPr>
            <w:rStyle w:val="Hyperlink"/>
          </w:rPr>
          <w:t>https://vnx.li/</w:t>
        </w:r>
      </w:hyperlink>
      <w:r>
        <w:t xml:space="preserve"> </w:t>
      </w:r>
    </w:p>
  </w:footnote>
  <w:footnote w:id="6">
    <w:p w14:paraId="20E290FF" w14:textId="77777777" w:rsidR="00C14858" w:rsidRPr="00D55C71" w:rsidRDefault="00C14858" w:rsidP="00C14858">
      <w:pPr>
        <w:pStyle w:val="FootnoteText"/>
      </w:pPr>
      <w:r>
        <w:rPr>
          <w:rStyle w:val="FootnoteReference"/>
        </w:rPr>
        <w:footnoteRef/>
      </w:r>
      <w:r>
        <w:t xml:space="preserve"> See </w:t>
      </w:r>
      <w:hyperlink r:id="rId3" w:history="1">
        <w:r w:rsidRPr="00222DCE">
          <w:rPr>
            <w:rStyle w:val="Hyperlink"/>
          </w:rPr>
          <w:t>https://gold.tether.to/</w:t>
        </w:r>
      </w:hyperlink>
      <w:r>
        <w:t xml:space="preserve">  </w:t>
      </w:r>
    </w:p>
  </w:footnote>
  <w:footnote w:id="7">
    <w:p w14:paraId="7CFDD72F" w14:textId="7B47372A" w:rsidR="00053D3E" w:rsidRPr="00053D3E" w:rsidRDefault="00053D3E">
      <w:pPr>
        <w:pStyle w:val="FootnoteText"/>
        <w:rPr>
          <w:lang w:val="en-US"/>
        </w:rPr>
      </w:pPr>
      <w:r>
        <w:rPr>
          <w:rStyle w:val="FootnoteReference"/>
        </w:rPr>
        <w:footnoteRef/>
      </w:r>
      <w:r>
        <w:t xml:space="preserve"> </w:t>
      </w:r>
      <w:r w:rsidRPr="00053D3E">
        <w:rPr>
          <w:lang w:val="en-US"/>
        </w:rPr>
        <w:t>Source: coinmarketcap.com as of Ju</w:t>
      </w:r>
      <w:r>
        <w:rPr>
          <w:lang w:val="en-US"/>
        </w:rPr>
        <w:t>ly 21, 2024</w:t>
      </w:r>
    </w:p>
  </w:footnote>
  <w:footnote w:id="8">
    <w:p w14:paraId="55468C1A" w14:textId="77777777" w:rsidR="00053D3E" w:rsidRPr="00A85812" w:rsidRDefault="00053D3E" w:rsidP="00053D3E">
      <w:pPr>
        <w:pStyle w:val="FootnoteText"/>
      </w:pPr>
      <w:r>
        <w:rPr>
          <w:rStyle w:val="FootnoteReference"/>
        </w:rPr>
        <w:footnoteRef/>
      </w:r>
      <w:r>
        <w:t xml:space="preserve"> See art.50(2) under the </w:t>
      </w:r>
      <w:r w:rsidRPr="00CD3AC2">
        <w:t>“Obligations concerning the investment policies of UCITS”</w:t>
      </w:r>
      <w:r>
        <w:t>.</w:t>
      </w:r>
    </w:p>
  </w:footnote>
  <w:footnote w:id="9">
    <w:p w14:paraId="4EDF766C" w14:textId="64CD0E6F" w:rsidR="00272393" w:rsidRPr="00272393" w:rsidRDefault="00272393">
      <w:pPr>
        <w:pStyle w:val="FootnoteText"/>
      </w:pPr>
      <w:r>
        <w:rPr>
          <w:rStyle w:val="FootnoteReference"/>
        </w:rPr>
        <w:footnoteRef/>
      </w:r>
      <w:r>
        <w:t xml:space="preserve"> Source: ETF Flows July 2024, https://www.goldhub.com</w:t>
      </w:r>
    </w:p>
  </w:footnote>
  <w:footnote w:id="10">
    <w:p w14:paraId="2A518439" w14:textId="256F0CE6" w:rsidR="004549F0" w:rsidRPr="004549F0" w:rsidRDefault="004549F0">
      <w:pPr>
        <w:pStyle w:val="FootnoteText"/>
      </w:pPr>
      <w:r>
        <w:rPr>
          <w:rStyle w:val="FootnoteReference"/>
        </w:rPr>
        <w:footnoteRef/>
      </w:r>
      <w:r>
        <w:t xml:space="preserve"> </w:t>
      </w:r>
      <w:r w:rsidR="005512F8">
        <w:t xml:space="preserve">Source: </w:t>
      </w:r>
      <w:hyperlink r:id="rId4" w:history="1">
        <w:r w:rsidR="00021B73" w:rsidRPr="00AB306A">
          <w:rPr>
            <w:rStyle w:val="Hyperlink"/>
          </w:rPr>
          <w:t>https://globalxetfs.eu/content/files/Monthly-Thematic-UCITS-ETF-Report-June-2024-1.pdf</w:t>
        </w:r>
      </w:hyperlink>
      <w:r w:rsidR="00021B73">
        <w:t xml:space="preserve"> </w:t>
      </w:r>
      <w:r w:rsidR="009F04F1">
        <w:t xml:space="preserve">  </w:t>
      </w:r>
      <w:r w:rsidR="00021B73">
        <w:t>on the growth of thematic ETFs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D7B74"/>
    <w:multiLevelType w:val="hybridMultilevel"/>
    <w:tmpl w:val="BE240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B5876"/>
    <w:multiLevelType w:val="hybridMultilevel"/>
    <w:tmpl w:val="DAA6D16C"/>
    <w:lvl w:ilvl="0" w:tplc="5B8201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03061"/>
    <w:multiLevelType w:val="hybridMultilevel"/>
    <w:tmpl w:val="19703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A17FAD"/>
    <w:multiLevelType w:val="hybridMultilevel"/>
    <w:tmpl w:val="DE1A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1642975">
    <w:abstractNumId w:val="0"/>
  </w:num>
  <w:num w:numId="2" w16cid:durableId="1498688705">
    <w:abstractNumId w:val="1"/>
  </w:num>
  <w:num w:numId="3" w16cid:durableId="1948923737">
    <w:abstractNumId w:val="3"/>
  </w:num>
  <w:num w:numId="4" w16cid:durableId="903220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BBB"/>
    <w:rsid w:val="000145A6"/>
    <w:rsid w:val="00016C42"/>
    <w:rsid w:val="00021B73"/>
    <w:rsid w:val="000248F0"/>
    <w:rsid w:val="0003729D"/>
    <w:rsid w:val="00046822"/>
    <w:rsid w:val="000511BF"/>
    <w:rsid w:val="00052827"/>
    <w:rsid w:val="00053D3E"/>
    <w:rsid w:val="00070DC5"/>
    <w:rsid w:val="00070FAF"/>
    <w:rsid w:val="00071962"/>
    <w:rsid w:val="00082A3F"/>
    <w:rsid w:val="00082E96"/>
    <w:rsid w:val="000853B9"/>
    <w:rsid w:val="00095D07"/>
    <w:rsid w:val="000A2E57"/>
    <w:rsid w:val="000B4817"/>
    <w:rsid w:val="000B71A4"/>
    <w:rsid w:val="000C24D8"/>
    <w:rsid w:val="000C30AB"/>
    <w:rsid w:val="000C5BD8"/>
    <w:rsid w:val="000C7845"/>
    <w:rsid w:val="000C7B91"/>
    <w:rsid w:val="000D6E18"/>
    <w:rsid w:val="000D72F6"/>
    <w:rsid w:val="000D7738"/>
    <w:rsid w:val="000E6D4E"/>
    <w:rsid w:val="00100DB6"/>
    <w:rsid w:val="00104C3C"/>
    <w:rsid w:val="00124871"/>
    <w:rsid w:val="0012774E"/>
    <w:rsid w:val="00131D23"/>
    <w:rsid w:val="00133135"/>
    <w:rsid w:val="001345B3"/>
    <w:rsid w:val="001346A4"/>
    <w:rsid w:val="0013780A"/>
    <w:rsid w:val="00166DE2"/>
    <w:rsid w:val="00175421"/>
    <w:rsid w:val="0017690A"/>
    <w:rsid w:val="00176D58"/>
    <w:rsid w:val="001775C5"/>
    <w:rsid w:val="001807F2"/>
    <w:rsid w:val="001942D3"/>
    <w:rsid w:val="001947B7"/>
    <w:rsid w:val="00194D26"/>
    <w:rsid w:val="001A2642"/>
    <w:rsid w:val="001A2B7C"/>
    <w:rsid w:val="001B4E3E"/>
    <w:rsid w:val="001C6894"/>
    <w:rsid w:val="001D0FB9"/>
    <w:rsid w:val="001E19E0"/>
    <w:rsid w:val="001E77FA"/>
    <w:rsid w:val="001F0BD3"/>
    <w:rsid w:val="001F3015"/>
    <w:rsid w:val="00214D78"/>
    <w:rsid w:val="00221C0B"/>
    <w:rsid w:val="00236EAC"/>
    <w:rsid w:val="00240C34"/>
    <w:rsid w:val="00243961"/>
    <w:rsid w:val="00272393"/>
    <w:rsid w:val="00282B64"/>
    <w:rsid w:val="002831A9"/>
    <w:rsid w:val="0028411C"/>
    <w:rsid w:val="00284FB3"/>
    <w:rsid w:val="002A1C49"/>
    <w:rsid w:val="002A433E"/>
    <w:rsid w:val="002B3AFD"/>
    <w:rsid w:val="002C1B9B"/>
    <w:rsid w:val="002C58FC"/>
    <w:rsid w:val="002C75EE"/>
    <w:rsid w:val="002D5496"/>
    <w:rsid w:val="002E1CF6"/>
    <w:rsid w:val="002E2303"/>
    <w:rsid w:val="002F52B0"/>
    <w:rsid w:val="002F74F0"/>
    <w:rsid w:val="00313AA3"/>
    <w:rsid w:val="003205F6"/>
    <w:rsid w:val="00331B04"/>
    <w:rsid w:val="003331B2"/>
    <w:rsid w:val="00337816"/>
    <w:rsid w:val="0034382A"/>
    <w:rsid w:val="003465C6"/>
    <w:rsid w:val="00346D6D"/>
    <w:rsid w:val="00372350"/>
    <w:rsid w:val="003726F1"/>
    <w:rsid w:val="003818B2"/>
    <w:rsid w:val="00384BBF"/>
    <w:rsid w:val="00385B0D"/>
    <w:rsid w:val="0039680D"/>
    <w:rsid w:val="003A00A2"/>
    <w:rsid w:val="003C0E65"/>
    <w:rsid w:val="003D177C"/>
    <w:rsid w:val="003D3845"/>
    <w:rsid w:val="003D6973"/>
    <w:rsid w:val="003E0592"/>
    <w:rsid w:val="003E2383"/>
    <w:rsid w:val="003E26DD"/>
    <w:rsid w:val="003E3C0C"/>
    <w:rsid w:val="003F0DAA"/>
    <w:rsid w:val="003F1E69"/>
    <w:rsid w:val="003F2BC2"/>
    <w:rsid w:val="003F4129"/>
    <w:rsid w:val="0041273B"/>
    <w:rsid w:val="00417F99"/>
    <w:rsid w:val="00425FA6"/>
    <w:rsid w:val="004266FF"/>
    <w:rsid w:val="00437362"/>
    <w:rsid w:val="00437819"/>
    <w:rsid w:val="00441866"/>
    <w:rsid w:val="004549F0"/>
    <w:rsid w:val="00482A7D"/>
    <w:rsid w:val="00483462"/>
    <w:rsid w:val="00492657"/>
    <w:rsid w:val="00497CF2"/>
    <w:rsid w:val="004B32BB"/>
    <w:rsid w:val="004B7A12"/>
    <w:rsid w:val="004D2668"/>
    <w:rsid w:val="004D53BA"/>
    <w:rsid w:val="004F0C6D"/>
    <w:rsid w:val="004F2886"/>
    <w:rsid w:val="0050475B"/>
    <w:rsid w:val="00522CFE"/>
    <w:rsid w:val="00527114"/>
    <w:rsid w:val="00534481"/>
    <w:rsid w:val="005512F8"/>
    <w:rsid w:val="00570701"/>
    <w:rsid w:val="005745A6"/>
    <w:rsid w:val="0058140F"/>
    <w:rsid w:val="00584CA8"/>
    <w:rsid w:val="00590DF9"/>
    <w:rsid w:val="00595348"/>
    <w:rsid w:val="005A68BC"/>
    <w:rsid w:val="005B356B"/>
    <w:rsid w:val="005B3A45"/>
    <w:rsid w:val="005B78F8"/>
    <w:rsid w:val="005C134D"/>
    <w:rsid w:val="005C5FC8"/>
    <w:rsid w:val="005D6CAF"/>
    <w:rsid w:val="005D752E"/>
    <w:rsid w:val="005E7BA9"/>
    <w:rsid w:val="005F2CB8"/>
    <w:rsid w:val="005F2DBE"/>
    <w:rsid w:val="0060294A"/>
    <w:rsid w:val="00611A2C"/>
    <w:rsid w:val="006153EB"/>
    <w:rsid w:val="006364EA"/>
    <w:rsid w:val="006426B9"/>
    <w:rsid w:val="00643258"/>
    <w:rsid w:val="006466AD"/>
    <w:rsid w:val="00650932"/>
    <w:rsid w:val="00653163"/>
    <w:rsid w:val="0065580D"/>
    <w:rsid w:val="00655CF4"/>
    <w:rsid w:val="00662224"/>
    <w:rsid w:val="00667E33"/>
    <w:rsid w:val="00670BBB"/>
    <w:rsid w:val="006712A4"/>
    <w:rsid w:val="006748B9"/>
    <w:rsid w:val="00675869"/>
    <w:rsid w:val="00684E0B"/>
    <w:rsid w:val="006905C4"/>
    <w:rsid w:val="006959F0"/>
    <w:rsid w:val="006A1E56"/>
    <w:rsid w:val="006A3816"/>
    <w:rsid w:val="006B189D"/>
    <w:rsid w:val="006D659E"/>
    <w:rsid w:val="006E3CA7"/>
    <w:rsid w:val="006E65B4"/>
    <w:rsid w:val="006F40EC"/>
    <w:rsid w:val="007074F9"/>
    <w:rsid w:val="007135FC"/>
    <w:rsid w:val="00726524"/>
    <w:rsid w:val="00736967"/>
    <w:rsid w:val="00740066"/>
    <w:rsid w:val="007525BD"/>
    <w:rsid w:val="00760458"/>
    <w:rsid w:val="00771138"/>
    <w:rsid w:val="007767DF"/>
    <w:rsid w:val="00777C85"/>
    <w:rsid w:val="0078027A"/>
    <w:rsid w:val="00790CBD"/>
    <w:rsid w:val="00790DB4"/>
    <w:rsid w:val="00793C47"/>
    <w:rsid w:val="007952B9"/>
    <w:rsid w:val="007A2384"/>
    <w:rsid w:val="007A6492"/>
    <w:rsid w:val="007C1289"/>
    <w:rsid w:val="007D28AD"/>
    <w:rsid w:val="007E03F3"/>
    <w:rsid w:val="007E0BCA"/>
    <w:rsid w:val="007F5A0C"/>
    <w:rsid w:val="00803E9C"/>
    <w:rsid w:val="008057F8"/>
    <w:rsid w:val="00820F30"/>
    <w:rsid w:val="0082273F"/>
    <w:rsid w:val="00823957"/>
    <w:rsid w:val="00827B50"/>
    <w:rsid w:val="00834702"/>
    <w:rsid w:val="008354CE"/>
    <w:rsid w:val="00840803"/>
    <w:rsid w:val="00866FE5"/>
    <w:rsid w:val="008678ED"/>
    <w:rsid w:val="0087438B"/>
    <w:rsid w:val="00883F03"/>
    <w:rsid w:val="00887B85"/>
    <w:rsid w:val="00895D2D"/>
    <w:rsid w:val="008A008C"/>
    <w:rsid w:val="008C458C"/>
    <w:rsid w:val="008D3E9A"/>
    <w:rsid w:val="008E565F"/>
    <w:rsid w:val="008F27A7"/>
    <w:rsid w:val="00907CF0"/>
    <w:rsid w:val="00917FC6"/>
    <w:rsid w:val="00921BD3"/>
    <w:rsid w:val="00925775"/>
    <w:rsid w:val="00925BAF"/>
    <w:rsid w:val="00926151"/>
    <w:rsid w:val="009402D8"/>
    <w:rsid w:val="00953A23"/>
    <w:rsid w:val="00973FCB"/>
    <w:rsid w:val="00974424"/>
    <w:rsid w:val="009778AC"/>
    <w:rsid w:val="009837E0"/>
    <w:rsid w:val="00985533"/>
    <w:rsid w:val="00995910"/>
    <w:rsid w:val="009B52E5"/>
    <w:rsid w:val="009C07B0"/>
    <w:rsid w:val="009C654D"/>
    <w:rsid w:val="009C794A"/>
    <w:rsid w:val="009C7AD2"/>
    <w:rsid w:val="009D26F7"/>
    <w:rsid w:val="009D3294"/>
    <w:rsid w:val="009D4145"/>
    <w:rsid w:val="009E3512"/>
    <w:rsid w:val="009E524C"/>
    <w:rsid w:val="009F04F1"/>
    <w:rsid w:val="009F3CA4"/>
    <w:rsid w:val="009F498E"/>
    <w:rsid w:val="00A013C4"/>
    <w:rsid w:val="00A068A3"/>
    <w:rsid w:val="00A15D6B"/>
    <w:rsid w:val="00A165BD"/>
    <w:rsid w:val="00A23C65"/>
    <w:rsid w:val="00A24B72"/>
    <w:rsid w:val="00A25888"/>
    <w:rsid w:val="00A32E56"/>
    <w:rsid w:val="00A36FC9"/>
    <w:rsid w:val="00A37A2B"/>
    <w:rsid w:val="00A57F8A"/>
    <w:rsid w:val="00A86590"/>
    <w:rsid w:val="00A8722D"/>
    <w:rsid w:val="00A92BB4"/>
    <w:rsid w:val="00AA61D5"/>
    <w:rsid w:val="00AA6A94"/>
    <w:rsid w:val="00AA6B00"/>
    <w:rsid w:val="00AC0B86"/>
    <w:rsid w:val="00AC0D9F"/>
    <w:rsid w:val="00AC1C5B"/>
    <w:rsid w:val="00AC1CF2"/>
    <w:rsid w:val="00AC3FB3"/>
    <w:rsid w:val="00AC5005"/>
    <w:rsid w:val="00AD7C45"/>
    <w:rsid w:val="00AE05E1"/>
    <w:rsid w:val="00AE07C1"/>
    <w:rsid w:val="00AE4575"/>
    <w:rsid w:val="00AE6CC0"/>
    <w:rsid w:val="00B004DD"/>
    <w:rsid w:val="00B0554F"/>
    <w:rsid w:val="00B111E1"/>
    <w:rsid w:val="00B16E6D"/>
    <w:rsid w:val="00B170B2"/>
    <w:rsid w:val="00B26646"/>
    <w:rsid w:val="00B419D0"/>
    <w:rsid w:val="00B45019"/>
    <w:rsid w:val="00B70F6B"/>
    <w:rsid w:val="00B71AAE"/>
    <w:rsid w:val="00B82944"/>
    <w:rsid w:val="00B82A11"/>
    <w:rsid w:val="00B92380"/>
    <w:rsid w:val="00B93B88"/>
    <w:rsid w:val="00BA038F"/>
    <w:rsid w:val="00BA5B69"/>
    <w:rsid w:val="00BB2797"/>
    <w:rsid w:val="00BB2DC2"/>
    <w:rsid w:val="00BB7586"/>
    <w:rsid w:val="00BC2542"/>
    <w:rsid w:val="00BE270B"/>
    <w:rsid w:val="00BF0D13"/>
    <w:rsid w:val="00BF24D4"/>
    <w:rsid w:val="00BF3D98"/>
    <w:rsid w:val="00BF52DD"/>
    <w:rsid w:val="00C0583A"/>
    <w:rsid w:val="00C06249"/>
    <w:rsid w:val="00C13EA2"/>
    <w:rsid w:val="00C14858"/>
    <w:rsid w:val="00C15888"/>
    <w:rsid w:val="00C22572"/>
    <w:rsid w:val="00C33BCB"/>
    <w:rsid w:val="00C40013"/>
    <w:rsid w:val="00C448C3"/>
    <w:rsid w:val="00C47858"/>
    <w:rsid w:val="00C47F5B"/>
    <w:rsid w:val="00C50587"/>
    <w:rsid w:val="00C52611"/>
    <w:rsid w:val="00C53049"/>
    <w:rsid w:val="00C54FB2"/>
    <w:rsid w:val="00C6641A"/>
    <w:rsid w:val="00C73238"/>
    <w:rsid w:val="00C752B5"/>
    <w:rsid w:val="00C82DDA"/>
    <w:rsid w:val="00CA12A8"/>
    <w:rsid w:val="00CA264C"/>
    <w:rsid w:val="00CA46CF"/>
    <w:rsid w:val="00CB5638"/>
    <w:rsid w:val="00CC0005"/>
    <w:rsid w:val="00CD1BAA"/>
    <w:rsid w:val="00CD67EB"/>
    <w:rsid w:val="00CE67A9"/>
    <w:rsid w:val="00CF0863"/>
    <w:rsid w:val="00CF6EBD"/>
    <w:rsid w:val="00D00AE3"/>
    <w:rsid w:val="00D02E45"/>
    <w:rsid w:val="00D056AB"/>
    <w:rsid w:val="00D2249C"/>
    <w:rsid w:val="00D260F8"/>
    <w:rsid w:val="00D26680"/>
    <w:rsid w:val="00D346D5"/>
    <w:rsid w:val="00D3541A"/>
    <w:rsid w:val="00D35533"/>
    <w:rsid w:val="00D4337F"/>
    <w:rsid w:val="00D47DD5"/>
    <w:rsid w:val="00D62127"/>
    <w:rsid w:val="00D631B8"/>
    <w:rsid w:val="00D6404A"/>
    <w:rsid w:val="00D8132A"/>
    <w:rsid w:val="00D92232"/>
    <w:rsid w:val="00D9466F"/>
    <w:rsid w:val="00DA0523"/>
    <w:rsid w:val="00DA2885"/>
    <w:rsid w:val="00DB3163"/>
    <w:rsid w:val="00DB6CAF"/>
    <w:rsid w:val="00DC0C9F"/>
    <w:rsid w:val="00DD60E2"/>
    <w:rsid w:val="00DD6FA8"/>
    <w:rsid w:val="00DE40BE"/>
    <w:rsid w:val="00DF3255"/>
    <w:rsid w:val="00DF489A"/>
    <w:rsid w:val="00E045F5"/>
    <w:rsid w:val="00E065CE"/>
    <w:rsid w:val="00E11A21"/>
    <w:rsid w:val="00E17FF5"/>
    <w:rsid w:val="00E20D70"/>
    <w:rsid w:val="00E35311"/>
    <w:rsid w:val="00E46060"/>
    <w:rsid w:val="00E509A6"/>
    <w:rsid w:val="00E50EAA"/>
    <w:rsid w:val="00E52470"/>
    <w:rsid w:val="00E54C15"/>
    <w:rsid w:val="00E55CC2"/>
    <w:rsid w:val="00E55DB7"/>
    <w:rsid w:val="00E60788"/>
    <w:rsid w:val="00E620C4"/>
    <w:rsid w:val="00E703E6"/>
    <w:rsid w:val="00E7503F"/>
    <w:rsid w:val="00E772BC"/>
    <w:rsid w:val="00E834E1"/>
    <w:rsid w:val="00EA1754"/>
    <w:rsid w:val="00EA53C2"/>
    <w:rsid w:val="00EB07EB"/>
    <w:rsid w:val="00EB1B89"/>
    <w:rsid w:val="00EC47D1"/>
    <w:rsid w:val="00EC6554"/>
    <w:rsid w:val="00ED66FF"/>
    <w:rsid w:val="00EE4128"/>
    <w:rsid w:val="00EE4159"/>
    <w:rsid w:val="00EF7BB8"/>
    <w:rsid w:val="00F00A4C"/>
    <w:rsid w:val="00F1015D"/>
    <w:rsid w:val="00F12432"/>
    <w:rsid w:val="00F15109"/>
    <w:rsid w:val="00F151E6"/>
    <w:rsid w:val="00F21D93"/>
    <w:rsid w:val="00F27894"/>
    <w:rsid w:val="00F43FD0"/>
    <w:rsid w:val="00F46C80"/>
    <w:rsid w:val="00F50514"/>
    <w:rsid w:val="00F76A96"/>
    <w:rsid w:val="00F86BDB"/>
    <w:rsid w:val="00F93942"/>
    <w:rsid w:val="00F94A77"/>
    <w:rsid w:val="00F964E7"/>
    <w:rsid w:val="00FA545A"/>
    <w:rsid w:val="00FB0B4B"/>
    <w:rsid w:val="00FB1644"/>
    <w:rsid w:val="00FB1888"/>
    <w:rsid w:val="00FB6CD3"/>
    <w:rsid w:val="00FC1818"/>
    <w:rsid w:val="00FD1AAC"/>
    <w:rsid w:val="00FD1AEC"/>
    <w:rsid w:val="00FD6135"/>
    <w:rsid w:val="00FF6B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A8998"/>
  <w15:chartTrackingRefBased/>
  <w15:docId w15:val="{280560A0-6EDF-4F8B-97C1-AB03044A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BBB"/>
    <w:pPr>
      <w:ind w:left="720"/>
      <w:contextualSpacing/>
    </w:pPr>
  </w:style>
  <w:style w:type="paragraph" w:customStyle="1" w:styleId="Bodytext">
    <w:name w:val="_Body text"/>
    <w:basedOn w:val="Normal"/>
    <w:qFormat/>
    <w:rsid w:val="001D0FB9"/>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 w:val="left" w:pos="5528"/>
        <w:tab w:val="left" w:pos="5954"/>
        <w:tab w:val="left" w:pos="6379"/>
      </w:tabs>
      <w:spacing w:after="0" w:line="240" w:lineRule="atLeast"/>
    </w:pPr>
    <w:rPr>
      <w:rFonts w:ascii="Arial" w:eastAsiaTheme="minorHAnsi" w:hAnsi="Arial"/>
      <w:kern w:val="0"/>
      <w:sz w:val="20"/>
      <w:lang w:eastAsia="en-US"/>
    </w:rPr>
  </w:style>
  <w:style w:type="character" w:styleId="FootnoteReference">
    <w:name w:val="footnote reference"/>
    <w:basedOn w:val="DefaultParagraphFont"/>
    <w:uiPriority w:val="99"/>
    <w:unhideWhenUsed/>
    <w:rsid w:val="001D0FB9"/>
    <w:rPr>
      <w:rFonts w:ascii="Arial" w:hAnsi="Arial"/>
      <w:dstrike w:val="0"/>
      <w:sz w:val="14"/>
      <w:vertAlign w:val="superscript"/>
    </w:rPr>
  </w:style>
  <w:style w:type="paragraph" w:styleId="FootnoteText">
    <w:name w:val="footnote text"/>
    <w:basedOn w:val="Normal"/>
    <w:link w:val="FootnoteTextChar"/>
    <w:uiPriority w:val="99"/>
    <w:unhideWhenUsed/>
    <w:qFormat/>
    <w:rsid w:val="001D0FB9"/>
    <w:pPr>
      <w:tabs>
        <w:tab w:val="left" w:pos="85"/>
      </w:tabs>
      <w:spacing w:after="0" w:line="180" w:lineRule="atLeast"/>
      <w:ind w:left="85" w:hanging="85"/>
    </w:pPr>
    <w:rPr>
      <w:rFonts w:ascii="Arial" w:eastAsiaTheme="minorHAnsi" w:hAnsi="Arial"/>
      <w:kern w:val="0"/>
      <w:sz w:val="14"/>
      <w:szCs w:val="20"/>
      <w:lang w:eastAsia="en-US"/>
    </w:rPr>
  </w:style>
  <w:style w:type="character" w:customStyle="1" w:styleId="FootnoteTextChar">
    <w:name w:val="Footnote Text Char"/>
    <w:basedOn w:val="DefaultParagraphFont"/>
    <w:link w:val="FootnoteText"/>
    <w:uiPriority w:val="99"/>
    <w:rsid w:val="001D0FB9"/>
    <w:rPr>
      <w:rFonts w:ascii="Arial" w:eastAsiaTheme="minorHAnsi" w:hAnsi="Arial"/>
      <w:kern w:val="0"/>
      <w:sz w:val="14"/>
      <w:szCs w:val="20"/>
      <w:lang w:eastAsia="en-US"/>
    </w:rPr>
  </w:style>
  <w:style w:type="character" w:styleId="Hyperlink">
    <w:name w:val="Hyperlink"/>
    <w:basedOn w:val="DefaultParagraphFont"/>
    <w:uiPriority w:val="99"/>
    <w:unhideWhenUsed/>
    <w:rsid w:val="00C14858"/>
    <w:rPr>
      <w:color w:val="auto"/>
      <w:u w:val="none"/>
    </w:rPr>
  </w:style>
  <w:style w:type="character" w:styleId="UnresolvedMention">
    <w:name w:val="Unresolved Mention"/>
    <w:basedOn w:val="DefaultParagraphFont"/>
    <w:uiPriority w:val="99"/>
    <w:semiHidden/>
    <w:unhideWhenUsed/>
    <w:rsid w:val="00C14858"/>
    <w:rPr>
      <w:color w:val="605E5C"/>
      <w:shd w:val="clear" w:color="auto" w:fill="E1DFDD"/>
    </w:rPr>
  </w:style>
  <w:style w:type="paragraph" w:styleId="Header">
    <w:name w:val="header"/>
    <w:basedOn w:val="Normal"/>
    <w:link w:val="HeaderChar"/>
    <w:uiPriority w:val="99"/>
    <w:unhideWhenUsed/>
    <w:rsid w:val="00C058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83A"/>
  </w:style>
  <w:style w:type="paragraph" w:styleId="Footer">
    <w:name w:val="footer"/>
    <w:basedOn w:val="Normal"/>
    <w:link w:val="FooterChar"/>
    <w:uiPriority w:val="99"/>
    <w:unhideWhenUsed/>
    <w:rsid w:val="00C05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83A"/>
  </w:style>
  <w:style w:type="paragraph" w:styleId="Revision">
    <w:name w:val="Revision"/>
    <w:hidden/>
    <w:uiPriority w:val="99"/>
    <w:semiHidden/>
    <w:rsid w:val="00E50EAA"/>
    <w:pPr>
      <w:spacing w:after="0" w:line="240" w:lineRule="auto"/>
    </w:pPr>
  </w:style>
  <w:style w:type="character" w:styleId="CommentReference">
    <w:name w:val="annotation reference"/>
    <w:basedOn w:val="DefaultParagraphFont"/>
    <w:uiPriority w:val="99"/>
    <w:semiHidden/>
    <w:unhideWhenUsed/>
    <w:rsid w:val="00C448C3"/>
    <w:rPr>
      <w:sz w:val="16"/>
      <w:szCs w:val="16"/>
    </w:rPr>
  </w:style>
  <w:style w:type="paragraph" w:styleId="CommentText">
    <w:name w:val="annotation text"/>
    <w:basedOn w:val="Normal"/>
    <w:link w:val="CommentTextChar"/>
    <w:uiPriority w:val="99"/>
    <w:unhideWhenUsed/>
    <w:rsid w:val="00C448C3"/>
    <w:pPr>
      <w:spacing w:line="240" w:lineRule="auto"/>
    </w:pPr>
    <w:rPr>
      <w:sz w:val="20"/>
      <w:szCs w:val="20"/>
    </w:rPr>
  </w:style>
  <w:style w:type="character" w:customStyle="1" w:styleId="CommentTextChar">
    <w:name w:val="Comment Text Char"/>
    <w:basedOn w:val="DefaultParagraphFont"/>
    <w:link w:val="CommentText"/>
    <w:uiPriority w:val="99"/>
    <w:rsid w:val="00C448C3"/>
    <w:rPr>
      <w:sz w:val="20"/>
      <w:szCs w:val="20"/>
    </w:rPr>
  </w:style>
  <w:style w:type="paragraph" w:styleId="CommentSubject">
    <w:name w:val="annotation subject"/>
    <w:basedOn w:val="CommentText"/>
    <w:next w:val="CommentText"/>
    <w:link w:val="CommentSubjectChar"/>
    <w:uiPriority w:val="99"/>
    <w:semiHidden/>
    <w:unhideWhenUsed/>
    <w:rsid w:val="00C448C3"/>
    <w:rPr>
      <w:b/>
      <w:bCs/>
    </w:rPr>
  </w:style>
  <w:style w:type="character" w:customStyle="1" w:styleId="CommentSubjectChar">
    <w:name w:val="Comment Subject Char"/>
    <w:basedOn w:val="CommentTextChar"/>
    <w:link w:val="CommentSubject"/>
    <w:uiPriority w:val="99"/>
    <w:semiHidden/>
    <w:rsid w:val="00C448C3"/>
    <w:rPr>
      <w:b/>
      <w:bCs/>
      <w:sz w:val="20"/>
      <w:szCs w:val="20"/>
    </w:rPr>
  </w:style>
  <w:style w:type="character" w:styleId="Mention">
    <w:name w:val="Mention"/>
    <w:basedOn w:val="DefaultParagraphFont"/>
    <w:uiPriority w:val="99"/>
    <w:unhideWhenUsed/>
    <w:rsid w:val="00FC18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2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iana.fic@gold.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gold.tether.to/" TargetMode="External"/><Relationship Id="rId2" Type="http://schemas.openxmlformats.org/officeDocument/2006/relationships/hyperlink" Target="https://vnx.li/" TargetMode="External"/><Relationship Id="rId1" Type="http://schemas.openxmlformats.org/officeDocument/2006/relationships/hyperlink" Target="https://dgld.ch/" TargetMode="External"/><Relationship Id="rId4" Type="http://schemas.openxmlformats.org/officeDocument/2006/relationships/hyperlink" Target="https://globalxetfs.eu/content/files/Monthly-Thematic-UCITS-ETF-Report-June-202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CB6FF-2B01-49BD-A679-E02CB808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CharactersWithSpaces>
  <SharedDoc>false</SharedDoc>
  <HLinks>
    <vt:vector size="42" baseType="variant">
      <vt:variant>
        <vt:i4>3145807</vt:i4>
      </vt:variant>
      <vt:variant>
        <vt:i4>0</vt:i4>
      </vt:variant>
      <vt:variant>
        <vt:i4>0</vt:i4>
      </vt:variant>
      <vt:variant>
        <vt:i4>5</vt:i4>
      </vt:variant>
      <vt:variant>
        <vt:lpwstr>mailto:Tatiana.fic@gold.org</vt:lpwstr>
      </vt:variant>
      <vt:variant>
        <vt:lpwstr/>
      </vt:variant>
      <vt:variant>
        <vt:i4>4063342</vt:i4>
      </vt:variant>
      <vt:variant>
        <vt:i4>6</vt:i4>
      </vt:variant>
      <vt:variant>
        <vt:i4>0</vt:i4>
      </vt:variant>
      <vt:variant>
        <vt:i4>5</vt:i4>
      </vt:variant>
      <vt:variant>
        <vt:lpwstr>https://gold.tether.to/</vt:lpwstr>
      </vt:variant>
      <vt:variant>
        <vt:lpwstr/>
      </vt:variant>
      <vt:variant>
        <vt:i4>3670050</vt:i4>
      </vt:variant>
      <vt:variant>
        <vt:i4>3</vt:i4>
      </vt:variant>
      <vt:variant>
        <vt:i4>0</vt:i4>
      </vt:variant>
      <vt:variant>
        <vt:i4>5</vt:i4>
      </vt:variant>
      <vt:variant>
        <vt:lpwstr>https://vnx.li/</vt:lpwstr>
      </vt:variant>
      <vt:variant>
        <vt:lpwstr/>
      </vt:variant>
      <vt:variant>
        <vt:i4>6160398</vt:i4>
      </vt:variant>
      <vt:variant>
        <vt:i4>0</vt:i4>
      </vt:variant>
      <vt:variant>
        <vt:i4>0</vt:i4>
      </vt:variant>
      <vt:variant>
        <vt:i4>5</vt:i4>
      </vt:variant>
      <vt:variant>
        <vt:lpwstr>https://dgld.ch/</vt:lpwstr>
      </vt:variant>
      <vt:variant>
        <vt:lpwstr/>
      </vt:variant>
      <vt:variant>
        <vt:i4>3997790</vt:i4>
      </vt:variant>
      <vt:variant>
        <vt:i4>6</vt:i4>
      </vt:variant>
      <vt:variant>
        <vt:i4>0</vt:i4>
      </vt:variant>
      <vt:variant>
        <vt:i4>5</vt:i4>
      </vt:variant>
      <vt:variant>
        <vt:lpwstr>mailto:Sergio.Rojas@fticonsulting.com</vt:lpwstr>
      </vt:variant>
      <vt:variant>
        <vt:lpwstr/>
      </vt:variant>
      <vt:variant>
        <vt:i4>852084</vt:i4>
      </vt:variant>
      <vt:variant>
        <vt:i4>3</vt:i4>
      </vt:variant>
      <vt:variant>
        <vt:i4>0</vt:i4>
      </vt:variant>
      <vt:variant>
        <vt:i4>5</vt:i4>
      </vt:variant>
      <vt:variant>
        <vt:lpwstr>mailto:Ben.DeBerg@fticonsulting.com</vt:lpwstr>
      </vt:variant>
      <vt:variant>
        <vt:lpwstr/>
      </vt:variant>
      <vt:variant>
        <vt:i4>852084</vt:i4>
      </vt:variant>
      <vt:variant>
        <vt:i4>0</vt:i4>
      </vt:variant>
      <vt:variant>
        <vt:i4>0</vt:i4>
      </vt:variant>
      <vt:variant>
        <vt:i4>5</vt:i4>
      </vt:variant>
      <vt:variant>
        <vt:lpwstr>mailto:Ben.DeBerg@fticonsulting.com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DeBerg, Ben</dc:creator>
  <cp:keywords/>
  <dc:description/>
  <cp:lastModifiedBy>Dr Tatiana Fic</cp:lastModifiedBy>
  <cp:revision>4</cp:revision>
  <dcterms:created xsi:type="dcterms:W3CDTF">2024-08-07T13:50:00Z</dcterms:created>
  <dcterms:modified xsi:type="dcterms:W3CDTF">2024-08-07T14:18:00Z</dcterms:modified>
</cp:coreProperties>
</file>