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1EF7FE" w14:textId="05BFA884" w:rsidR="66107C87" w:rsidRPr="000E6BDC" w:rsidRDefault="7C53680C" w:rsidP="3FE99FEE">
      <w:pPr>
        <w:spacing w:after="250" w:line="276" w:lineRule="auto"/>
        <w:jc w:val="both"/>
        <w:rPr>
          <w:rFonts w:ascii="Arial" w:eastAsia="MS PGothic" w:hAnsi="Arial" w:cs="Arial"/>
          <w:b/>
          <w:bCs/>
          <w:color w:val="181818"/>
          <w:lang w:val="fr-FR"/>
        </w:rPr>
      </w:pPr>
      <w:r w:rsidRPr="000E6BDC">
        <w:rPr>
          <w:rFonts w:ascii="Arial" w:eastAsia="MS PGothic" w:hAnsi="Arial" w:cs="Arial"/>
          <w:b/>
          <w:bCs/>
          <w:color w:val="181818"/>
          <w:lang w:val="fr-FR"/>
        </w:rPr>
        <w:t xml:space="preserve">Annex </w:t>
      </w:r>
      <w:r w:rsidR="2A636CE1" w:rsidRPr="000E6BDC">
        <w:rPr>
          <w:rFonts w:ascii="Arial" w:eastAsia="MS PGothic" w:hAnsi="Arial" w:cs="Arial"/>
          <w:b/>
          <w:bCs/>
          <w:color w:val="181818"/>
          <w:lang w:val="fr-FR"/>
        </w:rPr>
        <w:t xml:space="preserve">– </w:t>
      </w:r>
      <w:r w:rsidR="002F58FB" w:rsidRPr="000E6BDC">
        <w:rPr>
          <w:rFonts w:ascii="Arial" w:eastAsia="MS PGothic" w:hAnsi="Arial" w:cs="Arial"/>
          <w:b/>
          <w:bCs/>
          <w:color w:val="181818"/>
          <w:lang w:val="fr-FR"/>
        </w:rPr>
        <w:t>Question 20</w:t>
      </w:r>
      <w:r w:rsidR="00394809" w:rsidRPr="000E6BDC">
        <w:rPr>
          <w:rFonts w:ascii="Arial" w:eastAsia="MS PGothic" w:hAnsi="Arial" w:cs="Arial"/>
          <w:b/>
          <w:bCs/>
          <w:color w:val="181818"/>
          <w:lang w:val="fr-FR"/>
        </w:rPr>
        <w:t>.</w:t>
      </w:r>
      <w:r w:rsidR="002D58CD" w:rsidRPr="000E6BDC">
        <w:rPr>
          <w:rFonts w:ascii="Arial" w:eastAsia="MS PGothic" w:hAnsi="Arial" w:cs="Arial"/>
          <w:b/>
          <w:bCs/>
          <w:color w:val="181818"/>
          <w:lang w:val="fr-FR"/>
        </w:rPr>
        <w:t xml:space="preserve"> </w:t>
      </w:r>
      <w:r w:rsidR="00394809" w:rsidRPr="000E6BDC">
        <w:rPr>
          <w:rFonts w:ascii="Arial" w:eastAsia="MS PGothic" w:hAnsi="Arial" w:cs="Arial"/>
          <w:b/>
          <w:bCs/>
          <w:color w:val="181818"/>
          <w:lang w:val="fr-FR"/>
        </w:rPr>
        <w:t>T</w:t>
      </w:r>
      <w:r w:rsidR="002D58CD" w:rsidRPr="000E6BDC">
        <w:rPr>
          <w:rFonts w:ascii="Arial" w:eastAsia="MS PGothic" w:hAnsi="Arial" w:cs="Arial"/>
          <w:b/>
          <w:bCs/>
          <w:color w:val="181818"/>
          <w:lang w:val="fr-FR"/>
        </w:rPr>
        <w:t xml:space="preserve">able on </w:t>
      </w:r>
      <w:r w:rsidR="0048151A" w:rsidRPr="000E6BDC">
        <w:rPr>
          <w:rFonts w:ascii="Arial" w:eastAsia="MS PGothic" w:hAnsi="Arial" w:cs="Arial"/>
          <w:b/>
          <w:bCs/>
          <w:color w:val="181818"/>
          <w:lang w:val="fr-FR"/>
        </w:rPr>
        <w:t xml:space="preserve">eligible assets </w:t>
      </w:r>
      <w:r w:rsidR="002F58FB" w:rsidRPr="000E6BDC">
        <w:rPr>
          <w:rFonts w:ascii="Arial" w:eastAsia="MS PGothic" w:hAnsi="Arial" w:cs="Arial"/>
          <w:b/>
          <w:bCs/>
          <w:color w:val="181818"/>
          <w:lang w:val="fr-FR"/>
        </w:rPr>
        <w:t>UCITS EAD</w:t>
      </w:r>
      <w:r w:rsidR="53D130EB" w:rsidRPr="000E6BDC">
        <w:rPr>
          <w:rFonts w:ascii="Arial" w:eastAsia="MS PGothic" w:hAnsi="Arial" w:cs="Arial"/>
          <w:b/>
          <w:bCs/>
          <w:color w:val="181818"/>
          <w:lang w:val="fr-FR"/>
        </w:rPr>
        <w:t xml:space="preserve">. </w:t>
      </w:r>
    </w:p>
    <w:p w14:paraId="10145F69" w14:textId="4B8E6890" w:rsidR="00554F00" w:rsidRDefault="002F58FB" w:rsidP="3FE99FEE">
      <w:pPr>
        <w:spacing w:after="250" w:line="276" w:lineRule="auto"/>
        <w:jc w:val="both"/>
        <w:rPr>
          <w:rFonts w:ascii="Arial" w:eastAsia="MS PGothic" w:hAnsi="Arial" w:cs="Arial"/>
          <w:color w:val="181818"/>
        </w:rPr>
      </w:pPr>
      <w:r w:rsidRPr="002F58FB">
        <w:rPr>
          <w:rFonts w:ascii="Arial" w:eastAsia="MS PGothic" w:hAnsi="Arial" w:cs="Arial"/>
          <w:color w:val="181818"/>
          <w:szCs w:val="20"/>
        </w:rPr>
        <w:t xml:space="preserve">For the purposes of Question 20, please </w:t>
      </w:r>
      <w:r w:rsidR="00A87C58">
        <w:rPr>
          <w:rFonts w:ascii="Arial" w:eastAsia="MS PGothic" w:hAnsi="Arial" w:cs="Arial"/>
          <w:color w:val="181818"/>
          <w:szCs w:val="20"/>
        </w:rPr>
        <w:t>complete</w:t>
      </w:r>
      <w:r w:rsidRPr="002F58FB">
        <w:rPr>
          <w:rFonts w:ascii="Arial" w:eastAsia="MS PGothic" w:hAnsi="Arial" w:cs="Arial"/>
          <w:color w:val="181818"/>
          <w:szCs w:val="20"/>
        </w:rPr>
        <w:t xml:space="preserve"> the table </w:t>
      </w:r>
      <w:r w:rsidR="006C47BC">
        <w:rPr>
          <w:rFonts w:ascii="Arial" w:eastAsia="MS PGothic" w:hAnsi="Arial" w:cs="Arial"/>
          <w:color w:val="181818"/>
          <w:szCs w:val="20"/>
        </w:rPr>
        <w:t>below</w:t>
      </w:r>
      <w:r w:rsidRPr="002F58FB">
        <w:rPr>
          <w:rFonts w:ascii="Arial" w:eastAsia="MS PGothic" w:hAnsi="Arial" w:cs="Arial"/>
          <w:color w:val="181818"/>
          <w:szCs w:val="20"/>
        </w:rPr>
        <w:t xml:space="preserve"> with the requested information</w:t>
      </w:r>
      <w:r w:rsidR="00F042E8">
        <w:rPr>
          <w:rFonts w:ascii="Arial" w:eastAsia="MS PGothic" w:hAnsi="Arial" w:cs="Arial"/>
          <w:color w:val="181818"/>
          <w:szCs w:val="20"/>
        </w:rPr>
        <w:t xml:space="preserve">, </w:t>
      </w:r>
      <w:proofErr w:type="gramStart"/>
      <w:r w:rsidR="00F042E8">
        <w:rPr>
          <w:rFonts w:ascii="Arial" w:eastAsia="MS PGothic" w:hAnsi="Arial" w:cs="Arial"/>
          <w:color w:val="181818"/>
          <w:szCs w:val="20"/>
        </w:rPr>
        <w:t>taking into account</w:t>
      </w:r>
      <w:proofErr w:type="gramEnd"/>
      <w:r w:rsidR="00F042E8">
        <w:rPr>
          <w:rFonts w:ascii="Arial" w:eastAsia="MS PGothic" w:hAnsi="Arial" w:cs="Arial"/>
          <w:color w:val="181818"/>
          <w:szCs w:val="20"/>
        </w:rPr>
        <w:t xml:space="preserve"> the instructions </w:t>
      </w:r>
      <w:r w:rsidR="00FB3EA8">
        <w:rPr>
          <w:rFonts w:ascii="Arial" w:eastAsia="MS PGothic" w:hAnsi="Arial" w:cs="Arial"/>
          <w:color w:val="181818"/>
          <w:szCs w:val="20"/>
        </w:rPr>
        <w:t xml:space="preserve">provided in </w:t>
      </w:r>
      <w:r w:rsidR="006B7B4A">
        <w:rPr>
          <w:rFonts w:ascii="Arial" w:eastAsia="MS PGothic" w:hAnsi="Arial" w:cs="Arial"/>
          <w:color w:val="181818"/>
          <w:szCs w:val="20"/>
        </w:rPr>
        <w:t>the footnotes</w:t>
      </w:r>
      <w:r w:rsidRPr="002F58FB">
        <w:rPr>
          <w:rFonts w:ascii="Arial" w:eastAsia="MS PGothic" w:hAnsi="Arial" w:cs="Arial"/>
          <w:color w:val="181818"/>
          <w:szCs w:val="20"/>
        </w:rPr>
        <w:t xml:space="preserve">. After </w:t>
      </w:r>
      <w:r w:rsidR="003D2C3C">
        <w:rPr>
          <w:rFonts w:ascii="Arial" w:eastAsia="MS PGothic" w:hAnsi="Arial" w:cs="Arial"/>
          <w:color w:val="181818"/>
          <w:szCs w:val="20"/>
        </w:rPr>
        <w:t>having</w:t>
      </w:r>
      <w:r w:rsidRPr="002F58FB">
        <w:rPr>
          <w:rFonts w:ascii="Arial" w:eastAsia="MS PGothic" w:hAnsi="Arial" w:cs="Arial"/>
          <w:color w:val="181818"/>
          <w:szCs w:val="20"/>
        </w:rPr>
        <w:t xml:space="preserve"> </w:t>
      </w:r>
      <w:r w:rsidR="00F042E8">
        <w:rPr>
          <w:rFonts w:ascii="Arial" w:eastAsia="MS PGothic" w:hAnsi="Arial" w:cs="Arial"/>
          <w:color w:val="181818"/>
          <w:szCs w:val="20"/>
        </w:rPr>
        <w:t xml:space="preserve">completed </w:t>
      </w:r>
      <w:r w:rsidRPr="002F58FB">
        <w:rPr>
          <w:rFonts w:ascii="Arial" w:eastAsia="MS PGothic" w:hAnsi="Arial" w:cs="Arial"/>
          <w:color w:val="181818"/>
          <w:szCs w:val="20"/>
        </w:rPr>
        <w:t xml:space="preserve">the form, </w:t>
      </w:r>
      <w:r w:rsidR="00FD12FD">
        <w:rPr>
          <w:rFonts w:ascii="Arial" w:eastAsia="MS PGothic" w:hAnsi="Arial" w:cs="Arial"/>
          <w:color w:val="181818"/>
          <w:szCs w:val="20"/>
        </w:rPr>
        <w:t xml:space="preserve">please </w:t>
      </w:r>
      <w:r w:rsidRPr="002F58FB">
        <w:rPr>
          <w:rFonts w:ascii="Arial" w:eastAsia="MS PGothic" w:hAnsi="Arial" w:cs="Arial"/>
          <w:color w:val="181818"/>
          <w:szCs w:val="20"/>
        </w:rPr>
        <w:t xml:space="preserve">save the document </w:t>
      </w:r>
      <w:r w:rsidR="0040029B">
        <w:rPr>
          <w:rFonts w:ascii="Arial" w:eastAsia="MS PGothic" w:hAnsi="Arial" w:cs="Arial"/>
          <w:color w:val="181818"/>
          <w:szCs w:val="20"/>
        </w:rPr>
        <w:t>(</w:t>
      </w:r>
      <w:r w:rsidR="00FE6B1B">
        <w:rPr>
          <w:rFonts w:ascii="Arial" w:eastAsia="MS PGothic" w:hAnsi="Arial" w:cs="Arial"/>
          <w:color w:val="181818"/>
          <w:szCs w:val="20"/>
        </w:rPr>
        <w:t>according to the following convention:</w:t>
      </w:r>
      <w:r w:rsidRPr="002F58FB">
        <w:rPr>
          <w:rFonts w:ascii="Arial" w:eastAsia="MS PGothic" w:hAnsi="Arial" w:cs="Arial"/>
          <w:color w:val="181818"/>
          <w:szCs w:val="20"/>
        </w:rPr>
        <w:t xml:space="preserve"> </w:t>
      </w:r>
      <w:r w:rsidR="00FE6B1B">
        <w:rPr>
          <w:rFonts w:ascii="Arial" w:eastAsia="MS PGothic" w:hAnsi="Arial" w:cs="Arial"/>
          <w:color w:val="181818"/>
          <w:szCs w:val="20"/>
        </w:rPr>
        <w:t>“</w:t>
      </w:r>
      <w:r w:rsidRPr="002F58FB">
        <w:rPr>
          <w:rFonts w:ascii="Arial" w:eastAsia="MS PGothic" w:hAnsi="Arial" w:cs="Arial"/>
          <w:color w:val="181818"/>
          <w:szCs w:val="20"/>
        </w:rPr>
        <w:t>ESMA_</w:t>
      </w:r>
      <w:r w:rsidR="00915CEE">
        <w:rPr>
          <w:rFonts w:ascii="Arial" w:eastAsia="MS PGothic" w:hAnsi="Arial" w:cs="Arial"/>
          <w:color w:val="181818"/>
          <w:szCs w:val="20"/>
        </w:rPr>
        <w:t>Q20</w:t>
      </w:r>
      <w:r w:rsidRPr="002F58FB">
        <w:rPr>
          <w:rFonts w:ascii="Arial" w:eastAsia="MS PGothic" w:hAnsi="Arial" w:cs="Arial"/>
          <w:color w:val="181818"/>
          <w:szCs w:val="20"/>
        </w:rPr>
        <w:t>_nameofrespondent</w:t>
      </w:r>
      <w:r w:rsidR="00915CEE">
        <w:rPr>
          <w:rFonts w:ascii="Arial" w:eastAsia="MS PGothic" w:hAnsi="Arial" w:cs="Arial"/>
          <w:color w:val="181818"/>
          <w:szCs w:val="20"/>
        </w:rPr>
        <w:t>”</w:t>
      </w:r>
      <w:r w:rsidR="0040029B">
        <w:rPr>
          <w:rFonts w:ascii="Arial" w:eastAsia="MS PGothic" w:hAnsi="Arial" w:cs="Arial"/>
          <w:color w:val="181818"/>
          <w:szCs w:val="20"/>
        </w:rPr>
        <w:t>)</w:t>
      </w:r>
      <w:r w:rsidRPr="002F58FB">
        <w:rPr>
          <w:rFonts w:ascii="Arial" w:eastAsia="MS PGothic" w:hAnsi="Arial" w:cs="Arial"/>
          <w:color w:val="181818"/>
          <w:szCs w:val="20"/>
        </w:rPr>
        <w:t xml:space="preserve"> and</w:t>
      </w:r>
      <w:r w:rsidR="0040029B">
        <w:rPr>
          <w:rFonts w:ascii="Arial" w:eastAsia="MS PGothic" w:hAnsi="Arial" w:cs="Arial"/>
          <w:color w:val="181818"/>
          <w:szCs w:val="20"/>
        </w:rPr>
        <w:t xml:space="preserve"> </w:t>
      </w:r>
      <w:r w:rsidR="0051598D">
        <w:rPr>
          <w:rFonts w:ascii="Arial" w:eastAsia="MS PGothic" w:hAnsi="Arial" w:cs="Arial"/>
          <w:color w:val="181818"/>
          <w:szCs w:val="20"/>
        </w:rPr>
        <w:t xml:space="preserve">upload </w:t>
      </w:r>
      <w:r w:rsidR="0040029B">
        <w:rPr>
          <w:rFonts w:ascii="Arial" w:eastAsia="MS PGothic" w:hAnsi="Arial" w:cs="Arial"/>
          <w:color w:val="181818"/>
          <w:szCs w:val="20"/>
        </w:rPr>
        <w:t>it</w:t>
      </w:r>
      <w:r w:rsidR="006C7811">
        <w:rPr>
          <w:rFonts w:ascii="Arial" w:eastAsia="MS PGothic" w:hAnsi="Arial" w:cs="Arial"/>
          <w:color w:val="181818"/>
          <w:szCs w:val="20"/>
        </w:rPr>
        <w:t xml:space="preserve"> </w:t>
      </w:r>
      <w:r w:rsidR="005A6BF0" w:rsidRPr="005A6BF0">
        <w:rPr>
          <w:rFonts w:ascii="Arial" w:eastAsia="MS PGothic" w:hAnsi="Arial" w:cs="Arial"/>
          <w:bCs/>
          <w:color w:val="181818"/>
          <w:szCs w:val="20"/>
        </w:rPr>
        <w:t xml:space="preserve">online at </w:t>
      </w:r>
      <w:hyperlink r:id="rId11" w:history="1">
        <w:r w:rsidR="00901098" w:rsidRPr="00150222">
          <w:rPr>
            <w:rStyle w:val="Hyperlink"/>
            <w:rFonts w:ascii="Arial" w:eastAsia="MS PGothic" w:hAnsi="Arial" w:cs="Arial"/>
            <w:bCs/>
            <w:szCs w:val="20"/>
          </w:rPr>
          <w:t>https://www.esma.europa.eu/press-news/consultations/call-evidence-review-ucits-eligible-assets-directive</w:t>
        </w:r>
      </w:hyperlink>
      <w:r w:rsidR="00901098">
        <w:rPr>
          <w:rFonts w:ascii="Arial" w:eastAsia="MS PGothic" w:hAnsi="Arial" w:cs="Arial"/>
          <w:bCs/>
          <w:i/>
          <w:iCs/>
          <w:color w:val="181818"/>
          <w:szCs w:val="20"/>
        </w:rPr>
        <w:t xml:space="preserve"> </w:t>
      </w:r>
      <w:r w:rsidR="005A6BF0" w:rsidRPr="005A6BF0">
        <w:rPr>
          <w:rFonts w:ascii="Arial" w:eastAsia="MS PGothic" w:hAnsi="Arial" w:cs="Arial"/>
          <w:bCs/>
          <w:color w:val="181818"/>
          <w:szCs w:val="20"/>
        </w:rPr>
        <w:t xml:space="preserve">under the heading </w:t>
      </w:r>
      <w:r w:rsidR="005A6BF0" w:rsidRPr="005A6BF0">
        <w:rPr>
          <w:rFonts w:ascii="Arial" w:eastAsia="MS PGothic" w:hAnsi="Arial" w:cs="Arial"/>
          <w:bCs/>
          <w:i/>
          <w:iCs/>
          <w:color w:val="181818"/>
          <w:szCs w:val="20"/>
        </w:rPr>
        <w:t>‘Your input - Consultations’</w:t>
      </w:r>
      <w:r w:rsidR="005A6BF0">
        <w:rPr>
          <w:rFonts w:ascii="Arial" w:eastAsia="MS PGothic" w:hAnsi="Arial" w:cs="Arial"/>
          <w:bCs/>
          <w:color w:val="181818"/>
          <w:szCs w:val="20"/>
        </w:rPr>
        <w:t>, as an Annex to the Reply Form</w:t>
      </w:r>
      <w:r w:rsidR="0040029B">
        <w:rPr>
          <w:rFonts w:ascii="Arial" w:eastAsia="MS PGothic" w:hAnsi="Arial" w:cs="Arial"/>
          <w:color w:val="181818"/>
          <w:szCs w:val="20"/>
        </w:rPr>
        <w:t xml:space="preserve">. </w:t>
      </w:r>
      <w:r w:rsidR="008B6D19">
        <w:rPr>
          <w:rFonts w:ascii="Arial" w:eastAsia="MS PGothic" w:hAnsi="Arial" w:cs="Arial"/>
          <w:color w:val="181818"/>
          <w:szCs w:val="20"/>
        </w:rPr>
        <w:t xml:space="preserve">In case you upload a pdf file, please choose an editable form. </w:t>
      </w:r>
    </w:p>
    <w:tbl>
      <w:tblPr>
        <w:tblStyle w:val="Tablenone1"/>
        <w:tblW w:w="9320" w:type="dxa"/>
        <w:tblLook w:val="04A0" w:firstRow="1" w:lastRow="0" w:firstColumn="1" w:lastColumn="0" w:noHBand="0" w:noVBand="1"/>
      </w:tblPr>
      <w:tblGrid>
        <w:gridCol w:w="2026"/>
        <w:gridCol w:w="2052"/>
        <w:gridCol w:w="2111"/>
        <w:gridCol w:w="1605"/>
        <w:gridCol w:w="1526"/>
      </w:tblGrid>
      <w:tr w:rsidR="000D5D44" w:rsidRPr="00B33432" w14:paraId="42644C63" w14:textId="77777777" w:rsidTr="002D0BEC">
        <w:trPr>
          <w:tblHeader/>
        </w:trPr>
        <w:tc>
          <w:tcPr>
            <w:tcW w:w="2026" w:type="dxa"/>
          </w:tcPr>
          <w:p w14:paraId="0268D242" w14:textId="77777777" w:rsidR="00B33432" w:rsidRPr="00B33432" w:rsidRDefault="00B33432" w:rsidP="00B33432">
            <w:pPr>
              <w:spacing w:after="250" w:line="276" w:lineRule="auto"/>
              <w:jc w:val="center"/>
              <w:rPr>
                <w:rFonts w:ascii="Arial" w:hAnsi="Arial" w:cs="Arial"/>
                <w:b/>
                <w:bCs/>
                <w:color w:val="181818"/>
              </w:rPr>
            </w:pPr>
            <w:r w:rsidRPr="00B33432">
              <w:rPr>
                <w:rFonts w:ascii="Arial" w:hAnsi="Arial" w:cs="Arial"/>
                <w:b/>
                <w:bCs/>
                <w:color w:val="181818"/>
              </w:rPr>
              <w:t>Asset class</w:t>
            </w:r>
            <w:r w:rsidRPr="00B33432">
              <w:rPr>
                <w:rFonts w:ascii="Arial" w:hAnsi="Arial" w:cs="Arial"/>
                <w:b/>
                <w:bCs/>
                <w:color w:val="181818"/>
                <w:sz w:val="16"/>
                <w:vertAlign w:val="superscript"/>
              </w:rPr>
              <w:footnoteReference w:id="2"/>
            </w:r>
          </w:p>
        </w:tc>
        <w:tc>
          <w:tcPr>
            <w:tcW w:w="2052" w:type="dxa"/>
          </w:tcPr>
          <w:p w14:paraId="60F87FED" w14:textId="77777777" w:rsidR="00B33432" w:rsidRPr="000E6BDC" w:rsidRDefault="00B33432" w:rsidP="00B33432">
            <w:pPr>
              <w:spacing w:after="250" w:line="276" w:lineRule="auto"/>
              <w:jc w:val="center"/>
              <w:rPr>
                <w:rFonts w:ascii="Arial" w:hAnsi="Arial" w:cs="Arial"/>
                <w:b/>
                <w:bCs/>
                <w:color w:val="181818"/>
                <w:lang w:val="en-GB"/>
              </w:rPr>
            </w:pPr>
            <w:r w:rsidRPr="000A1867">
              <w:rPr>
                <w:rFonts w:ascii="Arial" w:hAnsi="Arial" w:cs="Arial"/>
                <w:b/>
                <w:bCs/>
                <w:color w:val="181818"/>
              </w:rPr>
              <w:t>Merits of allowing direct UCITS exposures</w:t>
            </w:r>
          </w:p>
        </w:tc>
        <w:tc>
          <w:tcPr>
            <w:tcW w:w="2111" w:type="dxa"/>
          </w:tcPr>
          <w:p w14:paraId="49FEA0C2" w14:textId="77777777" w:rsidR="00B33432" w:rsidRPr="000E6BDC" w:rsidRDefault="00B33432" w:rsidP="00B33432">
            <w:pPr>
              <w:spacing w:after="250" w:line="276" w:lineRule="auto"/>
              <w:jc w:val="center"/>
              <w:rPr>
                <w:rFonts w:ascii="Arial" w:hAnsi="Arial" w:cs="Arial"/>
                <w:b/>
                <w:bCs/>
                <w:color w:val="181818"/>
                <w:lang w:val="en-GB"/>
              </w:rPr>
            </w:pPr>
            <w:r w:rsidRPr="000A1867">
              <w:rPr>
                <w:rFonts w:ascii="Arial" w:hAnsi="Arial" w:cs="Arial"/>
                <w:b/>
                <w:bCs/>
                <w:color w:val="181818"/>
              </w:rPr>
              <w:t xml:space="preserve">Merits of allowing </w:t>
            </w:r>
            <w:r w:rsidRPr="000A1867">
              <w:rPr>
                <w:rFonts w:ascii="Arial" w:hAnsi="Arial" w:cs="Arial"/>
                <w:b/>
                <w:i/>
                <w:color w:val="181818"/>
              </w:rPr>
              <w:t>indirect</w:t>
            </w:r>
            <w:r w:rsidRPr="000A1867">
              <w:rPr>
                <w:rFonts w:ascii="Arial" w:hAnsi="Arial" w:cs="Arial"/>
                <w:b/>
                <w:bCs/>
                <w:color w:val="181818"/>
              </w:rPr>
              <w:t xml:space="preserve"> UCITS exposures</w:t>
            </w:r>
            <w:r w:rsidRPr="00B33432">
              <w:rPr>
                <w:rFonts w:ascii="Arial" w:hAnsi="Arial" w:cs="Arial"/>
                <w:b/>
                <w:bCs/>
                <w:color w:val="181818"/>
                <w:sz w:val="16"/>
                <w:vertAlign w:val="superscript"/>
              </w:rPr>
              <w:footnoteReference w:id="3"/>
            </w:r>
          </w:p>
        </w:tc>
        <w:tc>
          <w:tcPr>
            <w:tcW w:w="1605" w:type="dxa"/>
          </w:tcPr>
          <w:p w14:paraId="5668F975" w14:textId="77777777" w:rsidR="00B33432" w:rsidRPr="000E6BDC" w:rsidRDefault="00B33432" w:rsidP="00B33432">
            <w:pPr>
              <w:spacing w:after="250" w:line="276" w:lineRule="auto"/>
              <w:jc w:val="center"/>
              <w:rPr>
                <w:rFonts w:ascii="Arial" w:hAnsi="Arial" w:cs="Arial"/>
                <w:b/>
                <w:bCs/>
                <w:color w:val="181818"/>
                <w:lang w:val="en-GB"/>
              </w:rPr>
            </w:pPr>
            <w:r w:rsidRPr="000A1867">
              <w:rPr>
                <w:rFonts w:ascii="Arial" w:hAnsi="Arial" w:cs="Arial"/>
                <w:b/>
                <w:bCs/>
                <w:color w:val="181818"/>
              </w:rPr>
              <w:t>Extent/amount of existing UCITS exposures</w:t>
            </w:r>
            <w:r w:rsidRPr="00B33432">
              <w:rPr>
                <w:rFonts w:ascii="Arial" w:hAnsi="Arial" w:cs="Arial"/>
                <w:b/>
                <w:bCs/>
                <w:color w:val="181818"/>
                <w:sz w:val="16"/>
                <w:vertAlign w:val="superscript"/>
              </w:rPr>
              <w:footnoteReference w:id="4"/>
            </w:r>
            <w:r w:rsidRPr="000A1867">
              <w:rPr>
                <w:rFonts w:ascii="Arial" w:hAnsi="Arial" w:cs="Arial"/>
                <w:b/>
                <w:bCs/>
                <w:color w:val="181818"/>
              </w:rPr>
              <w:t xml:space="preserve"> </w:t>
            </w:r>
          </w:p>
        </w:tc>
        <w:tc>
          <w:tcPr>
            <w:tcW w:w="1526" w:type="dxa"/>
          </w:tcPr>
          <w:p w14:paraId="50147042" w14:textId="77777777" w:rsidR="00B33432" w:rsidRPr="00B33432" w:rsidRDefault="00B33432" w:rsidP="00B33432">
            <w:pPr>
              <w:spacing w:after="250" w:line="276" w:lineRule="auto"/>
              <w:jc w:val="center"/>
              <w:rPr>
                <w:rFonts w:ascii="Arial" w:hAnsi="Arial" w:cs="Arial"/>
                <w:b/>
                <w:bCs/>
                <w:color w:val="181818"/>
              </w:rPr>
            </w:pPr>
            <w:r w:rsidRPr="00B33432">
              <w:rPr>
                <w:rFonts w:ascii="Arial" w:hAnsi="Arial" w:cs="Arial"/>
                <w:b/>
                <w:bCs/>
                <w:color w:val="181818"/>
              </w:rPr>
              <w:t>Additional comments</w:t>
            </w:r>
            <w:r w:rsidRPr="00B33432">
              <w:rPr>
                <w:rFonts w:ascii="Arial" w:hAnsi="Arial" w:cs="Arial"/>
                <w:b/>
                <w:bCs/>
                <w:vertAlign w:val="superscript"/>
              </w:rPr>
              <w:footnoteReference w:id="5"/>
            </w:r>
          </w:p>
        </w:tc>
      </w:tr>
      <w:tr w:rsidR="000D5D44" w:rsidRPr="00B33432" w14:paraId="52801425" w14:textId="77777777" w:rsidTr="002D0BEC">
        <w:tc>
          <w:tcPr>
            <w:tcW w:w="2026" w:type="dxa"/>
          </w:tcPr>
          <w:p w14:paraId="06FDDDF6" w14:textId="77777777" w:rsidR="00B33432" w:rsidRPr="00B33432" w:rsidRDefault="00B33432" w:rsidP="00B33432">
            <w:pPr>
              <w:spacing w:after="250" w:line="276" w:lineRule="auto"/>
              <w:rPr>
                <w:rFonts w:ascii="Arial" w:hAnsi="Arial" w:cs="Arial"/>
                <w:color w:val="181818"/>
              </w:rPr>
            </w:pPr>
            <w:r w:rsidRPr="00B33432">
              <w:rPr>
                <w:rFonts w:ascii="Arial" w:hAnsi="Arial" w:cs="Arial"/>
              </w:rPr>
              <w:t>1. Loans</w:t>
            </w:r>
            <w:r w:rsidRPr="00B33432">
              <w:rPr>
                <w:rFonts w:ascii="Arial" w:hAnsi="Arial" w:cs="Arial"/>
                <w:sz w:val="16"/>
                <w:vertAlign w:val="superscript"/>
              </w:rPr>
              <w:footnoteReference w:id="6"/>
            </w:r>
          </w:p>
        </w:tc>
        <w:tc>
          <w:tcPr>
            <w:tcW w:w="2052" w:type="dxa"/>
          </w:tcPr>
          <w:p w14:paraId="672A6659" w14:textId="77777777" w:rsidR="00B33432" w:rsidRPr="00B33432" w:rsidRDefault="00B33432" w:rsidP="00B33432">
            <w:pPr>
              <w:spacing w:after="250" w:line="276" w:lineRule="auto"/>
              <w:jc w:val="both"/>
              <w:rPr>
                <w:rFonts w:ascii="Arial" w:hAnsi="Arial" w:cs="Arial"/>
                <w:color w:val="181818"/>
              </w:rPr>
            </w:pPr>
          </w:p>
        </w:tc>
        <w:tc>
          <w:tcPr>
            <w:tcW w:w="2111" w:type="dxa"/>
          </w:tcPr>
          <w:p w14:paraId="0A37501D" w14:textId="77777777" w:rsidR="00B33432" w:rsidRPr="00B33432" w:rsidRDefault="00B33432" w:rsidP="00B33432">
            <w:pPr>
              <w:spacing w:after="250" w:line="276" w:lineRule="auto"/>
              <w:jc w:val="both"/>
              <w:rPr>
                <w:rFonts w:ascii="Arial" w:hAnsi="Arial" w:cs="Arial"/>
                <w:color w:val="181818"/>
              </w:rPr>
            </w:pPr>
          </w:p>
        </w:tc>
        <w:tc>
          <w:tcPr>
            <w:tcW w:w="1605" w:type="dxa"/>
          </w:tcPr>
          <w:p w14:paraId="5DAB6C7B" w14:textId="77777777" w:rsidR="00B33432" w:rsidRPr="00B33432" w:rsidRDefault="00B33432" w:rsidP="00B33432">
            <w:pPr>
              <w:spacing w:after="250" w:line="276" w:lineRule="auto"/>
              <w:jc w:val="both"/>
              <w:rPr>
                <w:rFonts w:ascii="Arial" w:hAnsi="Arial" w:cs="Arial"/>
                <w:color w:val="181818"/>
              </w:rPr>
            </w:pPr>
          </w:p>
        </w:tc>
        <w:tc>
          <w:tcPr>
            <w:tcW w:w="1526" w:type="dxa"/>
          </w:tcPr>
          <w:p w14:paraId="02EB378F" w14:textId="77777777" w:rsidR="00B33432" w:rsidRPr="00B33432" w:rsidRDefault="00B33432" w:rsidP="00B33432">
            <w:pPr>
              <w:spacing w:after="250" w:line="276" w:lineRule="auto"/>
              <w:jc w:val="both"/>
              <w:rPr>
                <w:rFonts w:ascii="Arial" w:hAnsi="Arial" w:cs="Arial"/>
                <w:color w:val="181818"/>
              </w:rPr>
            </w:pPr>
          </w:p>
        </w:tc>
      </w:tr>
      <w:tr w:rsidR="000D5D44" w:rsidRPr="00B33432" w14:paraId="131FC414" w14:textId="77777777" w:rsidTr="002D0BEC">
        <w:tc>
          <w:tcPr>
            <w:tcW w:w="2026" w:type="dxa"/>
          </w:tcPr>
          <w:p w14:paraId="55346258" w14:textId="77777777" w:rsidR="00B33432" w:rsidRPr="00B33432" w:rsidRDefault="00B33432" w:rsidP="00B33432">
            <w:pPr>
              <w:spacing w:after="250" w:line="276" w:lineRule="auto"/>
              <w:rPr>
                <w:rFonts w:ascii="Arial" w:hAnsi="Arial" w:cs="Arial"/>
              </w:rPr>
            </w:pPr>
            <w:r w:rsidRPr="00B33432">
              <w:rPr>
                <w:rFonts w:ascii="Arial" w:hAnsi="Arial" w:cs="Arial"/>
              </w:rPr>
              <w:t>2. Catastrophe bonds (‘Cat bonds’)</w:t>
            </w:r>
          </w:p>
        </w:tc>
        <w:tc>
          <w:tcPr>
            <w:tcW w:w="2052" w:type="dxa"/>
          </w:tcPr>
          <w:p w14:paraId="6A05A809" w14:textId="77777777" w:rsidR="00B33432" w:rsidRPr="00B33432" w:rsidRDefault="00B33432" w:rsidP="00B33432">
            <w:pPr>
              <w:spacing w:after="250" w:line="276" w:lineRule="auto"/>
              <w:jc w:val="both"/>
              <w:rPr>
                <w:rFonts w:ascii="Arial" w:hAnsi="Arial" w:cs="Arial"/>
                <w:color w:val="181818"/>
              </w:rPr>
            </w:pPr>
          </w:p>
        </w:tc>
        <w:tc>
          <w:tcPr>
            <w:tcW w:w="2111" w:type="dxa"/>
          </w:tcPr>
          <w:p w14:paraId="5A39BBE3" w14:textId="77777777" w:rsidR="00B33432" w:rsidRPr="00B33432" w:rsidRDefault="00B33432" w:rsidP="00B33432">
            <w:pPr>
              <w:spacing w:after="250" w:line="276" w:lineRule="auto"/>
              <w:jc w:val="both"/>
              <w:rPr>
                <w:rFonts w:ascii="Arial" w:hAnsi="Arial" w:cs="Arial"/>
                <w:color w:val="181818"/>
              </w:rPr>
            </w:pPr>
          </w:p>
        </w:tc>
        <w:tc>
          <w:tcPr>
            <w:tcW w:w="1605" w:type="dxa"/>
          </w:tcPr>
          <w:p w14:paraId="41C8F396" w14:textId="77777777" w:rsidR="00B33432" w:rsidRPr="00B33432" w:rsidRDefault="00B33432" w:rsidP="00B33432">
            <w:pPr>
              <w:spacing w:after="250" w:line="276" w:lineRule="auto"/>
              <w:jc w:val="both"/>
              <w:rPr>
                <w:rFonts w:ascii="Arial" w:hAnsi="Arial" w:cs="Arial"/>
                <w:color w:val="181818"/>
              </w:rPr>
            </w:pPr>
          </w:p>
        </w:tc>
        <w:tc>
          <w:tcPr>
            <w:tcW w:w="1526" w:type="dxa"/>
          </w:tcPr>
          <w:p w14:paraId="72A3D3EC" w14:textId="77777777" w:rsidR="00B33432" w:rsidRPr="00B33432" w:rsidRDefault="00B33432" w:rsidP="00B33432">
            <w:pPr>
              <w:spacing w:after="250" w:line="276" w:lineRule="auto"/>
              <w:jc w:val="both"/>
              <w:rPr>
                <w:rFonts w:ascii="Arial" w:hAnsi="Arial" w:cs="Arial"/>
                <w:color w:val="181818"/>
              </w:rPr>
            </w:pPr>
          </w:p>
        </w:tc>
      </w:tr>
      <w:tr w:rsidR="000D5D44" w:rsidRPr="00B33432" w14:paraId="756B6A0E" w14:textId="77777777" w:rsidTr="002D0BEC">
        <w:tc>
          <w:tcPr>
            <w:tcW w:w="2026" w:type="dxa"/>
          </w:tcPr>
          <w:p w14:paraId="2C56CC88" w14:textId="77777777" w:rsidR="00B33432" w:rsidRPr="00B33432" w:rsidRDefault="00B33432" w:rsidP="00B33432">
            <w:pPr>
              <w:spacing w:after="250" w:line="276" w:lineRule="auto"/>
              <w:rPr>
                <w:rFonts w:ascii="Arial" w:hAnsi="Arial" w:cs="Arial"/>
                <w:color w:val="181818"/>
              </w:rPr>
            </w:pPr>
            <w:r w:rsidRPr="00B33432">
              <w:rPr>
                <w:rFonts w:ascii="Arial" w:hAnsi="Arial" w:cs="Arial"/>
              </w:rPr>
              <w:t>3. Contingent Convertible bonds (‘CoCo bonds’)</w:t>
            </w:r>
          </w:p>
        </w:tc>
        <w:tc>
          <w:tcPr>
            <w:tcW w:w="2052" w:type="dxa"/>
          </w:tcPr>
          <w:p w14:paraId="0D0B940D" w14:textId="77777777" w:rsidR="00B33432" w:rsidRPr="00B33432" w:rsidRDefault="00B33432" w:rsidP="00B33432">
            <w:pPr>
              <w:spacing w:after="250" w:line="276" w:lineRule="auto"/>
              <w:jc w:val="both"/>
              <w:rPr>
                <w:rFonts w:ascii="Arial" w:hAnsi="Arial" w:cs="Arial"/>
                <w:color w:val="181818"/>
              </w:rPr>
            </w:pPr>
          </w:p>
        </w:tc>
        <w:tc>
          <w:tcPr>
            <w:tcW w:w="2111" w:type="dxa"/>
          </w:tcPr>
          <w:p w14:paraId="0E27B00A" w14:textId="77777777" w:rsidR="00B33432" w:rsidRPr="00B33432" w:rsidRDefault="00B33432" w:rsidP="00B33432">
            <w:pPr>
              <w:spacing w:after="250" w:line="276" w:lineRule="auto"/>
              <w:jc w:val="both"/>
              <w:rPr>
                <w:rFonts w:ascii="Arial" w:hAnsi="Arial" w:cs="Arial"/>
                <w:color w:val="181818"/>
              </w:rPr>
            </w:pPr>
          </w:p>
        </w:tc>
        <w:tc>
          <w:tcPr>
            <w:tcW w:w="1605" w:type="dxa"/>
          </w:tcPr>
          <w:p w14:paraId="60061E4C" w14:textId="77777777" w:rsidR="00B33432" w:rsidRPr="00B33432" w:rsidRDefault="00B33432" w:rsidP="00B33432">
            <w:pPr>
              <w:spacing w:after="250" w:line="276" w:lineRule="auto"/>
              <w:jc w:val="both"/>
              <w:rPr>
                <w:rFonts w:ascii="Arial" w:hAnsi="Arial" w:cs="Arial"/>
                <w:color w:val="181818"/>
              </w:rPr>
            </w:pPr>
          </w:p>
        </w:tc>
        <w:tc>
          <w:tcPr>
            <w:tcW w:w="1526" w:type="dxa"/>
          </w:tcPr>
          <w:p w14:paraId="44EAFD9C" w14:textId="77777777" w:rsidR="00B33432" w:rsidRPr="00B33432" w:rsidRDefault="00B33432" w:rsidP="00B33432">
            <w:pPr>
              <w:spacing w:after="250" w:line="276" w:lineRule="auto"/>
              <w:jc w:val="both"/>
              <w:rPr>
                <w:rFonts w:ascii="Arial" w:hAnsi="Arial" w:cs="Arial"/>
                <w:color w:val="181818"/>
              </w:rPr>
            </w:pPr>
          </w:p>
        </w:tc>
      </w:tr>
      <w:tr w:rsidR="000D5D44" w:rsidRPr="00B33432" w14:paraId="02325B0B" w14:textId="77777777" w:rsidTr="002D0BEC">
        <w:tc>
          <w:tcPr>
            <w:tcW w:w="2026" w:type="dxa"/>
          </w:tcPr>
          <w:p w14:paraId="4EA5968E" w14:textId="77777777" w:rsidR="00B33432" w:rsidRPr="00B33432" w:rsidRDefault="00B33432" w:rsidP="00B33432">
            <w:pPr>
              <w:spacing w:after="250" w:line="276" w:lineRule="auto"/>
              <w:rPr>
                <w:rFonts w:ascii="Arial" w:hAnsi="Arial" w:cs="Arial"/>
                <w:color w:val="181818"/>
              </w:rPr>
            </w:pPr>
            <w:r w:rsidRPr="00B33432">
              <w:rPr>
                <w:rFonts w:ascii="Arial" w:hAnsi="Arial" w:cs="Arial"/>
              </w:rPr>
              <w:t>4. Unrated bonds</w:t>
            </w:r>
          </w:p>
        </w:tc>
        <w:tc>
          <w:tcPr>
            <w:tcW w:w="2052" w:type="dxa"/>
          </w:tcPr>
          <w:p w14:paraId="4B94D5A5" w14:textId="77777777" w:rsidR="00B33432" w:rsidRPr="00B33432" w:rsidRDefault="00B33432" w:rsidP="00B33432">
            <w:pPr>
              <w:spacing w:after="250" w:line="276" w:lineRule="auto"/>
              <w:jc w:val="both"/>
              <w:rPr>
                <w:rFonts w:ascii="Arial" w:hAnsi="Arial" w:cs="Arial"/>
                <w:color w:val="181818"/>
              </w:rPr>
            </w:pPr>
          </w:p>
        </w:tc>
        <w:tc>
          <w:tcPr>
            <w:tcW w:w="2111" w:type="dxa"/>
          </w:tcPr>
          <w:p w14:paraId="3DEEC669" w14:textId="77777777" w:rsidR="00B33432" w:rsidRPr="00B33432" w:rsidRDefault="00B33432" w:rsidP="00B33432">
            <w:pPr>
              <w:spacing w:after="250" w:line="276" w:lineRule="auto"/>
              <w:jc w:val="both"/>
              <w:rPr>
                <w:rFonts w:ascii="Arial" w:hAnsi="Arial" w:cs="Arial"/>
                <w:color w:val="181818"/>
              </w:rPr>
            </w:pPr>
          </w:p>
        </w:tc>
        <w:tc>
          <w:tcPr>
            <w:tcW w:w="1605" w:type="dxa"/>
          </w:tcPr>
          <w:p w14:paraId="3656B9AB" w14:textId="77777777" w:rsidR="00B33432" w:rsidRPr="00B33432" w:rsidRDefault="00B33432" w:rsidP="00B33432">
            <w:pPr>
              <w:spacing w:after="250" w:line="276" w:lineRule="auto"/>
              <w:jc w:val="both"/>
              <w:rPr>
                <w:rFonts w:ascii="Arial" w:hAnsi="Arial" w:cs="Arial"/>
                <w:color w:val="181818"/>
              </w:rPr>
            </w:pPr>
          </w:p>
        </w:tc>
        <w:tc>
          <w:tcPr>
            <w:tcW w:w="1526" w:type="dxa"/>
          </w:tcPr>
          <w:p w14:paraId="45FB0818" w14:textId="77777777" w:rsidR="00B33432" w:rsidRPr="00B33432" w:rsidRDefault="00B33432" w:rsidP="00B33432">
            <w:pPr>
              <w:spacing w:after="250" w:line="276" w:lineRule="auto"/>
              <w:jc w:val="both"/>
              <w:rPr>
                <w:rFonts w:ascii="Arial" w:hAnsi="Arial" w:cs="Arial"/>
                <w:color w:val="181818"/>
              </w:rPr>
            </w:pPr>
          </w:p>
        </w:tc>
      </w:tr>
      <w:tr w:rsidR="000D5D44" w:rsidRPr="00B33432" w14:paraId="68D99D9D" w14:textId="77777777" w:rsidTr="002D0BEC">
        <w:tc>
          <w:tcPr>
            <w:tcW w:w="2026" w:type="dxa"/>
          </w:tcPr>
          <w:p w14:paraId="17D8B71D" w14:textId="77777777" w:rsidR="00B33432" w:rsidRPr="00B33432" w:rsidRDefault="00B33432" w:rsidP="00B33432">
            <w:pPr>
              <w:spacing w:after="250" w:line="276" w:lineRule="auto"/>
              <w:rPr>
                <w:rFonts w:ascii="Arial" w:hAnsi="Arial" w:cs="Arial"/>
                <w:color w:val="181818"/>
              </w:rPr>
            </w:pPr>
            <w:r w:rsidRPr="00B33432">
              <w:rPr>
                <w:rFonts w:ascii="Arial" w:hAnsi="Arial" w:cs="Arial"/>
              </w:rPr>
              <w:t>5. Distressed securities</w:t>
            </w:r>
          </w:p>
        </w:tc>
        <w:tc>
          <w:tcPr>
            <w:tcW w:w="2052" w:type="dxa"/>
          </w:tcPr>
          <w:p w14:paraId="049F31CB" w14:textId="77777777" w:rsidR="00B33432" w:rsidRPr="00B33432" w:rsidRDefault="00B33432" w:rsidP="00B33432">
            <w:pPr>
              <w:spacing w:after="250" w:line="276" w:lineRule="auto"/>
              <w:jc w:val="both"/>
              <w:rPr>
                <w:rFonts w:ascii="Arial" w:hAnsi="Arial" w:cs="Arial"/>
                <w:color w:val="181818"/>
              </w:rPr>
            </w:pPr>
          </w:p>
        </w:tc>
        <w:tc>
          <w:tcPr>
            <w:tcW w:w="2111" w:type="dxa"/>
          </w:tcPr>
          <w:p w14:paraId="53128261" w14:textId="77777777" w:rsidR="00B33432" w:rsidRPr="00B33432" w:rsidRDefault="00B33432" w:rsidP="00B33432">
            <w:pPr>
              <w:spacing w:after="250" w:line="276" w:lineRule="auto"/>
              <w:jc w:val="both"/>
              <w:rPr>
                <w:rFonts w:ascii="Arial" w:hAnsi="Arial" w:cs="Arial"/>
                <w:color w:val="181818"/>
              </w:rPr>
            </w:pPr>
          </w:p>
        </w:tc>
        <w:tc>
          <w:tcPr>
            <w:tcW w:w="1605" w:type="dxa"/>
          </w:tcPr>
          <w:p w14:paraId="62486C05" w14:textId="77777777" w:rsidR="00B33432" w:rsidRPr="00B33432" w:rsidRDefault="00B33432" w:rsidP="00B33432">
            <w:pPr>
              <w:spacing w:after="250" w:line="276" w:lineRule="auto"/>
              <w:jc w:val="both"/>
              <w:rPr>
                <w:rFonts w:ascii="Arial" w:hAnsi="Arial" w:cs="Arial"/>
                <w:color w:val="181818"/>
              </w:rPr>
            </w:pPr>
          </w:p>
        </w:tc>
        <w:tc>
          <w:tcPr>
            <w:tcW w:w="1526" w:type="dxa"/>
          </w:tcPr>
          <w:p w14:paraId="4101652C" w14:textId="77777777" w:rsidR="00B33432" w:rsidRPr="00B33432" w:rsidRDefault="00B33432" w:rsidP="00B33432">
            <w:pPr>
              <w:spacing w:after="250" w:line="276" w:lineRule="auto"/>
              <w:jc w:val="both"/>
              <w:rPr>
                <w:rFonts w:ascii="Arial" w:hAnsi="Arial" w:cs="Arial"/>
                <w:color w:val="181818"/>
              </w:rPr>
            </w:pPr>
          </w:p>
        </w:tc>
      </w:tr>
      <w:tr w:rsidR="000D5D44" w:rsidRPr="00B33432" w14:paraId="2B493676" w14:textId="77777777" w:rsidTr="002D0BEC">
        <w:tc>
          <w:tcPr>
            <w:tcW w:w="2026" w:type="dxa"/>
          </w:tcPr>
          <w:p w14:paraId="45E99430" w14:textId="77777777" w:rsidR="00B33432" w:rsidRPr="00B33432" w:rsidRDefault="00B33432" w:rsidP="00B33432">
            <w:pPr>
              <w:spacing w:after="250" w:line="276" w:lineRule="auto"/>
              <w:rPr>
                <w:rFonts w:ascii="Arial" w:hAnsi="Arial" w:cs="Arial"/>
              </w:rPr>
            </w:pPr>
            <w:r w:rsidRPr="00B33432">
              <w:rPr>
                <w:rFonts w:ascii="Arial" w:hAnsi="Arial" w:cs="Arial"/>
              </w:rPr>
              <w:t>6. Unlisted equities</w:t>
            </w:r>
            <w:r w:rsidRPr="00B33432">
              <w:rPr>
                <w:rFonts w:ascii="Arial" w:hAnsi="Arial" w:cs="Arial"/>
                <w:sz w:val="16"/>
                <w:vertAlign w:val="superscript"/>
              </w:rPr>
              <w:footnoteReference w:id="7"/>
            </w:r>
          </w:p>
        </w:tc>
        <w:tc>
          <w:tcPr>
            <w:tcW w:w="2052" w:type="dxa"/>
          </w:tcPr>
          <w:p w14:paraId="4B99056E" w14:textId="77777777" w:rsidR="00B33432" w:rsidRPr="00B33432" w:rsidRDefault="00B33432" w:rsidP="00B33432">
            <w:pPr>
              <w:spacing w:after="250" w:line="276" w:lineRule="auto"/>
              <w:jc w:val="both"/>
              <w:rPr>
                <w:rFonts w:ascii="Arial" w:hAnsi="Arial" w:cs="Arial"/>
                <w:color w:val="181818"/>
              </w:rPr>
            </w:pPr>
          </w:p>
        </w:tc>
        <w:tc>
          <w:tcPr>
            <w:tcW w:w="2111" w:type="dxa"/>
          </w:tcPr>
          <w:p w14:paraId="1299C43A" w14:textId="77777777" w:rsidR="00B33432" w:rsidRPr="00B33432" w:rsidRDefault="00B33432" w:rsidP="00B33432">
            <w:pPr>
              <w:spacing w:after="250" w:line="276" w:lineRule="auto"/>
              <w:jc w:val="both"/>
              <w:rPr>
                <w:rFonts w:ascii="Arial" w:hAnsi="Arial" w:cs="Arial"/>
                <w:color w:val="181818"/>
              </w:rPr>
            </w:pPr>
          </w:p>
        </w:tc>
        <w:tc>
          <w:tcPr>
            <w:tcW w:w="1605" w:type="dxa"/>
          </w:tcPr>
          <w:p w14:paraId="4DDBEF00" w14:textId="77777777" w:rsidR="00B33432" w:rsidRPr="00B33432" w:rsidRDefault="00B33432" w:rsidP="00B33432">
            <w:pPr>
              <w:spacing w:after="250" w:line="276" w:lineRule="auto"/>
              <w:jc w:val="both"/>
              <w:rPr>
                <w:rFonts w:ascii="Arial" w:hAnsi="Arial" w:cs="Arial"/>
                <w:color w:val="181818"/>
              </w:rPr>
            </w:pPr>
          </w:p>
        </w:tc>
        <w:tc>
          <w:tcPr>
            <w:tcW w:w="1526" w:type="dxa"/>
          </w:tcPr>
          <w:p w14:paraId="3461D779" w14:textId="77777777" w:rsidR="00B33432" w:rsidRPr="00B33432" w:rsidRDefault="00B33432" w:rsidP="00B33432">
            <w:pPr>
              <w:spacing w:after="250" w:line="276" w:lineRule="auto"/>
              <w:jc w:val="both"/>
              <w:rPr>
                <w:rFonts w:ascii="Arial" w:hAnsi="Arial" w:cs="Arial"/>
                <w:color w:val="181818"/>
              </w:rPr>
            </w:pPr>
          </w:p>
        </w:tc>
      </w:tr>
      <w:tr w:rsidR="000D5D44" w:rsidRPr="00B33432" w14:paraId="5539B04B" w14:textId="77777777" w:rsidTr="002D0BEC">
        <w:tc>
          <w:tcPr>
            <w:tcW w:w="2026" w:type="dxa"/>
          </w:tcPr>
          <w:p w14:paraId="378D969D" w14:textId="77777777" w:rsidR="00B33432" w:rsidRPr="00B33432" w:rsidRDefault="00B33432" w:rsidP="00B33432">
            <w:pPr>
              <w:spacing w:after="250" w:line="276" w:lineRule="auto"/>
              <w:rPr>
                <w:rFonts w:ascii="Arial" w:hAnsi="Arial" w:cs="Arial"/>
              </w:rPr>
            </w:pPr>
            <w:r w:rsidRPr="00B33432">
              <w:rPr>
                <w:rFonts w:ascii="Arial" w:hAnsi="Arial" w:cs="Arial"/>
              </w:rPr>
              <w:lastRenderedPageBreak/>
              <w:t>7. Crypto assets</w:t>
            </w:r>
            <w:r w:rsidRPr="00B33432">
              <w:rPr>
                <w:rFonts w:ascii="Arial" w:hAnsi="Arial" w:cs="Arial"/>
                <w:vertAlign w:val="superscript"/>
              </w:rPr>
              <w:footnoteReference w:id="8"/>
            </w:r>
          </w:p>
        </w:tc>
        <w:tc>
          <w:tcPr>
            <w:tcW w:w="2052" w:type="dxa"/>
          </w:tcPr>
          <w:p w14:paraId="0A7742B3" w14:textId="6D64AEAE" w:rsidR="00083AD9" w:rsidRPr="007B212A" w:rsidRDefault="00083AD9" w:rsidP="001B11D1">
            <w:pPr>
              <w:spacing w:after="250" w:line="276" w:lineRule="auto"/>
              <w:rPr>
                <w:rFonts w:ascii="Arial" w:hAnsi="Arial" w:cs="Arial"/>
                <w:color w:val="181818"/>
                <w:lang w:val="en-GB"/>
              </w:rPr>
            </w:pPr>
            <w:r w:rsidRPr="000A1867">
              <w:rPr>
                <w:rFonts w:ascii="Arial" w:hAnsi="Arial" w:cs="Arial"/>
                <w:color w:val="181818"/>
              </w:rPr>
              <w:t>Direct UCITS exposures to crypto assets</w:t>
            </w:r>
            <w:r w:rsidR="00244857">
              <w:rPr>
                <w:rFonts w:ascii="Arial" w:hAnsi="Arial" w:cs="Arial"/>
                <w:color w:val="181818"/>
              </w:rPr>
              <w:t xml:space="preserve"> regulated by MiCA would </w:t>
            </w:r>
            <w:r w:rsidR="00B05D0A">
              <w:rPr>
                <w:rFonts w:ascii="Arial" w:hAnsi="Arial" w:cs="Arial"/>
                <w:color w:val="181818"/>
              </w:rPr>
              <w:t xml:space="preserve">provide the benefits of further diversification of investors’ portfolios. </w:t>
            </w:r>
            <w:r w:rsidR="00ED4A14">
              <w:rPr>
                <w:rFonts w:ascii="Arial" w:hAnsi="Arial" w:cs="Arial"/>
                <w:color w:val="181818"/>
              </w:rPr>
              <w:t>I</w:t>
            </w:r>
            <w:r w:rsidR="00B05D0A">
              <w:rPr>
                <w:rFonts w:ascii="Arial" w:hAnsi="Arial" w:cs="Arial"/>
                <w:color w:val="181818"/>
              </w:rPr>
              <w:t xml:space="preserve">n the case of </w:t>
            </w:r>
            <w:r w:rsidR="00244857">
              <w:rPr>
                <w:rFonts w:ascii="Arial" w:hAnsi="Arial" w:cs="Arial"/>
                <w:color w:val="181818"/>
              </w:rPr>
              <w:t>tokens</w:t>
            </w:r>
            <w:r w:rsidRPr="000A1867">
              <w:rPr>
                <w:rFonts w:ascii="Arial" w:hAnsi="Arial" w:cs="Arial"/>
                <w:color w:val="181818"/>
              </w:rPr>
              <w:t xml:space="preserve"> </w:t>
            </w:r>
            <w:r w:rsidR="00192412">
              <w:rPr>
                <w:rFonts w:ascii="Arial" w:hAnsi="Arial" w:cs="Arial"/>
                <w:color w:val="181818"/>
              </w:rPr>
              <w:t xml:space="preserve">fully backed by physical gold </w:t>
            </w:r>
            <w:r w:rsidR="00244857">
              <w:rPr>
                <w:rFonts w:ascii="Arial" w:hAnsi="Arial" w:cs="Arial"/>
                <w:color w:val="181818"/>
              </w:rPr>
              <w:t xml:space="preserve">the benefits would include: </w:t>
            </w:r>
          </w:p>
          <w:p w14:paraId="699322EC" w14:textId="62AA0BCF" w:rsidR="001B11D1" w:rsidRPr="000A1867" w:rsidRDefault="001B11D1" w:rsidP="001B11D1">
            <w:pPr>
              <w:spacing w:after="250" w:line="276" w:lineRule="auto"/>
              <w:rPr>
                <w:rFonts w:ascii="Arial" w:hAnsi="Arial" w:cs="Arial"/>
                <w:color w:val="181818"/>
              </w:rPr>
            </w:pPr>
            <w:r w:rsidRPr="000A1867">
              <w:rPr>
                <w:rFonts w:ascii="Arial" w:hAnsi="Arial" w:cs="Arial"/>
                <w:color w:val="181818"/>
              </w:rPr>
              <w:t xml:space="preserve">1) Better returns due to gold’s long-term positive performance (see </w:t>
            </w:r>
            <w:r w:rsidR="00B05D0A">
              <w:rPr>
                <w:rFonts w:ascii="Arial" w:hAnsi="Arial" w:cs="Arial"/>
                <w:color w:val="181818"/>
              </w:rPr>
              <w:t xml:space="preserve">slide 5 in </w:t>
            </w:r>
            <w:r w:rsidR="006D7563" w:rsidRPr="000A1867">
              <w:rPr>
                <w:rFonts w:ascii="Arial" w:hAnsi="Arial" w:cs="Arial"/>
                <w:color w:val="181818"/>
              </w:rPr>
              <w:t xml:space="preserve">the provided </w:t>
            </w:r>
            <w:r w:rsidRPr="000A1867">
              <w:rPr>
                <w:rFonts w:ascii="Arial" w:hAnsi="Arial" w:cs="Arial"/>
                <w:color w:val="181818"/>
              </w:rPr>
              <w:t>presentation)</w:t>
            </w:r>
          </w:p>
          <w:p w14:paraId="4CAFB444" w14:textId="28889F6C" w:rsidR="001B11D1" w:rsidRPr="000A1867" w:rsidRDefault="001B11D1" w:rsidP="001B11D1">
            <w:pPr>
              <w:spacing w:after="250" w:line="276" w:lineRule="auto"/>
              <w:rPr>
                <w:rFonts w:ascii="Arial" w:hAnsi="Arial" w:cs="Arial"/>
                <w:color w:val="181818"/>
              </w:rPr>
            </w:pPr>
            <w:r w:rsidRPr="000A1867">
              <w:rPr>
                <w:rFonts w:ascii="Arial" w:hAnsi="Arial" w:cs="Arial"/>
                <w:color w:val="181818"/>
              </w:rPr>
              <w:t xml:space="preserve">2) Better diversification (see </w:t>
            </w:r>
            <w:r w:rsidR="006D7563" w:rsidRPr="000A1867">
              <w:rPr>
                <w:rFonts w:ascii="Arial" w:hAnsi="Arial" w:cs="Arial"/>
                <w:color w:val="181818"/>
              </w:rPr>
              <w:t>slides</w:t>
            </w:r>
            <w:r w:rsidRPr="000A1867">
              <w:rPr>
                <w:rFonts w:ascii="Arial" w:hAnsi="Arial" w:cs="Arial"/>
                <w:color w:val="181818"/>
              </w:rPr>
              <w:t xml:space="preserve"> </w:t>
            </w:r>
            <w:r w:rsidR="006D7563" w:rsidRPr="000A1867">
              <w:rPr>
                <w:rFonts w:ascii="Arial" w:hAnsi="Arial" w:cs="Arial"/>
                <w:color w:val="181818"/>
              </w:rPr>
              <w:t xml:space="preserve"> </w:t>
            </w:r>
            <w:r w:rsidR="00B05D0A">
              <w:rPr>
                <w:rFonts w:ascii="Arial" w:hAnsi="Arial" w:cs="Arial"/>
                <w:color w:val="181818"/>
              </w:rPr>
              <w:t xml:space="preserve">7-9 </w:t>
            </w:r>
            <w:r w:rsidRPr="000A1867">
              <w:rPr>
                <w:rFonts w:ascii="Arial" w:hAnsi="Arial" w:cs="Arial"/>
                <w:color w:val="181818"/>
              </w:rPr>
              <w:t xml:space="preserve">in </w:t>
            </w:r>
            <w:r w:rsidR="006D7563" w:rsidRPr="000A1867">
              <w:rPr>
                <w:rFonts w:ascii="Arial" w:hAnsi="Arial" w:cs="Arial"/>
                <w:color w:val="181818"/>
              </w:rPr>
              <w:t xml:space="preserve">the provided </w:t>
            </w:r>
            <w:r w:rsidRPr="000A1867">
              <w:rPr>
                <w:rFonts w:ascii="Arial" w:hAnsi="Arial" w:cs="Arial"/>
                <w:color w:val="181818"/>
              </w:rPr>
              <w:t>presentation)</w:t>
            </w:r>
          </w:p>
          <w:p w14:paraId="6518BDAD" w14:textId="0C6F19FB" w:rsidR="001B11D1" w:rsidRPr="000A1867" w:rsidRDefault="001B11D1" w:rsidP="001B11D1">
            <w:pPr>
              <w:spacing w:after="250" w:line="276" w:lineRule="auto"/>
              <w:rPr>
                <w:rFonts w:ascii="Arial" w:hAnsi="Arial" w:cs="Arial"/>
                <w:color w:val="181818"/>
              </w:rPr>
            </w:pPr>
            <w:r w:rsidRPr="000A1867">
              <w:rPr>
                <w:rFonts w:ascii="Arial" w:hAnsi="Arial" w:cs="Arial"/>
                <w:color w:val="181818"/>
              </w:rPr>
              <w:t>3) Good protection of investors</w:t>
            </w:r>
            <w:r w:rsidR="0066104E">
              <w:rPr>
                <w:rFonts w:ascii="Arial" w:hAnsi="Arial" w:cs="Arial"/>
                <w:color w:val="181818"/>
              </w:rPr>
              <w:t xml:space="preserve">. </w:t>
            </w:r>
            <w:r w:rsidR="00551736">
              <w:rPr>
                <w:rFonts w:ascii="Arial" w:hAnsi="Arial" w:cs="Arial"/>
                <w:color w:val="181818"/>
              </w:rPr>
              <w:t>G</w:t>
            </w:r>
            <w:r w:rsidR="0034798E" w:rsidRPr="000A1867">
              <w:rPr>
                <w:rFonts w:ascii="Arial" w:hAnsi="Arial" w:cs="Arial"/>
                <w:color w:val="181818"/>
              </w:rPr>
              <w:t>old-backed crypto-assets reference ownership in physical</w:t>
            </w:r>
            <w:r w:rsidRPr="000A1867">
              <w:rPr>
                <w:rFonts w:ascii="Arial" w:hAnsi="Arial" w:cs="Arial"/>
                <w:color w:val="181818"/>
              </w:rPr>
              <w:t xml:space="preserve"> gold</w:t>
            </w:r>
            <w:r w:rsidR="0034798E" w:rsidRPr="000A1867">
              <w:rPr>
                <w:rFonts w:ascii="Arial" w:hAnsi="Arial" w:cs="Arial"/>
                <w:color w:val="181818"/>
              </w:rPr>
              <w:t>, which</w:t>
            </w:r>
            <w:r w:rsidRPr="000A1867">
              <w:rPr>
                <w:rFonts w:ascii="Arial" w:hAnsi="Arial" w:cs="Arial"/>
                <w:color w:val="181818"/>
              </w:rPr>
              <w:t xml:space="preserve"> carries no liability, credit or counterparty risk.</w:t>
            </w:r>
          </w:p>
          <w:p w14:paraId="3CF2D8B6" w14:textId="740270C7" w:rsidR="00B33432" w:rsidRPr="000A1867" w:rsidRDefault="001B11D1" w:rsidP="001B11D1">
            <w:pPr>
              <w:spacing w:after="250" w:line="276" w:lineRule="auto"/>
              <w:rPr>
                <w:rFonts w:ascii="Arial" w:hAnsi="Arial" w:cs="Arial"/>
                <w:color w:val="181818"/>
              </w:rPr>
            </w:pPr>
            <w:r w:rsidRPr="000A1867">
              <w:rPr>
                <w:rFonts w:ascii="Arial" w:hAnsi="Arial" w:cs="Arial"/>
                <w:color w:val="181818"/>
              </w:rPr>
              <w:lastRenderedPageBreak/>
              <w:t>It is likely that institutional investors – as well as even some retail investors – from the EU currently invest into Gold ETFs based in Northern America or Switzerland, since they cannot invest in UCITS Gold ETFs.</w:t>
            </w:r>
          </w:p>
        </w:tc>
        <w:tc>
          <w:tcPr>
            <w:tcW w:w="2111" w:type="dxa"/>
          </w:tcPr>
          <w:p w14:paraId="0FB78278" w14:textId="6CF5ECA2" w:rsidR="00B33432" w:rsidRPr="000E6BDC" w:rsidRDefault="00B33432" w:rsidP="00E37A87">
            <w:pPr>
              <w:spacing w:after="250" w:line="276" w:lineRule="auto"/>
              <w:rPr>
                <w:rFonts w:ascii="Arial" w:hAnsi="Arial" w:cs="Arial"/>
                <w:color w:val="181818"/>
                <w:lang w:val="en-GB"/>
              </w:rPr>
            </w:pPr>
          </w:p>
        </w:tc>
        <w:tc>
          <w:tcPr>
            <w:tcW w:w="1605" w:type="dxa"/>
          </w:tcPr>
          <w:p w14:paraId="1FC39945" w14:textId="1C58C435" w:rsidR="000A1867" w:rsidRPr="000E6BDC" w:rsidRDefault="000A1867" w:rsidP="001B11D1">
            <w:pPr>
              <w:spacing w:after="250" w:line="276" w:lineRule="auto"/>
              <w:rPr>
                <w:rFonts w:ascii="Arial" w:hAnsi="Arial" w:cs="Arial"/>
                <w:color w:val="181818"/>
                <w:lang w:val="en-GB"/>
              </w:rPr>
            </w:pPr>
            <w:r>
              <w:rPr>
                <w:rFonts w:ascii="Arial" w:hAnsi="Arial" w:cs="Arial"/>
                <w:color w:val="181818"/>
                <w:lang w:val="en-GB"/>
              </w:rPr>
              <w:t>ARTs</w:t>
            </w:r>
            <w:r w:rsidR="007B212A">
              <w:rPr>
                <w:rFonts w:ascii="Arial" w:hAnsi="Arial" w:cs="Arial"/>
                <w:color w:val="181818"/>
                <w:lang w:val="en-GB"/>
              </w:rPr>
              <w:t xml:space="preserve">, incl. physically backed gold tokens, are not </w:t>
            </w:r>
            <w:r>
              <w:rPr>
                <w:rFonts w:ascii="Arial" w:hAnsi="Arial" w:cs="Arial"/>
                <w:color w:val="181818"/>
                <w:lang w:val="en-GB"/>
              </w:rPr>
              <w:t xml:space="preserve">an eligible asset class yet, thus </w:t>
            </w:r>
            <w:r w:rsidR="009728B6">
              <w:rPr>
                <w:rFonts w:ascii="Arial" w:hAnsi="Arial" w:cs="Arial"/>
                <w:color w:val="181818"/>
                <w:lang w:val="en-GB"/>
              </w:rPr>
              <w:t xml:space="preserve">UCITS fund managers are not </w:t>
            </w:r>
            <w:r w:rsidR="007B212A">
              <w:rPr>
                <w:rFonts w:ascii="Arial" w:hAnsi="Arial" w:cs="Arial"/>
                <w:color w:val="181818"/>
                <w:lang w:val="en-GB"/>
              </w:rPr>
              <w:t xml:space="preserve">able </w:t>
            </w:r>
            <w:r w:rsidR="009728B6">
              <w:rPr>
                <w:rFonts w:ascii="Arial" w:hAnsi="Arial" w:cs="Arial"/>
                <w:color w:val="181818"/>
                <w:lang w:val="en-GB"/>
              </w:rPr>
              <w:t>to incorporate exposures to ART</w:t>
            </w:r>
            <w:r w:rsidR="007B212A">
              <w:rPr>
                <w:rFonts w:ascii="Arial" w:hAnsi="Arial" w:cs="Arial"/>
                <w:color w:val="181818"/>
                <w:lang w:val="en-GB"/>
              </w:rPr>
              <w:t xml:space="preserve">s. </w:t>
            </w:r>
          </w:p>
        </w:tc>
        <w:tc>
          <w:tcPr>
            <w:tcW w:w="1526" w:type="dxa"/>
          </w:tcPr>
          <w:p w14:paraId="0562CB0E" w14:textId="25CBFFFB" w:rsidR="000A1867" w:rsidRPr="000E6BDC" w:rsidRDefault="00B05D0A" w:rsidP="001B11D1">
            <w:pPr>
              <w:spacing w:after="250" w:line="276" w:lineRule="auto"/>
              <w:rPr>
                <w:rFonts w:ascii="Arial" w:hAnsi="Arial" w:cs="Arial"/>
                <w:color w:val="181818"/>
                <w:lang w:val="en-GB"/>
              </w:rPr>
            </w:pPr>
            <w:r>
              <w:rPr>
                <w:rFonts w:ascii="Arial" w:hAnsi="Arial" w:cs="Arial"/>
                <w:color w:val="181818"/>
                <w:lang w:val="en-GB"/>
              </w:rPr>
              <w:t xml:space="preserve">According to </w:t>
            </w:r>
            <w:r w:rsidR="00C45231">
              <w:rPr>
                <w:rFonts w:ascii="Arial" w:hAnsi="Arial" w:cs="Arial"/>
                <w:color w:val="181818"/>
                <w:lang w:val="en-GB"/>
              </w:rPr>
              <w:t xml:space="preserve">art. 60, paragraph 5, </w:t>
            </w:r>
            <w:r>
              <w:rPr>
                <w:rFonts w:ascii="Arial" w:hAnsi="Arial" w:cs="Arial"/>
                <w:color w:val="181818"/>
                <w:lang w:val="en-GB"/>
              </w:rPr>
              <w:t xml:space="preserve">of </w:t>
            </w:r>
            <w:proofErr w:type="spellStart"/>
            <w:r>
              <w:rPr>
                <w:rFonts w:ascii="Arial" w:hAnsi="Arial" w:cs="Arial"/>
                <w:color w:val="181818"/>
                <w:lang w:val="en-GB"/>
              </w:rPr>
              <w:t>MiCA</w:t>
            </w:r>
            <w:proofErr w:type="spellEnd"/>
            <w:r>
              <w:rPr>
                <w:rFonts w:ascii="Arial" w:hAnsi="Arial" w:cs="Arial"/>
                <w:color w:val="181818"/>
                <w:lang w:val="en-GB"/>
              </w:rPr>
              <w:t xml:space="preserve">, </w:t>
            </w:r>
            <w:r w:rsidR="00C45231">
              <w:rPr>
                <w:rFonts w:ascii="Arial" w:hAnsi="Arial" w:cs="Arial"/>
                <w:color w:val="181818"/>
                <w:lang w:val="en-GB"/>
              </w:rPr>
              <w:t xml:space="preserve">UCITS </w:t>
            </w:r>
            <w:r w:rsidR="00BB67AD">
              <w:rPr>
                <w:rFonts w:ascii="Arial" w:hAnsi="Arial" w:cs="Arial"/>
                <w:color w:val="181818"/>
                <w:lang w:val="en-GB"/>
              </w:rPr>
              <w:t>fund managers</w:t>
            </w:r>
            <w:r w:rsidR="00C45231">
              <w:rPr>
                <w:rFonts w:ascii="Arial" w:hAnsi="Arial" w:cs="Arial"/>
                <w:color w:val="181818"/>
                <w:lang w:val="en-GB"/>
              </w:rPr>
              <w:t xml:space="preserve"> </w:t>
            </w:r>
            <w:r>
              <w:rPr>
                <w:rFonts w:ascii="Arial" w:hAnsi="Arial" w:cs="Arial"/>
                <w:color w:val="181818"/>
                <w:lang w:val="en-GB"/>
              </w:rPr>
              <w:t>can</w:t>
            </w:r>
            <w:r w:rsidR="00BB67AD">
              <w:rPr>
                <w:rFonts w:ascii="Arial" w:hAnsi="Arial" w:cs="Arial"/>
                <w:color w:val="181818"/>
                <w:lang w:val="en-GB"/>
              </w:rPr>
              <w:t xml:space="preserve"> offer crypto asset </w:t>
            </w:r>
            <w:r w:rsidR="007E7E28">
              <w:rPr>
                <w:rFonts w:ascii="Arial" w:hAnsi="Arial" w:cs="Arial"/>
                <w:color w:val="181818"/>
                <w:lang w:val="en-GB"/>
              </w:rPr>
              <w:t>services</w:t>
            </w:r>
            <w:r w:rsidR="00C45231">
              <w:rPr>
                <w:rFonts w:ascii="Arial" w:hAnsi="Arial" w:cs="Arial"/>
                <w:color w:val="181818"/>
                <w:lang w:val="en-GB"/>
              </w:rPr>
              <w:t>.</w:t>
            </w:r>
            <w:r w:rsidR="00244857">
              <w:rPr>
                <w:rFonts w:ascii="Arial" w:hAnsi="Arial" w:cs="Arial"/>
                <w:color w:val="181818"/>
                <w:lang w:val="en-GB"/>
              </w:rPr>
              <w:t xml:space="preserve"> </w:t>
            </w:r>
            <w:r w:rsidR="00BB67AD">
              <w:rPr>
                <w:rFonts w:ascii="Arial" w:hAnsi="Arial" w:cs="Arial"/>
                <w:color w:val="181818"/>
                <w:lang w:val="en-GB"/>
              </w:rPr>
              <w:t xml:space="preserve"> </w:t>
            </w:r>
            <w:r w:rsidR="00C45231">
              <w:rPr>
                <w:rFonts w:ascii="Arial" w:hAnsi="Arial" w:cs="Arial"/>
                <w:color w:val="181818"/>
                <w:lang w:val="en-GB"/>
              </w:rPr>
              <w:t xml:space="preserve">It would be a next logical step from the legal </w:t>
            </w:r>
            <w:r w:rsidR="00244857">
              <w:rPr>
                <w:rFonts w:ascii="Arial" w:hAnsi="Arial" w:cs="Arial"/>
                <w:color w:val="181818"/>
                <w:lang w:val="en-GB"/>
              </w:rPr>
              <w:t xml:space="preserve">perspective </w:t>
            </w:r>
            <w:r w:rsidR="00BB67AD">
              <w:rPr>
                <w:rFonts w:ascii="Arial" w:hAnsi="Arial" w:cs="Arial"/>
                <w:color w:val="181818"/>
                <w:lang w:val="en-GB"/>
              </w:rPr>
              <w:t>that these managers could manage funds that are exposed to crypto assets regulated under MICA</w:t>
            </w:r>
            <w:r w:rsidR="009B6F01">
              <w:rPr>
                <w:rFonts w:ascii="Arial" w:hAnsi="Arial" w:cs="Arial"/>
                <w:color w:val="181818"/>
                <w:lang w:val="en-GB"/>
              </w:rPr>
              <w:t>.</w:t>
            </w:r>
          </w:p>
        </w:tc>
      </w:tr>
      <w:tr w:rsidR="000D5D44" w:rsidRPr="00B33432" w14:paraId="6582FE19" w14:textId="77777777" w:rsidTr="002D0BEC">
        <w:tc>
          <w:tcPr>
            <w:tcW w:w="2026" w:type="dxa"/>
          </w:tcPr>
          <w:p w14:paraId="73AF3CD4" w14:textId="77777777" w:rsidR="007B0EA4" w:rsidRPr="00B33432" w:rsidRDefault="007B0EA4" w:rsidP="007B0EA4">
            <w:pPr>
              <w:spacing w:after="250" w:line="276" w:lineRule="auto"/>
              <w:rPr>
                <w:rFonts w:ascii="Arial" w:hAnsi="Arial" w:cs="Arial"/>
              </w:rPr>
            </w:pPr>
            <w:r w:rsidRPr="00B33432">
              <w:rPr>
                <w:rFonts w:ascii="Arial" w:hAnsi="Arial" w:cs="Arial"/>
              </w:rPr>
              <w:t>8. Commodities and precious metals</w:t>
            </w:r>
            <w:r w:rsidRPr="00B33432">
              <w:rPr>
                <w:rFonts w:ascii="Arial" w:hAnsi="Arial" w:cs="Arial"/>
                <w:sz w:val="16"/>
                <w:vertAlign w:val="superscript"/>
              </w:rPr>
              <w:footnoteReference w:id="9"/>
            </w:r>
          </w:p>
        </w:tc>
        <w:tc>
          <w:tcPr>
            <w:tcW w:w="2052" w:type="dxa"/>
          </w:tcPr>
          <w:p w14:paraId="39A09A1D" w14:textId="40FB7BC2" w:rsidR="007B0EA4" w:rsidRPr="000E6BDC" w:rsidRDefault="007B0EA4" w:rsidP="007B0EA4">
            <w:pPr>
              <w:spacing w:after="250" w:line="276" w:lineRule="auto"/>
              <w:rPr>
                <w:rFonts w:ascii="Arial" w:hAnsi="Arial" w:cs="Arial"/>
                <w:color w:val="181818"/>
                <w:lang w:val="en-GB"/>
              </w:rPr>
            </w:pPr>
            <w:r w:rsidRPr="000A1867">
              <w:rPr>
                <w:rFonts w:ascii="Arial" w:hAnsi="Arial" w:cs="Arial"/>
                <w:color w:val="181818"/>
              </w:rPr>
              <w:t xml:space="preserve">Direct UCITS exposures to gold would benefit investors </w:t>
            </w:r>
            <w:r w:rsidR="00B80DE7">
              <w:rPr>
                <w:rFonts w:ascii="Arial" w:hAnsi="Arial" w:cs="Arial"/>
                <w:color w:val="181818"/>
              </w:rPr>
              <w:t>with</w:t>
            </w:r>
            <w:r w:rsidRPr="000A1867">
              <w:rPr>
                <w:rFonts w:ascii="Arial" w:hAnsi="Arial" w:cs="Arial"/>
                <w:color w:val="181818"/>
              </w:rPr>
              <w:t>:</w:t>
            </w:r>
          </w:p>
          <w:p w14:paraId="660EC297" w14:textId="00AF6A0F" w:rsidR="006D7563" w:rsidRPr="000E6BDC" w:rsidRDefault="006D7563" w:rsidP="006D7563">
            <w:pPr>
              <w:spacing w:after="250" w:line="276" w:lineRule="auto"/>
              <w:rPr>
                <w:rFonts w:ascii="Arial" w:hAnsi="Arial" w:cs="Arial"/>
                <w:color w:val="181818"/>
                <w:lang w:val="en-GB"/>
              </w:rPr>
            </w:pPr>
            <w:r w:rsidRPr="000A1867">
              <w:rPr>
                <w:rFonts w:ascii="Arial" w:hAnsi="Arial" w:cs="Arial"/>
                <w:color w:val="181818"/>
              </w:rPr>
              <w:t xml:space="preserve">1) Better returns due to gold’s long-term positive performance (see slide </w:t>
            </w:r>
            <w:r w:rsidR="00B05D0A">
              <w:rPr>
                <w:rFonts w:ascii="Arial" w:hAnsi="Arial" w:cs="Arial"/>
                <w:color w:val="181818"/>
              </w:rPr>
              <w:t>5</w:t>
            </w:r>
            <w:r w:rsidRPr="000A1867">
              <w:rPr>
                <w:rFonts w:ascii="Arial" w:hAnsi="Arial" w:cs="Arial"/>
                <w:color w:val="181818"/>
              </w:rPr>
              <w:t xml:space="preserve"> in the provided presentation)</w:t>
            </w:r>
          </w:p>
          <w:p w14:paraId="5F4C00E8" w14:textId="30E6D5A5" w:rsidR="006D7563" w:rsidRPr="000E6BDC" w:rsidRDefault="006D7563" w:rsidP="006D7563">
            <w:pPr>
              <w:spacing w:after="250" w:line="276" w:lineRule="auto"/>
              <w:rPr>
                <w:rFonts w:ascii="Arial" w:hAnsi="Arial" w:cs="Arial"/>
                <w:color w:val="181818"/>
                <w:lang w:val="en-GB"/>
              </w:rPr>
            </w:pPr>
            <w:r w:rsidRPr="000A1867">
              <w:rPr>
                <w:rFonts w:ascii="Arial" w:hAnsi="Arial" w:cs="Arial"/>
                <w:color w:val="181818"/>
              </w:rPr>
              <w:t xml:space="preserve">2) Better diversification (see slides </w:t>
            </w:r>
            <w:r w:rsidR="00B05D0A">
              <w:rPr>
                <w:rFonts w:ascii="Arial" w:hAnsi="Arial" w:cs="Arial"/>
                <w:color w:val="181818"/>
              </w:rPr>
              <w:t>7-9</w:t>
            </w:r>
            <w:r w:rsidRPr="000A1867">
              <w:rPr>
                <w:rFonts w:ascii="Arial" w:hAnsi="Arial" w:cs="Arial"/>
                <w:color w:val="181818"/>
              </w:rPr>
              <w:t xml:space="preserve"> in the provided presentation)</w:t>
            </w:r>
          </w:p>
          <w:p w14:paraId="2CF646C5" w14:textId="7BCC0129" w:rsidR="007B0EA4" w:rsidRPr="000E6BDC" w:rsidRDefault="007B0EA4" w:rsidP="007B0EA4">
            <w:pPr>
              <w:spacing w:after="250" w:line="276" w:lineRule="auto"/>
              <w:rPr>
                <w:rFonts w:ascii="Arial" w:hAnsi="Arial" w:cs="Arial"/>
                <w:color w:val="181818"/>
                <w:lang w:val="en-GB"/>
              </w:rPr>
            </w:pPr>
            <w:r w:rsidRPr="000A1867">
              <w:rPr>
                <w:rFonts w:ascii="Arial" w:hAnsi="Arial" w:cs="Arial"/>
                <w:color w:val="181818"/>
              </w:rPr>
              <w:t>Additional benefits:</w:t>
            </w:r>
          </w:p>
          <w:p w14:paraId="131B449B" w14:textId="1D94506E" w:rsidR="007B0EA4" w:rsidRPr="000E6BDC" w:rsidRDefault="007B0EA4" w:rsidP="007B0EA4">
            <w:pPr>
              <w:spacing w:after="250" w:line="276" w:lineRule="auto"/>
              <w:rPr>
                <w:rFonts w:ascii="Arial" w:hAnsi="Arial" w:cs="Arial"/>
                <w:color w:val="181818"/>
                <w:lang w:val="en-GB"/>
              </w:rPr>
            </w:pPr>
            <w:r w:rsidRPr="000A1867">
              <w:rPr>
                <w:rFonts w:ascii="Arial" w:hAnsi="Arial" w:cs="Arial"/>
                <w:color w:val="181818"/>
              </w:rPr>
              <w:t xml:space="preserve">3) Better protection of investors compared to indirect UCITS gold exposures since </w:t>
            </w:r>
            <w:r w:rsidR="0034798E" w:rsidRPr="000A1867">
              <w:rPr>
                <w:rFonts w:ascii="Arial" w:hAnsi="Arial" w:cs="Arial"/>
                <w:color w:val="181818"/>
              </w:rPr>
              <w:t>physical</w:t>
            </w:r>
            <w:r w:rsidRPr="000A1867">
              <w:rPr>
                <w:rFonts w:ascii="Arial" w:hAnsi="Arial" w:cs="Arial"/>
                <w:color w:val="181818"/>
              </w:rPr>
              <w:t xml:space="preserve"> gold carries </w:t>
            </w:r>
            <w:r w:rsidRPr="000A1867">
              <w:rPr>
                <w:rFonts w:ascii="Arial" w:hAnsi="Arial" w:cs="Arial"/>
                <w:color w:val="181818"/>
              </w:rPr>
              <w:lastRenderedPageBreak/>
              <w:t>no liability, credit or counterparty risk.</w:t>
            </w:r>
          </w:p>
          <w:p w14:paraId="2E63E8B9" w14:textId="0A42C648" w:rsidR="002D0BEC" w:rsidRPr="000E6BDC" w:rsidRDefault="002D0BEC" w:rsidP="007B0EA4">
            <w:pPr>
              <w:spacing w:after="250" w:line="276" w:lineRule="auto"/>
              <w:rPr>
                <w:rFonts w:ascii="Arial" w:hAnsi="Arial" w:cs="Arial"/>
                <w:color w:val="181818"/>
                <w:lang w:val="en-GB"/>
              </w:rPr>
            </w:pPr>
            <w:r w:rsidRPr="000A1867">
              <w:rPr>
                <w:rFonts w:ascii="Arial" w:hAnsi="Arial" w:cs="Arial"/>
                <w:color w:val="181818"/>
              </w:rPr>
              <w:t>4) Providing the most cost-efficient way to invest in gold</w:t>
            </w:r>
          </w:p>
          <w:p w14:paraId="4484BDDB" w14:textId="2EC17E85" w:rsidR="007B0EA4" w:rsidRPr="000E6BDC" w:rsidRDefault="002D0BEC" w:rsidP="007B0EA4">
            <w:pPr>
              <w:spacing w:after="250" w:line="276" w:lineRule="auto"/>
              <w:rPr>
                <w:rFonts w:ascii="Arial" w:hAnsi="Arial" w:cs="Arial"/>
                <w:color w:val="181818"/>
                <w:lang w:val="en-GB"/>
              </w:rPr>
            </w:pPr>
            <w:r w:rsidRPr="000A1867">
              <w:rPr>
                <w:rFonts w:ascii="Arial" w:hAnsi="Arial" w:cs="Arial"/>
                <w:color w:val="181818"/>
              </w:rPr>
              <w:t>5</w:t>
            </w:r>
            <w:r w:rsidR="007B0EA4" w:rsidRPr="000A1867">
              <w:rPr>
                <w:rFonts w:ascii="Arial" w:hAnsi="Arial" w:cs="Arial"/>
                <w:color w:val="181818"/>
              </w:rPr>
              <w:t>) Re-patriation of A</w:t>
            </w:r>
            <w:r w:rsidR="007B212A">
              <w:rPr>
                <w:rFonts w:ascii="Arial" w:hAnsi="Arial" w:cs="Arial"/>
                <w:color w:val="181818"/>
              </w:rPr>
              <w:t>U</w:t>
            </w:r>
            <w:r w:rsidR="007B0EA4" w:rsidRPr="000A1867">
              <w:rPr>
                <w:rFonts w:ascii="Arial" w:hAnsi="Arial" w:cs="Arial"/>
                <w:color w:val="181818"/>
              </w:rPr>
              <w:t xml:space="preserve">M from </w:t>
            </w:r>
            <w:r w:rsidR="000D5D44" w:rsidRPr="000A1867">
              <w:rPr>
                <w:rFonts w:ascii="Arial" w:hAnsi="Arial" w:cs="Arial"/>
                <w:color w:val="181818"/>
              </w:rPr>
              <w:t xml:space="preserve">non-UCITS </w:t>
            </w:r>
            <w:r w:rsidR="007B0EA4" w:rsidRPr="000A1867">
              <w:rPr>
                <w:rFonts w:ascii="Arial" w:hAnsi="Arial" w:cs="Arial"/>
                <w:color w:val="181818"/>
              </w:rPr>
              <w:t>gold funds to the EU</w:t>
            </w:r>
          </w:p>
          <w:p w14:paraId="34CE0A41" w14:textId="1AA20721" w:rsidR="007B0EA4" w:rsidRPr="000E6BDC" w:rsidRDefault="00450C84" w:rsidP="007B0EA4">
            <w:pPr>
              <w:spacing w:after="250" w:line="276" w:lineRule="auto"/>
              <w:rPr>
                <w:rFonts w:ascii="Arial" w:hAnsi="Arial" w:cs="Arial"/>
                <w:color w:val="181818"/>
                <w:lang w:val="en-GB"/>
              </w:rPr>
            </w:pPr>
            <w:r w:rsidRPr="000A1867">
              <w:rPr>
                <w:rFonts w:ascii="Arial" w:hAnsi="Arial" w:cs="Arial"/>
                <w:color w:val="181818"/>
              </w:rPr>
              <w:t xml:space="preserve">It is likely that institutional investors – as well as even some retail investors – from the EU currently invest into </w:t>
            </w:r>
            <w:r w:rsidR="000D5D44" w:rsidRPr="000A1867">
              <w:rPr>
                <w:rFonts w:ascii="Arial" w:hAnsi="Arial" w:cs="Arial"/>
                <w:color w:val="181818"/>
              </w:rPr>
              <w:t>Gold ETFs based in Northern America or Switzerland, since they cannot invest in UCITS Gold ETFs.</w:t>
            </w:r>
          </w:p>
        </w:tc>
        <w:tc>
          <w:tcPr>
            <w:tcW w:w="2111" w:type="dxa"/>
          </w:tcPr>
          <w:p w14:paraId="574F78ED" w14:textId="47F648BA" w:rsidR="007B0EA4" w:rsidRPr="000E6BDC" w:rsidRDefault="007B0EA4" w:rsidP="007B0EA4">
            <w:pPr>
              <w:spacing w:after="250" w:line="276" w:lineRule="auto"/>
              <w:rPr>
                <w:rFonts w:ascii="Arial" w:hAnsi="Arial" w:cs="Arial"/>
                <w:color w:val="181818"/>
                <w:lang w:val="en-GB"/>
              </w:rPr>
            </w:pPr>
            <w:r w:rsidRPr="000A1867">
              <w:rPr>
                <w:rFonts w:ascii="Arial" w:hAnsi="Arial" w:cs="Arial"/>
                <w:color w:val="181818"/>
              </w:rPr>
              <w:lastRenderedPageBreak/>
              <w:t>Indirect UCITS exposures to gold would benefit investors</w:t>
            </w:r>
            <w:r w:rsidR="00435162">
              <w:rPr>
                <w:rFonts w:ascii="Arial" w:hAnsi="Arial" w:cs="Arial"/>
                <w:color w:val="181818"/>
              </w:rPr>
              <w:t xml:space="preserve"> with</w:t>
            </w:r>
            <w:r w:rsidRPr="000A1867">
              <w:rPr>
                <w:rFonts w:ascii="Arial" w:hAnsi="Arial" w:cs="Arial"/>
                <w:color w:val="181818"/>
              </w:rPr>
              <w:t>:</w:t>
            </w:r>
          </w:p>
          <w:p w14:paraId="6B315BF6" w14:textId="451365FF" w:rsidR="006D7563" w:rsidRPr="000E6BDC" w:rsidRDefault="006D7563" w:rsidP="006D7563">
            <w:pPr>
              <w:spacing w:after="250" w:line="276" w:lineRule="auto"/>
              <w:rPr>
                <w:rFonts w:ascii="Arial" w:hAnsi="Arial" w:cs="Arial"/>
                <w:color w:val="181818"/>
                <w:lang w:val="en-GB"/>
              </w:rPr>
            </w:pPr>
            <w:r w:rsidRPr="000A1867">
              <w:rPr>
                <w:rFonts w:ascii="Arial" w:hAnsi="Arial" w:cs="Arial"/>
                <w:color w:val="181818"/>
              </w:rPr>
              <w:t xml:space="preserve">1) Better returns due to gold’s long-term positive performance (see slide </w:t>
            </w:r>
            <w:r w:rsidR="00B05D0A">
              <w:rPr>
                <w:rFonts w:ascii="Arial" w:hAnsi="Arial" w:cs="Arial"/>
                <w:color w:val="181818"/>
              </w:rPr>
              <w:t>5</w:t>
            </w:r>
            <w:r w:rsidRPr="000A1867">
              <w:rPr>
                <w:rFonts w:ascii="Arial" w:hAnsi="Arial" w:cs="Arial"/>
                <w:color w:val="181818"/>
              </w:rPr>
              <w:t xml:space="preserve"> in the provided presentation)</w:t>
            </w:r>
          </w:p>
          <w:p w14:paraId="5FA1EF44" w14:textId="444E1383" w:rsidR="006D7563" w:rsidRPr="000E6BDC" w:rsidRDefault="006D7563" w:rsidP="006D7563">
            <w:pPr>
              <w:spacing w:after="250" w:line="276" w:lineRule="auto"/>
              <w:rPr>
                <w:rFonts w:ascii="Arial" w:hAnsi="Arial" w:cs="Arial"/>
                <w:color w:val="181818"/>
                <w:lang w:val="en-GB"/>
              </w:rPr>
            </w:pPr>
            <w:r w:rsidRPr="000A1867">
              <w:rPr>
                <w:rFonts w:ascii="Arial" w:hAnsi="Arial" w:cs="Arial"/>
                <w:color w:val="181818"/>
              </w:rPr>
              <w:t xml:space="preserve">2) Better diversification (see slides </w:t>
            </w:r>
            <w:r w:rsidR="00B05D0A">
              <w:rPr>
                <w:rFonts w:ascii="Arial" w:hAnsi="Arial" w:cs="Arial"/>
                <w:color w:val="181818"/>
              </w:rPr>
              <w:t>7-9</w:t>
            </w:r>
            <w:r w:rsidRPr="000A1867">
              <w:rPr>
                <w:rFonts w:ascii="Arial" w:hAnsi="Arial" w:cs="Arial"/>
                <w:color w:val="181818"/>
              </w:rPr>
              <w:t xml:space="preserve"> in the provided presentation)</w:t>
            </w:r>
          </w:p>
          <w:p w14:paraId="3C2CF086" w14:textId="77777777" w:rsidR="007B0EA4" w:rsidRPr="000E6BDC" w:rsidRDefault="007B0EA4" w:rsidP="007B0EA4">
            <w:pPr>
              <w:spacing w:after="250" w:line="276" w:lineRule="auto"/>
              <w:rPr>
                <w:rFonts w:ascii="Arial" w:hAnsi="Arial" w:cs="Arial"/>
                <w:color w:val="181818"/>
                <w:lang w:val="en-GB"/>
              </w:rPr>
            </w:pPr>
            <w:r w:rsidRPr="000A1867">
              <w:rPr>
                <w:rFonts w:ascii="Arial" w:hAnsi="Arial" w:cs="Arial"/>
                <w:color w:val="181818"/>
              </w:rPr>
              <w:t>Additional benefits:</w:t>
            </w:r>
          </w:p>
          <w:p w14:paraId="62EBF3C5" w14:textId="501F70C8" w:rsidR="007B0EA4" w:rsidRPr="000E6BDC" w:rsidRDefault="007B0EA4" w:rsidP="007B0EA4">
            <w:pPr>
              <w:spacing w:after="250" w:line="276" w:lineRule="auto"/>
              <w:rPr>
                <w:rFonts w:ascii="Arial" w:hAnsi="Arial" w:cs="Arial"/>
                <w:color w:val="181818"/>
                <w:lang w:val="en-GB"/>
              </w:rPr>
            </w:pPr>
            <w:r w:rsidRPr="000A1867">
              <w:rPr>
                <w:rFonts w:ascii="Arial" w:hAnsi="Arial" w:cs="Arial"/>
                <w:color w:val="181818"/>
              </w:rPr>
              <w:t>3) Re-patriation of A</w:t>
            </w:r>
            <w:r w:rsidR="007B212A">
              <w:rPr>
                <w:rFonts w:ascii="Arial" w:hAnsi="Arial" w:cs="Arial"/>
                <w:color w:val="181818"/>
              </w:rPr>
              <w:t>U</w:t>
            </w:r>
            <w:r w:rsidRPr="000A1867">
              <w:rPr>
                <w:rFonts w:ascii="Arial" w:hAnsi="Arial" w:cs="Arial"/>
                <w:color w:val="181818"/>
              </w:rPr>
              <w:t xml:space="preserve">M from </w:t>
            </w:r>
            <w:r w:rsidR="000D5D44" w:rsidRPr="000A1867">
              <w:rPr>
                <w:rFonts w:ascii="Arial" w:hAnsi="Arial" w:cs="Arial"/>
                <w:color w:val="181818"/>
              </w:rPr>
              <w:t xml:space="preserve">Non-UCITS </w:t>
            </w:r>
            <w:r w:rsidRPr="000A1867">
              <w:rPr>
                <w:rFonts w:ascii="Arial" w:hAnsi="Arial" w:cs="Arial"/>
                <w:color w:val="181818"/>
              </w:rPr>
              <w:t>gold funds to the EU</w:t>
            </w:r>
          </w:p>
        </w:tc>
        <w:tc>
          <w:tcPr>
            <w:tcW w:w="1605" w:type="dxa"/>
          </w:tcPr>
          <w:p w14:paraId="6D98A12B" w14:textId="54F8504F" w:rsidR="007B0EA4" w:rsidRPr="000E6BDC" w:rsidRDefault="007B0EA4" w:rsidP="007B0EA4">
            <w:pPr>
              <w:spacing w:after="250" w:line="276" w:lineRule="auto"/>
              <w:rPr>
                <w:rFonts w:ascii="Arial" w:hAnsi="Arial" w:cs="Arial"/>
                <w:color w:val="181818"/>
                <w:lang w:val="en-GB"/>
              </w:rPr>
            </w:pPr>
          </w:p>
        </w:tc>
        <w:tc>
          <w:tcPr>
            <w:tcW w:w="1526" w:type="dxa"/>
          </w:tcPr>
          <w:p w14:paraId="3ACC04A5" w14:textId="7F7E11B2" w:rsidR="007B0EA4" w:rsidRPr="000E6BDC" w:rsidRDefault="007B0EA4" w:rsidP="007B0EA4">
            <w:pPr>
              <w:spacing w:after="250" w:line="276" w:lineRule="auto"/>
              <w:rPr>
                <w:rFonts w:ascii="Arial" w:hAnsi="Arial" w:cs="Arial"/>
                <w:color w:val="181818"/>
                <w:lang w:val="en-GB"/>
              </w:rPr>
            </w:pPr>
            <w:r w:rsidRPr="000A1867">
              <w:rPr>
                <w:rFonts w:ascii="Arial" w:hAnsi="Arial" w:cs="Arial"/>
                <w:color w:val="181818"/>
              </w:rPr>
              <w:t>Outside of the UCITS framework and the EU</w:t>
            </w:r>
            <w:r w:rsidR="00B05D0A">
              <w:rPr>
                <w:rFonts w:ascii="Arial" w:hAnsi="Arial" w:cs="Arial"/>
                <w:color w:val="181818"/>
              </w:rPr>
              <w:t>,</w:t>
            </w:r>
            <w:r w:rsidRPr="000A1867">
              <w:rPr>
                <w:rFonts w:ascii="Arial" w:hAnsi="Arial" w:cs="Arial"/>
                <w:color w:val="181818"/>
              </w:rPr>
              <w:t xml:space="preserve"> numerous gold funds or ETFs exist:</w:t>
            </w:r>
          </w:p>
          <w:p w14:paraId="38E75790" w14:textId="0F9AB4F4" w:rsidR="007B0EA4" w:rsidRPr="000E6BDC" w:rsidRDefault="007B0EA4" w:rsidP="007B0EA4">
            <w:pPr>
              <w:spacing w:after="250" w:line="276" w:lineRule="auto"/>
              <w:rPr>
                <w:rFonts w:ascii="Arial" w:hAnsi="Arial" w:cs="Arial"/>
                <w:color w:val="181818"/>
                <w:lang w:val="en-GB"/>
              </w:rPr>
            </w:pPr>
            <w:r w:rsidRPr="000A1867">
              <w:rPr>
                <w:rFonts w:ascii="Arial" w:hAnsi="Arial" w:cs="Arial"/>
                <w:color w:val="181818"/>
              </w:rPr>
              <w:t xml:space="preserve">There are at least 17 ETFs </w:t>
            </w:r>
            <w:r w:rsidR="00B05D0A">
              <w:rPr>
                <w:rFonts w:ascii="Arial" w:hAnsi="Arial" w:cs="Arial"/>
                <w:color w:val="181818"/>
              </w:rPr>
              <w:t xml:space="preserve">and open-ended gold funds </w:t>
            </w:r>
            <w:r w:rsidRPr="000A1867">
              <w:rPr>
                <w:rFonts w:ascii="Arial" w:hAnsi="Arial" w:cs="Arial"/>
                <w:color w:val="181818"/>
              </w:rPr>
              <w:t xml:space="preserve">in Europe which invest in physical gold: </w:t>
            </w:r>
            <w:r w:rsidR="00B05D0A">
              <w:rPr>
                <w:rFonts w:ascii="Arial" w:hAnsi="Arial" w:cs="Arial"/>
                <w:color w:val="181818"/>
              </w:rPr>
              <w:t>t</w:t>
            </w:r>
            <w:r w:rsidRPr="000A1867">
              <w:rPr>
                <w:rFonts w:ascii="Arial" w:hAnsi="Arial" w:cs="Arial"/>
                <w:color w:val="181818"/>
              </w:rPr>
              <w:t xml:space="preserve">hree are domiciled in Liechtenstein and 14 are domiciled in Switzerland. In total they hold more than US$ 23 billion in AuM.  Gold ETFs in </w:t>
            </w:r>
            <w:r w:rsidRPr="000A1867">
              <w:rPr>
                <w:rFonts w:ascii="Arial" w:hAnsi="Arial" w:cs="Arial"/>
                <w:color w:val="181818"/>
              </w:rPr>
              <w:lastRenderedPageBreak/>
              <w:t>North America account even for more than US$ 110 billion in assets under management. Also in Asia, Gold ETFs are prevalent, total market cap is about US$ 14 billion.</w:t>
            </w:r>
          </w:p>
          <w:p w14:paraId="2946DB82" w14:textId="4DD94CAC" w:rsidR="007B0EA4" w:rsidRPr="000E6BDC" w:rsidRDefault="007B0EA4" w:rsidP="007B0EA4">
            <w:pPr>
              <w:spacing w:after="250" w:line="276" w:lineRule="auto"/>
              <w:rPr>
                <w:rFonts w:ascii="Arial" w:hAnsi="Arial" w:cs="Arial"/>
                <w:color w:val="181818"/>
                <w:lang w:val="en-GB"/>
              </w:rPr>
            </w:pPr>
            <w:r w:rsidRPr="000A1867">
              <w:rPr>
                <w:rFonts w:ascii="Arial" w:hAnsi="Arial" w:cs="Arial"/>
                <w:color w:val="181818"/>
              </w:rPr>
              <w:t>This evidences that Gold ETFs are common in other jurisdictions</w:t>
            </w:r>
            <w:r w:rsidR="0034798E" w:rsidRPr="000A1867">
              <w:rPr>
                <w:rFonts w:ascii="Arial" w:hAnsi="Arial" w:cs="Arial"/>
                <w:color w:val="181818"/>
              </w:rPr>
              <w:t>.</w:t>
            </w:r>
          </w:p>
        </w:tc>
      </w:tr>
      <w:tr w:rsidR="002D0BEC" w:rsidRPr="00B33432" w14:paraId="1D06A7CA" w14:textId="77777777" w:rsidTr="002D0BEC">
        <w:tc>
          <w:tcPr>
            <w:tcW w:w="2026" w:type="dxa"/>
          </w:tcPr>
          <w:p w14:paraId="695108F8" w14:textId="77777777" w:rsidR="002D0BEC" w:rsidRPr="00B33432" w:rsidRDefault="002D0BEC" w:rsidP="002D0BEC">
            <w:pPr>
              <w:spacing w:after="250" w:line="276" w:lineRule="auto"/>
              <w:rPr>
                <w:rFonts w:ascii="Arial" w:hAnsi="Arial" w:cs="Arial"/>
              </w:rPr>
            </w:pPr>
            <w:r w:rsidRPr="00B33432">
              <w:rPr>
                <w:rFonts w:ascii="Arial" w:hAnsi="Arial" w:cs="Arial"/>
              </w:rPr>
              <w:lastRenderedPageBreak/>
              <w:t>9. Exchange-traded commodities (‘ETCs’)</w:t>
            </w:r>
          </w:p>
        </w:tc>
        <w:tc>
          <w:tcPr>
            <w:tcW w:w="2052" w:type="dxa"/>
          </w:tcPr>
          <w:p w14:paraId="5997CC1D" w14:textId="77777777" w:rsidR="002D0BEC" w:rsidRPr="00B33432" w:rsidRDefault="002D0BEC" w:rsidP="002D0BEC">
            <w:pPr>
              <w:spacing w:after="250" w:line="276" w:lineRule="auto"/>
              <w:jc w:val="both"/>
              <w:rPr>
                <w:rFonts w:ascii="Arial" w:hAnsi="Arial" w:cs="Arial"/>
                <w:color w:val="181818"/>
              </w:rPr>
            </w:pPr>
          </w:p>
        </w:tc>
        <w:tc>
          <w:tcPr>
            <w:tcW w:w="2111" w:type="dxa"/>
          </w:tcPr>
          <w:p w14:paraId="6495A19B" w14:textId="1C6F7FE4" w:rsidR="002D0BEC" w:rsidRPr="000E6BDC" w:rsidRDefault="002D0BEC" w:rsidP="002D0BEC">
            <w:pPr>
              <w:spacing w:after="250" w:line="276" w:lineRule="auto"/>
              <w:rPr>
                <w:rFonts w:ascii="Arial" w:hAnsi="Arial" w:cs="Arial"/>
                <w:color w:val="181818"/>
                <w:lang w:val="en-GB"/>
              </w:rPr>
            </w:pPr>
            <w:r w:rsidRPr="000A1867">
              <w:rPr>
                <w:rFonts w:ascii="Arial" w:hAnsi="Arial" w:cs="Arial"/>
                <w:color w:val="181818"/>
              </w:rPr>
              <w:t>Indirect UCITS exposures to gold through Gold ETCs (Gold E</w:t>
            </w:r>
            <w:r w:rsidR="008F7ABC" w:rsidRPr="000A1867">
              <w:rPr>
                <w:rFonts w:ascii="Arial" w:hAnsi="Arial" w:cs="Arial"/>
                <w:color w:val="181818"/>
              </w:rPr>
              <w:t>TN</w:t>
            </w:r>
            <w:r w:rsidRPr="000A1867">
              <w:rPr>
                <w:rFonts w:ascii="Arial" w:hAnsi="Arial" w:cs="Arial"/>
                <w:color w:val="181818"/>
              </w:rPr>
              <w:t>s) would benefit investors with:</w:t>
            </w:r>
          </w:p>
          <w:p w14:paraId="6264EA21" w14:textId="39AB3134" w:rsidR="006D7563" w:rsidRPr="000E6BDC" w:rsidRDefault="006D7563" w:rsidP="006D7563">
            <w:pPr>
              <w:spacing w:after="250" w:line="276" w:lineRule="auto"/>
              <w:rPr>
                <w:rFonts w:ascii="Arial" w:hAnsi="Arial" w:cs="Arial"/>
                <w:color w:val="181818"/>
                <w:lang w:val="en-GB"/>
              </w:rPr>
            </w:pPr>
            <w:r w:rsidRPr="000A1867">
              <w:rPr>
                <w:rFonts w:ascii="Arial" w:hAnsi="Arial" w:cs="Arial"/>
                <w:color w:val="181818"/>
              </w:rPr>
              <w:t xml:space="preserve">1) Better returns due to gold’s long-term positive performance (see slide </w:t>
            </w:r>
            <w:r w:rsidR="00B05D0A">
              <w:rPr>
                <w:rFonts w:ascii="Arial" w:hAnsi="Arial" w:cs="Arial"/>
                <w:color w:val="181818"/>
              </w:rPr>
              <w:t>5</w:t>
            </w:r>
            <w:r w:rsidRPr="000A1867">
              <w:rPr>
                <w:rFonts w:ascii="Arial" w:hAnsi="Arial" w:cs="Arial"/>
                <w:color w:val="181818"/>
              </w:rPr>
              <w:t xml:space="preserve"> in the provided presentation)</w:t>
            </w:r>
          </w:p>
          <w:p w14:paraId="5476D971" w14:textId="72CB6211" w:rsidR="006D7563" w:rsidRPr="000E6BDC" w:rsidRDefault="006D7563" w:rsidP="006D7563">
            <w:pPr>
              <w:spacing w:after="250" w:line="276" w:lineRule="auto"/>
              <w:rPr>
                <w:rFonts w:ascii="Arial" w:hAnsi="Arial" w:cs="Arial"/>
                <w:color w:val="181818"/>
                <w:lang w:val="en-GB"/>
              </w:rPr>
            </w:pPr>
            <w:r w:rsidRPr="000A1867">
              <w:rPr>
                <w:rFonts w:ascii="Arial" w:hAnsi="Arial" w:cs="Arial"/>
                <w:color w:val="181818"/>
              </w:rPr>
              <w:t xml:space="preserve">2) Better diversification (see slides </w:t>
            </w:r>
            <w:r w:rsidR="00B05D0A">
              <w:rPr>
                <w:rFonts w:ascii="Arial" w:hAnsi="Arial" w:cs="Arial"/>
                <w:color w:val="181818"/>
              </w:rPr>
              <w:t>7-9</w:t>
            </w:r>
            <w:r w:rsidRPr="000A1867">
              <w:rPr>
                <w:rFonts w:ascii="Arial" w:hAnsi="Arial" w:cs="Arial"/>
                <w:color w:val="181818"/>
              </w:rPr>
              <w:t xml:space="preserve"> in the </w:t>
            </w:r>
            <w:r w:rsidRPr="000A1867">
              <w:rPr>
                <w:rFonts w:ascii="Arial" w:hAnsi="Arial" w:cs="Arial"/>
                <w:color w:val="181818"/>
              </w:rPr>
              <w:lastRenderedPageBreak/>
              <w:t>provided presentation)</w:t>
            </w:r>
          </w:p>
          <w:p w14:paraId="44CB16E3" w14:textId="77777777" w:rsidR="002D0BEC" w:rsidRPr="000E6BDC" w:rsidRDefault="002D0BEC" w:rsidP="002D0BEC">
            <w:pPr>
              <w:spacing w:after="250" w:line="276" w:lineRule="auto"/>
              <w:rPr>
                <w:rFonts w:ascii="Arial" w:hAnsi="Arial" w:cs="Arial"/>
                <w:color w:val="181818"/>
                <w:lang w:val="en-GB"/>
              </w:rPr>
            </w:pPr>
            <w:r w:rsidRPr="000A1867">
              <w:rPr>
                <w:rFonts w:ascii="Arial" w:hAnsi="Arial" w:cs="Arial"/>
                <w:color w:val="181818"/>
              </w:rPr>
              <w:t>Additional benefits:</w:t>
            </w:r>
          </w:p>
          <w:p w14:paraId="110FFD37" w14:textId="613698E6" w:rsidR="002D0BEC" w:rsidRPr="000E6BDC" w:rsidRDefault="002D0BEC" w:rsidP="002D0BEC">
            <w:pPr>
              <w:spacing w:after="250" w:line="276" w:lineRule="auto"/>
              <w:jc w:val="both"/>
              <w:rPr>
                <w:rFonts w:ascii="Arial" w:hAnsi="Arial" w:cs="Arial"/>
                <w:color w:val="181818"/>
                <w:lang w:val="en-GB"/>
              </w:rPr>
            </w:pPr>
            <w:r w:rsidRPr="000A1867">
              <w:rPr>
                <w:rFonts w:ascii="Arial" w:hAnsi="Arial" w:cs="Arial"/>
                <w:color w:val="181818"/>
              </w:rPr>
              <w:t>3) Re-patriation of A</w:t>
            </w:r>
            <w:r w:rsidR="007B212A">
              <w:rPr>
                <w:rFonts w:ascii="Arial" w:hAnsi="Arial" w:cs="Arial"/>
                <w:color w:val="181818"/>
              </w:rPr>
              <w:t>U</w:t>
            </w:r>
            <w:r w:rsidRPr="000A1867">
              <w:rPr>
                <w:rFonts w:ascii="Arial" w:hAnsi="Arial" w:cs="Arial"/>
                <w:color w:val="181818"/>
              </w:rPr>
              <w:t>M from Non-UCITS gold funds to the EU</w:t>
            </w:r>
          </w:p>
        </w:tc>
        <w:tc>
          <w:tcPr>
            <w:tcW w:w="1605" w:type="dxa"/>
          </w:tcPr>
          <w:p w14:paraId="6B699379" w14:textId="245F4A69" w:rsidR="002D0BEC" w:rsidRPr="000E6BDC" w:rsidRDefault="002D0BEC" w:rsidP="002D0BEC">
            <w:pPr>
              <w:spacing w:after="250" w:line="276" w:lineRule="auto"/>
              <w:jc w:val="both"/>
              <w:rPr>
                <w:rFonts w:ascii="Arial" w:hAnsi="Arial" w:cs="Arial"/>
                <w:color w:val="181818"/>
                <w:lang w:val="en-GB"/>
              </w:rPr>
            </w:pPr>
          </w:p>
        </w:tc>
        <w:tc>
          <w:tcPr>
            <w:tcW w:w="1526" w:type="dxa"/>
          </w:tcPr>
          <w:p w14:paraId="3FE9F23F" w14:textId="77777777" w:rsidR="002D0BEC" w:rsidRPr="000E6BDC" w:rsidRDefault="002D0BEC" w:rsidP="002D0BEC">
            <w:pPr>
              <w:spacing w:after="250" w:line="276" w:lineRule="auto"/>
              <w:jc w:val="both"/>
              <w:rPr>
                <w:rFonts w:ascii="Arial" w:hAnsi="Arial" w:cs="Arial"/>
                <w:color w:val="181818"/>
                <w:lang w:val="en-GB"/>
              </w:rPr>
            </w:pPr>
          </w:p>
        </w:tc>
      </w:tr>
      <w:tr w:rsidR="002D0BEC" w:rsidRPr="00B33432" w14:paraId="241FBBEE" w14:textId="77777777" w:rsidTr="002D0BEC">
        <w:tc>
          <w:tcPr>
            <w:tcW w:w="2026" w:type="dxa"/>
          </w:tcPr>
          <w:p w14:paraId="168EC9A2" w14:textId="77777777" w:rsidR="002D0BEC" w:rsidRPr="00B33432" w:rsidRDefault="002D0BEC" w:rsidP="002D0BEC">
            <w:pPr>
              <w:spacing w:after="250" w:line="276" w:lineRule="auto"/>
              <w:rPr>
                <w:rFonts w:ascii="Arial" w:hAnsi="Arial" w:cs="Arial"/>
              </w:rPr>
            </w:pPr>
            <w:r w:rsidRPr="00B33432">
              <w:rPr>
                <w:rFonts w:ascii="Arial" w:hAnsi="Arial" w:cs="Arial"/>
              </w:rPr>
              <w:t>10. Real estate</w:t>
            </w:r>
          </w:p>
        </w:tc>
        <w:tc>
          <w:tcPr>
            <w:tcW w:w="2052" w:type="dxa"/>
          </w:tcPr>
          <w:p w14:paraId="1F72F646" w14:textId="77777777" w:rsidR="002D0BEC" w:rsidRPr="00B33432" w:rsidRDefault="002D0BEC" w:rsidP="002D0BEC">
            <w:pPr>
              <w:spacing w:after="250" w:line="276" w:lineRule="auto"/>
              <w:jc w:val="both"/>
              <w:rPr>
                <w:rFonts w:ascii="Arial" w:hAnsi="Arial" w:cs="Arial"/>
                <w:color w:val="181818"/>
              </w:rPr>
            </w:pPr>
          </w:p>
        </w:tc>
        <w:tc>
          <w:tcPr>
            <w:tcW w:w="2111" w:type="dxa"/>
          </w:tcPr>
          <w:p w14:paraId="08CE6F91" w14:textId="77777777" w:rsidR="002D0BEC" w:rsidRPr="00B33432" w:rsidRDefault="002D0BEC" w:rsidP="002D0BEC">
            <w:pPr>
              <w:spacing w:after="250" w:line="276" w:lineRule="auto"/>
              <w:jc w:val="both"/>
              <w:rPr>
                <w:rFonts w:ascii="Arial" w:hAnsi="Arial" w:cs="Arial"/>
                <w:color w:val="181818"/>
              </w:rPr>
            </w:pPr>
          </w:p>
        </w:tc>
        <w:tc>
          <w:tcPr>
            <w:tcW w:w="1605" w:type="dxa"/>
          </w:tcPr>
          <w:p w14:paraId="61CDCEAD" w14:textId="77777777" w:rsidR="002D0BEC" w:rsidRPr="00B33432" w:rsidRDefault="002D0BEC" w:rsidP="002D0BEC">
            <w:pPr>
              <w:spacing w:after="250" w:line="276" w:lineRule="auto"/>
              <w:jc w:val="both"/>
              <w:rPr>
                <w:rFonts w:ascii="Arial" w:hAnsi="Arial" w:cs="Arial"/>
                <w:color w:val="181818"/>
              </w:rPr>
            </w:pPr>
          </w:p>
        </w:tc>
        <w:tc>
          <w:tcPr>
            <w:tcW w:w="1526" w:type="dxa"/>
          </w:tcPr>
          <w:p w14:paraId="6BB9E253" w14:textId="77777777" w:rsidR="002D0BEC" w:rsidRPr="00B33432" w:rsidRDefault="002D0BEC" w:rsidP="002D0BEC">
            <w:pPr>
              <w:spacing w:after="250" w:line="276" w:lineRule="auto"/>
              <w:jc w:val="both"/>
              <w:rPr>
                <w:rFonts w:ascii="Arial" w:hAnsi="Arial" w:cs="Arial"/>
                <w:color w:val="181818"/>
              </w:rPr>
            </w:pPr>
          </w:p>
        </w:tc>
      </w:tr>
      <w:tr w:rsidR="002D0BEC" w:rsidRPr="00B33432" w14:paraId="7FD6362C" w14:textId="77777777" w:rsidTr="002D0BEC">
        <w:tc>
          <w:tcPr>
            <w:tcW w:w="2026" w:type="dxa"/>
          </w:tcPr>
          <w:p w14:paraId="146B0B65" w14:textId="77777777" w:rsidR="002D0BEC" w:rsidRPr="000E6BDC" w:rsidRDefault="002D0BEC" w:rsidP="002D0BEC">
            <w:pPr>
              <w:spacing w:after="250" w:line="276" w:lineRule="auto"/>
              <w:rPr>
                <w:rFonts w:ascii="Arial" w:hAnsi="Arial" w:cs="Arial"/>
                <w:lang w:val="en-GB"/>
              </w:rPr>
            </w:pPr>
            <w:r w:rsidRPr="000A1867">
              <w:rPr>
                <w:rFonts w:ascii="Arial" w:hAnsi="Arial" w:cs="Arial"/>
              </w:rPr>
              <w:t>11. Real Estate Investment Trusts (‘REITs’)</w:t>
            </w:r>
          </w:p>
        </w:tc>
        <w:tc>
          <w:tcPr>
            <w:tcW w:w="2052" w:type="dxa"/>
          </w:tcPr>
          <w:p w14:paraId="23DE523C" w14:textId="77777777" w:rsidR="002D0BEC" w:rsidRPr="000E6BDC" w:rsidRDefault="002D0BEC" w:rsidP="002D0BEC">
            <w:pPr>
              <w:spacing w:after="250" w:line="276" w:lineRule="auto"/>
              <w:jc w:val="both"/>
              <w:rPr>
                <w:rFonts w:ascii="Arial" w:hAnsi="Arial" w:cs="Arial"/>
                <w:color w:val="181818"/>
                <w:lang w:val="en-GB"/>
              </w:rPr>
            </w:pPr>
          </w:p>
        </w:tc>
        <w:tc>
          <w:tcPr>
            <w:tcW w:w="2111" w:type="dxa"/>
          </w:tcPr>
          <w:p w14:paraId="52E56223" w14:textId="77777777" w:rsidR="002D0BEC" w:rsidRPr="000E6BDC" w:rsidRDefault="002D0BEC" w:rsidP="002D0BEC">
            <w:pPr>
              <w:spacing w:after="250" w:line="276" w:lineRule="auto"/>
              <w:jc w:val="both"/>
              <w:rPr>
                <w:rFonts w:ascii="Arial" w:hAnsi="Arial" w:cs="Arial"/>
                <w:color w:val="181818"/>
                <w:lang w:val="en-GB"/>
              </w:rPr>
            </w:pPr>
          </w:p>
        </w:tc>
        <w:tc>
          <w:tcPr>
            <w:tcW w:w="1605" w:type="dxa"/>
          </w:tcPr>
          <w:p w14:paraId="07547A01" w14:textId="77777777" w:rsidR="002D0BEC" w:rsidRPr="000E6BDC" w:rsidRDefault="002D0BEC" w:rsidP="002D0BEC">
            <w:pPr>
              <w:spacing w:after="250" w:line="276" w:lineRule="auto"/>
              <w:jc w:val="both"/>
              <w:rPr>
                <w:rFonts w:ascii="Arial" w:hAnsi="Arial" w:cs="Arial"/>
                <w:color w:val="181818"/>
                <w:lang w:val="en-GB"/>
              </w:rPr>
            </w:pPr>
          </w:p>
        </w:tc>
        <w:tc>
          <w:tcPr>
            <w:tcW w:w="1526" w:type="dxa"/>
          </w:tcPr>
          <w:p w14:paraId="5043CB0F" w14:textId="77777777" w:rsidR="002D0BEC" w:rsidRPr="000E6BDC" w:rsidRDefault="002D0BEC" w:rsidP="002D0BEC">
            <w:pPr>
              <w:spacing w:after="250" w:line="276" w:lineRule="auto"/>
              <w:jc w:val="both"/>
              <w:rPr>
                <w:rFonts w:ascii="Arial" w:hAnsi="Arial" w:cs="Arial"/>
                <w:color w:val="181818"/>
                <w:lang w:val="en-GB"/>
              </w:rPr>
            </w:pPr>
          </w:p>
        </w:tc>
      </w:tr>
      <w:tr w:rsidR="002D0BEC" w:rsidRPr="00B33432" w14:paraId="585437CF" w14:textId="77777777" w:rsidTr="002D0BEC">
        <w:tc>
          <w:tcPr>
            <w:tcW w:w="2026" w:type="dxa"/>
          </w:tcPr>
          <w:p w14:paraId="17F5DE1B" w14:textId="77777777" w:rsidR="002D0BEC" w:rsidRPr="00B33432" w:rsidRDefault="002D0BEC" w:rsidP="002D0BEC">
            <w:pPr>
              <w:spacing w:after="250" w:line="276" w:lineRule="auto"/>
              <w:rPr>
                <w:rFonts w:ascii="Arial" w:hAnsi="Arial" w:cs="Arial"/>
              </w:rPr>
            </w:pPr>
            <w:r w:rsidRPr="00B33432">
              <w:rPr>
                <w:rFonts w:ascii="Arial" w:hAnsi="Arial" w:cs="Arial"/>
              </w:rPr>
              <w:t>12. Special Purpose Acquisition Companies (‘SPACs’)</w:t>
            </w:r>
          </w:p>
        </w:tc>
        <w:tc>
          <w:tcPr>
            <w:tcW w:w="2052" w:type="dxa"/>
          </w:tcPr>
          <w:p w14:paraId="07459315" w14:textId="77777777" w:rsidR="002D0BEC" w:rsidRPr="00B33432" w:rsidRDefault="002D0BEC" w:rsidP="002D0BEC">
            <w:pPr>
              <w:spacing w:after="250" w:line="276" w:lineRule="auto"/>
              <w:jc w:val="both"/>
              <w:rPr>
                <w:rFonts w:ascii="Arial" w:hAnsi="Arial" w:cs="Arial"/>
                <w:color w:val="181818"/>
              </w:rPr>
            </w:pPr>
          </w:p>
        </w:tc>
        <w:tc>
          <w:tcPr>
            <w:tcW w:w="2111" w:type="dxa"/>
          </w:tcPr>
          <w:p w14:paraId="6537F28F" w14:textId="77777777" w:rsidR="002D0BEC" w:rsidRPr="00B33432" w:rsidRDefault="002D0BEC" w:rsidP="002D0BEC">
            <w:pPr>
              <w:spacing w:after="250" w:line="276" w:lineRule="auto"/>
              <w:jc w:val="both"/>
              <w:rPr>
                <w:rFonts w:ascii="Arial" w:hAnsi="Arial" w:cs="Arial"/>
                <w:color w:val="181818"/>
              </w:rPr>
            </w:pPr>
          </w:p>
        </w:tc>
        <w:tc>
          <w:tcPr>
            <w:tcW w:w="1605" w:type="dxa"/>
          </w:tcPr>
          <w:p w14:paraId="6DFB9E20" w14:textId="77777777" w:rsidR="002D0BEC" w:rsidRPr="00B33432" w:rsidRDefault="002D0BEC" w:rsidP="002D0BEC">
            <w:pPr>
              <w:spacing w:after="250" w:line="276" w:lineRule="auto"/>
              <w:jc w:val="both"/>
              <w:rPr>
                <w:rFonts w:ascii="Arial" w:hAnsi="Arial" w:cs="Arial"/>
                <w:color w:val="181818"/>
              </w:rPr>
            </w:pPr>
          </w:p>
        </w:tc>
        <w:tc>
          <w:tcPr>
            <w:tcW w:w="1526" w:type="dxa"/>
          </w:tcPr>
          <w:p w14:paraId="70DF9E56" w14:textId="77777777" w:rsidR="002D0BEC" w:rsidRPr="00B33432" w:rsidRDefault="002D0BEC" w:rsidP="002D0BEC">
            <w:pPr>
              <w:spacing w:after="250" w:line="276" w:lineRule="auto"/>
              <w:jc w:val="both"/>
              <w:rPr>
                <w:rFonts w:ascii="Arial" w:hAnsi="Arial" w:cs="Arial"/>
                <w:color w:val="181818"/>
              </w:rPr>
            </w:pPr>
          </w:p>
        </w:tc>
      </w:tr>
      <w:tr w:rsidR="002D0BEC" w:rsidRPr="00B33432" w14:paraId="72D194A9" w14:textId="77777777" w:rsidTr="002D0BEC">
        <w:tc>
          <w:tcPr>
            <w:tcW w:w="2026" w:type="dxa"/>
          </w:tcPr>
          <w:p w14:paraId="31158681" w14:textId="77777777" w:rsidR="002D0BEC" w:rsidRPr="00B33432" w:rsidRDefault="002D0BEC" w:rsidP="002D0BEC">
            <w:pPr>
              <w:spacing w:after="250" w:line="276" w:lineRule="auto"/>
              <w:rPr>
                <w:rFonts w:ascii="Arial" w:hAnsi="Arial" w:cs="Arial"/>
              </w:rPr>
            </w:pPr>
            <w:r w:rsidRPr="00B33432">
              <w:rPr>
                <w:rFonts w:ascii="Arial" w:hAnsi="Arial" w:cs="Arial"/>
              </w:rPr>
              <w:t>13. EU AIFs</w:t>
            </w:r>
            <w:r w:rsidRPr="00B33432">
              <w:rPr>
                <w:rFonts w:ascii="Arial" w:hAnsi="Arial" w:cs="Arial"/>
                <w:sz w:val="16"/>
                <w:vertAlign w:val="superscript"/>
              </w:rPr>
              <w:footnoteReference w:id="10"/>
            </w:r>
          </w:p>
        </w:tc>
        <w:tc>
          <w:tcPr>
            <w:tcW w:w="2052" w:type="dxa"/>
          </w:tcPr>
          <w:p w14:paraId="44E871BC" w14:textId="77777777" w:rsidR="002D0BEC" w:rsidRPr="00B33432" w:rsidRDefault="002D0BEC" w:rsidP="002D0BEC">
            <w:pPr>
              <w:spacing w:after="250" w:line="276" w:lineRule="auto"/>
              <w:jc w:val="both"/>
              <w:rPr>
                <w:rFonts w:ascii="Arial" w:hAnsi="Arial" w:cs="Arial"/>
                <w:color w:val="181818"/>
              </w:rPr>
            </w:pPr>
          </w:p>
        </w:tc>
        <w:tc>
          <w:tcPr>
            <w:tcW w:w="2111" w:type="dxa"/>
          </w:tcPr>
          <w:p w14:paraId="144A5D23" w14:textId="77777777" w:rsidR="002D0BEC" w:rsidRPr="00B33432" w:rsidRDefault="002D0BEC" w:rsidP="002D0BEC">
            <w:pPr>
              <w:spacing w:after="250" w:line="276" w:lineRule="auto"/>
              <w:jc w:val="both"/>
              <w:rPr>
                <w:rFonts w:ascii="Arial" w:hAnsi="Arial" w:cs="Arial"/>
                <w:color w:val="181818"/>
              </w:rPr>
            </w:pPr>
          </w:p>
        </w:tc>
        <w:tc>
          <w:tcPr>
            <w:tcW w:w="1605" w:type="dxa"/>
          </w:tcPr>
          <w:p w14:paraId="738610EB" w14:textId="77777777" w:rsidR="002D0BEC" w:rsidRPr="00B33432" w:rsidRDefault="002D0BEC" w:rsidP="002D0BEC">
            <w:pPr>
              <w:spacing w:after="250" w:line="276" w:lineRule="auto"/>
              <w:jc w:val="both"/>
              <w:rPr>
                <w:rFonts w:ascii="Arial" w:hAnsi="Arial" w:cs="Arial"/>
                <w:color w:val="181818"/>
              </w:rPr>
            </w:pPr>
          </w:p>
        </w:tc>
        <w:tc>
          <w:tcPr>
            <w:tcW w:w="1526" w:type="dxa"/>
          </w:tcPr>
          <w:p w14:paraId="637805D2" w14:textId="77777777" w:rsidR="002D0BEC" w:rsidRPr="00B33432" w:rsidRDefault="002D0BEC" w:rsidP="002D0BEC">
            <w:pPr>
              <w:spacing w:after="250" w:line="276" w:lineRule="auto"/>
              <w:jc w:val="both"/>
              <w:rPr>
                <w:rFonts w:ascii="Arial" w:hAnsi="Arial" w:cs="Arial"/>
                <w:color w:val="181818"/>
              </w:rPr>
            </w:pPr>
          </w:p>
        </w:tc>
      </w:tr>
      <w:tr w:rsidR="002D0BEC" w:rsidRPr="00B33432" w14:paraId="50B47933" w14:textId="77777777" w:rsidTr="002D0BEC">
        <w:tc>
          <w:tcPr>
            <w:tcW w:w="2026" w:type="dxa"/>
          </w:tcPr>
          <w:p w14:paraId="5B21E6DB" w14:textId="77777777" w:rsidR="002D0BEC" w:rsidRPr="00B33432" w:rsidRDefault="002D0BEC" w:rsidP="002D0BEC">
            <w:pPr>
              <w:spacing w:after="250" w:line="276" w:lineRule="auto"/>
              <w:rPr>
                <w:rFonts w:ascii="Arial" w:hAnsi="Arial" w:cs="Arial"/>
              </w:rPr>
            </w:pPr>
            <w:r w:rsidRPr="00B33432">
              <w:rPr>
                <w:rFonts w:ascii="Arial" w:hAnsi="Arial" w:cs="Arial"/>
              </w:rPr>
              <w:t>14. Non-EU AIFs</w:t>
            </w:r>
          </w:p>
        </w:tc>
        <w:tc>
          <w:tcPr>
            <w:tcW w:w="2052" w:type="dxa"/>
          </w:tcPr>
          <w:p w14:paraId="463F29E8" w14:textId="77777777" w:rsidR="002D0BEC" w:rsidRPr="00B33432" w:rsidRDefault="002D0BEC" w:rsidP="002D0BEC">
            <w:pPr>
              <w:spacing w:after="250" w:line="276" w:lineRule="auto"/>
              <w:jc w:val="both"/>
              <w:rPr>
                <w:rFonts w:ascii="Arial" w:hAnsi="Arial" w:cs="Arial"/>
                <w:color w:val="181818"/>
              </w:rPr>
            </w:pPr>
          </w:p>
        </w:tc>
        <w:tc>
          <w:tcPr>
            <w:tcW w:w="2111" w:type="dxa"/>
          </w:tcPr>
          <w:p w14:paraId="3B7B4B86" w14:textId="77777777" w:rsidR="002D0BEC" w:rsidRPr="00B33432" w:rsidRDefault="002D0BEC" w:rsidP="002D0BEC">
            <w:pPr>
              <w:spacing w:after="250" w:line="276" w:lineRule="auto"/>
              <w:jc w:val="both"/>
              <w:rPr>
                <w:rFonts w:ascii="Arial" w:hAnsi="Arial" w:cs="Arial"/>
                <w:color w:val="181818"/>
              </w:rPr>
            </w:pPr>
          </w:p>
        </w:tc>
        <w:tc>
          <w:tcPr>
            <w:tcW w:w="1605" w:type="dxa"/>
          </w:tcPr>
          <w:p w14:paraId="3A0FF5F2" w14:textId="77777777" w:rsidR="002D0BEC" w:rsidRPr="00B33432" w:rsidRDefault="002D0BEC" w:rsidP="002D0BEC">
            <w:pPr>
              <w:spacing w:after="250" w:line="276" w:lineRule="auto"/>
              <w:jc w:val="both"/>
              <w:rPr>
                <w:rFonts w:ascii="Arial" w:hAnsi="Arial" w:cs="Arial"/>
                <w:color w:val="181818"/>
              </w:rPr>
            </w:pPr>
          </w:p>
        </w:tc>
        <w:tc>
          <w:tcPr>
            <w:tcW w:w="1526" w:type="dxa"/>
          </w:tcPr>
          <w:p w14:paraId="5630AD66" w14:textId="77777777" w:rsidR="002D0BEC" w:rsidRPr="00B33432" w:rsidRDefault="002D0BEC" w:rsidP="002D0BEC">
            <w:pPr>
              <w:spacing w:after="250" w:line="276" w:lineRule="auto"/>
              <w:jc w:val="both"/>
              <w:rPr>
                <w:rFonts w:ascii="Arial" w:hAnsi="Arial" w:cs="Arial"/>
                <w:color w:val="181818"/>
              </w:rPr>
            </w:pPr>
          </w:p>
        </w:tc>
      </w:tr>
      <w:tr w:rsidR="002D0BEC" w:rsidRPr="00B33432" w14:paraId="5A25875C" w14:textId="77777777" w:rsidTr="002D0BEC">
        <w:tc>
          <w:tcPr>
            <w:tcW w:w="2026" w:type="dxa"/>
          </w:tcPr>
          <w:p w14:paraId="0BD070FC" w14:textId="77777777" w:rsidR="002D0BEC" w:rsidRPr="00B33432" w:rsidRDefault="002D0BEC" w:rsidP="002D0BEC">
            <w:pPr>
              <w:spacing w:after="250" w:line="276" w:lineRule="auto"/>
              <w:rPr>
                <w:rFonts w:ascii="Arial" w:hAnsi="Arial" w:cs="Arial"/>
              </w:rPr>
            </w:pPr>
            <w:r w:rsidRPr="00B33432">
              <w:rPr>
                <w:rFonts w:ascii="Arial" w:hAnsi="Arial" w:cs="Arial"/>
              </w:rPr>
              <w:t>15. Emission allowances</w:t>
            </w:r>
          </w:p>
        </w:tc>
        <w:tc>
          <w:tcPr>
            <w:tcW w:w="2052" w:type="dxa"/>
          </w:tcPr>
          <w:p w14:paraId="61829076" w14:textId="77777777" w:rsidR="002D0BEC" w:rsidRPr="00B33432" w:rsidRDefault="002D0BEC" w:rsidP="002D0BEC">
            <w:pPr>
              <w:spacing w:after="250" w:line="276" w:lineRule="auto"/>
              <w:jc w:val="both"/>
              <w:rPr>
                <w:rFonts w:ascii="Arial" w:hAnsi="Arial" w:cs="Arial"/>
                <w:color w:val="181818"/>
              </w:rPr>
            </w:pPr>
          </w:p>
        </w:tc>
        <w:tc>
          <w:tcPr>
            <w:tcW w:w="2111" w:type="dxa"/>
          </w:tcPr>
          <w:p w14:paraId="2BA226A1" w14:textId="77777777" w:rsidR="002D0BEC" w:rsidRPr="00B33432" w:rsidRDefault="002D0BEC" w:rsidP="002D0BEC">
            <w:pPr>
              <w:spacing w:after="250" w:line="276" w:lineRule="auto"/>
              <w:jc w:val="both"/>
              <w:rPr>
                <w:rFonts w:ascii="Arial" w:hAnsi="Arial" w:cs="Arial"/>
                <w:color w:val="181818"/>
              </w:rPr>
            </w:pPr>
          </w:p>
        </w:tc>
        <w:tc>
          <w:tcPr>
            <w:tcW w:w="1605" w:type="dxa"/>
          </w:tcPr>
          <w:p w14:paraId="17AD93B2" w14:textId="77777777" w:rsidR="002D0BEC" w:rsidRPr="00B33432" w:rsidRDefault="002D0BEC" w:rsidP="002D0BEC">
            <w:pPr>
              <w:spacing w:after="250" w:line="276" w:lineRule="auto"/>
              <w:jc w:val="both"/>
              <w:rPr>
                <w:rFonts w:ascii="Arial" w:hAnsi="Arial" w:cs="Arial"/>
                <w:color w:val="181818"/>
              </w:rPr>
            </w:pPr>
          </w:p>
        </w:tc>
        <w:tc>
          <w:tcPr>
            <w:tcW w:w="1526" w:type="dxa"/>
          </w:tcPr>
          <w:p w14:paraId="0DE4B5B7" w14:textId="77777777" w:rsidR="002D0BEC" w:rsidRPr="00B33432" w:rsidRDefault="002D0BEC" w:rsidP="002D0BEC">
            <w:pPr>
              <w:spacing w:after="250" w:line="276" w:lineRule="auto"/>
              <w:jc w:val="both"/>
              <w:rPr>
                <w:rFonts w:ascii="Arial" w:hAnsi="Arial" w:cs="Arial"/>
                <w:color w:val="181818"/>
              </w:rPr>
            </w:pPr>
          </w:p>
        </w:tc>
      </w:tr>
      <w:tr w:rsidR="002D0BEC" w:rsidRPr="00B33432" w14:paraId="4663360E" w14:textId="77777777" w:rsidTr="002D0BEC">
        <w:tc>
          <w:tcPr>
            <w:tcW w:w="2026" w:type="dxa"/>
          </w:tcPr>
          <w:p w14:paraId="556F47DB" w14:textId="77777777" w:rsidR="002D0BEC" w:rsidRPr="00B33432" w:rsidRDefault="002D0BEC" w:rsidP="002D0BEC">
            <w:pPr>
              <w:spacing w:after="250" w:line="276" w:lineRule="auto"/>
              <w:rPr>
                <w:rFonts w:ascii="Arial" w:hAnsi="Arial" w:cs="Arial"/>
              </w:rPr>
            </w:pPr>
            <w:r w:rsidRPr="00B33432">
              <w:rPr>
                <w:rFonts w:ascii="Arial" w:hAnsi="Arial" w:cs="Arial"/>
              </w:rPr>
              <w:t>16. Delta-one instruments</w:t>
            </w:r>
          </w:p>
        </w:tc>
        <w:tc>
          <w:tcPr>
            <w:tcW w:w="2052" w:type="dxa"/>
          </w:tcPr>
          <w:p w14:paraId="66204FF1" w14:textId="77777777" w:rsidR="002D0BEC" w:rsidRPr="00B33432" w:rsidRDefault="002D0BEC" w:rsidP="002D0BEC">
            <w:pPr>
              <w:spacing w:after="250" w:line="276" w:lineRule="auto"/>
              <w:jc w:val="both"/>
              <w:rPr>
                <w:rFonts w:ascii="Arial" w:hAnsi="Arial" w:cs="Arial"/>
                <w:color w:val="181818"/>
              </w:rPr>
            </w:pPr>
          </w:p>
        </w:tc>
        <w:tc>
          <w:tcPr>
            <w:tcW w:w="2111" w:type="dxa"/>
          </w:tcPr>
          <w:p w14:paraId="2DBF0D7D" w14:textId="77777777" w:rsidR="002D0BEC" w:rsidRPr="00B33432" w:rsidRDefault="002D0BEC" w:rsidP="002D0BEC">
            <w:pPr>
              <w:spacing w:after="250" w:line="276" w:lineRule="auto"/>
              <w:jc w:val="both"/>
              <w:rPr>
                <w:rFonts w:ascii="Arial" w:hAnsi="Arial" w:cs="Arial"/>
                <w:color w:val="181818"/>
              </w:rPr>
            </w:pPr>
          </w:p>
        </w:tc>
        <w:tc>
          <w:tcPr>
            <w:tcW w:w="1605" w:type="dxa"/>
          </w:tcPr>
          <w:p w14:paraId="6B62F1B3" w14:textId="77777777" w:rsidR="002D0BEC" w:rsidRPr="00B33432" w:rsidRDefault="002D0BEC" w:rsidP="002D0BEC">
            <w:pPr>
              <w:spacing w:after="250" w:line="276" w:lineRule="auto"/>
              <w:jc w:val="both"/>
              <w:rPr>
                <w:rFonts w:ascii="Arial" w:hAnsi="Arial" w:cs="Arial"/>
                <w:color w:val="181818"/>
              </w:rPr>
            </w:pPr>
          </w:p>
        </w:tc>
        <w:tc>
          <w:tcPr>
            <w:tcW w:w="1526" w:type="dxa"/>
          </w:tcPr>
          <w:p w14:paraId="02F2C34E" w14:textId="77777777" w:rsidR="002D0BEC" w:rsidRPr="00B33432" w:rsidRDefault="002D0BEC" w:rsidP="002D0BEC">
            <w:pPr>
              <w:spacing w:after="250" w:line="276" w:lineRule="auto"/>
              <w:jc w:val="both"/>
              <w:rPr>
                <w:rFonts w:ascii="Arial" w:hAnsi="Arial" w:cs="Arial"/>
                <w:color w:val="181818"/>
              </w:rPr>
            </w:pPr>
          </w:p>
        </w:tc>
      </w:tr>
      <w:tr w:rsidR="002D0BEC" w:rsidRPr="00B33432" w14:paraId="6004F4E8" w14:textId="77777777" w:rsidTr="002D0BEC">
        <w:tc>
          <w:tcPr>
            <w:tcW w:w="2026" w:type="dxa"/>
          </w:tcPr>
          <w:p w14:paraId="73D5771C" w14:textId="77777777" w:rsidR="002D0BEC" w:rsidRPr="00B33432" w:rsidRDefault="002D0BEC" w:rsidP="002D0BEC">
            <w:pPr>
              <w:spacing w:after="250" w:line="276" w:lineRule="auto"/>
              <w:rPr>
                <w:rFonts w:ascii="Arial" w:hAnsi="Arial" w:cs="Arial"/>
              </w:rPr>
            </w:pPr>
            <w:r w:rsidRPr="00B33432">
              <w:rPr>
                <w:rFonts w:ascii="Arial" w:hAnsi="Arial" w:cs="Arial"/>
              </w:rPr>
              <w:t>17. Exchange-traded notes (‘ETNs’)</w:t>
            </w:r>
          </w:p>
        </w:tc>
        <w:tc>
          <w:tcPr>
            <w:tcW w:w="2052" w:type="dxa"/>
          </w:tcPr>
          <w:p w14:paraId="680A4E5D" w14:textId="77777777" w:rsidR="002D0BEC" w:rsidRPr="00B33432" w:rsidRDefault="002D0BEC" w:rsidP="002D0BEC">
            <w:pPr>
              <w:spacing w:after="250" w:line="276" w:lineRule="auto"/>
              <w:jc w:val="both"/>
              <w:rPr>
                <w:rFonts w:ascii="Arial" w:hAnsi="Arial" w:cs="Arial"/>
                <w:color w:val="181818"/>
              </w:rPr>
            </w:pPr>
          </w:p>
        </w:tc>
        <w:tc>
          <w:tcPr>
            <w:tcW w:w="2111" w:type="dxa"/>
          </w:tcPr>
          <w:p w14:paraId="19219836" w14:textId="77777777" w:rsidR="002D0BEC" w:rsidRPr="00B33432" w:rsidRDefault="002D0BEC" w:rsidP="002D0BEC">
            <w:pPr>
              <w:spacing w:after="250" w:line="276" w:lineRule="auto"/>
              <w:jc w:val="both"/>
              <w:rPr>
                <w:rFonts w:ascii="Arial" w:hAnsi="Arial" w:cs="Arial"/>
                <w:color w:val="181818"/>
              </w:rPr>
            </w:pPr>
          </w:p>
        </w:tc>
        <w:tc>
          <w:tcPr>
            <w:tcW w:w="1605" w:type="dxa"/>
          </w:tcPr>
          <w:p w14:paraId="296FEF7D" w14:textId="77777777" w:rsidR="002D0BEC" w:rsidRPr="00B33432" w:rsidRDefault="002D0BEC" w:rsidP="002D0BEC">
            <w:pPr>
              <w:spacing w:after="250" w:line="276" w:lineRule="auto"/>
              <w:jc w:val="both"/>
              <w:rPr>
                <w:rFonts w:ascii="Arial" w:hAnsi="Arial" w:cs="Arial"/>
                <w:color w:val="181818"/>
              </w:rPr>
            </w:pPr>
          </w:p>
        </w:tc>
        <w:tc>
          <w:tcPr>
            <w:tcW w:w="1526" w:type="dxa"/>
          </w:tcPr>
          <w:p w14:paraId="7194DBDC" w14:textId="77777777" w:rsidR="002D0BEC" w:rsidRPr="00B33432" w:rsidRDefault="002D0BEC" w:rsidP="002D0BEC">
            <w:pPr>
              <w:spacing w:after="250" w:line="276" w:lineRule="auto"/>
              <w:jc w:val="both"/>
              <w:rPr>
                <w:rFonts w:ascii="Arial" w:hAnsi="Arial" w:cs="Arial"/>
                <w:color w:val="181818"/>
              </w:rPr>
            </w:pPr>
          </w:p>
        </w:tc>
      </w:tr>
      <w:tr w:rsidR="002D0BEC" w:rsidRPr="00B33432" w14:paraId="66BB473F" w14:textId="77777777" w:rsidTr="002D0BEC">
        <w:tc>
          <w:tcPr>
            <w:tcW w:w="2026" w:type="dxa"/>
          </w:tcPr>
          <w:p w14:paraId="08FCC5EB" w14:textId="77777777" w:rsidR="002D0BEC" w:rsidRPr="000E6BDC" w:rsidRDefault="002D0BEC" w:rsidP="002D0BEC">
            <w:pPr>
              <w:spacing w:after="250" w:line="276" w:lineRule="auto"/>
              <w:rPr>
                <w:rFonts w:ascii="Arial" w:hAnsi="Arial" w:cs="Arial"/>
                <w:lang w:val="en-GB"/>
              </w:rPr>
            </w:pPr>
            <w:r w:rsidRPr="000A1867">
              <w:rPr>
                <w:rFonts w:ascii="Arial" w:hAnsi="Arial" w:cs="Arial"/>
              </w:rPr>
              <w:t>18. Asset-backed securities (‘ABS’) including mortgage-backed securities (‘MBS’)</w:t>
            </w:r>
          </w:p>
        </w:tc>
        <w:tc>
          <w:tcPr>
            <w:tcW w:w="2052" w:type="dxa"/>
          </w:tcPr>
          <w:p w14:paraId="769D0D3C" w14:textId="77777777" w:rsidR="002D0BEC" w:rsidRPr="000E6BDC" w:rsidRDefault="002D0BEC" w:rsidP="002D0BEC">
            <w:pPr>
              <w:spacing w:after="250" w:line="276" w:lineRule="auto"/>
              <w:jc w:val="both"/>
              <w:rPr>
                <w:rFonts w:ascii="Arial" w:hAnsi="Arial" w:cs="Arial"/>
                <w:color w:val="181818"/>
                <w:lang w:val="en-GB"/>
              </w:rPr>
            </w:pPr>
          </w:p>
        </w:tc>
        <w:tc>
          <w:tcPr>
            <w:tcW w:w="2111" w:type="dxa"/>
          </w:tcPr>
          <w:p w14:paraId="54CD245A" w14:textId="77777777" w:rsidR="002D0BEC" w:rsidRPr="000E6BDC" w:rsidRDefault="002D0BEC" w:rsidP="002D0BEC">
            <w:pPr>
              <w:spacing w:after="250" w:line="276" w:lineRule="auto"/>
              <w:jc w:val="both"/>
              <w:rPr>
                <w:rFonts w:ascii="Arial" w:hAnsi="Arial" w:cs="Arial"/>
                <w:color w:val="181818"/>
                <w:lang w:val="en-GB"/>
              </w:rPr>
            </w:pPr>
          </w:p>
        </w:tc>
        <w:tc>
          <w:tcPr>
            <w:tcW w:w="1605" w:type="dxa"/>
          </w:tcPr>
          <w:p w14:paraId="1231BE67" w14:textId="77777777" w:rsidR="002D0BEC" w:rsidRPr="000E6BDC" w:rsidRDefault="002D0BEC" w:rsidP="002D0BEC">
            <w:pPr>
              <w:spacing w:after="250" w:line="276" w:lineRule="auto"/>
              <w:jc w:val="both"/>
              <w:rPr>
                <w:rFonts w:ascii="Arial" w:hAnsi="Arial" w:cs="Arial"/>
                <w:color w:val="181818"/>
                <w:lang w:val="en-GB"/>
              </w:rPr>
            </w:pPr>
          </w:p>
        </w:tc>
        <w:tc>
          <w:tcPr>
            <w:tcW w:w="1526" w:type="dxa"/>
          </w:tcPr>
          <w:p w14:paraId="36FEB5B0" w14:textId="77777777" w:rsidR="002D0BEC" w:rsidRPr="000E6BDC" w:rsidRDefault="002D0BEC" w:rsidP="002D0BEC">
            <w:pPr>
              <w:spacing w:after="250" w:line="276" w:lineRule="auto"/>
              <w:jc w:val="both"/>
              <w:rPr>
                <w:rFonts w:ascii="Arial" w:hAnsi="Arial" w:cs="Arial"/>
                <w:color w:val="181818"/>
                <w:lang w:val="en-GB"/>
              </w:rPr>
            </w:pPr>
          </w:p>
        </w:tc>
      </w:tr>
      <w:tr w:rsidR="002D0BEC" w:rsidRPr="00B33432" w14:paraId="16623728" w14:textId="77777777" w:rsidTr="002D0BEC">
        <w:tc>
          <w:tcPr>
            <w:tcW w:w="2026" w:type="dxa"/>
          </w:tcPr>
          <w:p w14:paraId="2D5FBB9B" w14:textId="77777777" w:rsidR="002D0BEC" w:rsidRPr="000E6BDC" w:rsidRDefault="002D0BEC" w:rsidP="002D0BEC">
            <w:pPr>
              <w:spacing w:after="250" w:line="276" w:lineRule="auto"/>
              <w:rPr>
                <w:rFonts w:ascii="Arial" w:hAnsi="Arial" w:cs="Arial"/>
                <w:lang w:val="en-GB"/>
              </w:rPr>
            </w:pPr>
            <w:r w:rsidRPr="000A1867">
              <w:rPr>
                <w:rFonts w:ascii="Arial" w:hAnsi="Arial" w:cs="Arial"/>
              </w:rPr>
              <w:lastRenderedPageBreak/>
              <w:t>19. Other relevant asset classes (please specify)</w:t>
            </w:r>
          </w:p>
        </w:tc>
        <w:tc>
          <w:tcPr>
            <w:tcW w:w="2052" w:type="dxa"/>
          </w:tcPr>
          <w:p w14:paraId="30D7AA69" w14:textId="77777777" w:rsidR="002D0BEC" w:rsidRPr="000E6BDC" w:rsidRDefault="002D0BEC" w:rsidP="002D0BEC">
            <w:pPr>
              <w:spacing w:after="250" w:line="276" w:lineRule="auto"/>
              <w:jc w:val="both"/>
              <w:rPr>
                <w:rFonts w:ascii="Arial" w:hAnsi="Arial" w:cs="Arial"/>
                <w:color w:val="181818"/>
                <w:lang w:val="en-GB"/>
              </w:rPr>
            </w:pPr>
          </w:p>
        </w:tc>
        <w:tc>
          <w:tcPr>
            <w:tcW w:w="2111" w:type="dxa"/>
          </w:tcPr>
          <w:p w14:paraId="7196D064" w14:textId="77777777" w:rsidR="002D0BEC" w:rsidRPr="000E6BDC" w:rsidRDefault="002D0BEC" w:rsidP="002D0BEC">
            <w:pPr>
              <w:spacing w:after="250" w:line="276" w:lineRule="auto"/>
              <w:jc w:val="both"/>
              <w:rPr>
                <w:rFonts w:ascii="Arial" w:hAnsi="Arial" w:cs="Arial"/>
                <w:color w:val="181818"/>
                <w:lang w:val="en-GB"/>
              </w:rPr>
            </w:pPr>
          </w:p>
        </w:tc>
        <w:tc>
          <w:tcPr>
            <w:tcW w:w="1605" w:type="dxa"/>
          </w:tcPr>
          <w:p w14:paraId="34FF1C98" w14:textId="77777777" w:rsidR="002D0BEC" w:rsidRPr="000E6BDC" w:rsidRDefault="002D0BEC" w:rsidP="002D0BEC">
            <w:pPr>
              <w:spacing w:after="250" w:line="276" w:lineRule="auto"/>
              <w:jc w:val="both"/>
              <w:rPr>
                <w:rFonts w:ascii="Arial" w:hAnsi="Arial" w:cs="Arial"/>
                <w:color w:val="181818"/>
                <w:lang w:val="en-GB"/>
              </w:rPr>
            </w:pPr>
          </w:p>
        </w:tc>
        <w:tc>
          <w:tcPr>
            <w:tcW w:w="1526" w:type="dxa"/>
          </w:tcPr>
          <w:p w14:paraId="6D072C0D" w14:textId="77777777" w:rsidR="002D0BEC" w:rsidRPr="000E6BDC" w:rsidRDefault="002D0BEC" w:rsidP="002D0BEC">
            <w:pPr>
              <w:spacing w:after="250" w:line="276" w:lineRule="auto"/>
              <w:jc w:val="both"/>
              <w:rPr>
                <w:rFonts w:ascii="Arial" w:hAnsi="Arial" w:cs="Arial"/>
                <w:color w:val="181818"/>
                <w:lang w:val="en-GB"/>
              </w:rPr>
            </w:pPr>
          </w:p>
        </w:tc>
      </w:tr>
    </w:tbl>
    <w:p w14:paraId="48A21919" w14:textId="77777777" w:rsidR="00B33432" w:rsidRPr="00B33432" w:rsidRDefault="00B33432" w:rsidP="00B33432">
      <w:pPr>
        <w:spacing w:after="120" w:line="276" w:lineRule="auto"/>
        <w:jc w:val="both"/>
        <w:rPr>
          <w:rFonts w:ascii="Arial" w:eastAsia="MS PGothic" w:hAnsi="Arial" w:cs="Arial"/>
          <w:color w:val="181818"/>
          <w:szCs w:val="20"/>
        </w:rPr>
      </w:pPr>
    </w:p>
    <w:p w14:paraId="6BD18F9B" w14:textId="77777777" w:rsidR="004C269D" w:rsidRDefault="004C269D"/>
    <w:sectPr w:rsidR="004C269D">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22A5DA" w14:textId="77777777" w:rsidR="00034995" w:rsidRDefault="00034995" w:rsidP="00B33432">
      <w:pPr>
        <w:spacing w:after="0" w:line="240" w:lineRule="auto"/>
      </w:pPr>
      <w:r>
        <w:separator/>
      </w:r>
    </w:p>
  </w:endnote>
  <w:endnote w:type="continuationSeparator" w:id="0">
    <w:p w14:paraId="23B429FF" w14:textId="77777777" w:rsidR="00034995" w:rsidRDefault="00034995" w:rsidP="00B33432">
      <w:pPr>
        <w:spacing w:after="0" w:line="240" w:lineRule="auto"/>
      </w:pPr>
      <w:r>
        <w:continuationSeparator/>
      </w:r>
    </w:p>
  </w:endnote>
  <w:endnote w:type="continuationNotice" w:id="1">
    <w:p w14:paraId="2D24FBC9" w14:textId="77777777" w:rsidR="00034995" w:rsidRDefault="000349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120AAE" w14:textId="77777777" w:rsidR="00034995" w:rsidRDefault="00034995" w:rsidP="00B33432">
      <w:pPr>
        <w:spacing w:after="0" w:line="240" w:lineRule="auto"/>
      </w:pPr>
      <w:r>
        <w:separator/>
      </w:r>
    </w:p>
  </w:footnote>
  <w:footnote w:type="continuationSeparator" w:id="0">
    <w:p w14:paraId="7CBC051A" w14:textId="77777777" w:rsidR="00034995" w:rsidRDefault="00034995" w:rsidP="00B33432">
      <w:pPr>
        <w:spacing w:after="0" w:line="240" w:lineRule="auto"/>
      </w:pPr>
      <w:r>
        <w:continuationSeparator/>
      </w:r>
    </w:p>
  </w:footnote>
  <w:footnote w:type="continuationNotice" w:id="1">
    <w:p w14:paraId="68FFF96F" w14:textId="77777777" w:rsidR="00034995" w:rsidRDefault="00034995">
      <w:pPr>
        <w:spacing w:after="0" w:line="240" w:lineRule="auto"/>
      </w:pPr>
    </w:p>
  </w:footnote>
  <w:footnote w:id="2">
    <w:p w14:paraId="53A506E4" w14:textId="77777777" w:rsidR="00B33432" w:rsidRPr="00332B8C" w:rsidRDefault="00B33432" w:rsidP="00332B8C">
      <w:pPr>
        <w:pStyle w:val="FootnoteText"/>
        <w:jc w:val="both"/>
        <w:rPr>
          <w:rFonts w:ascii="Arial" w:hAnsi="Arial" w:cs="Arial"/>
        </w:rPr>
      </w:pPr>
      <w:r w:rsidRPr="00332B8C">
        <w:rPr>
          <w:rStyle w:val="Ref1"/>
          <w:rFonts w:cs="Arial"/>
          <w:sz w:val="20"/>
        </w:rPr>
        <w:footnoteRef/>
      </w:r>
      <w:r w:rsidRPr="00332B8C">
        <w:rPr>
          <w:rFonts w:ascii="Arial" w:hAnsi="Arial" w:cs="Arial"/>
        </w:rPr>
        <w:t xml:space="preserve"> ESMA acknowledges that most of the asset classes listed below have not been clearly defined in EU legislation and this might be a source of divergent interpretations and misunderstandings. Where possible, ESMA invites stakeholders to specify their understanding or definition of the relevant asset classes under the “additional comments” box.</w:t>
      </w:r>
    </w:p>
  </w:footnote>
  <w:footnote w:id="3">
    <w:p w14:paraId="5DF96E01" w14:textId="77777777" w:rsidR="00B33432" w:rsidRPr="00332B8C" w:rsidRDefault="00B33432" w:rsidP="00332B8C">
      <w:pPr>
        <w:pStyle w:val="FootnoteText"/>
        <w:jc w:val="both"/>
        <w:rPr>
          <w:rFonts w:ascii="Arial" w:hAnsi="Arial" w:cs="Arial"/>
        </w:rPr>
      </w:pPr>
      <w:r w:rsidRPr="00332B8C">
        <w:rPr>
          <w:rStyle w:val="Ref1"/>
          <w:rFonts w:cs="Arial"/>
          <w:sz w:val="20"/>
        </w:rPr>
        <w:footnoteRef/>
      </w:r>
      <w:r w:rsidRPr="00332B8C">
        <w:rPr>
          <w:rFonts w:ascii="Arial" w:hAnsi="Arial" w:cs="Arial"/>
        </w:rPr>
        <w:t xml:space="preserve"> Where relevant, please distinguish between indirect exposures via instruments such as delta-one instruments, exchange-traded products, derivatives, or AIFs (EU or non-EU). </w:t>
      </w:r>
    </w:p>
  </w:footnote>
  <w:footnote w:id="4">
    <w:p w14:paraId="0C264AC6" w14:textId="77777777" w:rsidR="00B33432" w:rsidRPr="00332B8C" w:rsidRDefault="00B33432" w:rsidP="00332B8C">
      <w:pPr>
        <w:pStyle w:val="FootnoteText"/>
        <w:jc w:val="both"/>
        <w:rPr>
          <w:rFonts w:ascii="Arial" w:hAnsi="Arial" w:cs="Arial"/>
        </w:rPr>
      </w:pPr>
      <w:r w:rsidRPr="00332B8C">
        <w:rPr>
          <w:rStyle w:val="Ref1"/>
          <w:rFonts w:cs="Arial"/>
          <w:sz w:val="20"/>
        </w:rPr>
        <w:footnoteRef/>
      </w:r>
      <w:r w:rsidRPr="00332B8C">
        <w:rPr>
          <w:rFonts w:ascii="Arial" w:hAnsi="Arial" w:cs="Arial"/>
        </w:rPr>
        <w:t xml:space="preserve"> Please share any available data or estimates that help to assess the amount or extent to which there are existing UCITS exposures (distinguishing between direct and indirect, where possible) to these asset classes. Where no reliable data is available, ESMA would appreciate receiving estimates in terms of numbers and/or percentages of UCITS exposed to these asset classes and what is the average proportion in the relevant portfolios. Any additional data and insights on strategies, techniques and instruments used to gain exposure to these asset classes would be also highly appreciated.</w:t>
      </w:r>
    </w:p>
  </w:footnote>
  <w:footnote w:id="5">
    <w:p w14:paraId="5718C342" w14:textId="77777777" w:rsidR="00B33432" w:rsidRPr="00332B8C" w:rsidRDefault="00B33432" w:rsidP="00332B8C">
      <w:pPr>
        <w:pStyle w:val="FootnoteText"/>
        <w:jc w:val="both"/>
        <w:rPr>
          <w:rFonts w:ascii="Arial" w:hAnsi="Arial" w:cs="Arial"/>
        </w:rPr>
      </w:pPr>
      <w:r w:rsidRPr="00332B8C">
        <w:rPr>
          <w:rStyle w:val="Ref1"/>
          <w:rFonts w:cs="Arial"/>
          <w:sz w:val="20"/>
        </w:rPr>
        <w:footnoteRef/>
      </w:r>
      <w:r w:rsidRPr="00332B8C">
        <w:rPr>
          <w:rFonts w:ascii="Arial" w:hAnsi="Arial" w:cs="Arial"/>
        </w:rPr>
        <w:t xml:space="preserve"> Please include under this column any other evidence or views that you would like to share. </w:t>
      </w:r>
    </w:p>
  </w:footnote>
  <w:footnote w:id="6">
    <w:p w14:paraId="34D4CF9B" w14:textId="77777777" w:rsidR="00B33432" w:rsidRPr="00332B8C" w:rsidRDefault="00B33432" w:rsidP="00332B8C">
      <w:pPr>
        <w:pStyle w:val="FootnoteText"/>
        <w:jc w:val="both"/>
        <w:rPr>
          <w:rFonts w:ascii="Arial" w:hAnsi="Arial" w:cs="Arial"/>
        </w:rPr>
      </w:pPr>
      <w:r w:rsidRPr="00332B8C">
        <w:rPr>
          <w:rStyle w:val="Ref1"/>
          <w:rFonts w:cs="Arial"/>
          <w:sz w:val="20"/>
        </w:rPr>
        <w:footnoteRef/>
      </w:r>
      <w:r w:rsidRPr="00332B8C">
        <w:rPr>
          <w:rFonts w:ascii="Arial" w:hAnsi="Arial" w:cs="Arial"/>
        </w:rPr>
        <w:t xml:space="preserve"> Where relevant, please distinguish between leveraged/structured loans, collateralised loan obligations (CLOs) and other types of loans or loan participations (please specify).</w:t>
      </w:r>
    </w:p>
  </w:footnote>
  <w:footnote w:id="7">
    <w:p w14:paraId="48EF4E2A" w14:textId="77777777" w:rsidR="00B33432" w:rsidRPr="00332B8C" w:rsidRDefault="00B33432" w:rsidP="00332B8C">
      <w:pPr>
        <w:pStyle w:val="FootnoteText"/>
        <w:jc w:val="both"/>
        <w:rPr>
          <w:rFonts w:ascii="Arial" w:hAnsi="Arial" w:cs="Arial"/>
        </w:rPr>
      </w:pPr>
      <w:r w:rsidRPr="00332B8C">
        <w:rPr>
          <w:rStyle w:val="Ref1"/>
          <w:rFonts w:cs="Arial"/>
          <w:sz w:val="20"/>
        </w:rPr>
        <w:footnoteRef/>
      </w:r>
      <w:r w:rsidRPr="00332B8C">
        <w:rPr>
          <w:rFonts w:ascii="Arial" w:hAnsi="Arial" w:cs="Arial"/>
        </w:rPr>
        <w:t xml:space="preserve"> Where relevant, please distinguish between equity instruments issued by (1) </w:t>
      </w:r>
      <w:r w:rsidRPr="00332B8C">
        <w:rPr>
          <w:rFonts w:ascii="Arial" w:hAnsi="Arial" w:cs="Arial"/>
          <w:lang w:val="en-US"/>
        </w:rPr>
        <w:t>private companies and (2) shares in public companies that that are not listed.</w:t>
      </w:r>
    </w:p>
  </w:footnote>
  <w:footnote w:id="8">
    <w:p w14:paraId="156E5F12" w14:textId="77777777" w:rsidR="00B33432" w:rsidRPr="00332B8C" w:rsidRDefault="00B33432" w:rsidP="00332B8C">
      <w:pPr>
        <w:pStyle w:val="FootnoteText"/>
        <w:jc w:val="both"/>
        <w:rPr>
          <w:rFonts w:ascii="Arial" w:hAnsi="Arial" w:cs="Arial"/>
        </w:rPr>
      </w:pPr>
      <w:r w:rsidRPr="00332B8C">
        <w:rPr>
          <w:rStyle w:val="Ref1"/>
          <w:rFonts w:cs="Arial"/>
          <w:sz w:val="20"/>
        </w:rPr>
        <w:footnoteRef/>
      </w:r>
      <w:r w:rsidRPr="00332B8C">
        <w:rPr>
          <w:rFonts w:ascii="Arial" w:hAnsi="Arial" w:cs="Arial"/>
        </w:rPr>
        <w:t xml:space="preserve"> Where relevant, please specify what type of crypto assets and whether the implementation of MICA will change anything in terms of your assessment. </w:t>
      </w:r>
      <w:bookmarkStart w:id="0" w:name="_Hlk163456352"/>
      <w:r w:rsidRPr="00332B8C">
        <w:rPr>
          <w:rFonts w:ascii="Arial" w:hAnsi="Arial" w:cs="Arial"/>
        </w:rPr>
        <w:t xml:space="preserve">With respect to indirect exposures, ESMA is particularly interested in stakeholder input on exchange-traded products including ETFs with crypto assets as an underlying. </w:t>
      </w:r>
      <w:bookmarkEnd w:id="0"/>
    </w:p>
  </w:footnote>
  <w:footnote w:id="9">
    <w:p w14:paraId="4A59E86A" w14:textId="77777777" w:rsidR="007B0EA4" w:rsidRPr="00332B8C" w:rsidRDefault="007B0EA4" w:rsidP="00332B8C">
      <w:pPr>
        <w:pStyle w:val="FootnoteText"/>
        <w:jc w:val="both"/>
        <w:rPr>
          <w:rFonts w:ascii="Arial" w:hAnsi="Arial" w:cs="Arial"/>
        </w:rPr>
      </w:pPr>
      <w:r w:rsidRPr="00332B8C">
        <w:rPr>
          <w:rStyle w:val="Ref1"/>
          <w:rFonts w:cs="Arial"/>
          <w:sz w:val="20"/>
        </w:rPr>
        <w:footnoteRef/>
      </w:r>
      <w:r w:rsidRPr="00332B8C">
        <w:rPr>
          <w:rFonts w:ascii="Arial" w:hAnsi="Arial" w:cs="Arial"/>
        </w:rPr>
        <w:t xml:space="preserve"> </w:t>
      </w:r>
      <w:bookmarkStart w:id="1" w:name="_Hlk163456407"/>
      <w:r w:rsidRPr="00332B8C">
        <w:rPr>
          <w:rFonts w:ascii="Arial" w:hAnsi="Arial" w:cs="Arial"/>
        </w:rPr>
        <w:t>With respect to indirect exposures, ESMA is particularly interested in stakeholder input on ETFs with commodities/precious metals as underlying.</w:t>
      </w:r>
      <w:bookmarkEnd w:id="1"/>
      <w:r w:rsidRPr="00332B8C">
        <w:rPr>
          <w:rFonts w:ascii="Arial" w:hAnsi="Arial" w:cs="Arial"/>
        </w:rPr>
        <w:t xml:space="preserve"> Please note that under the current UCITS rules, precious metals and certificates representing them are not eligible (Article 50(2)(b) of the UCITS Directive).</w:t>
      </w:r>
    </w:p>
  </w:footnote>
  <w:footnote w:id="10">
    <w:p w14:paraId="09998020" w14:textId="77777777" w:rsidR="002D0BEC" w:rsidRPr="00332B8C" w:rsidRDefault="002D0BEC" w:rsidP="00332B8C">
      <w:pPr>
        <w:pStyle w:val="FootnoteText"/>
        <w:jc w:val="both"/>
        <w:rPr>
          <w:rFonts w:ascii="Arial" w:hAnsi="Arial" w:cs="Arial"/>
        </w:rPr>
      </w:pPr>
      <w:r w:rsidRPr="00332B8C">
        <w:rPr>
          <w:rStyle w:val="Ref1"/>
          <w:rFonts w:cs="Arial"/>
          <w:sz w:val="20"/>
        </w:rPr>
        <w:footnoteRef/>
      </w:r>
      <w:r w:rsidRPr="00332B8C">
        <w:rPr>
          <w:rFonts w:ascii="Arial" w:hAnsi="Arial" w:cs="Arial"/>
        </w:rPr>
        <w:t xml:space="preserve"> Where relevant, please distinguish between different types of AIFs (e.g. open-ended, closed-ended) and investment strategies (e.g. real estate, private equity, hedge funds).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BB383" w14:textId="77777777" w:rsidR="002D6186" w:rsidRPr="002D6186" w:rsidRDefault="002D6186" w:rsidP="002D6186">
    <w:pPr>
      <w:tabs>
        <w:tab w:val="center" w:pos="4513"/>
        <w:tab w:val="right" w:pos="9026"/>
      </w:tabs>
      <w:spacing w:after="0" w:line="240" w:lineRule="auto"/>
      <w:jc w:val="right"/>
      <w:rPr>
        <w:rFonts w:ascii="Arial" w:eastAsia="MS PGothic" w:hAnsi="Arial" w:cs="Arial"/>
        <w:bCs/>
        <w:caps/>
        <w:color w:val="FF0000"/>
        <w:szCs w:val="20"/>
      </w:rPr>
    </w:pPr>
    <w:r w:rsidRPr="002D6186">
      <w:rPr>
        <w:rFonts w:ascii="Arial" w:eastAsia="MS PGothic" w:hAnsi="Arial" w:cs="Arial"/>
        <w:bCs/>
        <w:caps/>
        <w:noProof/>
        <w:color w:val="FF0000"/>
        <w:szCs w:val="20"/>
      </w:rPr>
      <w:drawing>
        <wp:anchor distT="0" distB="0" distL="114300" distR="114300" simplePos="0" relativeHeight="251658240" behindDoc="0" locked="0" layoutInCell="1" allowOverlap="1" wp14:anchorId="6009BBBF" wp14:editId="70747D81">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Pr="002D6186">
      <w:rPr>
        <w:rFonts w:ascii="Arial" w:eastAsia="MS PGothic" w:hAnsi="Arial" w:cs="Arial"/>
        <w:color w:val="001B4F"/>
        <w:sz w:val="16"/>
        <w:szCs w:val="20"/>
      </w:rPr>
      <w:t>7 May 2024</w:t>
    </w:r>
  </w:p>
  <w:p w14:paraId="3E32722B" w14:textId="5F6683E2" w:rsidR="002D6186" w:rsidRPr="002D6186" w:rsidRDefault="002D6186" w:rsidP="002D6186">
    <w:pPr>
      <w:tabs>
        <w:tab w:val="center" w:pos="4513"/>
        <w:tab w:val="right" w:pos="9026"/>
      </w:tabs>
      <w:spacing w:after="0" w:line="240" w:lineRule="auto"/>
      <w:jc w:val="right"/>
      <w:rPr>
        <w:rFonts w:ascii="Arial" w:eastAsia="MS PGothic" w:hAnsi="Arial" w:cs="Arial"/>
        <w:color w:val="001B4F"/>
        <w:sz w:val="16"/>
        <w:szCs w:val="20"/>
      </w:rPr>
    </w:pPr>
    <w:r w:rsidRPr="002D6186">
      <w:rPr>
        <w:rFonts w:ascii="Arial" w:eastAsia="MS PGothic" w:hAnsi="Arial" w:cs="Arial"/>
        <w:color w:val="001B4F"/>
        <w:sz w:val="16"/>
        <w:szCs w:val="20"/>
      </w:rPr>
      <w:t>ESMA 34-1270380148-10</w:t>
    </w:r>
    <w:r w:rsidR="00AF55C3">
      <w:rPr>
        <w:rFonts w:ascii="Arial" w:eastAsia="MS PGothic" w:hAnsi="Arial" w:cs="Arial"/>
        <w:color w:val="001B4F"/>
        <w:sz w:val="16"/>
        <w:szCs w:val="20"/>
      </w:rPr>
      <w:t>66</w:t>
    </w:r>
  </w:p>
  <w:p w14:paraId="3052C3B3" w14:textId="77777777" w:rsidR="002D6186" w:rsidRPr="002D6186" w:rsidRDefault="002D6186" w:rsidP="002D6186">
    <w:pPr>
      <w:spacing w:after="250" w:line="276" w:lineRule="auto"/>
      <w:jc w:val="both"/>
      <w:rPr>
        <w:rFonts w:ascii="Arial" w:eastAsia="MS PGothic" w:hAnsi="Arial" w:cs="Arial"/>
        <w:color w:val="181818"/>
        <w:szCs w:val="20"/>
      </w:rPr>
    </w:pPr>
  </w:p>
  <w:p w14:paraId="722A68F7" w14:textId="77777777" w:rsidR="002D6186" w:rsidRPr="002D6186" w:rsidRDefault="002D6186" w:rsidP="002D6186">
    <w:pPr>
      <w:spacing w:after="250" w:line="276" w:lineRule="auto"/>
      <w:jc w:val="both"/>
      <w:rPr>
        <w:rFonts w:ascii="Arial" w:eastAsia="MS PGothic" w:hAnsi="Arial" w:cs="Arial"/>
        <w:color w:val="181818"/>
        <w:szCs w:val="20"/>
      </w:rPr>
    </w:pPr>
  </w:p>
  <w:p w14:paraId="74BAAB78" w14:textId="588A28CA" w:rsidR="002D6186" w:rsidRPr="002D6186" w:rsidRDefault="002D6186" w:rsidP="002D61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3A6FC1"/>
    <w:multiLevelType w:val="hybridMultilevel"/>
    <w:tmpl w:val="07189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9575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432"/>
    <w:rsid w:val="000223D7"/>
    <w:rsid w:val="00023AB3"/>
    <w:rsid w:val="00023D31"/>
    <w:rsid w:val="00025A1B"/>
    <w:rsid w:val="00034995"/>
    <w:rsid w:val="00050BF8"/>
    <w:rsid w:val="00065543"/>
    <w:rsid w:val="00067CE6"/>
    <w:rsid w:val="000721AC"/>
    <w:rsid w:val="00083AD9"/>
    <w:rsid w:val="000A1867"/>
    <w:rsid w:val="000D5D44"/>
    <w:rsid w:val="000D6E83"/>
    <w:rsid w:val="000E6BDC"/>
    <w:rsid w:val="001117B2"/>
    <w:rsid w:val="00115515"/>
    <w:rsid w:val="0012328F"/>
    <w:rsid w:val="001301D9"/>
    <w:rsid w:val="001462AD"/>
    <w:rsid w:val="00150222"/>
    <w:rsid w:val="00152FEF"/>
    <w:rsid w:val="00162CAE"/>
    <w:rsid w:val="00175421"/>
    <w:rsid w:val="0017743F"/>
    <w:rsid w:val="00192412"/>
    <w:rsid w:val="001A53B9"/>
    <w:rsid w:val="001B11A8"/>
    <w:rsid w:val="001B11D1"/>
    <w:rsid w:val="001B6396"/>
    <w:rsid w:val="00203EF5"/>
    <w:rsid w:val="002072B4"/>
    <w:rsid w:val="00243F87"/>
    <w:rsid w:val="00244857"/>
    <w:rsid w:val="0025199F"/>
    <w:rsid w:val="002520D9"/>
    <w:rsid w:val="0026434D"/>
    <w:rsid w:val="00264F16"/>
    <w:rsid w:val="00266B15"/>
    <w:rsid w:val="002829AC"/>
    <w:rsid w:val="00282BD2"/>
    <w:rsid w:val="00290E24"/>
    <w:rsid w:val="002A740A"/>
    <w:rsid w:val="002D0BEC"/>
    <w:rsid w:val="002D58CD"/>
    <w:rsid w:val="002D6186"/>
    <w:rsid w:val="002F52B0"/>
    <w:rsid w:val="002F58FB"/>
    <w:rsid w:val="00304E46"/>
    <w:rsid w:val="00332B8C"/>
    <w:rsid w:val="0034798E"/>
    <w:rsid w:val="00352740"/>
    <w:rsid w:val="0035372F"/>
    <w:rsid w:val="00394809"/>
    <w:rsid w:val="003A6B50"/>
    <w:rsid w:val="003D2C3C"/>
    <w:rsid w:val="0040029B"/>
    <w:rsid w:val="00435162"/>
    <w:rsid w:val="00450C84"/>
    <w:rsid w:val="004610FB"/>
    <w:rsid w:val="004664E3"/>
    <w:rsid w:val="00470FA5"/>
    <w:rsid w:val="0048151A"/>
    <w:rsid w:val="00485767"/>
    <w:rsid w:val="004C269D"/>
    <w:rsid w:val="004F280B"/>
    <w:rsid w:val="00501AC4"/>
    <w:rsid w:val="0050210B"/>
    <w:rsid w:val="00502D1C"/>
    <w:rsid w:val="00512209"/>
    <w:rsid w:val="0051598D"/>
    <w:rsid w:val="00523239"/>
    <w:rsid w:val="00537FD1"/>
    <w:rsid w:val="00544A7D"/>
    <w:rsid w:val="00546B72"/>
    <w:rsid w:val="00547DB8"/>
    <w:rsid w:val="00551736"/>
    <w:rsid w:val="00554F00"/>
    <w:rsid w:val="00556DBB"/>
    <w:rsid w:val="00557028"/>
    <w:rsid w:val="00580D8A"/>
    <w:rsid w:val="0058140F"/>
    <w:rsid w:val="005846C0"/>
    <w:rsid w:val="00586B80"/>
    <w:rsid w:val="00590D14"/>
    <w:rsid w:val="00594512"/>
    <w:rsid w:val="00594B29"/>
    <w:rsid w:val="005A35D5"/>
    <w:rsid w:val="005A6BF0"/>
    <w:rsid w:val="005C1551"/>
    <w:rsid w:val="005C347A"/>
    <w:rsid w:val="005E0910"/>
    <w:rsid w:val="005E31F2"/>
    <w:rsid w:val="005E75CC"/>
    <w:rsid w:val="00605E0B"/>
    <w:rsid w:val="00611825"/>
    <w:rsid w:val="0061475B"/>
    <w:rsid w:val="0066104E"/>
    <w:rsid w:val="00663CA9"/>
    <w:rsid w:val="00673DED"/>
    <w:rsid w:val="00686D73"/>
    <w:rsid w:val="006B6977"/>
    <w:rsid w:val="006B7B4A"/>
    <w:rsid w:val="006C47BC"/>
    <w:rsid w:val="006C7811"/>
    <w:rsid w:val="006D7563"/>
    <w:rsid w:val="00712439"/>
    <w:rsid w:val="00753DB8"/>
    <w:rsid w:val="00766B7A"/>
    <w:rsid w:val="00784D7C"/>
    <w:rsid w:val="00794019"/>
    <w:rsid w:val="00795AEE"/>
    <w:rsid w:val="007A589D"/>
    <w:rsid w:val="007B0EA4"/>
    <w:rsid w:val="007B212A"/>
    <w:rsid w:val="007E7E28"/>
    <w:rsid w:val="00817444"/>
    <w:rsid w:val="008351CF"/>
    <w:rsid w:val="00847BDD"/>
    <w:rsid w:val="0087027F"/>
    <w:rsid w:val="008B6D19"/>
    <w:rsid w:val="008C4D04"/>
    <w:rsid w:val="008D1492"/>
    <w:rsid w:val="008F1E24"/>
    <w:rsid w:val="008F7ABC"/>
    <w:rsid w:val="00900C15"/>
    <w:rsid w:val="00901098"/>
    <w:rsid w:val="00915CEE"/>
    <w:rsid w:val="00920E73"/>
    <w:rsid w:val="009212B4"/>
    <w:rsid w:val="009244B3"/>
    <w:rsid w:val="00951595"/>
    <w:rsid w:val="00967D76"/>
    <w:rsid w:val="00971266"/>
    <w:rsid w:val="009728B6"/>
    <w:rsid w:val="00981DAA"/>
    <w:rsid w:val="00984E3B"/>
    <w:rsid w:val="00997493"/>
    <w:rsid w:val="009A3E35"/>
    <w:rsid w:val="009B6F01"/>
    <w:rsid w:val="009F7052"/>
    <w:rsid w:val="00A24B72"/>
    <w:rsid w:val="00A25888"/>
    <w:rsid w:val="00A338CF"/>
    <w:rsid w:val="00A35853"/>
    <w:rsid w:val="00A53BC9"/>
    <w:rsid w:val="00A73913"/>
    <w:rsid w:val="00A85F46"/>
    <w:rsid w:val="00A87C58"/>
    <w:rsid w:val="00AE6FD6"/>
    <w:rsid w:val="00AF3545"/>
    <w:rsid w:val="00AF55C3"/>
    <w:rsid w:val="00B01DB8"/>
    <w:rsid w:val="00B05D0A"/>
    <w:rsid w:val="00B33432"/>
    <w:rsid w:val="00B53F54"/>
    <w:rsid w:val="00B555A9"/>
    <w:rsid w:val="00B626E5"/>
    <w:rsid w:val="00B62E29"/>
    <w:rsid w:val="00B80DE7"/>
    <w:rsid w:val="00BB49D8"/>
    <w:rsid w:val="00BB67AD"/>
    <w:rsid w:val="00BC40B2"/>
    <w:rsid w:val="00BC577D"/>
    <w:rsid w:val="00BD4295"/>
    <w:rsid w:val="00BD7454"/>
    <w:rsid w:val="00BE57C2"/>
    <w:rsid w:val="00C06FE4"/>
    <w:rsid w:val="00C202C8"/>
    <w:rsid w:val="00C242FA"/>
    <w:rsid w:val="00C365B4"/>
    <w:rsid w:val="00C36669"/>
    <w:rsid w:val="00C45231"/>
    <w:rsid w:val="00C745C1"/>
    <w:rsid w:val="00C92979"/>
    <w:rsid w:val="00C95659"/>
    <w:rsid w:val="00CB1B38"/>
    <w:rsid w:val="00CF043C"/>
    <w:rsid w:val="00CF0B7A"/>
    <w:rsid w:val="00D01FE5"/>
    <w:rsid w:val="00D10784"/>
    <w:rsid w:val="00D16F57"/>
    <w:rsid w:val="00D45009"/>
    <w:rsid w:val="00D6002F"/>
    <w:rsid w:val="00D64553"/>
    <w:rsid w:val="00D70F8E"/>
    <w:rsid w:val="00D86E5D"/>
    <w:rsid w:val="00DD67D7"/>
    <w:rsid w:val="00DF78BC"/>
    <w:rsid w:val="00E37A87"/>
    <w:rsid w:val="00E771B9"/>
    <w:rsid w:val="00E87C61"/>
    <w:rsid w:val="00ED4A14"/>
    <w:rsid w:val="00EE4C70"/>
    <w:rsid w:val="00EE5B1A"/>
    <w:rsid w:val="00EF2185"/>
    <w:rsid w:val="00F03868"/>
    <w:rsid w:val="00F03D56"/>
    <w:rsid w:val="00F042E8"/>
    <w:rsid w:val="00F278BC"/>
    <w:rsid w:val="00F329AB"/>
    <w:rsid w:val="00F5738E"/>
    <w:rsid w:val="00F743EF"/>
    <w:rsid w:val="00F92D6A"/>
    <w:rsid w:val="00FB3EA8"/>
    <w:rsid w:val="00FC4846"/>
    <w:rsid w:val="00FD12FD"/>
    <w:rsid w:val="00FE6B1B"/>
    <w:rsid w:val="00FF17AE"/>
    <w:rsid w:val="06C380F5"/>
    <w:rsid w:val="095C8AB7"/>
    <w:rsid w:val="0CAEFC23"/>
    <w:rsid w:val="0EBCB8B4"/>
    <w:rsid w:val="1AFD8AD6"/>
    <w:rsid w:val="28CED790"/>
    <w:rsid w:val="2A636CE1"/>
    <w:rsid w:val="3DB91EF3"/>
    <w:rsid w:val="3FE99FEE"/>
    <w:rsid w:val="47F6D3D0"/>
    <w:rsid w:val="50D66E22"/>
    <w:rsid w:val="53D130EB"/>
    <w:rsid w:val="606EC105"/>
    <w:rsid w:val="66107C87"/>
    <w:rsid w:val="7C53680C"/>
    <w:rsid w:val="7D9B8A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7B325"/>
  <w15:chartTrackingRefBased/>
  <w15:docId w15:val="{F0F16392-A36C-48A7-B6A1-DF2E3C586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334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3432"/>
    <w:rPr>
      <w:sz w:val="20"/>
      <w:szCs w:val="20"/>
    </w:rPr>
  </w:style>
  <w:style w:type="table" w:customStyle="1" w:styleId="Tablenone1">
    <w:name w:val="Table none1"/>
    <w:basedOn w:val="TableNormal"/>
    <w:next w:val="TableGrid"/>
    <w:uiPriority w:val="39"/>
    <w:rsid w:val="00B33432"/>
    <w:pPr>
      <w:spacing w:after="0" w:line="240" w:lineRule="auto"/>
    </w:pPr>
    <w:rPr>
      <w:rFonts w:eastAsia="MS PGothic"/>
      <w:sz w:val="20"/>
      <w:szCs w:val="20"/>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1">
    <w:name w:val="Ref1"/>
    <w:basedOn w:val="DefaultParagraphFont"/>
    <w:link w:val="Superscript6Point"/>
    <w:uiPriority w:val="99"/>
    <w:unhideWhenUsed/>
    <w:qFormat/>
    <w:rsid w:val="00B33432"/>
    <w:rPr>
      <w:rFonts w:ascii="Arial" w:hAnsi="Arial"/>
      <w:sz w:val="16"/>
      <w:vertAlign w:val="superscript"/>
    </w:rPr>
  </w:style>
  <w:style w:type="paragraph" w:customStyle="1" w:styleId="Superscript6Point">
    <w:name w:val="Superscript 6 Point"/>
    <w:aliases w:val="Odwołanie przypisu,de nota al pie,footnote ref,2001+ Fußnotenzeichen, Exposant 3 Point,BVI fnr Знак Знак,BVI fnr Car Car Знак Знак,BVI fnr Car Знак Знак,R,16 Point,number"/>
    <w:basedOn w:val="Normal"/>
    <w:link w:val="Ref1"/>
    <w:uiPriority w:val="99"/>
    <w:rsid w:val="00B33432"/>
    <w:pPr>
      <w:spacing w:before="120" w:line="240" w:lineRule="exact"/>
    </w:pPr>
    <w:rPr>
      <w:rFonts w:ascii="Arial" w:eastAsia="MS PGothic" w:hAnsi="Arial"/>
      <w:sz w:val="16"/>
      <w:szCs w:val="20"/>
      <w:vertAlign w:val="superscript"/>
      <w:lang w:val="nl-BE"/>
    </w:rPr>
  </w:style>
  <w:style w:type="table" w:styleId="TableGrid">
    <w:name w:val="Table Grid"/>
    <w:basedOn w:val="TableNormal"/>
    <w:uiPriority w:val="39"/>
    <w:rsid w:val="00B33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B33432"/>
    <w:rPr>
      <w:vertAlign w:val="superscript"/>
    </w:rPr>
  </w:style>
  <w:style w:type="paragraph" w:styleId="Header">
    <w:name w:val="header"/>
    <w:basedOn w:val="Normal"/>
    <w:link w:val="HeaderChar"/>
    <w:uiPriority w:val="99"/>
    <w:unhideWhenUsed/>
    <w:rsid w:val="00F03D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3D56"/>
  </w:style>
  <w:style w:type="paragraph" w:styleId="Footer">
    <w:name w:val="footer"/>
    <w:basedOn w:val="Normal"/>
    <w:link w:val="FooterChar"/>
    <w:uiPriority w:val="99"/>
    <w:unhideWhenUsed/>
    <w:rsid w:val="00F03D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D56"/>
  </w:style>
  <w:style w:type="paragraph" w:styleId="BalloonText">
    <w:name w:val="Balloon Text"/>
    <w:basedOn w:val="Normal"/>
    <w:link w:val="BalloonTextChar"/>
    <w:uiPriority w:val="99"/>
    <w:semiHidden/>
    <w:unhideWhenUsed/>
    <w:rsid w:val="002D61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186"/>
    <w:rPr>
      <w:rFonts w:ascii="Segoe UI" w:hAnsi="Segoe UI" w:cs="Segoe UI"/>
      <w:sz w:val="18"/>
      <w:szCs w:val="18"/>
    </w:rPr>
  </w:style>
  <w:style w:type="character" w:styleId="Hyperlink">
    <w:name w:val="Hyperlink"/>
    <w:basedOn w:val="DefaultParagraphFont"/>
    <w:uiPriority w:val="99"/>
    <w:unhideWhenUsed/>
    <w:rsid w:val="00901098"/>
    <w:rPr>
      <w:color w:val="0563C1" w:themeColor="hyperlink"/>
      <w:u w:val="single"/>
    </w:rPr>
  </w:style>
  <w:style w:type="character" w:styleId="UnresolvedMention">
    <w:name w:val="Unresolved Mention"/>
    <w:basedOn w:val="DefaultParagraphFont"/>
    <w:uiPriority w:val="99"/>
    <w:semiHidden/>
    <w:unhideWhenUsed/>
    <w:rsid w:val="00901098"/>
    <w:rPr>
      <w:color w:val="605E5C"/>
      <w:shd w:val="clear" w:color="auto" w:fill="E1DFDD"/>
    </w:rPr>
  </w:style>
  <w:style w:type="character" w:styleId="FollowedHyperlink">
    <w:name w:val="FollowedHyperlink"/>
    <w:basedOn w:val="DefaultParagraphFont"/>
    <w:uiPriority w:val="99"/>
    <w:semiHidden/>
    <w:unhideWhenUsed/>
    <w:rsid w:val="00901098"/>
    <w:rPr>
      <w:color w:val="954F72" w:themeColor="followedHyperlink"/>
      <w:u w:val="single"/>
    </w:rPr>
  </w:style>
  <w:style w:type="paragraph" w:styleId="ListParagraph">
    <w:name w:val="List Paragraph"/>
    <w:basedOn w:val="Normal"/>
    <w:uiPriority w:val="34"/>
    <w:qFormat/>
    <w:rsid w:val="00352740"/>
    <w:pPr>
      <w:ind w:left="720"/>
      <w:contextualSpacing/>
    </w:pPr>
  </w:style>
  <w:style w:type="paragraph" w:styleId="Revision">
    <w:name w:val="Revision"/>
    <w:hidden/>
    <w:uiPriority w:val="99"/>
    <w:semiHidden/>
    <w:rsid w:val="00083AD9"/>
    <w:pPr>
      <w:spacing w:after="0" w:line="240" w:lineRule="auto"/>
    </w:pPr>
  </w:style>
  <w:style w:type="character" w:styleId="CommentReference">
    <w:name w:val="annotation reference"/>
    <w:basedOn w:val="DefaultParagraphFont"/>
    <w:uiPriority w:val="99"/>
    <w:semiHidden/>
    <w:unhideWhenUsed/>
    <w:rsid w:val="00590D14"/>
    <w:rPr>
      <w:sz w:val="16"/>
      <w:szCs w:val="16"/>
    </w:rPr>
  </w:style>
  <w:style w:type="paragraph" w:styleId="CommentText">
    <w:name w:val="annotation text"/>
    <w:basedOn w:val="Normal"/>
    <w:link w:val="CommentTextChar"/>
    <w:uiPriority w:val="99"/>
    <w:unhideWhenUsed/>
    <w:rsid w:val="00590D14"/>
    <w:pPr>
      <w:spacing w:line="240" w:lineRule="auto"/>
    </w:pPr>
    <w:rPr>
      <w:sz w:val="20"/>
      <w:szCs w:val="20"/>
    </w:rPr>
  </w:style>
  <w:style w:type="character" w:customStyle="1" w:styleId="CommentTextChar">
    <w:name w:val="Comment Text Char"/>
    <w:basedOn w:val="DefaultParagraphFont"/>
    <w:link w:val="CommentText"/>
    <w:uiPriority w:val="99"/>
    <w:rsid w:val="00590D14"/>
    <w:rPr>
      <w:sz w:val="20"/>
      <w:szCs w:val="20"/>
    </w:rPr>
  </w:style>
  <w:style w:type="paragraph" w:styleId="CommentSubject">
    <w:name w:val="annotation subject"/>
    <w:basedOn w:val="CommentText"/>
    <w:next w:val="CommentText"/>
    <w:link w:val="CommentSubjectChar"/>
    <w:uiPriority w:val="99"/>
    <w:semiHidden/>
    <w:unhideWhenUsed/>
    <w:rsid w:val="00590D14"/>
    <w:rPr>
      <w:b/>
      <w:bCs/>
    </w:rPr>
  </w:style>
  <w:style w:type="character" w:customStyle="1" w:styleId="CommentSubjectChar">
    <w:name w:val="Comment Subject Char"/>
    <w:basedOn w:val="CommentTextChar"/>
    <w:link w:val="CommentSubject"/>
    <w:uiPriority w:val="99"/>
    <w:semiHidden/>
    <w:rsid w:val="00590D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sma.europa.eu/press-news/consultations/call-evidence-review-ucits-eligible-assets-directiv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CITS Document" ma:contentTypeID="0x0101000ED1C6BF2ECFE74585EFFEA9E6E27962010B006EE2F6F0923B8D47B938E8456CAF7C4C" ma:contentTypeVersion="24" ma:contentTypeDescription="" ma:contentTypeScope="" ma:versionID="bb69f40d48060915a746d88e25b3ce6c">
  <xsd:schema xmlns:xsd="http://www.w3.org/2001/XMLSchema" xmlns:xs="http://www.w3.org/2001/XMLSchema" xmlns:p="http://schemas.microsoft.com/office/2006/metadata/properties" xmlns:ns2="d0fb0f98-34f9-4d57-9559-eb8efd17aa5e" xmlns:ns3="6992b194-ece9-4b26-973e-e25c2ee2cdcd" targetNamespace="http://schemas.microsoft.com/office/2006/metadata/properties" ma:root="true" ma:fieldsID="d393c18af9c87e7948f2665729661357" ns2:_="" ns3:_="">
    <xsd:import namespace="d0fb0f98-34f9-4d57-9559-eb8efd17aa5e"/>
    <xsd:import namespace="6992b194-ece9-4b26-973e-e25c2ee2cdcd"/>
    <xsd:element name="properties">
      <xsd:complexType>
        <xsd:sequence>
          <xsd:element name="documentManagement">
            <xsd:complexType>
              <xsd:all>
                <xsd:element ref="ns2:Year"/>
                <xsd:element ref="ns2:MeetingDate" minOccurs="0"/>
                <xsd:element ref="ns2:TaxCatchAll" minOccurs="0"/>
                <xsd:element ref="ns2:TaxCatchAllLabel" minOccurs="0"/>
                <xsd:element ref="ns2:kdd529b9a5cb416096d62dbd0e6e5583" minOccurs="0"/>
                <xsd:element ref="ns2:oa4fe03ffd8943c1880fe290404e8de7" minOccurs="0"/>
                <xsd:element ref="ns2:o129a376828d47fdaef4d5f5d93fd079" minOccurs="0"/>
                <xsd:element ref="ns2:k9db3a09612944c49e649e0ff38a506b" minOccurs="0"/>
                <xsd:element ref="ns2:le43fdf786354491b6a92d49b491b10f" minOccurs="0"/>
                <xsd:element ref="ns2:i273e4c9de95495b82bee898e1d119e4"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default=""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10" nillable="true" ma:displayName="Taxonomy Catch All Column" ma:hidden="true" ma:list="{47290a89-fb2d-4e6f-824b-be70d5d8a6c0}"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47290a89-fb2d-4e6f-824b-be70d5d8a6c0}"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kdd529b9a5cb416096d62dbd0e6e5583" ma:index="18" nillable="true" ma:taxonomy="true" ma:internalName="kdd529b9a5cb416096d62dbd0e6e5583" ma:taxonomyFieldName="TeamName" ma:displayName="Team Name" ma:readOnly="false" ma:default="-1;#Investment Management|9630b78b-e81c-4ffd-baef-5f8b4aeb7ac5" ma:fieldId="{4dd529b9-a5cb-4160-96d6-2dbd0e6e5583}"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oa4fe03ffd8943c1880fe290404e8de7" ma:index="19" nillable="true" ma:taxonomy="true" ma:internalName="oa4fe03ffd8943c1880fe290404e8de7" ma:taxonomyFieldName="DocumentType" ma:displayName="Document Type" ma:readOnly="false" ma:fieldId="{8a4fe03f-fd89-43c1-880f-e290404e8de7}"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20" nillable="true" ma:taxonomy="true" ma:internalName="o129a376828d47fdaef4d5f5d93fd079" ma:taxonomyFieldName="ConfidentialityLevel" ma:displayName="Confidentiality Level" ma:readOnly="false" ma:default="-1;#Regular|07f1e362-856b-423d-bea6-a14079762141" ma:fieldId="{8129a376-828d-47fd-aef4-d5f5d93fd079}"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k9db3a09612944c49e649e0ff38a506b" ma:index="21" nillable="true" ma:taxonomy="true" ma:internalName="k9db3a09612944c49e649e0ff38a506b" ma:taxonomyFieldName="EsmaAudience" ma:displayName="Audience" ma:readOnly="false" ma:fieldId="{49db3a09-6129-44c4-9e64-9e0ff38a506b}"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le43fdf786354491b6a92d49b491b10f" ma:index="22" nillable="true" ma:taxonomy="true" ma:internalName="le43fdf786354491b6a92d49b491b10f" ma:taxonomyFieldName="TeamTopic" ma:displayName="Team Topic" ma:readOnly="false" ma:default="-1;#UCITS|a853cb80-aed9-44bd-ac2a-0e80b5a444d7" ma:fieldId="{5e43fdf7-8635-4491-b6a9-2d49b491b10f}" ma:taxonomyMulti="true" ma:sspId="d4b01e31-ead0-4f68-a8e9-2aaca35f2e62" ma:termSetId="659d163a-41f8-4a11-98d0-47db219aa0e4" ma:anchorId="00000000-0000-0000-0000-000000000000" ma:open="false" ma:isKeyword="false">
      <xsd:complexType>
        <xsd:sequence>
          <xsd:element ref="pc:Terms" minOccurs="0" maxOccurs="1"/>
        </xsd:sequence>
      </xsd:complexType>
    </xsd:element>
    <xsd:element name="i273e4c9de95495b82bee898e1d119e4" ma:index="23" nillable="true" ma:taxonomy="true" ma:internalName="i273e4c9de95495b82bee898e1d119e4" ma:taxonomyFieldName="Topic" ma:displayName="Topic" ma:readOnly="false" ma:fieldId="{2273e4c9-de95-495b-82be-e898e1d119e4}" ma:sspId="d4b01e31-ead0-4f68-a8e9-2aaca35f2e62" ma:termSetId="d513acc8-7dbc-449c-a6a2-9c4e1874ec8d" ma:anchorId="00000000-0000-0000-0000-000000000000" ma:open="tru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92b194-ece9-4b26-973e-e25c2ee2cdc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33</Value>
      <Value>254</Value>
      <Value>5</Value>
    </TaxCatchAll>
    <i273e4c9de95495b82bee898e1d119e4 xmlns="d0fb0f98-34f9-4d57-9559-eb8efd17aa5e">
      <Terms xmlns="http://schemas.microsoft.com/office/infopath/2007/PartnerControls">
        <TermInfo xmlns="http://schemas.microsoft.com/office/infopath/2007/PartnerControls">
          <TermName xmlns="http://schemas.microsoft.com/office/infopath/2007/PartnerControls">UCITS V</TermName>
          <TermId xmlns="http://schemas.microsoft.com/office/infopath/2007/PartnerControls">f647cd65-9fed-4943-9235-640226c8ffaf</TermId>
        </TermInfo>
      </Terms>
    </i273e4c9de95495b82bee898e1d119e4>
    <k9db3a09612944c49e649e0ff38a506b xmlns="d0fb0f98-34f9-4d57-9559-eb8efd17aa5e">
      <Terms xmlns="http://schemas.microsoft.com/office/infopath/2007/PartnerControls"/>
    </k9db3a09612944c49e649e0ff38a506b>
    <MeetingDate xmlns="d0fb0f98-34f9-4d57-9559-eb8efd17aa5e" xsi:nil="true"/>
    <Year xmlns="d0fb0f98-34f9-4d57-9559-eb8efd17aa5e">2023</Year>
    <o129a376828d47fdaef4d5f5d93fd079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129a376828d47fdaef4d5f5d93fd079>
    <le43fdf786354491b6a92d49b491b10f xmlns="d0fb0f98-34f9-4d57-9559-eb8efd17aa5e">
      <Terms xmlns="http://schemas.microsoft.com/office/infopath/2007/PartnerControls">
        <TermInfo xmlns="http://schemas.microsoft.com/office/infopath/2007/PartnerControls">
          <TermName xmlns="http://schemas.microsoft.com/office/infopath/2007/PartnerControls">UCITS</TermName>
          <TermId xmlns="http://schemas.microsoft.com/office/infopath/2007/PartnerControls">a853cb80-aed9-44bd-ac2a-0e80b5a444d7</TermId>
        </TermInfo>
      </Terms>
    </le43fdf786354491b6a92d49b491b10f>
    <kdd529b9a5cb416096d62dbd0e6e5583 xmlns="d0fb0f98-34f9-4d57-9559-eb8efd17aa5e">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oa4fe03ffd8943c1880fe290404e8de7 xmlns="d0fb0f98-34f9-4d57-9559-eb8efd17aa5e">
      <Terms xmlns="http://schemas.microsoft.com/office/infopath/2007/PartnerControls"/>
    </oa4fe03ffd8943c1880fe290404e8de7>
    <_dlc_DocId xmlns="d0fb0f98-34f9-4d57-9559-eb8efd17aa5e">ESMA34-1270380148-1066</_dlc_DocId>
    <_dlc_DocIdUrl xmlns="d0fb0f98-34f9-4d57-9559-eb8efd17aa5e">
      <Url>https://securitiesandmarketsauth.sharepoint.com/sites/sherpa-ivm/_layouts/15/DocIdRedir.aspx?ID=ESMA34-1270380148-1066</Url>
      <Description>ESMA34-1270380148-1066</Description>
    </_dlc_DocIdUrl>
    <SharedWithUsers xmlns="d0fb0f98-34f9-4d57-9559-eb8efd17aa5e">
      <UserInfo>
        <DisplayName>Iris Hude</DisplayName>
        <AccountId>82</AccountId>
        <AccountType/>
      </UserInfo>
    </SharedWithUsers>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3EC7362-CE0E-45A1-9F25-BE624802C55F}">
  <ds:schemaRefs>
    <ds:schemaRef ds:uri="http://schemas.microsoft.com/sharepoint/v3/contenttype/forms"/>
  </ds:schemaRefs>
</ds:datastoreItem>
</file>

<file path=customXml/itemProps2.xml><?xml version="1.0" encoding="utf-8"?>
<ds:datastoreItem xmlns:ds="http://schemas.openxmlformats.org/officeDocument/2006/customXml" ds:itemID="{C5543A0A-BC65-43F9-A5CA-D69219D76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6992b194-ece9-4b26-973e-e25c2ee2cd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A697FA-BE24-4878-AFDB-AD64CEE0912C}">
  <ds:schemaRefs>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purl.org/dc/dcmitype/"/>
    <ds:schemaRef ds:uri="http://schemas.openxmlformats.org/package/2006/metadata/core-properties"/>
    <ds:schemaRef ds:uri="6992b194-ece9-4b26-973e-e25c2ee2cdcd"/>
    <ds:schemaRef ds:uri="d0fb0f98-34f9-4d57-9559-eb8efd17aa5e"/>
    <ds:schemaRef ds:uri="http://purl.org/dc/terms/"/>
    <ds:schemaRef ds:uri="http://purl.org/dc/elements/1.1/"/>
  </ds:schemaRefs>
</ds:datastoreItem>
</file>

<file path=customXml/itemProps4.xml><?xml version="1.0" encoding="utf-8"?>
<ds:datastoreItem xmlns:ds="http://schemas.openxmlformats.org/officeDocument/2006/customXml" ds:itemID="{DC84FCA0-A20E-48DE-B522-B2D818717B3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706</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Arina Costila</dc:creator>
  <cp:keywords/>
  <dc:description/>
  <cp:lastModifiedBy>Dr Tatiana Fic</cp:lastModifiedBy>
  <cp:revision>2</cp:revision>
  <dcterms:created xsi:type="dcterms:W3CDTF">2024-08-07T13:45:00Z</dcterms:created>
  <dcterms:modified xsi:type="dcterms:W3CDTF">2024-08-07T13:45:00Z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0x0101000ED1C6BF2ECFE74585EFFEA9E6E27962010B006EE2F6F0923B8D47B938E8456CAF7C4C</vt:lpwstr>
  </property>
  <property fmtid="{D5CDD505-2E9C-101B-9397-08002B2CF9AE}" pid="3" name="TeamName">
    <vt:lpwstr>5</vt:lpwstr>
  </property>
  <property fmtid="{D5CDD505-2E9C-101B-9397-08002B2CF9AE}" pid="4" name="Topic">
    <vt:lpwstr>254</vt:lpwstr>
  </property>
  <property fmtid="{D5CDD505-2E9C-101B-9397-08002B2CF9AE}" pid="5" name="ConfidentialityLevel">
    <vt:lpwstr>6;#Regular|07f1e362-856b-423d-bea6-a14079762141</vt:lpwstr>
  </property>
  <property fmtid="{D5CDD505-2E9C-101B-9397-08002B2CF9AE}" pid="6" name="TeamTopic">
    <vt:lpwstr>33;#UCITS|a853cb80-aed9-44bd-ac2a-0e80b5a444d7</vt:lpwstr>
  </property>
  <property fmtid="{D5CDD505-2E9C-101B-9397-08002B2CF9AE}" pid="7" name="DocumentType">
    <vt:lpwstr/>
  </property>
  <property fmtid="{D5CDD505-2E9C-101B-9397-08002B2CF9AE}" pid="8" name="EsmaAudience">
    <vt:lpwstr/>
  </property>
  <property fmtid="{D5CDD505-2E9C-101B-9397-08002B2CF9AE}" pid="9" name="_dlc_DocIdItemGuid">
    <vt:lpwstr>1a846c82-0d53-46e2-86e5-7d75005f4a47</vt:lpwstr>
  </property>
</Properties>
</file>