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34DF"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43939D2B" w:rsidR="00635BCA" w:rsidRPr="00557BD2" w:rsidRDefault="00384F2E" w:rsidP="00D21C35">
                <w:r>
                  <w:t>World Gold Council</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permStart w:id="476595074" w:edGrp="everyone" w:displacedByCustomXml="prev"/>
            <w:tc>
              <w:tcPr>
                <w:tcW w:w="4531" w:type="dxa"/>
              </w:tcPr>
              <w:p w14:paraId="7403D812" w14:textId="452AEA74" w:rsidR="00635BCA" w:rsidRPr="00557BD2" w:rsidRDefault="000B6A72" w:rsidP="00D21C35">
                <w:r>
                  <w:rPr>
                    <w:rFonts w:ascii="Noto Sans" w:hAnsi="Noto Sans" w:cs="Noto Sans"/>
                    <w:color w:val="000000"/>
                    <w:shd w:val="clear" w:color="auto" w:fill="FFFFFF"/>
                  </w:rPr>
                  <w:t>We are a membership organisation that champions the role gold plays as a strategic asset, shaping the future of a responsible and accessible gold supply chain</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39D06E25" w:rsidR="00635BCA" w:rsidRPr="00557BD2" w:rsidRDefault="00CE1AF8" w:rsidP="00D21C35">
                <w:r>
                  <w:t>International</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0F516F7A" w14:textId="269C9873" w:rsidR="00BA01E5" w:rsidRPr="00BA01E5" w:rsidRDefault="00BA01E5" w:rsidP="00BA01E5">
      <w:pPr>
        <w:pStyle w:val="NormalWeb"/>
        <w:rPr>
          <w:rFonts w:asciiTheme="minorHAnsi" w:hAnsiTheme="minorHAnsi" w:cstheme="minorHAnsi"/>
          <w:sz w:val="22"/>
          <w:szCs w:val="22"/>
        </w:rPr>
      </w:pPr>
      <w:permStart w:id="1975413025" w:edGrp="everyone"/>
      <w:r w:rsidRPr="00BA01E5">
        <w:rPr>
          <w:rFonts w:asciiTheme="minorHAnsi" w:hAnsiTheme="minorHAnsi" w:cstheme="minorHAnsi"/>
          <w:sz w:val="22"/>
          <w:szCs w:val="22"/>
        </w:rPr>
        <w:t xml:space="preserve">The exclusion of gold as an eligible asset under the UCITS Directive is the most pressing issue that needs to be addressed. This exclusion </w:t>
      </w:r>
      <w:r>
        <w:rPr>
          <w:rFonts w:asciiTheme="minorHAnsi" w:hAnsiTheme="minorHAnsi" w:cstheme="minorHAnsi"/>
          <w:sz w:val="22"/>
          <w:szCs w:val="22"/>
        </w:rPr>
        <w:t xml:space="preserve">negatively </w:t>
      </w:r>
      <w:r w:rsidRPr="00BA01E5">
        <w:rPr>
          <w:rFonts w:asciiTheme="minorHAnsi" w:hAnsiTheme="minorHAnsi" w:cstheme="minorHAnsi"/>
          <w:sz w:val="22"/>
          <w:szCs w:val="22"/>
        </w:rPr>
        <w:t xml:space="preserve">affects investor protection, limits diversification, and </w:t>
      </w:r>
      <w:r w:rsidR="00BA6F85">
        <w:rPr>
          <w:rFonts w:asciiTheme="minorHAnsi" w:hAnsiTheme="minorHAnsi" w:cstheme="minorHAnsi"/>
          <w:sz w:val="22"/>
          <w:szCs w:val="22"/>
        </w:rPr>
        <w:t>encourages</w:t>
      </w:r>
      <w:r w:rsidRPr="00BA01E5">
        <w:rPr>
          <w:rFonts w:asciiTheme="minorHAnsi" w:hAnsiTheme="minorHAnsi" w:cstheme="minorHAnsi"/>
          <w:sz w:val="22"/>
          <w:szCs w:val="22"/>
        </w:rPr>
        <w:t xml:space="preserve"> </w:t>
      </w:r>
      <w:r w:rsidR="004659A6">
        <w:rPr>
          <w:rFonts w:asciiTheme="minorHAnsi" w:hAnsiTheme="minorHAnsi" w:cstheme="minorHAnsi"/>
          <w:sz w:val="22"/>
          <w:szCs w:val="22"/>
        </w:rPr>
        <w:t>outflows of funds to Non-EU capital markets</w:t>
      </w:r>
      <w:r w:rsidRPr="00BA01E5">
        <w:rPr>
          <w:rFonts w:asciiTheme="minorHAnsi" w:hAnsiTheme="minorHAnsi" w:cstheme="minorHAnsi"/>
          <w:sz w:val="22"/>
          <w:szCs w:val="22"/>
        </w:rPr>
        <w:t xml:space="preserve">. Allowing UCITS funds to include gold would align with </w:t>
      </w:r>
      <w:r w:rsidR="00DF7B75">
        <w:rPr>
          <w:rFonts w:asciiTheme="minorHAnsi" w:hAnsiTheme="minorHAnsi" w:cstheme="minorHAnsi"/>
          <w:sz w:val="22"/>
          <w:szCs w:val="22"/>
        </w:rPr>
        <w:t>effective</w:t>
      </w:r>
      <w:r w:rsidRPr="00BA01E5">
        <w:rPr>
          <w:rFonts w:asciiTheme="minorHAnsi" w:hAnsiTheme="minorHAnsi" w:cstheme="minorHAnsi"/>
          <w:sz w:val="22"/>
          <w:szCs w:val="22"/>
        </w:rPr>
        <w:t xml:space="preserve"> investment practices and meet the high demand for gold investment while providing better regulatory oversight and protection for investors.</w:t>
      </w:r>
    </w:p>
    <w:p w14:paraId="07E79EE3" w14:textId="3485B7E9" w:rsidR="00BA01E5" w:rsidRPr="00BA01E5" w:rsidRDefault="00BA01E5" w:rsidP="00BA01E5">
      <w:pPr>
        <w:pStyle w:val="NormalWeb"/>
        <w:numPr>
          <w:ilvl w:val="0"/>
          <w:numId w:val="16"/>
        </w:numPr>
        <w:rPr>
          <w:rFonts w:asciiTheme="minorHAnsi" w:hAnsiTheme="minorHAnsi" w:cstheme="minorHAnsi"/>
          <w:sz w:val="22"/>
          <w:szCs w:val="22"/>
        </w:rPr>
      </w:pPr>
      <w:r w:rsidRPr="00BA01E5">
        <w:rPr>
          <w:rStyle w:val="Strong"/>
          <w:rFonts w:asciiTheme="minorHAnsi" w:eastAsiaTheme="majorEastAsia" w:hAnsiTheme="minorHAnsi" w:cstheme="minorHAnsi"/>
          <w:sz w:val="22"/>
          <w:szCs w:val="22"/>
        </w:rPr>
        <w:t>Investor Protection</w:t>
      </w:r>
    </w:p>
    <w:p w14:paraId="5BC7104D" w14:textId="714863C6" w:rsidR="00BA01E5" w:rsidRPr="00BA01E5" w:rsidRDefault="00BA01E5" w:rsidP="00BA01E5">
      <w:pPr>
        <w:spacing w:before="100" w:beforeAutospacing="1" w:after="100" w:afterAutospacing="1" w:line="240" w:lineRule="auto"/>
        <w:jc w:val="left"/>
        <w:rPr>
          <w:rFonts w:cstheme="minorHAnsi"/>
          <w:szCs w:val="22"/>
        </w:rPr>
      </w:pPr>
      <w:r w:rsidRPr="00BA01E5">
        <w:rPr>
          <w:rFonts w:cstheme="minorHAnsi"/>
          <w:szCs w:val="22"/>
        </w:rPr>
        <w:t xml:space="preserve">Investors seeking exposure to gold within the EU are forced to </w:t>
      </w:r>
      <w:r w:rsidR="00E80C59">
        <w:rPr>
          <w:rFonts w:cstheme="minorHAnsi"/>
          <w:szCs w:val="22"/>
        </w:rPr>
        <w:t>invest in</w:t>
      </w:r>
      <w:r w:rsidRPr="00BA01E5">
        <w:rPr>
          <w:rFonts w:cstheme="minorHAnsi"/>
          <w:szCs w:val="22"/>
        </w:rPr>
        <w:t xml:space="preserve"> Gold Exchange Traded Commodities (Gold ETCs) instead of Gold Exchange Traded Funds (Gold ETFs).</w:t>
      </w:r>
    </w:p>
    <w:p w14:paraId="7EC94FC2" w14:textId="3C7E7FAF" w:rsidR="00BA01E5" w:rsidRPr="00BA01E5" w:rsidRDefault="00BA01E5" w:rsidP="00BA01E5">
      <w:pPr>
        <w:spacing w:before="100" w:beforeAutospacing="1" w:after="100" w:afterAutospacing="1" w:line="240" w:lineRule="auto"/>
        <w:jc w:val="left"/>
        <w:rPr>
          <w:rFonts w:cstheme="minorHAnsi"/>
          <w:szCs w:val="22"/>
        </w:rPr>
      </w:pPr>
      <w:r w:rsidRPr="00BA01E5">
        <w:rPr>
          <w:rFonts w:cstheme="minorHAnsi"/>
          <w:szCs w:val="22"/>
        </w:rPr>
        <w:t>Gold ETCs are less regulated and offer lower transparency and investor protection compared to UCITS funds.</w:t>
      </w:r>
      <w:r w:rsidR="004659A6">
        <w:rPr>
          <w:rFonts w:cstheme="minorHAnsi"/>
          <w:szCs w:val="22"/>
        </w:rPr>
        <w:t xml:space="preserve"> </w:t>
      </w:r>
      <w:r w:rsidR="00F46DB3">
        <w:rPr>
          <w:rFonts w:cstheme="minorHAnsi"/>
          <w:szCs w:val="22"/>
        </w:rPr>
        <w:t xml:space="preserve">Gold ETCs are structured as debt instruments. </w:t>
      </w:r>
      <w:r w:rsidR="00DF7B75">
        <w:rPr>
          <w:rFonts w:cstheme="minorHAnsi"/>
          <w:szCs w:val="22"/>
        </w:rPr>
        <w:t>Notes</w:t>
      </w:r>
      <w:r w:rsidR="005437BA">
        <w:rPr>
          <w:rFonts w:cstheme="minorHAnsi"/>
          <w:szCs w:val="22"/>
        </w:rPr>
        <w:t xml:space="preserve"> in a Gold ETC provide</w:t>
      </w:r>
      <w:r w:rsidR="00DF7B75">
        <w:rPr>
          <w:rFonts w:cstheme="minorHAnsi"/>
          <w:szCs w:val="22"/>
        </w:rPr>
        <w:t xml:space="preserve"> investors </w:t>
      </w:r>
      <w:r w:rsidR="00F46DB3">
        <w:rPr>
          <w:rFonts w:cstheme="minorHAnsi"/>
          <w:szCs w:val="22"/>
        </w:rPr>
        <w:t xml:space="preserve">only </w:t>
      </w:r>
      <w:r w:rsidR="00DF7B75">
        <w:rPr>
          <w:rFonts w:cstheme="minorHAnsi"/>
          <w:szCs w:val="22"/>
        </w:rPr>
        <w:t xml:space="preserve">with </w:t>
      </w:r>
      <w:r w:rsidR="005437BA">
        <w:rPr>
          <w:rFonts w:cstheme="minorHAnsi"/>
          <w:szCs w:val="22"/>
        </w:rPr>
        <w:t xml:space="preserve">claims against the issuing company while a share in an ETF fund represents </w:t>
      </w:r>
      <w:r w:rsidR="005437BA" w:rsidRPr="005437BA">
        <w:rPr>
          <w:rFonts w:cstheme="minorHAnsi"/>
          <w:szCs w:val="22"/>
        </w:rPr>
        <w:t xml:space="preserve">a proportional ownership of the fund's </w:t>
      </w:r>
      <w:r w:rsidR="005437BA">
        <w:rPr>
          <w:rFonts w:cstheme="minorHAnsi"/>
          <w:szCs w:val="22"/>
        </w:rPr>
        <w:t>gold holdings.</w:t>
      </w:r>
    </w:p>
    <w:p w14:paraId="0C05B400" w14:textId="65EAA40A" w:rsidR="00BA01E5" w:rsidRPr="00BA01E5" w:rsidRDefault="00BA01E5" w:rsidP="00BA01E5">
      <w:pPr>
        <w:spacing w:before="100" w:beforeAutospacing="1" w:after="100" w:afterAutospacing="1" w:line="240" w:lineRule="auto"/>
        <w:jc w:val="left"/>
        <w:rPr>
          <w:rFonts w:cstheme="minorHAnsi"/>
          <w:szCs w:val="22"/>
        </w:rPr>
      </w:pPr>
      <w:r w:rsidRPr="00BA01E5">
        <w:rPr>
          <w:rFonts w:cstheme="minorHAnsi"/>
          <w:szCs w:val="22"/>
        </w:rPr>
        <w:t xml:space="preserve">Allowing UCITS funds to invest in gold would </w:t>
      </w:r>
      <w:r w:rsidR="005437BA">
        <w:rPr>
          <w:rFonts w:cstheme="minorHAnsi"/>
          <w:szCs w:val="22"/>
        </w:rPr>
        <w:t xml:space="preserve">also </w:t>
      </w:r>
      <w:r w:rsidRPr="00BA01E5">
        <w:rPr>
          <w:rFonts w:cstheme="minorHAnsi"/>
          <w:szCs w:val="22"/>
        </w:rPr>
        <w:t xml:space="preserve">ensure that these investments fall under the stricter regulatory framework of UCITS, </w:t>
      </w:r>
      <w:r w:rsidR="00DF7B75">
        <w:rPr>
          <w:rFonts w:cstheme="minorHAnsi"/>
          <w:szCs w:val="22"/>
        </w:rPr>
        <w:t xml:space="preserve">further </w:t>
      </w:r>
      <w:r w:rsidRPr="00BA01E5">
        <w:rPr>
          <w:rFonts w:cstheme="minorHAnsi"/>
          <w:szCs w:val="22"/>
        </w:rPr>
        <w:t>enhancing investor protection.</w:t>
      </w:r>
    </w:p>
    <w:p w14:paraId="51D7147A" w14:textId="08ED379F" w:rsidR="00BA01E5" w:rsidRPr="00BA01E5" w:rsidRDefault="00BA01E5" w:rsidP="00BA01E5">
      <w:pPr>
        <w:pStyle w:val="NormalWeb"/>
        <w:numPr>
          <w:ilvl w:val="0"/>
          <w:numId w:val="16"/>
        </w:numPr>
        <w:rPr>
          <w:rFonts w:asciiTheme="minorHAnsi" w:hAnsiTheme="minorHAnsi" w:cstheme="minorHAnsi"/>
          <w:sz w:val="22"/>
          <w:szCs w:val="22"/>
        </w:rPr>
      </w:pPr>
      <w:r w:rsidRPr="00BA01E5">
        <w:rPr>
          <w:rStyle w:val="Strong"/>
          <w:rFonts w:asciiTheme="minorHAnsi" w:eastAsiaTheme="majorEastAsia" w:hAnsiTheme="minorHAnsi" w:cstheme="minorHAnsi"/>
          <w:sz w:val="22"/>
          <w:szCs w:val="22"/>
        </w:rPr>
        <w:lastRenderedPageBreak/>
        <w:t>Diversification</w:t>
      </w:r>
    </w:p>
    <w:p w14:paraId="43397A2A" w14:textId="7AB94ADF" w:rsidR="00BA01E5" w:rsidRPr="00BA01E5" w:rsidRDefault="00BA01E5" w:rsidP="00BA01E5">
      <w:pPr>
        <w:spacing w:before="100" w:beforeAutospacing="1" w:after="100" w:afterAutospacing="1" w:line="240" w:lineRule="auto"/>
        <w:jc w:val="left"/>
        <w:rPr>
          <w:rFonts w:cstheme="minorHAnsi"/>
          <w:szCs w:val="22"/>
        </w:rPr>
      </w:pPr>
      <w:r w:rsidRPr="00BA01E5">
        <w:rPr>
          <w:rFonts w:cstheme="minorHAnsi"/>
          <w:szCs w:val="22"/>
        </w:rPr>
        <w:t>UCITS funds can invest in various thematic and specialized ETFs but are restricted from holding physical commodities like gold.</w:t>
      </w:r>
    </w:p>
    <w:p w14:paraId="79758E31" w14:textId="0D7788E2" w:rsidR="00735E1C" w:rsidRDefault="00BA01E5" w:rsidP="004659A6">
      <w:pPr>
        <w:spacing w:before="100" w:beforeAutospacing="1" w:after="100" w:afterAutospacing="1" w:line="240" w:lineRule="auto"/>
        <w:jc w:val="left"/>
        <w:rPr>
          <w:rFonts w:cstheme="minorHAnsi"/>
          <w:szCs w:val="22"/>
        </w:rPr>
      </w:pPr>
      <w:r w:rsidRPr="00BA01E5">
        <w:rPr>
          <w:rFonts w:cstheme="minorHAnsi"/>
          <w:szCs w:val="22"/>
        </w:rPr>
        <w:t>This restriction prevents investors from</w:t>
      </w:r>
      <w:r w:rsidR="00B840D9">
        <w:rPr>
          <w:rFonts w:cstheme="minorHAnsi"/>
          <w:szCs w:val="22"/>
        </w:rPr>
        <w:t xml:space="preserve"> </w:t>
      </w:r>
      <w:r w:rsidRPr="00BA01E5">
        <w:rPr>
          <w:rFonts w:cstheme="minorHAnsi"/>
          <w:szCs w:val="22"/>
        </w:rPr>
        <w:t>diversifying their portfolios with a highly liquid and low-risk asset like gold</w:t>
      </w:r>
      <w:r w:rsidR="00DE13E2">
        <w:rPr>
          <w:rFonts w:cstheme="minorHAnsi"/>
          <w:szCs w:val="22"/>
        </w:rPr>
        <w:t>.</w:t>
      </w:r>
    </w:p>
    <w:p w14:paraId="41BE275E" w14:textId="1597F228" w:rsidR="00FE41E8" w:rsidRPr="00FE41E8" w:rsidRDefault="00FE41E8" w:rsidP="004659A6">
      <w:pPr>
        <w:spacing w:before="100" w:beforeAutospacing="1" w:after="100" w:afterAutospacing="1" w:line="240" w:lineRule="auto"/>
        <w:jc w:val="left"/>
        <w:rPr>
          <w:rFonts w:cstheme="minorHAnsi"/>
          <w:szCs w:val="22"/>
        </w:rPr>
      </w:pPr>
      <w:r w:rsidRPr="00FE41E8">
        <w:rPr>
          <w:rFonts w:cstheme="minorHAnsi"/>
          <w:szCs w:val="22"/>
        </w:rPr>
        <w:t>Gold has performed well over the past 3, 5, 10 and 20 years, despite the strong performance of risk assets</w:t>
      </w:r>
      <w:r>
        <w:rPr>
          <w:rFonts w:cstheme="minorHAnsi"/>
          <w:szCs w:val="22"/>
        </w:rPr>
        <w:t xml:space="preserve">. </w:t>
      </w:r>
      <w:r w:rsidRPr="00FE41E8">
        <w:rPr>
          <w:rFonts w:cstheme="minorHAnsi"/>
          <w:szCs w:val="22"/>
        </w:rPr>
        <w:t xml:space="preserve">Gold has </w:t>
      </w:r>
      <w:r>
        <w:rPr>
          <w:rFonts w:cstheme="minorHAnsi"/>
          <w:szCs w:val="22"/>
        </w:rPr>
        <w:t xml:space="preserve">also been </w:t>
      </w:r>
      <w:r w:rsidRPr="00FE41E8">
        <w:rPr>
          <w:rFonts w:cstheme="minorHAnsi"/>
          <w:szCs w:val="22"/>
        </w:rPr>
        <w:t>less volatile than many equity indices because of its scale, liquidity and diverse sources of demand</w:t>
      </w:r>
      <w:r w:rsidR="00C42308">
        <w:rPr>
          <w:rFonts w:cstheme="minorHAnsi"/>
          <w:szCs w:val="22"/>
        </w:rPr>
        <w:t>, which include investment, technology, jewellery and central banks</w:t>
      </w:r>
      <w:r>
        <w:rPr>
          <w:rFonts w:cstheme="minorHAnsi"/>
          <w:szCs w:val="22"/>
        </w:rPr>
        <w:t xml:space="preserve"> (</w:t>
      </w:r>
      <w:r w:rsidR="00E80C59">
        <w:rPr>
          <w:rFonts w:cstheme="minorHAnsi"/>
          <w:szCs w:val="22"/>
        </w:rPr>
        <w:t xml:space="preserve">see page </w:t>
      </w:r>
      <w:r w:rsidR="00BA6F85">
        <w:rPr>
          <w:rFonts w:cstheme="minorHAnsi"/>
          <w:szCs w:val="22"/>
        </w:rPr>
        <w:t>4</w:t>
      </w:r>
      <w:r w:rsidR="00E80C59">
        <w:rPr>
          <w:rFonts w:cstheme="minorHAnsi"/>
          <w:szCs w:val="22"/>
        </w:rPr>
        <w:t xml:space="preserve"> of the provided presentation or</w:t>
      </w:r>
      <w:r>
        <w:rPr>
          <w:rFonts w:cstheme="minorHAnsi"/>
          <w:szCs w:val="22"/>
        </w:rPr>
        <w:t xml:space="preserve"> </w:t>
      </w:r>
      <w:hyperlink r:id="rId22" w:history="1">
        <w:r w:rsidRPr="00AB306A">
          <w:rPr>
            <w:rStyle w:val="Hyperlink"/>
            <w:rFonts w:cstheme="minorHAnsi"/>
            <w:szCs w:val="22"/>
          </w:rPr>
          <w:t>https://www.gold.org/goldhub/research/relevance-of-gold-as-a-strategic-asset/golds-key-attributes-1-return</w:t>
        </w:r>
      </w:hyperlink>
      <w:r>
        <w:rPr>
          <w:rFonts w:cstheme="minorHAnsi"/>
          <w:szCs w:val="22"/>
        </w:rPr>
        <w:t xml:space="preserve"> ).</w:t>
      </w:r>
      <w:r w:rsidR="00735E1C">
        <w:rPr>
          <w:rFonts w:cstheme="minorHAnsi"/>
          <w:szCs w:val="22"/>
        </w:rPr>
        <w:t xml:space="preserve"> And last but not least, gold</w:t>
      </w:r>
      <w:r w:rsidR="00735E1C" w:rsidRPr="00735E1C">
        <w:rPr>
          <w:rFonts w:cstheme="minorHAnsi"/>
          <w:szCs w:val="22"/>
        </w:rPr>
        <w:t xml:space="preserve"> </w:t>
      </w:r>
      <w:r w:rsidR="00735E1C">
        <w:rPr>
          <w:rFonts w:cstheme="minorHAnsi"/>
          <w:szCs w:val="22"/>
        </w:rPr>
        <w:t>can</w:t>
      </w:r>
      <w:r w:rsidR="00735E1C" w:rsidRPr="00735E1C">
        <w:rPr>
          <w:rFonts w:cstheme="minorHAnsi"/>
          <w:szCs w:val="22"/>
        </w:rPr>
        <w:t xml:space="preserve"> significantly improve risk-adjusted portfolio returns across various levels of risk, particularly when compared to non-gold portfolios of equivalent expected returns</w:t>
      </w:r>
      <w:r w:rsidR="00735E1C">
        <w:rPr>
          <w:rFonts w:cstheme="minorHAnsi"/>
          <w:szCs w:val="22"/>
        </w:rPr>
        <w:t xml:space="preserve"> (</w:t>
      </w:r>
      <w:r w:rsidR="00E80C59">
        <w:rPr>
          <w:rFonts w:cstheme="minorHAnsi"/>
          <w:szCs w:val="22"/>
        </w:rPr>
        <w:t xml:space="preserve">see pages </w:t>
      </w:r>
      <w:r w:rsidR="00BA6F85">
        <w:rPr>
          <w:rFonts w:cstheme="minorHAnsi"/>
          <w:szCs w:val="22"/>
        </w:rPr>
        <w:t xml:space="preserve">7-9 </w:t>
      </w:r>
      <w:r w:rsidR="00E80C59">
        <w:rPr>
          <w:rFonts w:cstheme="minorHAnsi"/>
          <w:szCs w:val="22"/>
        </w:rPr>
        <w:t>of the provided presentation or</w:t>
      </w:r>
      <w:r w:rsidR="00735E1C">
        <w:rPr>
          <w:rFonts w:cstheme="minorHAnsi"/>
          <w:szCs w:val="22"/>
        </w:rPr>
        <w:t xml:space="preserve"> </w:t>
      </w:r>
      <w:hyperlink r:id="rId23" w:history="1">
        <w:r w:rsidR="00735E1C" w:rsidRPr="00AB306A">
          <w:rPr>
            <w:rStyle w:val="Hyperlink"/>
            <w:rFonts w:cstheme="minorHAnsi"/>
            <w:szCs w:val="22"/>
          </w:rPr>
          <w:t>https://www.gold.org/goldhub/research/relevance-of-gold-as-a-strategic-asset/portfolio-impact-1-risk-reward-profile</w:t>
        </w:r>
      </w:hyperlink>
      <w:r w:rsidR="00735E1C">
        <w:rPr>
          <w:rFonts w:cstheme="minorHAnsi"/>
          <w:szCs w:val="22"/>
        </w:rPr>
        <w:t xml:space="preserve"> </w:t>
      </w:r>
      <w:r w:rsidR="00E80C59">
        <w:rPr>
          <w:rFonts w:cstheme="minorHAnsi"/>
          <w:szCs w:val="22"/>
        </w:rPr>
        <w:t>)</w:t>
      </w:r>
    </w:p>
    <w:p w14:paraId="0F10820A" w14:textId="0F62F4D6" w:rsidR="00BA01E5" w:rsidRPr="00BA01E5" w:rsidRDefault="00DE13E2" w:rsidP="004659A6">
      <w:pPr>
        <w:spacing w:before="100" w:beforeAutospacing="1" w:after="100" w:afterAutospacing="1" w:line="240" w:lineRule="auto"/>
        <w:jc w:val="left"/>
        <w:rPr>
          <w:rFonts w:cstheme="minorHAnsi"/>
          <w:szCs w:val="22"/>
        </w:rPr>
      </w:pPr>
      <w:r>
        <w:rPr>
          <w:rFonts w:cstheme="minorHAnsi"/>
          <w:szCs w:val="22"/>
        </w:rPr>
        <w:t xml:space="preserve">Investor demand </w:t>
      </w:r>
      <w:r w:rsidR="00735E1C">
        <w:rPr>
          <w:rFonts w:cstheme="minorHAnsi"/>
          <w:szCs w:val="22"/>
        </w:rPr>
        <w:t>for</w:t>
      </w:r>
      <w:r>
        <w:rPr>
          <w:rFonts w:cstheme="minorHAnsi"/>
          <w:szCs w:val="22"/>
        </w:rPr>
        <w:t xml:space="preserve"> t</w:t>
      </w:r>
      <w:r w:rsidR="00934E2B">
        <w:rPr>
          <w:rFonts w:cstheme="minorHAnsi"/>
          <w:szCs w:val="22"/>
        </w:rPr>
        <w:t xml:space="preserve">hematic or otherwise specialised UCITS funds </w:t>
      </w:r>
      <w:r>
        <w:rPr>
          <w:rFonts w:cstheme="minorHAnsi"/>
          <w:szCs w:val="22"/>
        </w:rPr>
        <w:t>has grown strongly over the last years</w:t>
      </w:r>
      <w:r w:rsidR="00934E2B">
        <w:rPr>
          <w:rFonts w:cstheme="minorHAnsi"/>
          <w:szCs w:val="22"/>
        </w:rPr>
        <w:t xml:space="preserve">. </w:t>
      </w:r>
      <w:r w:rsidR="00934E2B" w:rsidRPr="00934E2B">
        <w:rPr>
          <w:rFonts w:cstheme="minorHAnsi"/>
          <w:szCs w:val="22"/>
        </w:rPr>
        <w:t>At the end of June 2024, there were 156 UCITS thematic ETFs totalling US$37.7 billion in assets under management according to Global X, up from nearly zero only ten years ago</w:t>
      </w:r>
      <w:r>
        <w:rPr>
          <w:rFonts w:cstheme="minorHAnsi"/>
          <w:szCs w:val="22"/>
        </w:rPr>
        <w:t xml:space="preserve"> </w:t>
      </w:r>
      <w:r w:rsidR="00E80C59">
        <w:rPr>
          <w:rFonts w:cstheme="minorHAnsi"/>
          <w:szCs w:val="22"/>
        </w:rPr>
        <w:t>(</w:t>
      </w:r>
      <w:r>
        <w:rPr>
          <w:rFonts w:cstheme="minorHAnsi"/>
          <w:szCs w:val="22"/>
        </w:rPr>
        <w:t>Source:</w:t>
      </w:r>
      <w:r>
        <w:t xml:space="preserve"> </w:t>
      </w:r>
      <w:hyperlink r:id="rId24" w:history="1">
        <w:r w:rsidRPr="00AB306A">
          <w:rPr>
            <w:rStyle w:val="Hyperlink"/>
          </w:rPr>
          <w:t>https://globalxetfs.eu/content/files/Monthly-Thematic-UCITS-ETF-Report-June-2024-1.pdf</w:t>
        </w:r>
      </w:hyperlink>
      <w:r>
        <w:t>).</w:t>
      </w:r>
      <w:r w:rsidR="00735E1C">
        <w:t xml:space="preserve"> </w:t>
      </w:r>
      <w:r w:rsidR="002F2CBE">
        <w:t xml:space="preserve">In lights of this, the UCITS diversification requirements </w:t>
      </w:r>
      <w:r w:rsidR="00405C94">
        <w:t xml:space="preserve">are not entirely up-to-date and </w:t>
      </w:r>
      <w:r w:rsidR="00AC54CC">
        <w:t xml:space="preserve">would benefit from a </w:t>
      </w:r>
      <w:r w:rsidR="00144B29">
        <w:t>review</w:t>
      </w:r>
      <w:r w:rsidR="00137B2D">
        <w:t xml:space="preserve"> to align with current practices</w:t>
      </w:r>
      <w:r w:rsidR="00144B29">
        <w:t xml:space="preserve">. </w:t>
      </w:r>
      <w:r w:rsidR="00E80C59">
        <w:t>S</w:t>
      </w:r>
      <w:r w:rsidR="00735E1C">
        <w:t xml:space="preserve">pecialised UCITS funds like sector or thematic funds </w:t>
      </w:r>
      <w:r w:rsidR="00B840D9">
        <w:t>a</w:t>
      </w:r>
      <w:r w:rsidR="00307A31">
        <w:t xml:space="preserve">lready constitute </w:t>
      </w:r>
      <w:r w:rsidR="00673744">
        <w:t>focused</w:t>
      </w:r>
      <w:r w:rsidR="00307A31">
        <w:t xml:space="preserve"> investments</w:t>
      </w:r>
      <w:r w:rsidR="00E80C59">
        <w:t xml:space="preserve"> options</w:t>
      </w:r>
      <w:r w:rsidR="00735E1C">
        <w:t>.</w:t>
      </w:r>
    </w:p>
    <w:p w14:paraId="26339C0B" w14:textId="4CDAA3D3" w:rsidR="001A35D6" w:rsidRPr="00BA01E5" w:rsidRDefault="001A35D6" w:rsidP="004659A6">
      <w:pPr>
        <w:spacing w:before="100" w:beforeAutospacing="1" w:after="100" w:afterAutospacing="1" w:line="240" w:lineRule="auto"/>
        <w:jc w:val="left"/>
        <w:rPr>
          <w:rFonts w:cstheme="minorHAnsi"/>
          <w:szCs w:val="22"/>
        </w:rPr>
      </w:pPr>
      <w:r>
        <w:rPr>
          <w:rFonts w:cstheme="minorHAnsi"/>
          <w:szCs w:val="22"/>
        </w:rPr>
        <w:t xml:space="preserve">Since physical gold is no one’s liability and carries no credit risk, </w:t>
      </w:r>
      <w:r w:rsidR="009A1AA4">
        <w:rPr>
          <w:rFonts w:cstheme="minorHAnsi"/>
          <w:szCs w:val="22"/>
        </w:rPr>
        <w:t xml:space="preserve">and due to the unique preservation of gold’s value over time, </w:t>
      </w:r>
      <w:r>
        <w:rPr>
          <w:rFonts w:cstheme="minorHAnsi"/>
          <w:szCs w:val="22"/>
        </w:rPr>
        <w:t>there is no need for diversification requirements by issuer or similar.</w:t>
      </w:r>
    </w:p>
    <w:p w14:paraId="0305903E" w14:textId="1D5B84D1" w:rsidR="00BA01E5" w:rsidRPr="00BA01E5" w:rsidRDefault="009D309F" w:rsidP="00BA01E5">
      <w:pPr>
        <w:pStyle w:val="NormalWeb"/>
        <w:numPr>
          <w:ilvl w:val="0"/>
          <w:numId w:val="16"/>
        </w:numPr>
        <w:rPr>
          <w:rFonts w:asciiTheme="minorHAnsi" w:hAnsiTheme="minorHAnsi" w:cstheme="minorHAnsi"/>
          <w:sz w:val="22"/>
          <w:szCs w:val="22"/>
        </w:rPr>
      </w:pPr>
      <w:r>
        <w:rPr>
          <w:rStyle w:val="Strong"/>
          <w:rFonts w:asciiTheme="minorHAnsi" w:eastAsiaTheme="majorEastAsia" w:hAnsiTheme="minorHAnsi" w:cstheme="minorHAnsi"/>
          <w:sz w:val="22"/>
          <w:szCs w:val="22"/>
        </w:rPr>
        <w:t>Maintaining assets in the EU capital markets</w:t>
      </w:r>
    </w:p>
    <w:p w14:paraId="077B484F" w14:textId="435EE8F6" w:rsidR="00BA01E5" w:rsidRPr="00CE1AF8" w:rsidRDefault="00BA01E5" w:rsidP="004659A6">
      <w:pPr>
        <w:spacing w:before="100" w:beforeAutospacing="1" w:after="100" w:afterAutospacing="1" w:line="240" w:lineRule="auto"/>
        <w:jc w:val="left"/>
        <w:rPr>
          <w:rFonts w:cstheme="minorHAnsi"/>
          <w:szCs w:val="22"/>
          <w:lang w:val="fr-FR"/>
        </w:rPr>
      </w:pPr>
      <w:r w:rsidRPr="00BA01E5">
        <w:rPr>
          <w:rFonts w:cstheme="minorHAnsi"/>
          <w:szCs w:val="22"/>
        </w:rPr>
        <w:t xml:space="preserve">There is a significant market demand for </w:t>
      </w:r>
      <w:r w:rsidR="002C62FC">
        <w:rPr>
          <w:rFonts w:cstheme="minorHAnsi"/>
          <w:szCs w:val="22"/>
        </w:rPr>
        <w:t>Gold ETF</w:t>
      </w:r>
      <w:r w:rsidR="00A34071">
        <w:rPr>
          <w:rFonts w:cstheme="minorHAnsi"/>
          <w:szCs w:val="22"/>
        </w:rPr>
        <w:t>s</w:t>
      </w:r>
      <w:r w:rsidRPr="00BA01E5">
        <w:rPr>
          <w:rFonts w:cstheme="minorHAnsi"/>
          <w:szCs w:val="22"/>
        </w:rPr>
        <w:t xml:space="preserve">, </w:t>
      </w:r>
      <w:r w:rsidR="002C62FC">
        <w:rPr>
          <w:rFonts w:cstheme="minorHAnsi"/>
          <w:szCs w:val="22"/>
        </w:rPr>
        <w:t>as evidenced by</w:t>
      </w:r>
      <w:r w:rsidRPr="00BA01E5">
        <w:rPr>
          <w:rFonts w:cstheme="minorHAnsi"/>
          <w:szCs w:val="22"/>
        </w:rPr>
        <w:t xml:space="preserve"> substantial assets under management in Gold ETFs outside the EU</w:t>
      </w:r>
      <w:r w:rsidR="004659A6">
        <w:rPr>
          <w:rFonts w:cstheme="minorHAnsi"/>
          <w:szCs w:val="22"/>
        </w:rPr>
        <w:t>, be it in European countries like Switzerland or Liechtenstein or countries in North America or Asia</w:t>
      </w:r>
      <w:r w:rsidRPr="00BA01E5">
        <w:rPr>
          <w:rFonts w:cstheme="minorHAnsi"/>
          <w:szCs w:val="22"/>
        </w:rPr>
        <w:t>.</w:t>
      </w:r>
      <w:r w:rsidR="004B4218">
        <w:rPr>
          <w:rFonts w:cstheme="minorHAnsi"/>
          <w:szCs w:val="22"/>
        </w:rPr>
        <w:t xml:space="preserve"> There</w:t>
      </w:r>
      <w:r w:rsidR="004B4218" w:rsidRPr="004B4218">
        <w:rPr>
          <w:rFonts w:cstheme="minorHAnsi"/>
          <w:szCs w:val="22"/>
        </w:rPr>
        <w:t xml:space="preserve"> are at least 17 Exchange Traded Funds </w:t>
      </w:r>
      <w:r w:rsidR="007B4F09">
        <w:rPr>
          <w:rFonts w:cstheme="minorHAnsi"/>
          <w:szCs w:val="22"/>
        </w:rPr>
        <w:t xml:space="preserve">and gold funds </w:t>
      </w:r>
      <w:r w:rsidR="004B4218" w:rsidRPr="004B4218">
        <w:rPr>
          <w:rFonts w:cstheme="minorHAnsi"/>
          <w:szCs w:val="22"/>
        </w:rPr>
        <w:t xml:space="preserve">in Europe which invest in physical gold: </w:t>
      </w:r>
      <w:r w:rsidR="00B840D9">
        <w:rPr>
          <w:rFonts w:cstheme="minorHAnsi"/>
          <w:szCs w:val="22"/>
        </w:rPr>
        <w:t>t</w:t>
      </w:r>
      <w:r w:rsidR="004B4218" w:rsidRPr="004B4218">
        <w:rPr>
          <w:rFonts w:cstheme="minorHAnsi"/>
          <w:szCs w:val="22"/>
        </w:rPr>
        <w:t>hree are domiciled in Liechtenstein and 14 are domiciled in Switzerland. In total they hold more than US$ 23 billion in assets under management.  Gold Exchange Traded Funds in North America account even for more than US$ 110 billion in assets under management. Also in Asia, Gold ETFs are prevalent, total market cap is about US$ 14 billion</w:t>
      </w:r>
      <w:r w:rsidR="004B4218">
        <w:rPr>
          <w:rFonts w:cstheme="minorHAnsi"/>
          <w:szCs w:val="22"/>
        </w:rPr>
        <w:t xml:space="preserve">. </w:t>
      </w:r>
      <w:r w:rsidR="004B4218" w:rsidRPr="00CE1AF8">
        <w:rPr>
          <w:rFonts w:cstheme="minorHAnsi"/>
          <w:szCs w:val="22"/>
          <w:lang w:val="fr-FR"/>
        </w:rPr>
        <w:t xml:space="preserve">(Source: </w:t>
      </w:r>
      <w:hyperlink r:id="rId25" w:history="1">
        <w:r w:rsidR="004B4218" w:rsidRPr="00CE1AF8">
          <w:rPr>
            <w:rStyle w:val="Hyperlink"/>
            <w:rFonts w:cstheme="minorHAnsi"/>
            <w:szCs w:val="22"/>
            <w:lang w:val="fr-FR"/>
          </w:rPr>
          <w:t>https://www.gold.org/goldhub/research/gold-etfs-holdings-and-flows/2024/07</w:t>
        </w:r>
      </w:hyperlink>
      <w:r w:rsidR="004B4218" w:rsidRPr="00CE1AF8">
        <w:rPr>
          <w:rFonts w:cstheme="minorHAnsi"/>
          <w:szCs w:val="22"/>
          <w:lang w:val="fr-FR"/>
        </w:rPr>
        <w:t xml:space="preserve"> )</w:t>
      </w:r>
    </w:p>
    <w:p w14:paraId="3353722E" w14:textId="7D52FE31" w:rsidR="00BA01E5" w:rsidRPr="00BA01E5" w:rsidRDefault="004659A6" w:rsidP="004659A6">
      <w:pPr>
        <w:spacing w:before="100" w:beforeAutospacing="1" w:after="100" w:afterAutospacing="1" w:line="240" w:lineRule="auto"/>
        <w:jc w:val="left"/>
        <w:rPr>
          <w:rFonts w:cstheme="minorHAnsi"/>
          <w:szCs w:val="22"/>
        </w:rPr>
      </w:pPr>
      <w:r>
        <w:rPr>
          <w:rFonts w:cstheme="minorHAnsi"/>
          <w:szCs w:val="22"/>
        </w:rPr>
        <w:t>Allowing</w:t>
      </w:r>
      <w:r w:rsidR="00BA01E5" w:rsidRPr="00BA01E5">
        <w:rPr>
          <w:rFonts w:cstheme="minorHAnsi"/>
          <w:szCs w:val="22"/>
        </w:rPr>
        <w:t xml:space="preserve"> gold </w:t>
      </w:r>
      <w:r>
        <w:rPr>
          <w:rFonts w:cstheme="minorHAnsi"/>
          <w:szCs w:val="22"/>
        </w:rPr>
        <w:t>investments under</w:t>
      </w:r>
      <w:r w:rsidR="00BA01E5" w:rsidRPr="00BA01E5">
        <w:rPr>
          <w:rFonts w:cstheme="minorHAnsi"/>
          <w:szCs w:val="22"/>
        </w:rPr>
        <w:t xml:space="preserve"> UCITS would cater to the high demand</w:t>
      </w:r>
      <w:r w:rsidR="002C62FC">
        <w:rPr>
          <w:rFonts w:cstheme="minorHAnsi"/>
          <w:szCs w:val="22"/>
        </w:rPr>
        <w:t xml:space="preserve"> and maximise the retention </w:t>
      </w:r>
      <w:r w:rsidR="00063DAB">
        <w:rPr>
          <w:rFonts w:cstheme="minorHAnsi"/>
          <w:szCs w:val="22"/>
        </w:rPr>
        <w:t xml:space="preserve">or repatriation </w:t>
      </w:r>
      <w:r w:rsidR="002C62FC">
        <w:rPr>
          <w:rFonts w:cstheme="minorHAnsi"/>
          <w:szCs w:val="22"/>
        </w:rPr>
        <w:t>of assets in the EU capital markets</w:t>
      </w:r>
      <w:r>
        <w:rPr>
          <w:rFonts w:cstheme="minorHAnsi"/>
          <w:szCs w:val="22"/>
        </w:rPr>
        <w:t>.</w:t>
      </w:r>
    </w:p>
    <w:p w14:paraId="23500E84" w14:textId="00F16B91" w:rsidR="00BA01E5" w:rsidRPr="00BA01E5" w:rsidRDefault="00BA01E5" w:rsidP="00BA01E5">
      <w:pPr>
        <w:pStyle w:val="NormalWeb"/>
        <w:numPr>
          <w:ilvl w:val="0"/>
          <w:numId w:val="16"/>
        </w:numPr>
        <w:rPr>
          <w:rFonts w:asciiTheme="minorHAnsi" w:hAnsiTheme="minorHAnsi" w:cstheme="minorHAnsi"/>
          <w:sz w:val="22"/>
          <w:szCs w:val="22"/>
        </w:rPr>
      </w:pPr>
      <w:r w:rsidRPr="00BA01E5">
        <w:rPr>
          <w:rStyle w:val="Strong"/>
          <w:rFonts w:asciiTheme="minorHAnsi" w:eastAsiaTheme="majorEastAsia" w:hAnsiTheme="minorHAnsi" w:cstheme="minorHAnsi"/>
          <w:sz w:val="22"/>
          <w:szCs w:val="22"/>
        </w:rPr>
        <w:lastRenderedPageBreak/>
        <w:t>Economic and Strategic Importance</w:t>
      </w:r>
    </w:p>
    <w:p w14:paraId="748C4FDA" w14:textId="5B078FF8" w:rsidR="00BA01E5" w:rsidRPr="00BA01E5" w:rsidRDefault="00BA01E5" w:rsidP="001A35D6">
      <w:pPr>
        <w:spacing w:before="100" w:beforeAutospacing="1" w:after="100" w:afterAutospacing="1" w:line="240" w:lineRule="auto"/>
        <w:jc w:val="left"/>
        <w:rPr>
          <w:rFonts w:cstheme="minorHAnsi"/>
          <w:szCs w:val="22"/>
        </w:rPr>
      </w:pPr>
      <w:r w:rsidRPr="00BA01E5">
        <w:rPr>
          <w:rFonts w:cstheme="minorHAnsi"/>
          <w:szCs w:val="22"/>
        </w:rPr>
        <w:t>Gold is a strategic asset with high liquidity, absence of liability or credit risk, and the ability to preserve value over time.</w:t>
      </w:r>
      <w:r w:rsidR="001A35D6">
        <w:rPr>
          <w:rFonts w:cstheme="minorHAnsi"/>
          <w:szCs w:val="22"/>
        </w:rPr>
        <w:t xml:space="preserve"> </w:t>
      </w:r>
      <w:r w:rsidRPr="00BA01E5">
        <w:rPr>
          <w:rFonts w:cstheme="minorHAnsi"/>
          <w:szCs w:val="22"/>
        </w:rPr>
        <w:t xml:space="preserve">Gold </w:t>
      </w:r>
      <w:r w:rsidR="002054B0">
        <w:rPr>
          <w:rFonts w:cstheme="minorHAnsi"/>
          <w:szCs w:val="22"/>
        </w:rPr>
        <w:t>is an important reserve asset, e.g. for central banks</w:t>
      </w:r>
      <w:r w:rsidR="00D65C88">
        <w:rPr>
          <w:rFonts w:cstheme="minorHAnsi"/>
          <w:szCs w:val="22"/>
        </w:rPr>
        <w:t xml:space="preserve">, which hold </w:t>
      </w:r>
      <w:r w:rsidR="004E7115">
        <w:rPr>
          <w:rFonts w:cstheme="minorHAnsi"/>
          <w:szCs w:val="22"/>
        </w:rPr>
        <w:t>nearly</w:t>
      </w:r>
      <w:r w:rsidR="00D65C88">
        <w:rPr>
          <w:rFonts w:cstheme="minorHAnsi"/>
          <w:szCs w:val="22"/>
        </w:rPr>
        <w:t xml:space="preserve"> US$ </w:t>
      </w:r>
      <w:r w:rsidR="004E7115">
        <w:rPr>
          <w:rFonts w:cstheme="minorHAnsi"/>
          <w:szCs w:val="22"/>
        </w:rPr>
        <w:t>3</w:t>
      </w:r>
      <w:r w:rsidR="00D65C88">
        <w:rPr>
          <w:rFonts w:cstheme="minorHAnsi"/>
          <w:szCs w:val="22"/>
        </w:rPr>
        <w:t xml:space="preserve"> trillion in gold reserves</w:t>
      </w:r>
      <w:r w:rsidR="002054B0">
        <w:rPr>
          <w:rFonts w:cstheme="minorHAnsi"/>
          <w:szCs w:val="22"/>
        </w:rPr>
        <w:t xml:space="preserve">. It </w:t>
      </w:r>
      <w:r w:rsidRPr="00BA01E5">
        <w:rPr>
          <w:rFonts w:cstheme="minorHAnsi"/>
          <w:szCs w:val="22"/>
        </w:rPr>
        <w:t>enhances portfolios by providing diversification, high liquidity, and improved returns and performance.</w:t>
      </w:r>
      <w:r w:rsidR="001A35D6">
        <w:rPr>
          <w:rFonts w:cstheme="minorHAnsi"/>
          <w:szCs w:val="22"/>
        </w:rPr>
        <w:t xml:space="preserve"> </w:t>
      </w:r>
      <w:r w:rsidRPr="00BA01E5">
        <w:rPr>
          <w:rFonts w:cstheme="minorHAnsi"/>
          <w:szCs w:val="22"/>
        </w:rPr>
        <w:t>Recognizing gold as an eligible asset under UCITS would align with its strategic importance in financial markets.</w:t>
      </w:r>
    </w:p>
    <w:p w14:paraId="40D12385" w14:textId="77777777" w:rsidR="002054B0" w:rsidRDefault="002054B0" w:rsidP="001A35D6">
      <w:pPr>
        <w:pStyle w:val="Heading4"/>
        <w:numPr>
          <w:ilvl w:val="0"/>
          <w:numId w:val="0"/>
        </w:numPr>
        <w:ind w:left="862" w:hanging="862"/>
        <w:rPr>
          <w:rFonts w:asciiTheme="minorHAnsi" w:hAnsiTheme="minorHAnsi" w:cstheme="minorHAnsi"/>
          <w:b/>
          <w:bCs/>
        </w:rPr>
      </w:pPr>
    </w:p>
    <w:p w14:paraId="45E05C26" w14:textId="6900051D" w:rsidR="00BA01E5" w:rsidRPr="00BA01E5" w:rsidRDefault="00BA01E5" w:rsidP="001A35D6">
      <w:pPr>
        <w:pStyle w:val="Heading4"/>
        <w:numPr>
          <w:ilvl w:val="0"/>
          <w:numId w:val="0"/>
        </w:numPr>
        <w:ind w:left="862" w:hanging="862"/>
        <w:rPr>
          <w:rFonts w:asciiTheme="minorHAnsi" w:hAnsiTheme="minorHAnsi" w:cstheme="minorHAnsi"/>
        </w:rPr>
      </w:pPr>
      <w:r w:rsidRPr="001A35D6">
        <w:rPr>
          <w:rFonts w:asciiTheme="minorHAnsi" w:hAnsiTheme="minorHAnsi" w:cstheme="minorHAnsi"/>
          <w:b/>
          <w:bCs/>
        </w:rPr>
        <w:t>Recommendation</w:t>
      </w:r>
    </w:p>
    <w:p w14:paraId="4B3C04AE" w14:textId="77777777" w:rsidR="00BA01E5" w:rsidRPr="00BA01E5" w:rsidRDefault="00BA01E5" w:rsidP="00BA01E5">
      <w:pPr>
        <w:pStyle w:val="NormalWeb"/>
        <w:rPr>
          <w:rFonts w:asciiTheme="minorHAnsi" w:hAnsiTheme="minorHAnsi" w:cstheme="minorHAnsi"/>
          <w:sz w:val="22"/>
          <w:szCs w:val="22"/>
        </w:rPr>
      </w:pPr>
      <w:r w:rsidRPr="00BA01E5">
        <w:rPr>
          <w:rFonts w:asciiTheme="minorHAnsi" w:hAnsiTheme="minorHAnsi" w:cstheme="minorHAnsi"/>
          <w:sz w:val="22"/>
          <w:szCs w:val="22"/>
        </w:rPr>
        <w:t>To address these issues, it is recommended that the UCITS Directive be amended to:</w:t>
      </w:r>
    </w:p>
    <w:p w14:paraId="588C701C" w14:textId="37EA2622" w:rsidR="00BA01E5" w:rsidRDefault="00BA01E5" w:rsidP="00BA01E5">
      <w:pPr>
        <w:numPr>
          <w:ilvl w:val="0"/>
          <w:numId w:val="17"/>
        </w:numPr>
        <w:spacing w:before="100" w:beforeAutospacing="1" w:after="100" w:afterAutospacing="1" w:line="240" w:lineRule="auto"/>
        <w:jc w:val="left"/>
        <w:rPr>
          <w:rFonts w:cstheme="minorHAnsi"/>
          <w:szCs w:val="22"/>
        </w:rPr>
      </w:pPr>
      <w:r w:rsidRPr="00BA01E5">
        <w:rPr>
          <w:rFonts w:cstheme="minorHAnsi"/>
          <w:szCs w:val="22"/>
        </w:rPr>
        <w:t xml:space="preserve">Include </w:t>
      </w:r>
      <w:r w:rsidR="004E7115">
        <w:rPr>
          <w:rFonts w:cstheme="minorHAnsi"/>
          <w:szCs w:val="22"/>
        </w:rPr>
        <w:t xml:space="preserve">physical </w:t>
      </w:r>
      <w:r w:rsidRPr="00BA01E5">
        <w:rPr>
          <w:rFonts w:cstheme="minorHAnsi"/>
          <w:szCs w:val="22"/>
        </w:rPr>
        <w:t>gold and gold-backed instruments as eligible assets.</w:t>
      </w:r>
    </w:p>
    <w:p w14:paraId="1B2CD47D" w14:textId="5708C193" w:rsidR="00B42C59" w:rsidRPr="00BA01E5" w:rsidRDefault="00B42C59" w:rsidP="00BA01E5">
      <w:pPr>
        <w:numPr>
          <w:ilvl w:val="0"/>
          <w:numId w:val="17"/>
        </w:numPr>
        <w:spacing w:before="100" w:beforeAutospacing="1" w:after="100" w:afterAutospacing="1" w:line="240" w:lineRule="auto"/>
        <w:jc w:val="left"/>
        <w:rPr>
          <w:rFonts w:cstheme="minorHAnsi"/>
          <w:szCs w:val="22"/>
        </w:rPr>
      </w:pPr>
      <w:r>
        <w:rPr>
          <w:rFonts w:cstheme="minorHAnsi"/>
          <w:szCs w:val="22"/>
        </w:rPr>
        <w:t xml:space="preserve">Allow direct exposures to gold-backed crypto-assets as </w:t>
      </w:r>
      <w:r w:rsidR="004E7115">
        <w:rPr>
          <w:rFonts w:cstheme="minorHAnsi"/>
          <w:szCs w:val="22"/>
        </w:rPr>
        <w:t>new</w:t>
      </w:r>
      <w:r>
        <w:rPr>
          <w:rFonts w:cstheme="minorHAnsi"/>
          <w:szCs w:val="22"/>
        </w:rPr>
        <w:t xml:space="preserve">, </w:t>
      </w:r>
      <w:r w:rsidR="00B93801">
        <w:rPr>
          <w:rFonts w:cstheme="minorHAnsi"/>
          <w:szCs w:val="22"/>
        </w:rPr>
        <w:t>EU-</w:t>
      </w:r>
      <w:r>
        <w:rPr>
          <w:rFonts w:cstheme="minorHAnsi"/>
          <w:szCs w:val="22"/>
        </w:rPr>
        <w:t>regulated instruments for gold investments.</w:t>
      </w:r>
    </w:p>
    <w:p w14:paraId="1EB5C767" w14:textId="05F70F84" w:rsidR="00BA01E5" w:rsidRPr="00BA01E5" w:rsidRDefault="00BA01E5" w:rsidP="00BA01E5">
      <w:pPr>
        <w:numPr>
          <w:ilvl w:val="0"/>
          <w:numId w:val="17"/>
        </w:numPr>
        <w:spacing w:before="100" w:beforeAutospacing="1" w:after="100" w:afterAutospacing="1" w:line="240" w:lineRule="auto"/>
        <w:jc w:val="left"/>
        <w:rPr>
          <w:rFonts w:cstheme="minorHAnsi"/>
          <w:szCs w:val="22"/>
        </w:rPr>
      </w:pPr>
      <w:r w:rsidRPr="00BA01E5">
        <w:rPr>
          <w:rFonts w:cstheme="minorHAnsi"/>
          <w:szCs w:val="22"/>
        </w:rPr>
        <w:t>Adjust diversification requirements to allow UCITS funds fully backed by gold.</w:t>
      </w:r>
    </w:p>
    <w:p w14:paraId="3EAF7D1B" w14:textId="77777777" w:rsidR="00BA01E5" w:rsidRPr="00BA01E5" w:rsidRDefault="00BA01E5" w:rsidP="00BA01E5">
      <w:pPr>
        <w:pStyle w:val="NormalWeb"/>
        <w:rPr>
          <w:rFonts w:asciiTheme="minorHAnsi" w:hAnsiTheme="minorHAnsi" w:cstheme="minorHAnsi"/>
          <w:sz w:val="22"/>
          <w:szCs w:val="22"/>
        </w:rPr>
      </w:pPr>
      <w:r w:rsidRPr="00BA01E5">
        <w:rPr>
          <w:rFonts w:asciiTheme="minorHAnsi" w:hAnsiTheme="minorHAnsi" w:cstheme="minorHAnsi"/>
          <w:sz w:val="22"/>
          <w:szCs w:val="22"/>
        </w:rPr>
        <w:t>By making these changes, the UCITS framework will be better aligned with modern investment practices, offering enhanced protection, improved diversification, and regulatory consistency across the EU.</w:t>
      </w:r>
    </w:p>
    <w:p w14:paraId="1E7C868E" w14:textId="730053DF" w:rsidR="00667FF6" w:rsidRPr="00BA01E5" w:rsidRDefault="00BA01E5" w:rsidP="00BA01E5">
      <w:pPr>
        <w:pStyle w:val="NormalWeb"/>
        <w:rPr>
          <w:rFonts w:asciiTheme="minorHAnsi" w:hAnsiTheme="minorHAnsi" w:cstheme="minorHAnsi"/>
          <w:sz w:val="22"/>
          <w:szCs w:val="22"/>
        </w:rPr>
      </w:pPr>
      <w:r w:rsidRPr="00BA01E5">
        <w:rPr>
          <w:rFonts w:asciiTheme="minorHAnsi" w:hAnsiTheme="minorHAnsi" w:cstheme="minorHAnsi"/>
          <w:sz w:val="22"/>
          <w:szCs w:val="22"/>
        </w:rPr>
        <w:t>This approach would directly respond to the needs of investors and market participants, ensuring the UCITS framework remains relevant and effective in today's evolving financial landscape.</w:t>
      </w:r>
    </w:p>
    <w:permEnd w:id="1975413025"/>
    <w:p w14:paraId="2A42AC36" w14:textId="5C56E25F"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33291A42" w14:textId="2AE188F7" w:rsidR="00667FF6" w:rsidRDefault="00667FF6" w:rsidP="00667FF6">
      <w:permStart w:id="85149166" w:edGrp="everyone"/>
      <w:r>
        <w:t>TYPE YOUR TEXT HERE</w:t>
      </w:r>
    </w:p>
    <w:permEnd w:id="85149166"/>
    <w:p w14:paraId="4AE132E3" w14:textId="77777777" w:rsidR="00667FF6" w:rsidRDefault="00667FF6" w:rsidP="00667FF6">
      <w:r>
        <w:lastRenderedPageBreak/>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66CBED74" w14:textId="77777777" w:rsidR="00667FF6" w:rsidRDefault="00667FF6" w:rsidP="00667FF6">
      <w:permStart w:id="1981048397" w:edGrp="everyone"/>
      <w:r>
        <w:t>TYPE YOUR TEXT HERE</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24658538" w14:textId="77777777" w:rsidR="00667FF6" w:rsidRDefault="00667FF6" w:rsidP="00667FF6">
      <w:permStart w:id="1012351271" w:edGrp="everyone"/>
      <w:r>
        <w:t>TYPE YOUR TEXT HERE</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lastRenderedPageBreak/>
        <w:t>&lt;ESMA_QUESTION_EADC_5&gt;</w:t>
      </w:r>
    </w:p>
    <w:p w14:paraId="09734178" w14:textId="77777777" w:rsidR="00667FF6" w:rsidRDefault="00667FF6" w:rsidP="00667FF6">
      <w:permStart w:id="1300367218" w:edGrp="everyone"/>
      <w:r>
        <w:t>TYPE YOUR TEXT HERE</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3FEE353B" w14:textId="77777777" w:rsidR="00667FF6" w:rsidRDefault="00667FF6" w:rsidP="00667FF6">
      <w:permStart w:id="974730357" w:edGrp="everyone"/>
      <w:r>
        <w:t>TYPE YOUR TEXT HERE</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24C7BA65" w14:textId="77777777" w:rsidR="00667FF6" w:rsidRDefault="00667FF6" w:rsidP="00667FF6">
      <w:permStart w:id="12191390" w:edGrp="everyone"/>
      <w:r>
        <w:t>TYPE YOUR TEXT HERE</w:t>
      </w:r>
    </w:p>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lastRenderedPageBreak/>
        <w:t>&lt;ESMA_QUESTION_EADC_8&gt;</w:t>
      </w:r>
    </w:p>
    <w:p w14:paraId="3334222E" w14:textId="77777777" w:rsidR="00667FF6" w:rsidRDefault="00667FF6" w:rsidP="00667FF6">
      <w:permStart w:id="1602386857" w:edGrp="everyone"/>
      <w:r>
        <w:t>TYPE YOUR TEXT HERE</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7B6A3FF3" w14:textId="77777777" w:rsidR="00667FF6" w:rsidRDefault="00667FF6" w:rsidP="00667FF6">
      <w:permStart w:id="1226657538" w:edGrp="everyone"/>
      <w:r>
        <w:t>TYPE YOUR TEXT HERE</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0BA52450" w14:textId="77777777" w:rsidR="00667FF6" w:rsidRDefault="00667FF6" w:rsidP="00667FF6">
      <w:permStart w:id="1286214635" w:edGrp="everyone"/>
      <w:r>
        <w:t>TYPE YOUR TEXT HERE</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lastRenderedPageBreak/>
        <w:t>&lt;ESMA_QUESTION_EADC_11&gt;</w:t>
      </w:r>
    </w:p>
    <w:p w14:paraId="0E3B2DB0" w14:textId="77777777" w:rsidR="00667FF6" w:rsidRDefault="00667FF6" w:rsidP="00667FF6">
      <w:permStart w:id="704664972" w:edGrp="everyone"/>
      <w:r>
        <w:t>TYPE YOUR TEXT HERE</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259CC93E" w14:textId="77777777" w:rsidR="00667FF6" w:rsidRDefault="00667FF6" w:rsidP="00667FF6">
      <w:permStart w:id="624035433" w:edGrp="everyone"/>
      <w:r>
        <w:t>TYPE YOUR TEXT HERE</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0E557136" w14:textId="4459D1B8" w:rsidR="00667FF6" w:rsidRDefault="00452276" w:rsidP="00667FF6">
      <w:permStart w:id="1487874619" w:edGrp="everyone"/>
      <w:r>
        <w:t xml:space="preserve"> </w:t>
      </w:r>
      <w:r w:rsidR="009D309F">
        <w:t xml:space="preserve">In light of shortcomings of </w:t>
      </w:r>
      <w:r w:rsidR="00C42308">
        <w:t>delta</w:t>
      </w:r>
      <w:r w:rsidR="009D309F">
        <w:t xml:space="preserve">-one instruments </w:t>
      </w:r>
      <w:r w:rsidR="00C42308">
        <w:t xml:space="preserve">in comparison </w:t>
      </w:r>
      <w:r w:rsidR="009D309F">
        <w:t xml:space="preserve">to direct investments in physical gold (see also </w:t>
      </w:r>
      <w:r w:rsidR="005537FE">
        <w:t>response</w:t>
      </w:r>
      <w:r w:rsidR="009D309F">
        <w:t xml:space="preserve"> </w:t>
      </w:r>
      <w:r w:rsidR="005537FE">
        <w:t>to</w:t>
      </w:r>
      <w:r w:rsidR="009D309F">
        <w:t xml:space="preserve"> question 1) we strongly suggest </w:t>
      </w:r>
      <w:r w:rsidR="00FF5F1D">
        <w:t>allowing</w:t>
      </w:r>
      <w:r w:rsidR="009D309F">
        <w:t xml:space="preserve"> direct investments in physical gold</w:t>
      </w:r>
      <w:r w:rsidR="00C42308">
        <w:t>. This is established practice in</w:t>
      </w:r>
      <w:r w:rsidR="009D309F">
        <w:t xml:space="preserve"> other jurisdictions like the US or Switzerland for a long time, </w:t>
      </w:r>
      <w:r w:rsidR="00C42308">
        <w:t>where</w:t>
      </w:r>
      <w:r w:rsidR="009D309F">
        <w:t xml:space="preserve"> gold ETFs </w:t>
      </w:r>
      <w:r w:rsidR="00C42308">
        <w:t>hold</w:t>
      </w:r>
      <w:r w:rsidR="009D309F">
        <w:t xml:space="preserve"> more than US$ 100 billion in </w:t>
      </w:r>
      <w:r w:rsidR="00C42308">
        <w:t xml:space="preserve">physical </w:t>
      </w:r>
      <w:r w:rsidR="009D309F">
        <w:t>gold.</w:t>
      </w:r>
      <w:r w:rsidR="00B93801">
        <w:t xml:space="preserve"> We also recommend </w:t>
      </w:r>
      <w:r w:rsidR="005537FE">
        <w:t>allowing</w:t>
      </w:r>
      <w:r w:rsidR="00B93801">
        <w:t xml:space="preserve"> direct exposures to gold-backed crypto-assets, which adhere to the new EU regulations under MiCAR.</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lastRenderedPageBreak/>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3D6D0453" w14:textId="77777777" w:rsidR="00667FF6" w:rsidRDefault="00667FF6" w:rsidP="00667FF6">
      <w:permStart w:id="1362129429" w:edGrp="everyone"/>
      <w:r>
        <w:t>TYPE YOUR TEXT HERE</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01944298" w14:textId="77777777" w:rsidR="00667FF6" w:rsidRDefault="00667FF6" w:rsidP="00667FF6">
      <w:permStart w:id="493775816" w:edGrp="everyone"/>
      <w:r>
        <w:t>TYPE YOUR TEXT HERE</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lastRenderedPageBreak/>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4E6EC137" w14:textId="77777777" w:rsidR="00667FF6" w:rsidRDefault="00667FF6" w:rsidP="00667FF6">
      <w:permStart w:id="1032210024" w:edGrp="everyone"/>
      <w:r>
        <w:t>TYPE YOUR TEXT HERE</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77777777" w:rsidR="00667FF6" w:rsidRDefault="00667FF6" w:rsidP="00667FF6">
      <w:permStart w:id="589041498" w:edGrp="everyone"/>
      <w:r>
        <w:t>TYPE YOUR TEXT HERE</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1396FB8B" w14:textId="77777777" w:rsidR="00667FF6" w:rsidRDefault="00667FF6" w:rsidP="00667FF6">
      <w:permStart w:id="1158356501" w:edGrp="everyone"/>
      <w:r>
        <w:t>TYPE YOUR TEXT HERE</w:t>
      </w:r>
    </w:p>
    <w:permEnd w:id="1158356501"/>
    <w:p w14:paraId="223CC270" w14:textId="77777777" w:rsidR="00667FF6" w:rsidRDefault="00667FF6" w:rsidP="00667FF6">
      <w:r>
        <w:lastRenderedPageBreak/>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2B449671" w14:textId="77777777" w:rsidR="00667FF6" w:rsidRDefault="00667FF6" w:rsidP="00667FF6">
      <w:permStart w:id="784558918" w:edGrp="everyone"/>
      <w:r>
        <w:t>TYPE YOUR TEXT HERE</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6AEF8535" w14:textId="2A42F6CC" w:rsidR="00667FF6" w:rsidRDefault="00FE1DDA" w:rsidP="00667FF6">
      <w:permStart w:id="1828006997" w:edGrp="everyone"/>
      <w:r>
        <w:t>See table in the Annex</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 xml:space="preserve">Please elaborate and provide evidence on how indirect exposures to the aforementioned asset classes (e.g. through delta-one instruments, ETNs, </w:t>
      </w:r>
      <w:r>
        <w:lastRenderedPageBreak/>
        <w:t>derivatives) increase or decrease costs and/or risks borne by UCITS and their investors compared to direct investments.</w:t>
      </w:r>
    </w:p>
    <w:p w14:paraId="4B547731" w14:textId="77777777" w:rsidR="00667FF6" w:rsidRDefault="00667FF6" w:rsidP="00667FF6">
      <w:r>
        <w:t>&lt;ESMA_QUESTION_EADC_21&gt;</w:t>
      </w:r>
    </w:p>
    <w:p w14:paraId="5D2BB61E" w14:textId="12087A1D" w:rsidR="00E431FC" w:rsidRDefault="00AB6501" w:rsidP="00667FF6">
      <w:permStart w:id="199050040" w:edGrp="everyone"/>
      <w:r>
        <w:t xml:space="preserve">With regards to gold, delta-one instruments, derivatives or ETNs (in case of gold commonly referred to as gold </w:t>
      </w:r>
      <w:r w:rsidRPr="00AB6501">
        <w:t>ETCs</w:t>
      </w:r>
      <w:r>
        <w:t>)</w:t>
      </w:r>
      <w:r w:rsidRPr="00AB6501">
        <w:t xml:space="preserve"> offer lower investor protection </w:t>
      </w:r>
      <w:r>
        <w:t>than direct investments in physical gold</w:t>
      </w:r>
      <w:r w:rsidRPr="00AB6501">
        <w:t>.</w:t>
      </w:r>
      <w:r w:rsidR="00D215A1">
        <w:t xml:space="preserve"> In addition, direct gold investments are typically the most cost-efficient way to invest in gold.</w:t>
      </w:r>
    </w:p>
    <w:p w14:paraId="26441A94" w14:textId="77777777" w:rsidR="00E431FC" w:rsidRDefault="00AB6501" w:rsidP="00667FF6">
      <w:r>
        <w:t xml:space="preserve">For example, </w:t>
      </w:r>
      <w:r w:rsidRPr="00AB6501">
        <w:t>Gold ETCs are structured as debt instruments. Notes in a Gold ETC provide investors only with claims against the issuing compan</w:t>
      </w:r>
      <w:r>
        <w:t>y. Similarly, delta-one instruments or derivatives pose higher risks than direct investments in physical gold, e.g. since the latter is no one’s liability and faces no counterparty or credit risk</w:t>
      </w:r>
      <w:r w:rsidRPr="00AB6501">
        <w:t>.</w:t>
      </w:r>
    </w:p>
    <w:p w14:paraId="026D7EED" w14:textId="5536C510" w:rsidR="00667FF6" w:rsidRDefault="00AB6501" w:rsidP="00667FF6">
      <w:r>
        <w:t xml:space="preserve">As evidenced by the large </w:t>
      </w:r>
      <w:r w:rsidR="00B93801">
        <w:t>amount</w:t>
      </w:r>
      <w:r>
        <w:t xml:space="preserve"> of Gold ETFs in other jurisdictions like the US and Switzerland, which hold combined significantly more than US$ 100 billion in gold, liquidity is not a concern</w:t>
      </w:r>
      <w:r w:rsidR="00E431FC">
        <w:t xml:space="preserve">. </w:t>
      </w:r>
      <w:r>
        <w:t xml:space="preserve">UCITS Gold ETFs would typically access the liquidity of the London Bullion Market, which traded close to US$ </w:t>
      </w:r>
      <w:r w:rsidR="009B1317">
        <w:t>8</w:t>
      </w:r>
      <w:r>
        <w:t>0 billion on daily average in 2023.</w:t>
      </w:r>
      <w:r w:rsidR="00E431FC">
        <w:t xml:space="preserve"> </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33D2BA70" w14:textId="74A2A8EB" w:rsidR="00667FF6" w:rsidRDefault="00E431FC" w:rsidP="00667FF6">
      <w:permStart w:id="1004748421" w:edGrp="everyone"/>
      <w:r>
        <w:t xml:space="preserve">As </w:t>
      </w:r>
      <w:r w:rsidR="00CA23E3">
        <w:t>set out</w:t>
      </w:r>
      <w:r>
        <w:t xml:space="preserve"> in our response to question 1, we strongly suggest allowing direct investments into physical gold under the UCITS framework. This would meet investor demands, increase investor protection and enable better diversification </w:t>
      </w:r>
      <w:r w:rsidR="00CA23E3">
        <w:t xml:space="preserve">and performance </w:t>
      </w:r>
      <w:r>
        <w:t xml:space="preserve">of investor portfolios as well as stronger and more consistent regulation. As </w:t>
      </w:r>
      <w:r w:rsidR="00CA23E3">
        <w:t>stated</w:t>
      </w:r>
      <w:r>
        <w:t xml:space="preserve"> in our response to question 21, </w:t>
      </w:r>
      <w:r>
        <w:lastRenderedPageBreak/>
        <w:t xml:space="preserve">allowing direct in physical gold is </w:t>
      </w:r>
      <w:r w:rsidR="00FD10F7">
        <w:t xml:space="preserve">often </w:t>
      </w:r>
      <w:r>
        <w:t xml:space="preserve">preferrable to </w:t>
      </w:r>
      <w:r w:rsidR="00FD10F7">
        <w:t>indirect investments th</w:t>
      </w:r>
      <w:r w:rsidR="00763843">
        <w:t>r</w:t>
      </w:r>
      <w:r w:rsidR="00FD10F7">
        <w:t>ough delta-one instruments</w:t>
      </w:r>
      <w:r w:rsidR="00763843">
        <w:t>, ETNs or derivatives</w:t>
      </w:r>
      <w:r w:rsidR="00FD10F7">
        <w:t>, since physical gold carries no liability, credit, default, or counterparty risk.</w:t>
      </w:r>
      <w:r w:rsidR="00B93801">
        <w:t xml:space="preserve"> We recommend to also allow direct exposures to crypto-assets backed by physical gold and regulated under MiCAR.</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57C1BB11" w14:textId="77777777" w:rsidR="00667FF6" w:rsidRDefault="00667FF6" w:rsidP="00667FF6">
      <w:permStart w:id="1208368603" w:edGrp="everyone"/>
      <w:r>
        <w:t>TYPE YOUR TEXT HERE</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7777777" w:rsidR="00667FF6" w:rsidRDefault="00667FF6" w:rsidP="00667FF6">
      <w:permStart w:id="160252285" w:edGrp="everyone"/>
      <w:r>
        <w:t>TYPE YOUR TEXT HERE</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77777777" w:rsidR="00667FF6" w:rsidRDefault="00667FF6" w:rsidP="00667FF6">
      <w:permStart w:id="478484191" w:edGrp="everyone"/>
      <w:r>
        <w:lastRenderedPageBreak/>
        <w:t>TYPE YOUR TEXT HERE</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6"/>
      <w:footerReference w:type="default" r:id="rId2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3FE5" w14:textId="77777777" w:rsidR="002B6293" w:rsidRDefault="002B6293" w:rsidP="007E7997">
      <w:pPr>
        <w:spacing w:line="240" w:lineRule="auto"/>
      </w:pPr>
      <w:r>
        <w:separator/>
      </w:r>
    </w:p>
  </w:endnote>
  <w:endnote w:type="continuationSeparator" w:id="0">
    <w:p w14:paraId="7E1F3DC0" w14:textId="77777777" w:rsidR="002B6293" w:rsidRDefault="002B6293" w:rsidP="007E7997">
      <w:pPr>
        <w:spacing w:line="240" w:lineRule="auto"/>
      </w:pPr>
      <w:r>
        <w:continuationSeparator/>
      </w:r>
    </w:p>
  </w:endnote>
  <w:endnote w:type="continuationNotice" w:id="1">
    <w:p w14:paraId="475C8AAE" w14:textId="77777777" w:rsidR="002B6293" w:rsidRDefault="002B6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205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36E6" w14:textId="77777777" w:rsidR="002B6293" w:rsidRDefault="002B6293" w:rsidP="007E7997">
      <w:pPr>
        <w:spacing w:line="240" w:lineRule="auto"/>
      </w:pPr>
      <w:r>
        <w:separator/>
      </w:r>
    </w:p>
  </w:footnote>
  <w:footnote w:type="continuationSeparator" w:id="0">
    <w:p w14:paraId="4E965ED0" w14:textId="77777777" w:rsidR="002B6293" w:rsidRDefault="002B6293" w:rsidP="007E7997">
      <w:pPr>
        <w:spacing w:line="240" w:lineRule="auto"/>
      </w:pPr>
      <w:r>
        <w:continuationSeparator/>
      </w:r>
    </w:p>
  </w:footnote>
  <w:footnote w:type="continuationNotice" w:id="1">
    <w:p w14:paraId="5AB89253" w14:textId="77777777" w:rsidR="002B6293" w:rsidRDefault="002B6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B76C3"/>
    <w:multiLevelType w:val="multilevel"/>
    <w:tmpl w:val="DF20494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12038A3"/>
    <w:multiLevelType w:val="multilevel"/>
    <w:tmpl w:val="0F82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3"/>
  </w:num>
  <w:num w:numId="2" w16cid:durableId="1144354351">
    <w:abstractNumId w:val="5"/>
  </w:num>
  <w:num w:numId="3" w16cid:durableId="1006909420">
    <w:abstractNumId w:val="11"/>
  </w:num>
  <w:num w:numId="4" w16cid:durableId="569996677">
    <w:abstractNumId w:val="4"/>
  </w:num>
  <w:num w:numId="5" w16cid:durableId="807014924">
    <w:abstractNumId w:val="0"/>
  </w:num>
  <w:num w:numId="6" w16cid:durableId="310985182">
    <w:abstractNumId w:val="6"/>
  </w:num>
  <w:num w:numId="7" w16cid:durableId="492061559">
    <w:abstractNumId w:val="14"/>
  </w:num>
  <w:num w:numId="8" w16cid:durableId="2063743978">
    <w:abstractNumId w:val="2"/>
  </w:num>
  <w:num w:numId="9" w16cid:durableId="1378703109">
    <w:abstractNumId w:val="12"/>
  </w:num>
  <w:num w:numId="10" w16cid:durableId="632100844">
    <w:abstractNumId w:val="10"/>
  </w:num>
  <w:num w:numId="11" w16cid:durableId="1573200029">
    <w:abstractNumId w:val="8"/>
  </w:num>
  <w:num w:numId="12" w16cid:durableId="1587836858">
    <w:abstractNumId w:val="8"/>
    <w:lvlOverride w:ilvl="0">
      <w:startOverride w:val="1"/>
    </w:lvlOverride>
  </w:num>
  <w:num w:numId="13" w16cid:durableId="1548224532">
    <w:abstractNumId w:val="1"/>
  </w:num>
  <w:num w:numId="14" w16cid:durableId="50143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3103877">
    <w:abstractNumId w:val="3"/>
  </w:num>
  <w:num w:numId="17" w16cid:durableId="176930737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27E02"/>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DAB"/>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719"/>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23D"/>
    <w:rsid w:val="00097B11"/>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A72"/>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28F"/>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B2D"/>
    <w:rsid w:val="00137E61"/>
    <w:rsid w:val="001406D6"/>
    <w:rsid w:val="00140BD4"/>
    <w:rsid w:val="0014136E"/>
    <w:rsid w:val="00142E4A"/>
    <w:rsid w:val="00142FBA"/>
    <w:rsid w:val="00143112"/>
    <w:rsid w:val="00143116"/>
    <w:rsid w:val="00143685"/>
    <w:rsid w:val="00143DD3"/>
    <w:rsid w:val="0014423D"/>
    <w:rsid w:val="00144920"/>
    <w:rsid w:val="00144AAD"/>
    <w:rsid w:val="00144B29"/>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1FE2"/>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421"/>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4ED4"/>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35D6"/>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19F2"/>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1F5"/>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4B0"/>
    <w:rsid w:val="00205C40"/>
    <w:rsid w:val="00206205"/>
    <w:rsid w:val="0020622B"/>
    <w:rsid w:val="00206A7B"/>
    <w:rsid w:val="00207A39"/>
    <w:rsid w:val="00207CA6"/>
    <w:rsid w:val="002101FB"/>
    <w:rsid w:val="002104E5"/>
    <w:rsid w:val="0021101C"/>
    <w:rsid w:val="0021137E"/>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25"/>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26A"/>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A6F"/>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293"/>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2FC"/>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2BEC"/>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2CBE"/>
    <w:rsid w:val="002F3073"/>
    <w:rsid w:val="002F347A"/>
    <w:rsid w:val="002F37C2"/>
    <w:rsid w:val="002F3F3B"/>
    <w:rsid w:val="002F4938"/>
    <w:rsid w:val="002F4A56"/>
    <w:rsid w:val="002F4D0C"/>
    <w:rsid w:val="002F52B0"/>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07A31"/>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2633"/>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4F2E"/>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4BCC"/>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7D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5C94"/>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2276"/>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9A6"/>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218"/>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1CF9"/>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115"/>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7BA"/>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7FE"/>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40F"/>
    <w:rsid w:val="0058165F"/>
    <w:rsid w:val="00581931"/>
    <w:rsid w:val="00581B50"/>
    <w:rsid w:val="00582588"/>
    <w:rsid w:val="00582C01"/>
    <w:rsid w:val="00582D3C"/>
    <w:rsid w:val="005840C3"/>
    <w:rsid w:val="005840C6"/>
    <w:rsid w:val="00584FEA"/>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273"/>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22B"/>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2EE6"/>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744"/>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0DB"/>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71"/>
    <w:rsid w:val="00735C87"/>
    <w:rsid w:val="00735E1C"/>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843"/>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53"/>
    <w:rsid w:val="007B1975"/>
    <w:rsid w:val="007B198E"/>
    <w:rsid w:val="007B2603"/>
    <w:rsid w:val="007B28C4"/>
    <w:rsid w:val="007B2E4F"/>
    <w:rsid w:val="007B2EFF"/>
    <w:rsid w:val="007B2F1D"/>
    <w:rsid w:val="007B2F22"/>
    <w:rsid w:val="007B30F5"/>
    <w:rsid w:val="007B338B"/>
    <w:rsid w:val="007B36C1"/>
    <w:rsid w:val="007B398A"/>
    <w:rsid w:val="007B42C3"/>
    <w:rsid w:val="007B4656"/>
    <w:rsid w:val="007B4676"/>
    <w:rsid w:val="007B4E95"/>
    <w:rsid w:val="007B4F09"/>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4A1"/>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6F20"/>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DCB"/>
    <w:rsid w:val="008D0E55"/>
    <w:rsid w:val="008D0E92"/>
    <w:rsid w:val="008D0EAE"/>
    <w:rsid w:val="008D127D"/>
    <w:rsid w:val="008D13EB"/>
    <w:rsid w:val="008D1A97"/>
    <w:rsid w:val="008D2642"/>
    <w:rsid w:val="008D2E4C"/>
    <w:rsid w:val="008D3190"/>
    <w:rsid w:val="008D38E9"/>
    <w:rsid w:val="008D3FBB"/>
    <w:rsid w:val="008D402B"/>
    <w:rsid w:val="008D4142"/>
    <w:rsid w:val="008D4264"/>
    <w:rsid w:val="008D4358"/>
    <w:rsid w:val="008D4CDF"/>
    <w:rsid w:val="008D5790"/>
    <w:rsid w:val="008D5C28"/>
    <w:rsid w:val="008D60F2"/>
    <w:rsid w:val="008D6386"/>
    <w:rsid w:val="008D6448"/>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0E15"/>
    <w:rsid w:val="00932787"/>
    <w:rsid w:val="00932A30"/>
    <w:rsid w:val="00932A63"/>
    <w:rsid w:val="0093345C"/>
    <w:rsid w:val="0093391C"/>
    <w:rsid w:val="00934587"/>
    <w:rsid w:val="00934C0B"/>
    <w:rsid w:val="00934DDB"/>
    <w:rsid w:val="00934E2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AA4"/>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317"/>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09F"/>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4B72"/>
    <w:rsid w:val="00A250B4"/>
    <w:rsid w:val="00A2537E"/>
    <w:rsid w:val="00A255CC"/>
    <w:rsid w:val="00A25625"/>
    <w:rsid w:val="00A2573D"/>
    <w:rsid w:val="00A25888"/>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4071"/>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501"/>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4CC"/>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08F"/>
    <w:rsid w:val="00B07101"/>
    <w:rsid w:val="00B07463"/>
    <w:rsid w:val="00B07994"/>
    <w:rsid w:val="00B103D7"/>
    <w:rsid w:val="00B10921"/>
    <w:rsid w:val="00B11400"/>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C59"/>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0D9"/>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801"/>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1E5"/>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6F85"/>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6DA3"/>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27A"/>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2308"/>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23E3"/>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AF8"/>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5A1"/>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6C4"/>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5C88"/>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3E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DF7B75"/>
    <w:rsid w:val="00E00AEA"/>
    <w:rsid w:val="00E00F7A"/>
    <w:rsid w:val="00E01025"/>
    <w:rsid w:val="00E011C5"/>
    <w:rsid w:val="00E013D6"/>
    <w:rsid w:val="00E01A3D"/>
    <w:rsid w:val="00E02098"/>
    <w:rsid w:val="00E0221B"/>
    <w:rsid w:val="00E02534"/>
    <w:rsid w:val="00E02FC9"/>
    <w:rsid w:val="00E034A3"/>
    <w:rsid w:val="00E0351C"/>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1FC"/>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0C59"/>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6F9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5B8"/>
    <w:rsid w:val="00F04665"/>
    <w:rsid w:val="00F04AAC"/>
    <w:rsid w:val="00F05228"/>
    <w:rsid w:val="00F05D8B"/>
    <w:rsid w:val="00F06455"/>
    <w:rsid w:val="00F06948"/>
    <w:rsid w:val="00F06B25"/>
    <w:rsid w:val="00F06B7D"/>
    <w:rsid w:val="00F07237"/>
    <w:rsid w:val="00F0727B"/>
    <w:rsid w:val="00F079D4"/>
    <w:rsid w:val="00F07C34"/>
    <w:rsid w:val="00F07E72"/>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DB3"/>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0F21"/>
    <w:rsid w:val="00F7103B"/>
    <w:rsid w:val="00F71157"/>
    <w:rsid w:val="00F71A32"/>
    <w:rsid w:val="00F71B05"/>
    <w:rsid w:val="00F721EF"/>
    <w:rsid w:val="00F72548"/>
    <w:rsid w:val="00F72CFC"/>
    <w:rsid w:val="00F72D28"/>
    <w:rsid w:val="00F7313C"/>
    <w:rsid w:val="00F732C1"/>
    <w:rsid w:val="00F73382"/>
    <w:rsid w:val="00F738EE"/>
    <w:rsid w:val="00F73DEC"/>
    <w:rsid w:val="00F74750"/>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4C"/>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0F7"/>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A"/>
    <w:rsid w:val="00FE1DDC"/>
    <w:rsid w:val="00FE2071"/>
    <w:rsid w:val="00FE2356"/>
    <w:rsid w:val="00FE3C32"/>
    <w:rsid w:val="00FE41E8"/>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1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BA01E5"/>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451">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96598296">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598639069">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40184930">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87700141">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hyperlink" Target="https://www.gold.org/goldhub/research/gold-etfs-holdings-and-flows/2024/07" TargetMode="Externa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lobalxetfs.eu/content/files/Monthly-Thematic-UCITS-ETF-Report-June-2024-1.pdf" TargetMode="Externa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www.gold.org/goldhub/research/relevance-of-gold-as-a-strategic-asset/portfolio-impact-1-risk-reward-profil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ld.org/goldhub/research/relevance-of-gold-as-a-strategic-asset/golds-key-attributes-1-return"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205F" w:usb2="08000029"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05F57"/>
    <w:rsid w:val="000D3BDB"/>
    <w:rsid w:val="000D3D97"/>
    <w:rsid w:val="0012328F"/>
    <w:rsid w:val="00171343"/>
    <w:rsid w:val="00175421"/>
    <w:rsid w:val="00223C86"/>
    <w:rsid w:val="002826FB"/>
    <w:rsid w:val="002F52B0"/>
    <w:rsid w:val="002F71C9"/>
    <w:rsid w:val="003C3A27"/>
    <w:rsid w:val="003E2607"/>
    <w:rsid w:val="004E4CF9"/>
    <w:rsid w:val="0058140F"/>
    <w:rsid w:val="006A1EE1"/>
    <w:rsid w:val="006D2A96"/>
    <w:rsid w:val="00747575"/>
    <w:rsid w:val="00813189"/>
    <w:rsid w:val="008222A0"/>
    <w:rsid w:val="00836D47"/>
    <w:rsid w:val="0087748B"/>
    <w:rsid w:val="00967557"/>
    <w:rsid w:val="00993561"/>
    <w:rsid w:val="009B23E1"/>
    <w:rsid w:val="009B6B9C"/>
    <w:rsid w:val="009C794D"/>
    <w:rsid w:val="00A24B72"/>
    <w:rsid w:val="00A25888"/>
    <w:rsid w:val="00A408D7"/>
    <w:rsid w:val="00AC2030"/>
    <w:rsid w:val="00AC6273"/>
    <w:rsid w:val="00B22006"/>
    <w:rsid w:val="00C336E8"/>
    <w:rsid w:val="00DC0DA6"/>
    <w:rsid w:val="00F01F95"/>
    <w:rsid w:val="00FB273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4.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3732</Words>
  <Characters>21279</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Dr Tatiana Fic</cp:lastModifiedBy>
  <cp:revision>12</cp:revision>
  <cp:lastPrinted>2023-09-09T09:53:00Z</cp:lastPrinted>
  <dcterms:created xsi:type="dcterms:W3CDTF">2024-08-07T13:45:00Z</dcterms:created>
  <dcterms:modified xsi:type="dcterms:W3CDTF">2024-08-07T14:15:00Z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