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F7FE" w14:textId="05BFA884" w:rsidR="66107C87" w:rsidRDefault="7C53680C" w:rsidP="3FE99FEE">
      <w:pPr>
        <w:spacing w:after="250" w:line="276" w:lineRule="auto"/>
        <w:jc w:val="both"/>
        <w:rPr>
          <w:rFonts w:ascii="Arial" w:eastAsia="MS PGothic" w:hAnsi="Arial" w:cs="Arial"/>
          <w:b/>
          <w:bCs/>
          <w:color w:val="181818"/>
        </w:rPr>
      </w:pPr>
      <w:r w:rsidRPr="28CED790">
        <w:rPr>
          <w:rFonts w:ascii="Arial" w:eastAsia="MS PGothic" w:hAnsi="Arial" w:cs="Arial"/>
          <w:b/>
          <w:bCs/>
          <w:color w:val="181818"/>
        </w:rPr>
        <w:t xml:space="preserve">Annex </w:t>
      </w:r>
      <w:r w:rsidR="2A636CE1" w:rsidRPr="28CED790">
        <w:rPr>
          <w:rFonts w:ascii="Arial" w:eastAsia="MS PGothic" w:hAnsi="Arial" w:cs="Arial"/>
          <w:b/>
          <w:bCs/>
          <w:color w:val="181818"/>
        </w:rPr>
        <w:t xml:space="preserve">– </w:t>
      </w:r>
      <w:r w:rsidR="002F58FB" w:rsidRPr="002F58FB">
        <w:rPr>
          <w:rFonts w:ascii="Arial" w:eastAsia="MS PGothic" w:hAnsi="Arial" w:cs="Arial"/>
          <w:b/>
          <w:bCs/>
          <w:color w:val="181818"/>
        </w:rPr>
        <w:t>Question 20</w:t>
      </w:r>
      <w:r w:rsidR="00394809">
        <w:rPr>
          <w:rFonts w:ascii="Arial" w:eastAsia="MS PGothic" w:hAnsi="Arial" w:cs="Arial"/>
          <w:b/>
          <w:bCs/>
          <w:color w:val="181818"/>
        </w:rPr>
        <w:t>.</w:t>
      </w:r>
      <w:r w:rsidR="002D58CD">
        <w:rPr>
          <w:rFonts w:ascii="Arial" w:eastAsia="MS PGothic" w:hAnsi="Arial" w:cs="Arial"/>
          <w:b/>
          <w:bCs/>
          <w:color w:val="181818"/>
        </w:rPr>
        <w:t xml:space="preserve"> </w:t>
      </w:r>
      <w:r w:rsidR="00394809">
        <w:rPr>
          <w:rFonts w:ascii="Arial" w:eastAsia="MS PGothic" w:hAnsi="Arial" w:cs="Arial"/>
          <w:b/>
          <w:bCs/>
          <w:color w:val="181818"/>
        </w:rPr>
        <w:t>T</w:t>
      </w:r>
      <w:r w:rsidR="002D58CD">
        <w:rPr>
          <w:rFonts w:ascii="Arial" w:eastAsia="MS PGothic" w:hAnsi="Arial" w:cs="Arial"/>
          <w:b/>
          <w:bCs/>
          <w:color w:val="181818"/>
        </w:rPr>
        <w:t xml:space="preserve">able on </w:t>
      </w:r>
      <w:r w:rsidR="0048151A">
        <w:rPr>
          <w:rFonts w:ascii="Arial" w:eastAsia="MS PGothic" w:hAnsi="Arial" w:cs="Arial"/>
          <w:b/>
          <w:bCs/>
          <w:color w:val="181818"/>
        </w:rPr>
        <w:t xml:space="preserve">eligible assets </w:t>
      </w:r>
      <w:r w:rsidR="002F58FB" w:rsidRPr="002F58FB">
        <w:rPr>
          <w:rFonts w:ascii="Arial" w:eastAsia="MS PGothic" w:hAnsi="Arial" w:cs="Arial"/>
          <w:b/>
          <w:bCs/>
          <w:color w:val="181818"/>
        </w:rPr>
        <w:t>UCITS EAD</w:t>
      </w:r>
      <w:r w:rsidR="53D130EB" w:rsidRPr="28CED790">
        <w:rPr>
          <w:rFonts w:ascii="Arial" w:eastAsia="MS PGothic" w:hAnsi="Arial" w:cs="Arial"/>
          <w:b/>
          <w:bCs/>
          <w:color w:val="181818"/>
        </w:rPr>
        <w:t xml:space="preserve">. </w:t>
      </w:r>
    </w:p>
    <w:p w14:paraId="10145F69" w14:textId="4B8E6890" w:rsidR="00554F00" w:rsidRDefault="002F58FB" w:rsidP="3FE99FEE">
      <w:pPr>
        <w:spacing w:after="250" w:line="276" w:lineRule="auto"/>
        <w:jc w:val="both"/>
        <w:rPr>
          <w:rFonts w:ascii="Arial" w:eastAsia="MS PGothic" w:hAnsi="Arial" w:cs="Arial"/>
          <w:color w:val="181818"/>
        </w:rPr>
      </w:pPr>
      <w:r w:rsidRPr="002F58FB">
        <w:rPr>
          <w:rFonts w:ascii="Arial" w:eastAsia="MS PGothic" w:hAnsi="Arial" w:cs="Arial"/>
          <w:color w:val="181818"/>
          <w:szCs w:val="20"/>
        </w:rPr>
        <w:t xml:space="preserve">For the purposes of Question 20, please </w:t>
      </w:r>
      <w:r w:rsidR="00A87C58">
        <w:rPr>
          <w:rFonts w:ascii="Arial" w:eastAsia="MS PGothic" w:hAnsi="Arial" w:cs="Arial"/>
          <w:color w:val="181818"/>
          <w:szCs w:val="20"/>
        </w:rPr>
        <w:t>complete</w:t>
      </w:r>
      <w:r w:rsidRPr="002F58FB">
        <w:rPr>
          <w:rFonts w:ascii="Arial" w:eastAsia="MS PGothic" w:hAnsi="Arial" w:cs="Arial"/>
          <w:color w:val="181818"/>
          <w:szCs w:val="20"/>
        </w:rPr>
        <w:t xml:space="preserve"> the table </w:t>
      </w:r>
      <w:r w:rsidR="006C47BC">
        <w:rPr>
          <w:rFonts w:ascii="Arial" w:eastAsia="MS PGothic" w:hAnsi="Arial" w:cs="Arial"/>
          <w:color w:val="181818"/>
          <w:szCs w:val="20"/>
        </w:rPr>
        <w:t>below</w:t>
      </w:r>
      <w:r w:rsidRPr="002F58FB">
        <w:rPr>
          <w:rFonts w:ascii="Arial" w:eastAsia="MS PGothic" w:hAnsi="Arial" w:cs="Arial"/>
          <w:color w:val="181818"/>
          <w:szCs w:val="20"/>
        </w:rPr>
        <w:t xml:space="preserve"> with the requested information</w:t>
      </w:r>
      <w:r w:rsidR="00F042E8">
        <w:rPr>
          <w:rFonts w:ascii="Arial" w:eastAsia="MS PGothic" w:hAnsi="Arial" w:cs="Arial"/>
          <w:color w:val="181818"/>
          <w:szCs w:val="20"/>
        </w:rPr>
        <w:t xml:space="preserve">, </w:t>
      </w:r>
      <w:proofErr w:type="gramStart"/>
      <w:r w:rsidR="00F042E8">
        <w:rPr>
          <w:rFonts w:ascii="Arial" w:eastAsia="MS PGothic" w:hAnsi="Arial" w:cs="Arial"/>
          <w:color w:val="181818"/>
          <w:szCs w:val="20"/>
        </w:rPr>
        <w:t>taking into account</w:t>
      </w:r>
      <w:proofErr w:type="gramEnd"/>
      <w:r w:rsidR="00F042E8">
        <w:rPr>
          <w:rFonts w:ascii="Arial" w:eastAsia="MS PGothic" w:hAnsi="Arial" w:cs="Arial"/>
          <w:color w:val="181818"/>
          <w:szCs w:val="20"/>
        </w:rPr>
        <w:t xml:space="preserve"> the instructions </w:t>
      </w:r>
      <w:r w:rsidR="00FB3EA8">
        <w:rPr>
          <w:rFonts w:ascii="Arial" w:eastAsia="MS PGothic" w:hAnsi="Arial" w:cs="Arial"/>
          <w:color w:val="181818"/>
          <w:szCs w:val="20"/>
        </w:rPr>
        <w:t xml:space="preserve">provided in </w:t>
      </w:r>
      <w:r w:rsidR="006B7B4A">
        <w:rPr>
          <w:rFonts w:ascii="Arial" w:eastAsia="MS PGothic" w:hAnsi="Arial" w:cs="Arial"/>
          <w:color w:val="181818"/>
          <w:szCs w:val="20"/>
        </w:rPr>
        <w:t>the footnotes</w:t>
      </w:r>
      <w:r w:rsidRPr="002F58FB">
        <w:rPr>
          <w:rFonts w:ascii="Arial" w:eastAsia="MS PGothic" w:hAnsi="Arial" w:cs="Arial"/>
          <w:color w:val="181818"/>
          <w:szCs w:val="20"/>
        </w:rPr>
        <w:t xml:space="preserve">. After </w:t>
      </w:r>
      <w:r w:rsidR="003D2C3C">
        <w:rPr>
          <w:rFonts w:ascii="Arial" w:eastAsia="MS PGothic" w:hAnsi="Arial" w:cs="Arial"/>
          <w:color w:val="181818"/>
          <w:szCs w:val="20"/>
        </w:rPr>
        <w:t>having</w:t>
      </w:r>
      <w:r w:rsidRPr="002F58FB">
        <w:rPr>
          <w:rFonts w:ascii="Arial" w:eastAsia="MS PGothic" w:hAnsi="Arial" w:cs="Arial"/>
          <w:color w:val="181818"/>
          <w:szCs w:val="20"/>
        </w:rPr>
        <w:t xml:space="preserve"> </w:t>
      </w:r>
      <w:r w:rsidR="00F042E8">
        <w:rPr>
          <w:rFonts w:ascii="Arial" w:eastAsia="MS PGothic" w:hAnsi="Arial" w:cs="Arial"/>
          <w:color w:val="181818"/>
          <w:szCs w:val="20"/>
        </w:rPr>
        <w:t xml:space="preserve">completed </w:t>
      </w:r>
      <w:r w:rsidRPr="002F58FB">
        <w:rPr>
          <w:rFonts w:ascii="Arial" w:eastAsia="MS PGothic" w:hAnsi="Arial" w:cs="Arial"/>
          <w:color w:val="181818"/>
          <w:szCs w:val="20"/>
        </w:rPr>
        <w:t xml:space="preserve">the form, </w:t>
      </w:r>
      <w:r w:rsidR="00FD12FD">
        <w:rPr>
          <w:rFonts w:ascii="Arial" w:eastAsia="MS PGothic" w:hAnsi="Arial" w:cs="Arial"/>
          <w:color w:val="181818"/>
          <w:szCs w:val="20"/>
        </w:rPr>
        <w:t xml:space="preserve">please </w:t>
      </w:r>
      <w:r w:rsidRPr="002F58FB">
        <w:rPr>
          <w:rFonts w:ascii="Arial" w:eastAsia="MS PGothic" w:hAnsi="Arial" w:cs="Arial"/>
          <w:color w:val="181818"/>
          <w:szCs w:val="20"/>
        </w:rPr>
        <w:t xml:space="preserve">save the document </w:t>
      </w:r>
      <w:r w:rsidR="0040029B">
        <w:rPr>
          <w:rFonts w:ascii="Arial" w:eastAsia="MS PGothic" w:hAnsi="Arial" w:cs="Arial"/>
          <w:color w:val="181818"/>
          <w:szCs w:val="20"/>
        </w:rPr>
        <w:t>(</w:t>
      </w:r>
      <w:r w:rsidR="00FE6B1B">
        <w:rPr>
          <w:rFonts w:ascii="Arial" w:eastAsia="MS PGothic" w:hAnsi="Arial" w:cs="Arial"/>
          <w:color w:val="181818"/>
          <w:szCs w:val="20"/>
        </w:rPr>
        <w:t>according to the following convention:</w:t>
      </w:r>
      <w:r w:rsidRPr="002F58FB">
        <w:rPr>
          <w:rFonts w:ascii="Arial" w:eastAsia="MS PGothic" w:hAnsi="Arial" w:cs="Arial"/>
          <w:color w:val="181818"/>
          <w:szCs w:val="20"/>
        </w:rPr>
        <w:t xml:space="preserve"> </w:t>
      </w:r>
      <w:r w:rsidR="00FE6B1B">
        <w:rPr>
          <w:rFonts w:ascii="Arial" w:eastAsia="MS PGothic" w:hAnsi="Arial" w:cs="Arial"/>
          <w:color w:val="181818"/>
          <w:szCs w:val="20"/>
        </w:rPr>
        <w:t>“</w:t>
      </w:r>
      <w:r w:rsidRPr="002F58FB">
        <w:rPr>
          <w:rFonts w:ascii="Arial" w:eastAsia="MS PGothic" w:hAnsi="Arial" w:cs="Arial"/>
          <w:color w:val="181818"/>
          <w:szCs w:val="20"/>
        </w:rPr>
        <w:t>ESMA_</w:t>
      </w:r>
      <w:r w:rsidR="00915CEE">
        <w:rPr>
          <w:rFonts w:ascii="Arial" w:eastAsia="MS PGothic" w:hAnsi="Arial" w:cs="Arial"/>
          <w:color w:val="181818"/>
          <w:szCs w:val="20"/>
        </w:rPr>
        <w:t>Q20</w:t>
      </w:r>
      <w:r w:rsidRPr="002F58FB">
        <w:rPr>
          <w:rFonts w:ascii="Arial" w:eastAsia="MS PGothic" w:hAnsi="Arial" w:cs="Arial"/>
          <w:color w:val="181818"/>
          <w:szCs w:val="20"/>
        </w:rPr>
        <w:t>_nameofrespondent</w:t>
      </w:r>
      <w:r w:rsidR="00915CEE">
        <w:rPr>
          <w:rFonts w:ascii="Arial" w:eastAsia="MS PGothic" w:hAnsi="Arial" w:cs="Arial"/>
          <w:color w:val="181818"/>
          <w:szCs w:val="20"/>
        </w:rPr>
        <w:t>”</w:t>
      </w:r>
      <w:r w:rsidR="0040029B">
        <w:rPr>
          <w:rFonts w:ascii="Arial" w:eastAsia="MS PGothic" w:hAnsi="Arial" w:cs="Arial"/>
          <w:color w:val="181818"/>
          <w:szCs w:val="20"/>
        </w:rPr>
        <w:t>)</w:t>
      </w:r>
      <w:r w:rsidRPr="002F58FB">
        <w:rPr>
          <w:rFonts w:ascii="Arial" w:eastAsia="MS PGothic" w:hAnsi="Arial" w:cs="Arial"/>
          <w:color w:val="181818"/>
          <w:szCs w:val="20"/>
        </w:rPr>
        <w:t xml:space="preserve"> and</w:t>
      </w:r>
      <w:r w:rsidR="0040029B">
        <w:rPr>
          <w:rFonts w:ascii="Arial" w:eastAsia="MS PGothic" w:hAnsi="Arial" w:cs="Arial"/>
          <w:color w:val="181818"/>
          <w:szCs w:val="20"/>
        </w:rPr>
        <w:t xml:space="preserve"> </w:t>
      </w:r>
      <w:r w:rsidR="0051598D">
        <w:rPr>
          <w:rFonts w:ascii="Arial" w:eastAsia="MS PGothic" w:hAnsi="Arial" w:cs="Arial"/>
          <w:color w:val="181818"/>
          <w:szCs w:val="20"/>
        </w:rPr>
        <w:t xml:space="preserve">upload </w:t>
      </w:r>
      <w:r w:rsidR="0040029B">
        <w:rPr>
          <w:rFonts w:ascii="Arial" w:eastAsia="MS PGothic" w:hAnsi="Arial" w:cs="Arial"/>
          <w:color w:val="181818"/>
          <w:szCs w:val="20"/>
        </w:rPr>
        <w:t>it</w:t>
      </w:r>
      <w:r w:rsidR="006C7811">
        <w:rPr>
          <w:rFonts w:ascii="Arial" w:eastAsia="MS PGothic" w:hAnsi="Arial" w:cs="Arial"/>
          <w:color w:val="181818"/>
          <w:szCs w:val="20"/>
        </w:rPr>
        <w:t xml:space="preserve"> </w:t>
      </w:r>
      <w:r w:rsidR="005A6BF0" w:rsidRPr="005A6BF0">
        <w:rPr>
          <w:rFonts w:ascii="Arial" w:eastAsia="MS PGothic" w:hAnsi="Arial" w:cs="Arial"/>
          <w:bCs/>
          <w:color w:val="181818"/>
          <w:szCs w:val="20"/>
        </w:rPr>
        <w:t xml:space="preserve">online at </w:t>
      </w:r>
      <w:hyperlink r:id="rId11" w:history="1">
        <w:r w:rsidR="00901098" w:rsidRPr="00150222">
          <w:rPr>
            <w:rStyle w:val="Hyperlink"/>
            <w:rFonts w:ascii="Arial" w:eastAsia="MS PGothic" w:hAnsi="Arial" w:cs="Arial"/>
            <w:bCs/>
            <w:szCs w:val="20"/>
          </w:rPr>
          <w:t>https://www.esma.europa.eu/press-news/consultations/call-evidence-review-ucits-eligible-assets-directive</w:t>
        </w:r>
      </w:hyperlink>
      <w:r w:rsidR="00901098">
        <w:rPr>
          <w:rFonts w:ascii="Arial" w:eastAsia="MS PGothic" w:hAnsi="Arial" w:cs="Arial"/>
          <w:bCs/>
          <w:i/>
          <w:iCs/>
          <w:color w:val="181818"/>
          <w:szCs w:val="20"/>
        </w:rPr>
        <w:t xml:space="preserve"> </w:t>
      </w:r>
      <w:r w:rsidR="005A6BF0" w:rsidRPr="005A6BF0">
        <w:rPr>
          <w:rFonts w:ascii="Arial" w:eastAsia="MS PGothic" w:hAnsi="Arial" w:cs="Arial"/>
          <w:bCs/>
          <w:color w:val="181818"/>
          <w:szCs w:val="20"/>
        </w:rPr>
        <w:t xml:space="preserve">under the heading </w:t>
      </w:r>
      <w:r w:rsidR="005A6BF0" w:rsidRPr="005A6BF0">
        <w:rPr>
          <w:rFonts w:ascii="Arial" w:eastAsia="MS PGothic" w:hAnsi="Arial" w:cs="Arial"/>
          <w:bCs/>
          <w:i/>
          <w:iCs/>
          <w:color w:val="181818"/>
          <w:szCs w:val="20"/>
        </w:rPr>
        <w:t>‘Your input - Consultations’</w:t>
      </w:r>
      <w:r w:rsidR="005A6BF0">
        <w:rPr>
          <w:rFonts w:ascii="Arial" w:eastAsia="MS PGothic" w:hAnsi="Arial" w:cs="Arial"/>
          <w:bCs/>
          <w:color w:val="181818"/>
          <w:szCs w:val="20"/>
        </w:rPr>
        <w:t>, as an Annex to the Reply Form</w:t>
      </w:r>
      <w:r w:rsidR="0040029B">
        <w:rPr>
          <w:rFonts w:ascii="Arial" w:eastAsia="MS PGothic" w:hAnsi="Arial" w:cs="Arial"/>
          <w:color w:val="181818"/>
          <w:szCs w:val="20"/>
        </w:rPr>
        <w:t xml:space="preserve">. </w:t>
      </w:r>
      <w:r w:rsidR="008B6D19">
        <w:rPr>
          <w:rFonts w:ascii="Arial" w:eastAsia="MS PGothic" w:hAnsi="Arial" w:cs="Arial"/>
          <w:color w:val="181818"/>
          <w:szCs w:val="20"/>
        </w:rPr>
        <w:t xml:space="preserve">In case you upload a pdf file, please choose an editable form. </w:t>
      </w:r>
    </w:p>
    <w:tbl>
      <w:tblPr>
        <w:tblStyle w:val="Tablenone1"/>
        <w:tblW w:w="9320" w:type="dxa"/>
        <w:tblLook w:val="04A0" w:firstRow="1" w:lastRow="0" w:firstColumn="1" w:lastColumn="0" w:noHBand="0" w:noVBand="1"/>
      </w:tblPr>
      <w:tblGrid>
        <w:gridCol w:w="2095"/>
        <w:gridCol w:w="1683"/>
        <w:gridCol w:w="1776"/>
        <w:gridCol w:w="2060"/>
        <w:gridCol w:w="1706"/>
      </w:tblGrid>
      <w:tr w:rsidR="005833FE" w:rsidRPr="00B33432" w14:paraId="42644C63" w14:textId="77777777" w:rsidTr="00F278BC">
        <w:tc>
          <w:tcPr>
            <w:tcW w:w="2095" w:type="dxa"/>
          </w:tcPr>
          <w:p w14:paraId="0268D2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Asset class</w:t>
            </w:r>
            <w:r w:rsidRPr="00B33432">
              <w:rPr>
                <w:rFonts w:ascii="Arial" w:hAnsi="Arial" w:cs="Arial"/>
                <w:b/>
                <w:bCs/>
                <w:color w:val="181818"/>
                <w:sz w:val="16"/>
                <w:vertAlign w:val="superscript"/>
              </w:rPr>
              <w:footnoteReference w:id="2"/>
            </w:r>
          </w:p>
        </w:tc>
        <w:tc>
          <w:tcPr>
            <w:tcW w:w="1683" w:type="dxa"/>
          </w:tcPr>
          <w:p w14:paraId="60F87FED"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Merits of allowing direct UCITS exposures</w:t>
            </w:r>
          </w:p>
        </w:tc>
        <w:tc>
          <w:tcPr>
            <w:tcW w:w="1776" w:type="dxa"/>
          </w:tcPr>
          <w:p w14:paraId="49FEA0C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 xml:space="preserve">Merits of allowing </w:t>
            </w:r>
            <w:r w:rsidRPr="00B33432">
              <w:rPr>
                <w:rFonts w:ascii="Arial" w:hAnsi="Arial" w:cs="Arial"/>
                <w:b/>
                <w:i/>
                <w:color w:val="181818"/>
              </w:rPr>
              <w:t>indirect</w:t>
            </w:r>
            <w:r w:rsidRPr="00B33432">
              <w:rPr>
                <w:rFonts w:ascii="Arial" w:hAnsi="Arial" w:cs="Arial"/>
                <w:b/>
                <w:bCs/>
                <w:color w:val="181818"/>
              </w:rPr>
              <w:t xml:space="preserve"> UCITS exposures</w:t>
            </w:r>
            <w:r w:rsidRPr="00B33432">
              <w:rPr>
                <w:rFonts w:ascii="Arial" w:hAnsi="Arial" w:cs="Arial"/>
                <w:b/>
                <w:bCs/>
                <w:color w:val="181818"/>
                <w:sz w:val="16"/>
                <w:vertAlign w:val="superscript"/>
              </w:rPr>
              <w:footnoteReference w:id="3"/>
            </w:r>
          </w:p>
        </w:tc>
        <w:tc>
          <w:tcPr>
            <w:tcW w:w="2060" w:type="dxa"/>
          </w:tcPr>
          <w:p w14:paraId="5668F975"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Extent/amount of existing UCITS exposures</w:t>
            </w:r>
            <w:r w:rsidRPr="00B33432">
              <w:rPr>
                <w:rFonts w:ascii="Arial" w:hAnsi="Arial" w:cs="Arial"/>
                <w:b/>
                <w:bCs/>
                <w:color w:val="181818"/>
                <w:sz w:val="16"/>
                <w:vertAlign w:val="superscript"/>
              </w:rPr>
              <w:footnoteReference w:id="4"/>
            </w:r>
            <w:r w:rsidRPr="00B33432">
              <w:rPr>
                <w:rFonts w:ascii="Arial" w:hAnsi="Arial" w:cs="Arial"/>
                <w:b/>
                <w:bCs/>
                <w:color w:val="181818"/>
              </w:rPr>
              <w:t xml:space="preserve"> </w:t>
            </w:r>
          </w:p>
        </w:tc>
        <w:tc>
          <w:tcPr>
            <w:tcW w:w="1706" w:type="dxa"/>
          </w:tcPr>
          <w:p w14:paraId="501470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Additional comments</w:t>
            </w:r>
            <w:r w:rsidRPr="00B33432">
              <w:rPr>
                <w:rFonts w:ascii="Arial" w:hAnsi="Arial" w:cs="Arial"/>
                <w:b/>
                <w:bCs/>
                <w:vertAlign w:val="superscript"/>
              </w:rPr>
              <w:footnoteReference w:id="5"/>
            </w:r>
          </w:p>
        </w:tc>
      </w:tr>
      <w:tr w:rsidR="005833FE" w:rsidRPr="00B33432" w14:paraId="52801425" w14:textId="77777777" w:rsidTr="00F278BC">
        <w:tc>
          <w:tcPr>
            <w:tcW w:w="2095" w:type="dxa"/>
          </w:tcPr>
          <w:p w14:paraId="06FDDDF6" w14:textId="77777777" w:rsidR="00B33432" w:rsidRPr="00735E83" w:rsidRDefault="00B33432" w:rsidP="00B33432">
            <w:pPr>
              <w:spacing w:after="250" w:line="276" w:lineRule="auto"/>
              <w:rPr>
                <w:rFonts w:ascii="Arial" w:hAnsi="Arial" w:cs="Arial"/>
                <w:color w:val="181818"/>
                <w:lang w:val="en-GB"/>
              </w:rPr>
            </w:pPr>
            <w:r w:rsidRPr="00735E83">
              <w:rPr>
                <w:rFonts w:ascii="Arial" w:hAnsi="Arial" w:cs="Arial"/>
                <w:lang w:val="en-GB"/>
              </w:rPr>
              <w:t>1. Loans</w:t>
            </w:r>
            <w:r w:rsidRPr="00735E83">
              <w:rPr>
                <w:rFonts w:ascii="Arial" w:hAnsi="Arial" w:cs="Arial"/>
                <w:sz w:val="16"/>
                <w:vertAlign w:val="superscript"/>
                <w:lang w:val="en-GB"/>
              </w:rPr>
              <w:footnoteReference w:id="6"/>
            </w:r>
          </w:p>
        </w:tc>
        <w:tc>
          <w:tcPr>
            <w:tcW w:w="1683" w:type="dxa"/>
          </w:tcPr>
          <w:p w14:paraId="263530A9" w14:textId="77777777" w:rsidR="00735E83" w:rsidRPr="005833FE" w:rsidRDefault="00735E83" w:rsidP="00B33432">
            <w:pPr>
              <w:spacing w:after="250" w:line="276" w:lineRule="auto"/>
              <w:jc w:val="both"/>
              <w:rPr>
                <w:rFonts w:ascii="Arial" w:hAnsi="Arial" w:cs="Arial"/>
                <w:color w:val="181818"/>
                <w:lang w:val="en-GB"/>
              </w:rPr>
            </w:pPr>
            <w:r w:rsidRPr="005833FE">
              <w:rPr>
                <w:rFonts w:ascii="Arial" w:hAnsi="Arial" w:cs="Arial"/>
                <w:color w:val="181818"/>
                <w:lang w:val="en-GB"/>
              </w:rPr>
              <w:t xml:space="preserve">A. Loans have comparable features to many of the assets in which UCITS may currently invest under the UCITS EAD. In particular, and as outlined in more detail in our response to question 1 of the ESMA response form: </w:t>
            </w:r>
          </w:p>
          <w:p w14:paraId="0D5E1AB9" w14:textId="77777777" w:rsidR="006A0B50" w:rsidRPr="005833FE" w:rsidRDefault="00735E83" w:rsidP="00B33432">
            <w:pPr>
              <w:spacing w:after="250" w:line="276" w:lineRule="auto"/>
              <w:jc w:val="both"/>
              <w:rPr>
                <w:rFonts w:ascii="Arial" w:hAnsi="Arial" w:cs="Arial"/>
                <w:color w:val="181818"/>
                <w:lang w:val="en-GB"/>
              </w:rPr>
            </w:pPr>
            <w:r w:rsidRPr="005833FE">
              <w:rPr>
                <w:rFonts w:ascii="Arial" w:hAnsi="Arial" w:cs="Arial"/>
                <w:color w:val="181818"/>
                <w:lang w:val="en-GB"/>
              </w:rPr>
              <w:t xml:space="preserve">- it is possible to ensure that the potential loss </w:t>
            </w:r>
            <w:r w:rsidRPr="005833FE">
              <w:rPr>
                <w:rFonts w:ascii="Arial" w:hAnsi="Arial" w:cs="Arial"/>
                <w:color w:val="181818"/>
                <w:lang w:val="en-GB"/>
              </w:rPr>
              <w:lastRenderedPageBreak/>
              <w:t xml:space="preserve">that </w:t>
            </w:r>
            <w:r w:rsidR="006A0B50" w:rsidRPr="005833FE">
              <w:rPr>
                <w:rFonts w:ascii="Arial" w:hAnsi="Arial" w:cs="Arial"/>
                <w:color w:val="181818"/>
                <w:lang w:val="en-GB"/>
              </w:rPr>
              <w:t xml:space="preserve">the UCITS may incur is limited to the amount paid for the loan; </w:t>
            </w:r>
          </w:p>
          <w:p w14:paraId="657237BC" w14:textId="035F2B70" w:rsidR="006A0B50" w:rsidRPr="005833FE" w:rsidRDefault="006A0B50" w:rsidP="00B33432">
            <w:pPr>
              <w:spacing w:after="250" w:line="276" w:lineRule="auto"/>
              <w:jc w:val="both"/>
              <w:rPr>
                <w:rFonts w:ascii="Arial" w:hAnsi="Arial" w:cs="Arial"/>
                <w:color w:val="181818"/>
                <w:lang w:val="en-GB"/>
              </w:rPr>
            </w:pPr>
            <w:r w:rsidRPr="005833FE">
              <w:rPr>
                <w:rFonts w:ascii="Arial" w:hAnsi="Arial" w:cs="Arial"/>
                <w:color w:val="181818"/>
                <w:lang w:val="en-GB"/>
              </w:rPr>
              <w:t xml:space="preserve">- the secondary loan market is a liquid market; </w:t>
            </w:r>
          </w:p>
          <w:p w14:paraId="7F025D3A" w14:textId="058C7A70" w:rsidR="006A0B50" w:rsidRPr="005833FE" w:rsidRDefault="006A0B50" w:rsidP="00B33432">
            <w:pPr>
              <w:spacing w:after="250" w:line="276" w:lineRule="auto"/>
              <w:jc w:val="both"/>
              <w:rPr>
                <w:rFonts w:ascii="Arial" w:hAnsi="Arial" w:cs="Arial"/>
                <w:color w:val="181818"/>
                <w:lang w:val="en-GB"/>
              </w:rPr>
            </w:pPr>
            <w:r w:rsidRPr="005833FE">
              <w:rPr>
                <w:rFonts w:ascii="Arial" w:hAnsi="Arial" w:cs="Arial"/>
                <w:color w:val="181818"/>
                <w:lang w:val="en-GB"/>
              </w:rPr>
              <w:t xml:space="preserve">- there are reliable valuation mechanisms in the market for secondary loan </w:t>
            </w:r>
            <w:r w:rsidR="00122CD0">
              <w:rPr>
                <w:rFonts w:ascii="Arial" w:hAnsi="Arial" w:cs="Arial"/>
                <w:color w:val="181818"/>
                <w:lang w:val="en-GB"/>
              </w:rPr>
              <w:t>purchases</w:t>
            </w:r>
            <w:r w:rsidRPr="005833FE">
              <w:rPr>
                <w:rFonts w:ascii="Arial" w:hAnsi="Arial" w:cs="Arial"/>
                <w:color w:val="181818"/>
                <w:lang w:val="en-GB"/>
              </w:rPr>
              <w:t xml:space="preserve">; and </w:t>
            </w:r>
          </w:p>
          <w:p w14:paraId="3A4DECF0" w14:textId="70892216" w:rsidR="006A0B50" w:rsidRPr="005833FE" w:rsidRDefault="006A0B50" w:rsidP="00B33432">
            <w:pPr>
              <w:spacing w:after="250" w:line="276" w:lineRule="auto"/>
              <w:jc w:val="both"/>
              <w:rPr>
                <w:rFonts w:ascii="Arial" w:hAnsi="Arial" w:cs="Arial"/>
                <w:color w:val="181818"/>
                <w:lang w:val="en-GB"/>
              </w:rPr>
            </w:pPr>
            <w:r w:rsidRPr="005833FE">
              <w:rPr>
                <w:rFonts w:ascii="Arial" w:hAnsi="Arial" w:cs="Arial"/>
                <w:color w:val="181818"/>
                <w:lang w:val="en-GB"/>
              </w:rPr>
              <w:t xml:space="preserve">- appropriate information is available when engaging in </w:t>
            </w:r>
            <w:r w:rsidR="00122CD0">
              <w:rPr>
                <w:rFonts w:ascii="Arial" w:hAnsi="Arial" w:cs="Arial"/>
                <w:color w:val="181818"/>
                <w:lang w:val="en-GB"/>
              </w:rPr>
              <w:t>the purchase of secondary loans</w:t>
            </w:r>
            <w:r w:rsidRPr="005833FE">
              <w:rPr>
                <w:rFonts w:ascii="Arial" w:hAnsi="Arial" w:cs="Arial"/>
                <w:color w:val="181818"/>
                <w:lang w:val="en-GB"/>
              </w:rPr>
              <w:t xml:space="preserve">. </w:t>
            </w:r>
          </w:p>
          <w:p w14:paraId="7E48061C" w14:textId="34D83F16" w:rsidR="006A0B50" w:rsidRPr="005833FE" w:rsidRDefault="006A0B50" w:rsidP="00B33432">
            <w:pPr>
              <w:spacing w:after="250" w:line="276" w:lineRule="auto"/>
              <w:jc w:val="both"/>
              <w:rPr>
                <w:rFonts w:ascii="Arial" w:hAnsi="Arial" w:cs="Arial"/>
                <w:color w:val="181818"/>
                <w:lang w:val="en-GB"/>
              </w:rPr>
            </w:pPr>
            <w:r w:rsidRPr="005833FE">
              <w:rPr>
                <w:rFonts w:ascii="Arial" w:hAnsi="Arial" w:cs="Arial"/>
                <w:color w:val="181818"/>
                <w:lang w:val="en-GB"/>
              </w:rPr>
              <w:t xml:space="preserve">As a result, we cannot see an obvious policy rationale for adopting a different approach towards loans </w:t>
            </w:r>
            <w:r w:rsidR="00671025" w:rsidRPr="005833FE">
              <w:rPr>
                <w:rFonts w:ascii="Arial" w:hAnsi="Arial" w:cs="Arial"/>
                <w:color w:val="181818"/>
                <w:lang w:val="en-GB"/>
              </w:rPr>
              <w:t>when</w:t>
            </w:r>
            <w:r w:rsidRPr="005833FE">
              <w:rPr>
                <w:rFonts w:ascii="Arial" w:hAnsi="Arial" w:cs="Arial"/>
                <w:color w:val="181818"/>
                <w:lang w:val="en-GB"/>
              </w:rPr>
              <w:t xml:space="preserve"> compar</w:t>
            </w:r>
            <w:r w:rsidR="00671025" w:rsidRPr="005833FE">
              <w:rPr>
                <w:rFonts w:ascii="Arial" w:hAnsi="Arial" w:cs="Arial"/>
                <w:color w:val="181818"/>
                <w:lang w:val="en-GB"/>
              </w:rPr>
              <w:t>ed</w:t>
            </w:r>
            <w:r w:rsidRPr="005833FE">
              <w:rPr>
                <w:rFonts w:ascii="Arial" w:hAnsi="Arial" w:cs="Arial"/>
                <w:color w:val="181818"/>
                <w:lang w:val="en-GB"/>
              </w:rPr>
              <w:t xml:space="preserve"> to other asset classes in which UCITS may currently invest under the UCITS EAD. </w:t>
            </w:r>
          </w:p>
          <w:p w14:paraId="4F908E0E" w14:textId="0A750900" w:rsidR="00A91152" w:rsidRPr="005833FE" w:rsidRDefault="006A0B50" w:rsidP="00A91152">
            <w:pPr>
              <w:spacing w:after="250" w:line="276" w:lineRule="auto"/>
              <w:jc w:val="both"/>
              <w:rPr>
                <w:rFonts w:ascii="Arial" w:hAnsi="Arial" w:cs="Arial"/>
                <w:color w:val="181818"/>
                <w:lang w:val="en-GB"/>
              </w:rPr>
            </w:pPr>
            <w:r w:rsidRPr="005833FE">
              <w:rPr>
                <w:rFonts w:ascii="Arial" w:hAnsi="Arial" w:cs="Arial"/>
                <w:color w:val="181818"/>
                <w:lang w:val="en-GB"/>
              </w:rPr>
              <w:t xml:space="preserve">B. In addition, we believe there are strong policy reasons </w:t>
            </w:r>
            <w:r w:rsidR="00B95880">
              <w:rPr>
                <w:rFonts w:ascii="Arial" w:hAnsi="Arial" w:cs="Arial"/>
                <w:color w:val="181818"/>
                <w:lang w:val="en-GB"/>
              </w:rPr>
              <w:t>for</w:t>
            </w:r>
            <w:r w:rsidRPr="005833FE">
              <w:rPr>
                <w:rFonts w:ascii="Arial" w:hAnsi="Arial" w:cs="Arial"/>
                <w:color w:val="181818"/>
                <w:lang w:val="en-GB"/>
              </w:rPr>
              <w:t xml:space="preserve"> confirm</w:t>
            </w:r>
            <w:r w:rsidR="00B95880">
              <w:rPr>
                <w:rFonts w:ascii="Arial" w:hAnsi="Arial" w:cs="Arial"/>
                <w:color w:val="181818"/>
                <w:lang w:val="en-GB"/>
              </w:rPr>
              <w:t>ing</w:t>
            </w:r>
            <w:r w:rsidRPr="005833FE">
              <w:rPr>
                <w:rFonts w:ascii="Arial" w:hAnsi="Arial" w:cs="Arial"/>
                <w:color w:val="181818"/>
                <w:lang w:val="en-GB"/>
              </w:rPr>
              <w:t xml:space="preserve"> that</w:t>
            </w:r>
            <w:r w:rsidR="00A13B25" w:rsidRPr="005833FE">
              <w:rPr>
                <w:rFonts w:ascii="Arial" w:hAnsi="Arial" w:cs="Arial"/>
                <w:color w:val="181818"/>
                <w:lang w:val="en-GB"/>
              </w:rPr>
              <w:t xml:space="preserve"> </w:t>
            </w:r>
            <w:r w:rsidRPr="005833FE">
              <w:rPr>
                <w:rFonts w:ascii="Arial" w:hAnsi="Arial" w:cs="Arial"/>
                <w:color w:val="181818"/>
                <w:lang w:val="en-GB"/>
              </w:rPr>
              <w:t>UCITS may invest in loans</w:t>
            </w:r>
            <w:r w:rsidR="00671025" w:rsidRPr="005833FE">
              <w:rPr>
                <w:rFonts w:ascii="Arial" w:hAnsi="Arial" w:cs="Arial"/>
                <w:color w:val="181818"/>
                <w:lang w:val="en-GB"/>
              </w:rPr>
              <w:t>.</w:t>
            </w:r>
            <w:r w:rsidR="00A91152" w:rsidRPr="005833FE">
              <w:rPr>
                <w:rFonts w:ascii="Arial" w:hAnsi="Arial" w:cs="Arial"/>
                <w:color w:val="181818"/>
                <w:lang w:val="en-GB"/>
              </w:rPr>
              <w:t xml:space="preserve"> </w:t>
            </w:r>
            <w:r w:rsidR="00A91152" w:rsidRPr="005833FE">
              <w:rPr>
                <w:rFonts w:ascii="Arial" w:hAnsi="Arial" w:cs="Arial"/>
                <w:color w:val="181818"/>
                <w:lang w:val="en-GB"/>
              </w:rPr>
              <w:lastRenderedPageBreak/>
              <w:t xml:space="preserve">In particular, and as outlined in more detail in our response to question 1 of the ESMA response form: </w:t>
            </w:r>
          </w:p>
          <w:p w14:paraId="56CB22B3" w14:textId="6DCA218A" w:rsidR="00A91152" w:rsidRPr="005833FE" w:rsidRDefault="00A91152" w:rsidP="00671025">
            <w:pPr>
              <w:spacing w:after="250" w:line="276" w:lineRule="auto"/>
              <w:jc w:val="both"/>
              <w:rPr>
                <w:rFonts w:ascii="Arial" w:hAnsi="Arial" w:cs="Arial"/>
                <w:lang w:val="en-GB"/>
              </w:rPr>
            </w:pPr>
            <w:r w:rsidRPr="005833FE">
              <w:rPr>
                <w:rFonts w:ascii="Arial" w:hAnsi="Arial" w:cs="Arial"/>
                <w:color w:val="181818"/>
                <w:lang w:val="en-GB"/>
              </w:rPr>
              <w:t xml:space="preserve">- </w:t>
            </w:r>
            <w:r w:rsidRPr="005833FE">
              <w:rPr>
                <w:rFonts w:ascii="Arial" w:hAnsi="Arial" w:cs="Arial"/>
                <w:lang w:val="en-GB"/>
              </w:rPr>
              <w:t xml:space="preserve">loans are not a complex product from an investment perspective and, unlike some Eligible Assets, do not require a sophisticated investment strategy </w:t>
            </w:r>
            <w:proofErr w:type="gramStart"/>
            <w:r w:rsidRPr="005833FE">
              <w:rPr>
                <w:rFonts w:ascii="Arial" w:hAnsi="Arial" w:cs="Arial"/>
                <w:lang w:val="en-GB"/>
              </w:rPr>
              <w:t>in order to</w:t>
            </w:r>
            <w:proofErr w:type="gramEnd"/>
            <w:r w:rsidRPr="005833FE">
              <w:rPr>
                <w:rFonts w:ascii="Arial" w:hAnsi="Arial" w:cs="Arial"/>
                <w:lang w:val="en-GB"/>
              </w:rPr>
              <w:t xml:space="preserve"> generate returns; </w:t>
            </w:r>
          </w:p>
          <w:p w14:paraId="78E092B9" w14:textId="3272FFA1" w:rsidR="00A91152" w:rsidRPr="005833FE" w:rsidRDefault="00A91152" w:rsidP="00671025">
            <w:pPr>
              <w:spacing w:after="250" w:line="276" w:lineRule="auto"/>
              <w:jc w:val="both"/>
              <w:rPr>
                <w:rFonts w:ascii="Arial" w:hAnsi="Arial" w:cs="Arial"/>
                <w:color w:val="181818"/>
                <w:lang w:val="en-GB"/>
              </w:rPr>
            </w:pPr>
            <w:r w:rsidRPr="005833FE">
              <w:rPr>
                <w:rFonts w:ascii="Arial" w:hAnsi="Arial" w:cs="Arial"/>
                <w:color w:val="181818"/>
                <w:lang w:val="en-GB"/>
              </w:rPr>
              <w:t xml:space="preserve">- </w:t>
            </w:r>
            <w:r w:rsidRPr="005833FE">
              <w:rPr>
                <w:rFonts w:ascii="Arial" w:hAnsi="Arial" w:cs="Arial"/>
                <w:lang w:val="en-GB"/>
              </w:rPr>
              <w:t>permitting UCITS to invest in loans may assist UCITS to achieve a greater spread of asset types and greater diversification of exposure</w:t>
            </w:r>
            <w:r w:rsidR="003916BE">
              <w:rPr>
                <w:rFonts w:ascii="Arial" w:hAnsi="Arial" w:cs="Arial"/>
                <w:lang w:val="en-GB"/>
              </w:rPr>
              <w:t>s</w:t>
            </w:r>
            <w:r w:rsidRPr="005833FE">
              <w:rPr>
                <w:rFonts w:ascii="Arial" w:hAnsi="Arial" w:cs="Arial"/>
                <w:lang w:val="en-GB"/>
              </w:rPr>
              <w:t xml:space="preserve"> to underlying counterparties;</w:t>
            </w:r>
          </w:p>
          <w:p w14:paraId="5E0200A4" w14:textId="0022F37C" w:rsidR="00A91152" w:rsidRPr="005833FE" w:rsidRDefault="00A91152" w:rsidP="00671025">
            <w:pPr>
              <w:spacing w:after="250" w:line="276" w:lineRule="auto"/>
              <w:jc w:val="both"/>
              <w:rPr>
                <w:rFonts w:ascii="Arial" w:hAnsi="Arial" w:cs="Arial"/>
                <w:lang w:val="en-GB"/>
              </w:rPr>
            </w:pPr>
            <w:r w:rsidRPr="005833FE">
              <w:rPr>
                <w:rFonts w:ascii="Arial" w:hAnsi="Arial" w:cs="Arial"/>
                <w:color w:val="181818"/>
                <w:lang w:val="en-GB"/>
              </w:rPr>
              <w:t xml:space="preserve">- </w:t>
            </w:r>
            <w:r w:rsidRPr="005833FE">
              <w:rPr>
                <w:rFonts w:ascii="Arial" w:hAnsi="Arial" w:cs="Arial"/>
                <w:lang w:val="en-GB"/>
              </w:rPr>
              <w:t xml:space="preserve">permitting UCITS to invest in loans would </w:t>
            </w:r>
            <w:r w:rsidR="003916BE">
              <w:rPr>
                <w:rFonts w:ascii="Arial" w:hAnsi="Arial" w:cs="Arial"/>
                <w:lang w:val="en-GB"/>
              </w:rPr>
              <w:t>allow</w:t>
            </w:r>
            <w:r w:rsidRPr="005833FE">
              <w:rPr>
                <w:rFonts w:ascii="Arial" w:hAnsi="Arial" w:cs="Arial"/>
                <w:lang w:val="en-GB"/>
              </w:rPr>
              <w:t xml:space="preserve"> retail investors that wish to gain exposure to loans to do so through</w:t>
            </w:r>
            <w:r w:rsidR="003916BE">
              <w:rPr>
                <w:rFonts w:ascii="Arial" w:hAnsi="Arial" w:cs="Arial"/>
                <w:lang w:val="en-GB"/>
              </w:rPr>
              <w:t xml:space="preserve"> UCITS</w:t>
            </w:r>
            <w:r w:rsidR="00402910">
              <w:rPr>
                <w:rFonts w:ascii="Arial" w:hAnsi="Arial" w:cs="Arial"/>
                <w:lang w:val="en-GB"/>
              </w:rPr>
              <w:t>, which are</w:t>
            </w:r>
            <w:r w:rsidR="003916BE">
              <w:rPr>
                <w:rFonts w:ascii="Arial" w:hAnsi="Arial" w:cs="Arial"/>
                <w:lang w:val="en-GB"/>
              </w:rPr>
              <w:t xml:space="preserve"> a transparent and </w:t>
            </w:r>
            <w:proofErr w:type="gramStart"/>
            <w:r w:rsidRPr="005833FE">
              <w:rPr>
                <w:rFonts w:ascii="Arial" w:hAnsi="Arial" w:cs="Arial"/>
                <w:lang w:val="en-GB"/>
              </w:rPr>
              <w:t>highly-regulated</w:t>
            </w:r>
            <w:proofErr w:type="gramEnd"/>
            <w:r w:rsidRPr="005833FE">
              <w:rPr>
                <w:rFonts w:ascii="Arial" w:hAnsi="Arial" w:cs="Arial"/>
                <w:lang w:val="en-GB"/>
              </w:rPr>
              <w:t xml:space="preserve"> product; </w:t>
            </w:r>
          </w:p>
          <w:p w14:paraId="3ACCB212" w14:textId="0EFC8514" w:rsidR="00735E83" w:rsidRPr="005833FE" w:rsidRDefault="00A91152" w:rsidP="00671025">
            <w:pPr>
              <w:spacing w:after="250" w:line="276" w:lineRule="auto"/>
              <w:jc w:val="both"/>
              <w:rPr>
                <w:rFonts w:ascii="Arial" w:hAnsi="Arial" w:cs="Arial"/>
                <w:lang w:val="en-GB"/>
              </w:rPr>
            </w:pPr>
            <w:r w:rsidRPr="005833FE">
              <w:rPr>
                <w:rFonts w:ascii="Arial" w:hAnsi="Arial" w:cs="Arial"/>
                <w:lang w:val="en-GB"/>
              </w:rPr>
              <w:lastRenderedPageBreak/>
              <w:t>- funds that invest in loans can be structured to increase liquidity</w:t>
            </w:r>
            <w:r w:rsidR="003916BE">
              <w:rPr>
                <w:rFonts w:ascii="Arial" w:hAnsi="Arial" w:cs="Arial"/>
                <w:lang w:val="en-GB"/>
              </w:rPr>
              <w:t xml:space="preserve"> where necessary, </w:t>
            </w:r>
            <w:r w:rsidRPr="005833FE">
              <w:rPr>
                <w:rFonts w:ascii="Arial" w:hAnsi="Arial" w:cs="Arial"/>
                <w:lang w:val="en-GB"/>
              </w:rPr>
              <w:t xml:space="preserve">using liquidity techniques such as liquidity facilities; </w:t>
            </w:r>
          </w:p>
          <w:p w14:paraId="33825BD1" w14:textId="31C38ACB" w:rsidR="00A91152" w:rsidRPr="005833FE" w:rsidRDefault="00A91152" w:rsidP="00671025">
            <w:pPr>
              <w:spacing w:after="250" w:line="276" w:lineRule="auto"/>
              <w:jc w:val="both"/>
              <w:rPr>
                <w:rFonts w:ascii="Arial" w:hAnsi="Arial" w:cs="Arial"/>
                <w:lang w:val="en-GB"/>
              </w:rPr>
            </w:pPr>
            <w:r w:rsidRPr="005833FE">
              <w:rPr>
                <w:rFonts w:ascii="Arial" w:hAnsi="Arial" w:cs="Arial"/>
                <w:color w:val="181818"/>
                <w:lang w:val="en-GB"/>
              </w:rPr>
              <w:t xml:space="preserve">- </w:t>
            </w:r>
            <w:r w:rsidRPr="005833FE">
              <w:rPr>
                <w:rFonts w:ascii="Arial" w:hAnsi="Arial" w:cs="Arial"/>
                <w:lang w:val="en-GB"/>
              </w:rPr>
              <w:t xml:space="preserve">loans present an attractive investment and risk profile; </w:t>
            </w:r>
          </w:p>
          <w:p w14:paraId="3496F689" w14:textId="33E388EE" w:rsidR="00781546" w:rsidRPr="005833FE" w:rsidRDefault="00781546" w:rsidP="00671025">
            <w:pPr>
              <w:spacing w:after="250" w:line="276" w:lineRule="auto"/>
              <w:jc w:val="both"/>
              <w:rPr>
                <w:rFonts w:ascii="Arial" w:hAnsi="Arial" w:cs="Arial"/>
                <w:lang w:val="en-GB"/>
              </w:rPr>
            </w:pPr>
            <w:r w:rsidRPr="005833FE">
              <w:rPr>
                <w:rFonts w:ascii="Arial" w:hAnsi="Arial" w:cs="Arial"/>
                <w:lang w:val="en-GB"/>
              </w:rPr>
              <w:t>- permitting UCITS to invest in loans would contribute to the European Commission's efforts to support non-bank lending; and</w:t>
            </w:r>
          </w:p>
          <w:p w14:paraId="09EF7EC8" w14:textId="77777777" w:rsidR="00A91152" w:rsidRDefault="00781546" w:rsidP="00B95880">
            <w:pPr>
              <w:spacing w:after="250" w:line="276" w:lineRule="auto"/>
              <w:jc w:val="both"/>
              <w:rPr>
                <w:rFonts w:ascii="Arial" w:hAnsi="Arial" w:cs="Arial"/>
                <w:lang w:val="en-GB"/>
              </w:rPr>
            </w:pPr>
            <w:r w:rsidRPr="005833FE">
              <w:rPr>
                <w:rFonts w:ascii="Arial" w:hAnsi="Arial" w:cs="Arial"/>
                <w:lang w:val="en-GB"/>
              </w:rPr>
              <w:t xml:space="preserve">- permitting UCITS to invest in loans would prevent  </w:t>
            </w:r>
            <w:r w:rsidR="00F02F1A" w:rsidRPr="005833FE">
              <w:rPr>
                <w:rFonts w:ascii="Arial" w:hAnsi="Arial" w:cs="Arial"/>
                <w:lang w:val="en-GB"/>
              </w:rPr>
              <w:t>the regulatory arbitrage that could occur if some EU Member States (or non-EU jurisdictions) permitted certain types of retail funds to invest in loans whilst the EU prohibited this for its main retail fund product, the UCITS.</w:t>
            </w:r>
          </w:p>
          <w:p w14:paraId="672A6659" w14:textId="088A0EDF" w:rsidR="00B95880" w:rsidRPr="005833FE" w:rsidRDefault="00B95880" w:rsidP="00B95880">
            <w:pPr>
              <w:spacing w:after="250" w:line="276" w:lineRule="auto"/>
              <w:jc w:val="both"/>
              <w:rPr>
                <w:rFonts w:ascii="Arial" w:hAnsi="Arial" w:cs="Arial"/>
                <w:color w:val="181818"/>
                <w:lang w:val="en-GB"/>
              </w:rPr>
            </w:pPr>
            <w:r>
              <w:rPr>
                <w:rFonts w:ascii="Arial" w:hAnsi="Arial" w:cs="Arial"/>
                <w:color w:val="181818"/>
                <w:lang w:val="en-GB"/>
              </w:rPr>
              <w:lastRenderedPageBreak/>
              <w:t>As a result, we consider that permitting UCITS to gain direct exposure to loans would benefit UCITS, their investors and the broader economy.</w:t>
            </w:r>
          </w:p>
        </w:tc>
        <w:tc>
          <w:tcPr>
            <w:tcW w:w="1776" w:type="dxa"/>
          </w:tcPr>
          <w:p w14:paraId="3742D978" w14:textId="74146E93" w:rsidR="00B33432" w:rsidRPr="005833FE" w:rsidRDefault="00F02F1A" w:rsidP="00B33432">
            <w:pPr>
              <w:spacing w:after="250" w:line="276" w:lineRule="auto"/>
              <w:jc w:val="both"/>
              <w:rPr>
                <w:rFonts w:ascii="Arial" w:hAnsi="Arial" w:cs="Arial"/>
                <w:color w:val="181818"/>
                <w:lang w:val="en-GB"/>
              </w:rPr>
            </w:pPr>
            <w:r w:rsidRPr="005833FE">
              <w:rPr>
                <w:rFonts w:ascii="Arial" w:hAnsi="Arial" w:cs="Arial"/>
                <w:color w:val="181818"/>
                <w:lang w:val="en-GB"/>
              </w:rPr>
              <w:lastRenderedPageBreak/>
              <w:t xml:space="preserve">We believe that many of the benefits of permitting </w:t>
            </w:r>
            <w:r w:rsidRPr="00325DB2">
              <w:rPr>
                <w:rFonts w:ascii="Arial" w:hAnsi="Arial" w:cs="Arial"/>
                <w:b/>
                <w:bCs/>
                <w:color w:val="181818"/>
                <w:lang w:val="en-GB"/>
              </w:rPr>
              <w:t>direct</w:t>
            </w:r>
            <w:r w:rsidRPr="005833FE">
              <w:rPr>
                <w:rFonts w:ascii="Arial" w:hAnsi="Arial" w:cs="Arial"/>
                <w:color w:val="181818"/>
                <w:lang w:val="en-GB"/>
              </w:rPr>
              <w:t xml:space="preserve"> exposure to loans also apply to permitting </w:t>
            </w:r>
            <w:r w:rsidRPr="00325DB2">
              <w:rPr>
                <w:rFonts w:ascii="Arial" w:hAnsi="Arial" w:cs="Arial"/>
                <w:b/>
                <w:bCs/>
                <w:color w:val="181818"/>
                <w:lang w:val="en-GB"/>
              </w:rPr>
              <w:t>indirect</w:t>
            </w:r>
            <w:r w:rsidRPr="005833FE">
              <w:rPr>
                <w:rFonts w:ascii="Arial" w:hAnsi="Arial" w:cs="Arial"/>
                <w:color w:val="181818"/>
                <w:lang w:val="en-GB"/>
              </w:rPr>
              <w:t xml:space="preserve"> exposure to loans. </w:t>
            </w:r>
            <w:proofErr w:type="gramStart"/>
            <w:r w:rsidR="00C77CCF" w:rsidRPr="005833FE">
              <w:rPr>
                <w:rFonts w:ascii="Arial" w:hAnsi="Arial" w:cs="Arial"/>
                <w:color w:val="181818"/>
                <w:lang w:val="en-GB"/>
              </w:rPr>
              <w:t>In particular, indirect</w:t>
            </w:r>
            <w:proofErr w:type="gramEnd"/>
            <w:r w:rsidR="00C77CCF" w:rsidRPr="005833FE">
              <w:rPr>
                <w:rFonts w:ascii="Arial" w:hAnsi="Arial" w:cs="Arial"/>
                <w:color w:val="181818"/>
                <w:lang w:val="en-GB"/>
              </w:rPr>
              <w:t xml:space="preserve"> exposure to loans</w:t>
            </w:r>
            <w:r w:rsidR="008A3E3D">
              <w:rPr>
                <w:rFonts w:ascii="Arial" w:hAnsi="Arial" w:cs="Arial"/>
                <w:color w:val="181818"/>
                <w:lang w:val="en-GB"/>
              </w:rPr>
              <w:t>, such as</w:t>
            </w:r>
            <w:r w:rsidR="00A87A31">
              <w:rPr>
                <w:rFonts w:ascii="Arial" w:hAnsi="Arial" w:cs="Arial"/>
                <w:color w:val="181818"/>
                <w:lang w:val="en-GB"/>
              </w:rPr>
              <w:t xml:space="preserve"> through</w:t>
            </w:r>
            <w:r w:rsidR="008A3E3D">
              <w:rPr>
                <w:rFonts w:ascii="Arial" w:hAnsi="Arial" w:cs="Arial"/>
                <w:color w:val="181818"/>
                <w:lang w:val="en-GB"/>
              </w:rPr>
              <w:t xml:space="preserve"> CLOs,</w:t>
            </w:r>
            <w:r w:rsidR="00CA6D8C" w:rsidRPr="005833FE">
              <w:rPr>
                <w:rFonts w:ascii="Arial" w:hAnsi="Arial" w:cs="Arial"/>
                <w:color w:val="181818"/>
                <w:lang w:val="en-GB"/>
              </w:rPr>
              <w:t xml:space="preserve"> presents an attractive risk and return profile, would permit UCITS to </w:t>
            </w:r>
            <w:r w:rsidR="00CA6D8C" w:rsidRPr="005833FE">
              <w:rPr>
                <w:rFonts w:ascii="Arial" w:hAnsi="Arial" w:cs="Arial"/>
                <w:color w:val="181818"/>
                <w:lang w:val="en-GB"/>
              </w:rPr>
              <w:lastRenderedPageBreak/>
              <w:t xml:space="preserve">diversify and gain exposure to a wide range of counterparties and </w:t>
            </w:r>
            <w:r w:rsidR="003916BE">
              <w:rPr>
                <w:rFonts w:ascii="Arial" w:hAnsi="Arial" w:cs="Arial"/>
                <w:color w:val="181818"/>
                <w:lang w:val="en-GB"/>
              </w:rPr>
              <w:t xml:space="preserve">would </w:t>
            </w:r>
            <w:r w:rsidR="00CA6D8C" w:rsidRPr="005833FE">
              <w:rPr>
                <w:rFonts w:ascii="Arial" w:hAnsi="Arial" w:cs="Arial"/>
                <w:color w:val="181818"/>
                <w:lang w:val="en-GB"/>
              </w:rPr>
              <w:t>enable retail investors to gain exposure to this asset class</w:t>
            </w:r>
            <w:r w:rsidR="003916BE">
              <w:rPr>
                <w:rFonts w:ascii="Arial" w:hAnsi="Arial" w:cs="Arial"/>
                <w:color w:val="181818"/>
                <w:lang w:val="en-GB"/>
              </w:rPr>
              <w:t xml:space="preserve"> via UCITS vehicles</w:t>
            </w:r>
            <w:r w:rsidR="00CA6D8C" w:rsidRPr="005833FE">
              <w:rPr>
                <w:rFonts w:ascii="Arial" w:hAnsi="Arial" w:cs="Arial"/>
                <w:color w:val="181818"/>
                <w:lang w:val="en-GB"/>
              </w:rPr>
              <w:t xml:space="preserve">. </w:t>
            </w:r>
          </w:p>
          <w:p w14:paraId="344E74D6" w14:textId="2318F2ED" w:rsidR="005833FE" w:rsidRPr="005833FE" w:rsidRDefault="00B90F41" w:rsidP="005833FE">
            <w:pPr>
              <w:spacing w:after="250" w:line="276" w:lineRule="auto"/>
              <w:jc w:val="both"/>
              <w:rPr>
                <w:rFonts w:ascii="Arial" w:hAnsi="Arial" w:cs="Arial"/>
                <w:color w:val="181818"/>
                <w:lang w:val="en-GB"/>
              </w:rPr>
            </w:pPr>
            <w:r w:rsidRPr="005833FE">
              <w:rPr>
                <w:rFonts w:ascii="Arial" w:hAnsi="Arial" w:cs="Arial"/>
                <w:color w:val="181818"/>
                <w:lang w:val="en-GB"/>
              </w:rPr>
              <w:t>Data from S&amp;P Global indicates that CLOs are a robu</w:t>
            </w:r>
            <w:r w:rsidR="005833FE" w:rsidRPr="005833FE">
              <w:rPr>
                <w:rFonts w:ascii="Arial" w:hAnsi="Arial" w:cs="Arial"/>
                <w:color w:val="181818"/>
                <w:lang w:val="en-GB"/>
              </w:rPr>
              <w:t>st asset</w:t>
            </w:r>
            <w:r w:rsidR="00325DB2">
              <w:rPr>
                <w:rFonts w:ascii="Arial" w:hAnsi="Arial" w:cs="Arial"/>
                <w:color w:val="181818"/>
                <w:lang w:val="en-GB"/>
              </w:rPr>
              <w:t xml:space="preserve"> class</w:t>
            </w:r>
            <w:r w:rsidR="003916BE">
              <w:rPr>
                <w:rFonts w:ascii="Arial" w:hAnsi="Arial" w:cs="Arial"/>
                <w:color w:val="181818"/>
                <w:lang w:val="en-GB"/>
              </w:rPr>
              <w:t xml:space="preserve">, </w:t>
            </w:r>
            <w:r w:rsidR="003916BE" w:rsidRPr="005833FE">
              <w:rPr>
                <w:rFonts w:ascii="Arial" w:hAnsi="Arial" w:cs="Arial"/>
                <w:color w:val="181818"/>
                <w:lang w:val="en-GB"/>
              </w:rPr>
              <w:t>weather</w:t>
            </w:r>
            <w:r w:rsidR="003916BE">
              <w:rPr>
                <w:rFonts w:ascii="Arial" w:hAnsi="Arial" w:cs="Arial"/>
                <w:color w:val="181818"/>
                <w:lang w:val="en-GB"/>
              </w:rPr>
              <w:t>ing</w:t>
            </w:r>
            <w:r w:rsidR="003916BE" w:rsidRPr="005833FE">
              <w:rPr>
                <w:rFonts w:ascii="Arial" w:hAnsi="Arial" w:cs="Arial"/>
                <w:color w:val="181818"/>
                <w:lang w:val="en-GB"/>
              </w:rPr>
              <w:t xml:space="preserve"> significant macroeconomic events</w:t>
            </w:r>
            <w:r w:rsidR="003916BE">
              <w:rPr>
                <w:rFonts w:ascii="Arial" w:hAnsi="Arial" w:cs="Arial"/>
                <w:color w:val="181818"/>
                <w:lang w:val="en-GB"/>
              </w:rPr>
              <w:t xml:space="preserve">, </w:t>
            </w:r>
            <w:r w:rsidR="003916BE" w:rsidRPr="005833FE">
              <w:rPr>
                <w:rFonts w:ascii="Arial" w:hAnsi="Arial" w:cs="Arial"/>
                <w:color w:val="181818"/>
                <w:lang w:val="en-GB"/>
              </w:rPr>
              <w:t>such as the global financial crisis</w:t>
            </w:r>
            <w:r w:rsidR="003916BE">
              <w:rPr>
                <w:rFonts w:ascii="Arial" w:hAnsi="Arial" w:cs="Arial"/>
                <w:color w:val="181818"/>
                <w:lang w:val="en-GB"/>
              </w:rPr>
              <w:t>,</w:t>
            </w:r>
            <w:r w:rsidR="003916BE" w:rsidRPr="005833FE">
              <w:rPr>
                <w:rFonts w:ascii="Arial" w:hAnsi="Arial" w:cs="Arial"/>
                <w:color w:val="181818"/>
                <w:lang w:val="en-GB"/>
              </w:rPr>
              <w:t xml:space="preserve"> the COVID-19 pandemic and subsequent recessions</w:t>
            </w:r>
            <w:r w:rsidR="003916BE">
              <w:rPr>
                <w:rFonts w:ascii="Arial" w:hAnsi="Arial" w:cs="Arial"/>
                <w:color w:val="181818"/>
                <w:lang w:val="en-GB"/>
              </w:rPr>
              <w:t xml:space="preserve">, </w:t>
            </w:r>
            <w:r w:rsidR="003916BE" w:rsidRPr="005833FE">
              <w:rPr>
                <w:rFonts w:ascii="Arial" w:hAnsi="Arial" w:cs="Arial"/>
                <w:color w:val="181818"/>
                <w:lang w:val="en-GB"/>
              </w:rPr>
              <w:t>with minimal defaults.</w:t>
            </w:r>
            <w:r w:rsidR="005833FE" w:rsidRPr="005833FE">
              <w:rPr>
                <w:rFonts w:ascii="Arial" w:hAnsi="Arial" w:cs="Arial"/>
                <w:color w:val="181818"/>
                <w:lang w:val="en-GB"/>
              </w:rPr>
              <w:t xml:space="preserve"> </w:t>
            </w:r>
          </w:p>
          <w:p w14:paraId="1CC2C2A2" w14:textId="77777777" w:rsidR="005833FE" w:rsidRDefault="005833FE" w:rsidP="005833FE">
            <w:pPr>
              <w:spacing w:after="250" w:line="276" w:lineRule="auto"/>
              <w:jc w:val="both"/>
              <w:rPr>
                <w:rFonts w:ascii="Arial" w:hAnsi="Arial" w:cs="Arial"/>
                <w:color w:val="181818"/>
                <w:lang w:val="en-GB"/>
              </w:rPr>
            </w:pPr>
            <w:r w:rsidRPr="005833FE">
              <w:rPr>
                <w:rFonts w:ascii="Arial" w:hAnsi="Arial" w:cs="Arial"/>
                <w:color w:val="181818"/>
                <w:lang w:val="en-GB"/>
              </w:rPr>
              <w:t>European CLO 1.0 (which refers to those issued before th</w:t>
            </w:r>
            <w:r>
              <w:rPr>
                <w:rFonts w:ascii="Arial" w:hAnsi="Arial" w:cs="Arial"/>
                <w:color w:val="181818"/>
                <w:lang w:val="en-GB"/>
              </w:rPr>
              <w:t>e</w:t>
            </w:r>
            <w:r w:rsidRPr="005833FE">
              <w:rPr>
                <w:rFonts w:ascii="Arial" w:hAnsi="Arial" w:cs="Arial"/>
                <w:color w:val="181818"/>
                <w:lang w:val="en-GB"/>
              </w:rPr>
              <w:t xml:space="preserve"> financial crisis) performance has stood the test of time, with </w:t>
            </w:r>
            <w:r>
              <w:rPr>
                <w:rFonts w:ascii="Arial" w:hAnsi="Arial" w:cs="Arial"/>
                <w:color w:val="181818"/>
                <w:lang w:val="en-GB"/>
              </w:rPr>
              <w:t xml:space="preserve">data indicating that </w:t>
            </w:r>
            <w:r w:rsidRPr="005833FE">
              <w:rPr>
                <w:rFonts w:ascii="Arial" w:hAnsi="Arial" w:cs="Arial"/>
                <w:color w:val="181818"/>
                <w:lang w:val="en-GB"/>
              </w:rPr>
              <w:t xml:space="preserve">only 1.5% of rated tranches suffering a loss since 2000. </w:t>
            </w:r>
          </w:p>
          <w:p w14:paraId="40E51547" w14:textId="36D4ACCB" w:rsidR="005833FE" w:rsidRPr="005833FE" w:rsidRDefault="005833FE" w:rsidP="005833FE">
            <w:pPr>
              <w:spacing w:after="250" w:line="276" w:lineRule="auto"/>
              <w:jc w:val="both"/>
              <w:rPr>
                <w:rFonts w:ascii="Arial" w:hAnsi="Arial" w:cs="Arial"/>
                <w:color w:val="181818"/>
                <w:lang w:val="en-GB"/>
              </w:rPr>
            </w:pPr>
            <w:r w:rsidRPr="005833FE">
              <w:rPr>
                <w:rFonts w:ascii="Arial" w:hAnsi="Arial" w:cs="Arial"/>
                <w:color w:val="181818"/>
                <w:lang w:val="en-GB"/>
              </w:rPr>
              <w:t xml:space="preserve">European CLO 2.0 </w:t>
            </w:r>
            <w:r>
              <w:rPr>
                <w:rFonts w:ascii="Arial" w:hAnsi="Arial" w:cs="Arial"/>
                <w:color w:val="181818"/>
                <w:lang w:val="en-GB"/>
              </w:rPr>
              <w:t>(which refers to transactions originated in 2010 and thereafter) p</w:t>
            </w:r>
            <w:r w:rsidRPr="005833FE">
              <w:rPr>
                <w:rFonts w:ascii="Arial" w:hAnsi="Arial" w:cs="Arial"/>
                <w:color w:val="181818"/>
                <w:lang w:val="en-GB"/>
              </w:rPr>
              <w:t xml:space="preserve">erformance has also been strong, </w:t>
            </w:r>
            <w:r w:rsidRPr="005833FE">
              <w:rPr>
                <w:rFonts w:ascii="Arial" w:hAnsi="Arial" w:cs="Arial"/>
                <w:color w:val="181818"/>
                <w:lang w:val="en-GB"/>
              </w:rPr>
              <w:lastRenderedPageBreak/>
              <w:t xml:space="preserve">with </w:t>
            </w:r>
            <w:r>
              <w:rPr>
                <w:rFonts w:ascii="Arial" w:hAnsi="Arial" w:cs="Arial"/>
                <w:color w:val="181818"/>
                <w:lang w:val="en-GB"/>
              </w:rPr>
              <w:t xml:space="preserve">data indicating </w:t>
            </w:r>
            <w:r w:rsidRPr="005833FE">
              <w:rPr>
                <w:rFonts w:ascii="Arial" w:hAnsi="Arial" w:cs="Arial"/>
                <w:color w:val="181818"/>
                <w:lang w:val="en-GB"/>
              </w:rPr>
              <w:t>zero defaults and a low number of downgrades in the past 11 years.</w:t>
            </w:r>
          </w:p>
          <w:p w14:paraId="5E8102F0" w14:textId="2D11950C" w:rsidR="005833FE" w:rsidRDefault="005833FE" w:rsidP="005833FE">
            <w:pPr>
              <w:spacing w:after="250" w:line="276" w:lineRule="auto"/>
              <w:jc w:val="both"/>
              <w:rPr>
                <w:rFonts w:ascii="Arial" w:hAnsi="Arial" w:cs="Arial"/>
                <w:color w:val="181818"/>
                <w:lang w:val="en-GB"/>
              </w:rPr>
            </w:pPr>
            <w:r>
              <w:rPr>
                <w:rFonts w:ascii="Arial" w:hAnsi="Arial" w:cs="Arial"/>
                <w:color w:val="181818"/>
                <w:lang w:val="en-GB"/>
              </w:rPr>
              <w:t xml:space="preserve">We set out beneath this table data from S&amp;P Global </w:t>
            </w:r>
            <w:r w:rsidR="00B95880">
              <w:rPr>
                <w:rFonts w:ascii="Arial" w:hAnsi="Arial" w:cs="Arial"/>
                <w:color w:val="181818"/>
                <w:lang w:val="en-GB"/>
              </w:rPr>
              <w:t>indicating the low number of</w:t>
            </w:r>
            <w:r>
              <w:rPr>
                <w:rFonts w:ascii="Arial" w:hAnsi="Arial" w:cs="Arial"/>
                <w:color w:val="181818"/>
                <w:lang w:val="en-GB"/>
              </w:rPr>
              <w:t xml:space="preserve"> defaults by European CL</w:t>
            </w:r>
            <w:r w:rsidR="00402910">
              <w:rPr>
                <w:rFonts w:ascii="Arial" w:hAnsi="Arial" w:cs="Arial"/>
                <w:color w:val="181818"/>
                <w:lang w:val="en-GB"/>
              </w:rPr>
              <w:t>0</w:t>
            </w:r>
            <w:r>
              <w:rPr>
                <w:rFonts w:ascii="Arial" w:hAnsi="Arial" w:cs="Arial"/>
                <w:color w:val="181818"/>
                <w:lang w:val="en-GB"/>
              </w:rPr>
              <w:t xml:space="preserve"> 2.0 issue</w:t>
            </w:r>
            <w:r w:rsidR="00A032DE">
              <w:rPr>
                <w:rFonts w:ascii="Arial" w:hAnsi="Arial" w:cs="Arial"/>
                <w:color w:val="181818"/>
                <w:lang w:val="en-GB"/>
              </w:rPr>
              <w:t>r</w:t>
            </w:r>
            <w:r>
              <w:rPr>
                <w:rFonts w:ascii="Arial" w:hAnsi="Arial" w:cs="Arial"/>
                <w:color w:val="181818"/>
                <w:lang w:val="en-GB"/>
              </w:rPr>
              <w:t xml:space="preserve">s. </w:t>
            </w:r>
          </w:p>
          <w:p w14:paraId="0A37501D" w14:textId="5F88A804" w:rsidR="00B95880" w:rsidRPr="005833FE" w:rsidRDefault="00B95880" w:rsidP="005833FE">
            <w:pPr>
              <w:spacing w:after="250" w:line="276" w:lineRule="auto"/>
              <w:jc w:val="both"/>
              <w:rPr>
                <w:rFonts w:ascii="Arial" w:hAnsi="Arial" w:cs="Arial"/>
                <w:color w:val="181818"/>
                <w:lang w:val="en-GB"/>
              </w:rPr>
            </w:pPr>
            <w:r>
              <w:rPr>
                <w:rFonts w:ascii="Arial" w:hAnsi="Arial" w:cs="Arial"/>
                <w:color w:val="181818"/>
                <w:lang w:val="en-GB"/>
              </w:rPr>
              <w:t xml:space="preserve">As a result, and as with direct exposure, overall we consider that permitting UCITS to gain indirect exposure to loans would benefit UCITS, their investors and the broader economy. </w:t>
            </w:r>
          </w:p>
        </w:tc>
        <w:tc>
          <w:tcPr>
            <w:tcW w:w="2060" w:type="dxa"/>
          </w:tcPr>
          <w:p w14:paraId="5DAB6C7B" w14:textId="77777777" w:rsidR="00B33432" w:rsidRPr="00735E83" w:rsidRDefault="00B33432" w:rsidP="00B33432">
            <w:pPr>
              <w:spacing w:after="250" w:line="276" w:lineRule="auto"/>
              <w:jc w:val="both"/>
              <w:rPr>
                <w:rFonts w:ascii="Arial" w:hAnsi="Arial" w:cs="Arial"/>
                <w:color w:val="181818"/>
                <w:lang w:val="en-GB"/>
              </w:rPr>
            </w:pPr>
          </w:p>
        </w:tc>
        <w:tc>
          <w:tcPr>
            <w:tcW w:w="1706" w:type="dxa"/>
          </w:tcPr>
          <w:p w14:paraId="02EB378F" w14:textId="616C59B5" w:rsidR="00735E83" w:rsidRPr="00735E83" w:rsidRDefault="00735E83" w:rsidP="00402910">
            <w:pPr>
              <w:spacing w:after="250" w:line="276" w:lineRule="auto"/>
              <w:jc w:val="both"/>
              <w:rPr>
                <w:rFonts w:ascii="Arial" w:hAnsi="Arial" w:cs="Arial"/>
                <w:color w:val="181818"/>
                <w:lang w:val="en-GB"/>
              </w:rPr>
            </w:pPr>
          </w:p>
        </w:tc>
      </w:tr>
      <w:tr w:rsidR="005833FE" w:rsidRPr="00B33432" w14:paraId="131FC414" w14:textId="77777777" w:rsidTr="00F278BC">
        <w:tc>
          <w:tcPr>
            <w:tcW w:w="2095" w:type="dxa"/>
          </w:tcPr>
          <w:p w14:paraId="55346258"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2. Catastrophe bonds (‘Cat bonds’)</w:t>
            </w:r>
          </w:p>
        </w:tc>
        <w:tc>
          <w:tcPr>
            <w:tcW w:w="1683" w:type="dxa"/>
          </w:tcPr>
          <w:p w14:paraId="6A05A809" w14:textId="77777777" w:rsidR="00B33432" w:rsidRPr="00B33432" w:rsidRDefault="00B33432" w:rsidP="00B33432">
            <w:pPr>
              <w:spacing w:after="250" w:line="276" w:lineRule="auto"/>
              <w:jc w:val="both"/>
              <w:rPr>
                <w:rFonts w:ascii="Arial" w:hAnsi="Arial" w:cs="Arial"/>
                <w:color w:val="181818"/>
              </w:rPr>
            </w:pPr>
          </w:p>
        </w:tc>
        <w:tc>
          <w:tcPr>
            <w:tcW w:w="1776" w:type="dxa"/>
          </w:tcPr>
          <w:p w14:paraId="5A39BBE3" w14:textId="77777777" w:rsidR="00B33432" w:rsidRPr="00B33432" w:rsidRDefault="00B33432" w:rsidP="00B33432">
            <w:pPr>
              <w:spacing w:after="250" w:line="276" w:lineRule="auto"/>
              <w:jc w:val="both"/>
              <w:rPr>
                <w:rFonts w:ascii="Arial" w:hAnsi="Arial" w:cs="Arial"/>
                <w:color w:val="181818"/>
              </w:rPr>
            </w:pPr>
          </w:p>
        </w:tc>
        <w:tc>
          <w:tcPr>
            <w:tcW w:w="2060" w:type="dxa"/>
          </w:tcPr>
          <w:p w14:paraId="41C8F396" w14:textId="77777777" w:rsidR="00B33432" w:rsidRPr="00B33432" w:rsidRDefault="00B33432" w:rsidP="00B33432">
            <w:pPr>
              <w:spacing w:after="250" w:line="276" w:lineRule="auto"/>
              <w:jc w:val="both"/>
              <w:rPr>
                <w:rFonts w:ascii="Arial" w:hAnsi="Arial" w:cs="Arial"/>
                <w:color w:val="181818"/>
              </w:rPr>
            </w:pPr>
          </w:p>
        </w:tc>
        <w:tc>
          <w:tcPr>
            <w:tcW w:w="1706" w:type="dxa"/>
          </w:tcPr>
          <w:p w14:paraId="72A3D3EC" w14:textId="77777777" w:rsidR="00B33432" w:rsidRPr="00B33432" w:rsidRDefault="00B33432" w:rsidP="00B33432">
            <w:pPr>
              <w:spacing w:after="250" w:line="276" w:lineRule="auto"/>
              <w:jc w:val="both"/>
              <w:rPr>
                <w:rFonts w:ascii="Arial" w:hAnsi="Arial" w:cs="Arial"/>
                <w:color w:val="181818"/>
              </w:rPr>
            </w:pPr>
          </w:p>
        </w:tc>
      </w:tr>
      <w:tr w:rsidR="005833FE" w:rsidRPr="00B33432" w14:paraId="756B6A0E" w14:textId="77777777" w:rsidTr="00F278BC">
        <w:tc>
          <w:tcPr>
            <w:tcW w:w="2095" w:type="dxa"/>
          </w:tcPr>
          <w:p w14:paraId="2C56CC88"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3. Contingent Convertible bonds (‘CoCo bonds’)</w:t>
            </w:r>
          </w:p>
        </w:tc>
        <w:tc>
          <w:tcPr>
            <w:tcW w:w="1683" w:type="dxa"/>
          </w:tcPr>
          <w:p w14:paraId="0D0B940D" w14:textId="77777777" w:rsidR="00B33432" w:rsidRPr="00B33432" w:rsidRDefault="00B33432" w:rsidP="00B33432">
            <w:pPr>
              <w:spacing w:after="250" w:line="276" w:lineRule="auto"/>
              <w:jc w:val="both"/>
              <w:rPr>
                <w:rFonts w:ascii="Arial" w:hAnsi="Arial" w:cs="Arial"/>
                <w:color w:val="181818"/>
              </w:rPr>
            </w:pPr>
          </w:p>
        </w:tc>
        <w:tc>
          <w:tcPr>
            <w:tcW w:w="1776" w:type="dxa"/>
          </w:tcPr>
          <w:p w14:paraId="0E27B00A" w14:textId="77777777" w:rsidR="00B33432" w:rsidRPr="00B33432" w:rsidRDefault="00B33432" w:rsidP="00B33432">
            <w:pPr>
              <w:spacing w:after="250" w:line="276" w:lineRule="auto"/>
              <w:jc w:val="both"/>
              <w:rPr>
                <w:rFonts w:ascii="Arial" w:hAnsi="Arial" w:cs="Arial"/>
                <w:color w:val="181818"/>
              </w:rPr>
            </w:pPr>
          </w:p>
        </w:tc>
        <w:tc>
          <w:tcPr>
            <w:tcW w:w="2060" w:type="dxa"/>
          </w:tcPr>
          <w:p w14:paraId="60061E4C" w14:textId="77777777" w:rsidR="00B33432" w:rsidRPr="00B33432" w:rsidRDefault="00B33432" w:rsidP="00B33432">
            <w:pPr>
              <w:spacing w:after="250" w:line="276" w:lineRule="auto"/>
              <w:jc w:val="both"/>
              <w:rPr>
                <w:rFonts w:ascii="Arial" w:hAnsi="Arial" w:cs="Arial"/>
                <w:color w:val="181818"/>
              </w:rPr>
            </w:pPr>
          </w:p>
        </w:tc>
        <w:tc>
          <w:tcPr>
            <w:tcW w:w="1706" w:type="dxa"/>
          </w:tcPr>
          <w:p w14:paraId="44EAFD9C" w14:textId="77777777" w:rsidR="00B33432" w:rsidRPr="00B33432" w:rsidRDefault="00B33432" w:rsidP="00B33432">
            <w:pPr>
              <w:spacing w:after="250" w:line="276" w:lineRule="auto"/>
              <w:jc w:val="both"/>
              <w:rPr>
                <w:rFonts w:ascii="Arial" w:hAnsi="Arial" w:cs="Arial"/>
                <w:color w:val="181818"/>
              </w:rPr>
            </w:pPr>
          </w:p>
        </w:tc>
      </w:tr>
      <w:tr w:rsidR="005833FE" w:rsidRPr="00B33432" w14:paraId="02325B0B" w14:textId="77777777" w:rsidTr="00F278BC">
        <w:tc>
          <w:tcPr>
            <w:tcW w:w="2095" w:type="dxa"/>
          </w:tcPr>
          <w:p w14:paraId="4EA5968E"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4. Unrated bonds</w:t>
            </w:r>
          </w:p>
        </w:tc>
        <w:tc>
          <w:tcPr>
            <w:tcW w:w="1683" w:type="dxa"/>
          </w:tcPr>
          <w:p w14:paraId="4B94D5A5" w14:textId="77777777" w:rsidR="00B33432" w:rsidRPr="00B33432" w:rsidRDefault="00B33432" w:rsidP="00B33432">
            <w:pPr>
              <w:spacing w:after="250" w:line="276" w:lineRule="auto"/>
              <w:jc w:val="both"/>
              <w:rPr>
                <w:rFonts w:ascii="Arial" w:hAnsi="Arial" w:cs="Arial"/>
                <w:color w:val="181818"/>
              </w:rPr>
            </w:pPr>
          </w:p>
        </w:tc>
        <w:tc>
          <w:tcPr>
            <w:tcW w:w="1776" w:type="dxa"/>
          </w:tcPr>
          <w:p w14:paraId="3DEEC669" w14:textId="77777777" w:rsidR="00B33432" w:rsidRPr="00B33432" w:rsidRDefault="00B33432" w:rsidP="00B33432">
            <w:pPr>
              <w:spacing w:after="250" w:line="276" w:lineRule="auto"/>
              <w:jc w:val="both"/>
              <w:rPr>
                <w:rFonts w:ascii="Arial" w:hAnsi="Arial" w:cs="Arial"/>
                <w:color w:val="181818"/>
              </w:rPr>
            </w:pPr>
          </w:p>
        </w:tc>
        <w:tc>
          <w:tcPr>
            <w:tcW w:w="2060" w:type="dxa"/>
          </w:tcPr>
          <w:p w14:paraId="3656B9AB" w14:textId="77777777" w:rsidR="00B33432" w:rsidRPr="00B33432" w:rsidRDefault="00B33432" w:rsidP="00B33432">
            <w:pPr>
              <w:spacing w:after="250" w:line="276" w:lineRule="auto"/>
              <w:jc w:val="both"/>
              <w:rPr>
                <w:rFonts w:ascii="Arial" w:hAnsi="Arial" w:cs="Arial"/>
                <w:color w:val="181818"/>
              </w:rPr>
            </w:pPr>
          </w:p>
        </w:tc>
        <w:tc>
          <w:tcPr>
            <w:tcW w:w="1706" w:type="dxa"/>
          </w:tcPr>
          <w:p w14:paraId="45FB0818" w14:textId="77777777" w:rsidR="00B33432" w:rsidRPr="00B33432" w:rsidRDefault="00B33432" w:rsidP="00B33432">
            <w:pPr>
              <w:spacing w:after="250" w:line="276" w:lineRule="auto"/>
              <w:jc w:val="both"/>
              <w:rPr>
                <w:rFonts w:ascii="Arial" w:hAnsi="Arial" w:cs="Arial"/>
                <w:color w:val="181818"/>
              </w:rPr>
            </w:pPr>
          </w:p>
        </w:tc>
      </w:tr>
      <w:tr w:rsidR="005833FE" w:rsidRPr="00B33432" w14:paraId="68D99D9D" w14:textId="77777777" w:rsidTr="00F278BC">
        <w:tc>
          <w:tcPr>
            <w:tcW w:w="2095" w:type="dxa"/>
          </w:tcPr>
          <w:p w14:paraId="17D8B71D"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5. Distressed securities</w:t>
            </w:r>
          </w:p>
        </w:tc>
        <w:tc>
          <w:tcPr>
            <w:tcW w:w="1683" w:type="dxa"/>
          </w:tcPr>
          <w:p w14:paraId="049F31CB" w14:textId="77777777" w:rsidR="00B33432" w:rsidRPr="00B33432" w:rsidRDefault="00B33432" w:rsidP="00B33432">
            <w:pPr>
              <w:spacing w:after="250" w:line="276" w:lineRule="auto"/>
              <w:jc w:val="both"/>
              <w:rPr>
                <w:rFonts w:ascii="Arial" w:hAnsi="Arial" w:cs="Arial"/>
                <w:color w:val="181818"/>
              </w:rPr>
            </w:pPr>
          </w:p>
        </w:tc>
        <w:tc>
          <w:tcPr>
            <w:tcW w:w="1776" w:type="dxa"/>
          </w:tcPr>
          <w:p w14:paraId="53128261" w14:textId="77777777" w:rsidR="00B33432" w:rsidRPr="00B33432" w:rsidRDefault="00B33432" w:rsidP="00B33432">
            <w:pPr>
              <w:spacing w:after="250" w:line="276" w:lineRule="auto"/>
              <w:jc w:val="both"/>
              <w:rPr>
                <w:rFonts w:ascii="Arial" w:hAnsi="Arial" w:cs="Arial"/>
                <w:color w:val="181818"/>
              </w:rPr>
            </w:pPr>
          </w:p>
        </w:tc>
        <w:tc>
          <w:tcPr>
            <w:tcW w:w="2060" w:type="dxa"/>
          </w:tcPr>
          <w:p w14:paraId="62486C05" w14:textId="77777777" w:rsidR="00B33432" w:rsidRPr="00B33432" w:rsidRDefault="00B33432" w:rsidP="00B33432">
            <w:pPr>
              <w:spacing w:after="250" w:line="276" w:lineRule="auto"/>
              <w:jc w:val="both"/>
              <w:rPr>
                <w:rFonts w:ascii="Arial" w:hAnsi="Arial" w:cs="Arial"/>
                <w:color w:val="181818"/>
              </w:rPr>
            </w:pPr>
          </w:p>
        </w:tc>
        <w:tc>
          <w:tcPr>
            <w:tcW w:w="1706" w:type="dxa"/>
          </w:tcPr>
          <w:p w14:paraId="4101652C" w14:textId="77777777" w:rsidR="00B33432" w:rsidRPr="00B33432" w:rsidRDefault="00B33432" w:rsidP="00B33432">
            <w:pPr>
              <w:spacing w:after="250" w:line="276" w:lineRule="auto"/>
              <w:jc w:val="both"/>
              <w:rPr>
                <w:rFonts w:ascii="Arial" w:hAnsi="Arial" w:cs="Arial"/>
                <w:color w:val="181818"/>
              </w:rPr>
            </w:pPr>
          </w:p>
        </w:tc>
      </w:tr>
      <w:tr w:rsidR="005833FE" w:rsidRPr="00B33432" w14:paraId="2B493676" w14:textId="77777777" w:rsidTr="00F278BC">
        <w:tc>
          <w:tcPr>
            <w:tcW w:w="2095" w:type="dxa"/>
          </w:tcPr>
          <w:p w14:paraId="45E99430" w14:textId="77777777" w:rsidR="00B33432" w:rsidRPr="00B33432" w:rsidRDefault="00B33432" w:rsidP="00B33432">
            <w:pPr>
              <w:spacing w:after="250" w:line="276" w:lineRule="auto"/>
              <w:rPr>
                <w:rFonts w:ascii="Arial" w:hAnsi="Arial" w:cs="Arial"/>
              </w:rPr>
            </w:pPr>
            <w:r w:rsidRPr="00B33432">
              <w:rPr>
                <w:rFonts w:ascii="Arial" w:hAnsi="Arial" w:cs="Arial"/>
              </w:rPr>
              <w:t>6. Unlisted equities</w:t>
            </w:r>
            <w:r w:rsidRPr="00B33432">
              <w:rPr>
                <w:rFonts w:ascii="Arial" w:hAnsi="Arial" w:cs="Arial"/>
                <w:sz w:val="16"/>
                <w:vertAlign w:val="superscript"/>
              </w:rPr>
              <w:footnoteReference w:id="7"/>
            </w:r>
          </w:p>
        </w:tc>
        <w:tc>
          <w:tcPr>
            <w:tcW w:w="1683" w:type="dxa"/>
          </w:tcPr>
          <w:p w14:paraId="4B99056E" w14:textId="77777777" w:rsidR="00B33432" w:rsidRPr="00B33432" w:rsidRDefault="00B33432" w:rsidP="00B33432">
            <w:pPr>
              <w:spacing w:after="250" w:line="276" w:lineRule="auto"/>
              <w:jc w:val="both"/>
              <w:rPr>
                <w:rFonts w:ascii="Arial" w:hAnsi="Arial" w:cs="Arial"/>
                <w:color w:val="181818"/>
              </w:rPr>
            </w:pPr>
          </w:p>
        </w:tc>
        <w:tc>
          <w:tcPr>
            <w:tcW w:w="1776" w:type="dxa"/>
          </w:tcPr>
          <w:p w14:paraId="1299C43A" w14:textId="77777777" w:rsidR="00B33432" w:rsidRPr="00B33432" w:rsidRDefault="00B33432" w:rsidP="00B33432">
            <w:pPr>
              <w:spacing w:after="250" w:line="276" w:lineRule="auto"/>
              <w:jc w:val="both"/>
              <w:rPr>
                <w:rFonts w:ascii="Arial" w:hAnsi="Arial" w:cs="Arial"/>
                <w:color w:val="181818"/>
              </w:rPr>
            </w:pPr>
          </w:p>
        </w:tc>
        <w:tc>
          <w:tcPr>
            <w:tcW w:w="2060" w:type="dxa"/>
          </w:tcPr>
          <w:p w14:paraId="4DDBEF00" w14:textId="77777777" w:rsidR="00B33432" w:rsidRPr="00B33432" w:rsidRDefault="00B33432" w:rsidP="00B33432">
            <w:pPr>
              <w:spacing w:after="250" w:line="276" w:lineRule="auto"/>
              <w:jc w:val="both"/>
              <w:rPr>
                <w:rFonts w:ascii="Arial" w:hAnsi="Arial" w:cs="Arial"/>
                <w:color w:val="181818"/>
              </w:rPr>
            </w:pPr>
          </w:p>
        </w:tc>
        <w:tc>
          <w:tcPr>
            <w:tcW w:w="1706" w:type="dxa"/>
          </w:tcPr>
          <w:p w14:paraId="3461D779" w14:textId="77777777" w:rsidR="00B33432" w:rsidRPr="00B33432" w:rsidRDefault="00B33432" w:rsidP="00B33432">
            <w:pPr>
              <w:spacing w:after="250" w:line="276" w:lineRule="auto"/>
              <w:jc w:val="both"/>
              <w:rPr>
                <w:rFonts w:ascii="Arial" w:hAnsi="Arial" w:cs="Arial"/>
                <w:color w:val="181818"/>
              </w:rPr>
            </w:pPr>
          </w:p>
        </w:tc>
      </w:tr>
      <w:tr w:rsidR="005833FE" w:rsidRPr="00B33432" w14:paraId="5539B04B" w14:textId="77777777" w:rsidTr="00F278BC">
        <w:tc>
          <w:tcPr>
            <w:tcW w:w="2095" w:type="dxa"/>
          </w:tcPr>
          <w:p w14:paraId="378D969D" w14:textId="77777777" w:rsidR="00B33432" w:rsidRPr="00B33432" w:rsidRDefault="00B33432" w:rsidP="00B33432">
            <w:pPr>
              <w:spacing w:after="250" w:line="276" w:lineRule="auto"/>
              <w:rPr>
                <w:rFonts w:ascii="Arial" w:hAnsi="Arial" w:cs="Arial"/>
              </w:rPr>
            </w:pPr>
            <w:r w:rsidRPr="00B33432">
              <w:rPr>
                <w:rFonts w:ascii="Arial" w:hAnsi="Arial" w:cs="Arial"/>
              </w:rPr>
              <w:t>7. Crypto assets</w:t>
            </w:r>
            <w:r w:rsidRPr="00B33432">
              <w:rPr>
                <w:rFonts w:ascii="Arial" w:hAnsi="Arial" w:cs="Arial"/>
                <w:vertAlign w:val="superscript"/>
              </w:rPr>
              <w:footnoteReference w:id="8"/>
            </w:r>
          </w:p>
        </w:tc>
        <w:tc>
          <w:tcPr>
            <w:tcW w:w="1683" w:type="dxa"/>
          </w:tcPr>
          <w:p w14:paraId="3CF2D8B6" w14:textId="77777777" w:rsidR="00B33432" w:rsidRPr="00B33432" w:rsidRDefault="00B33432" w:rsidP="00B33432">
            <w:pPr>
              <w:spacing w:after="250" w:line="276" w:lineRule="auto"/>
              <w:jc w:val="both"/>
              <w:rPr>
                <w:rFonts w:ascii="Arial" w:hAnsi="Arial" w:cs="Arial"/>
                <w:color w:val="181818"/>
              </w:rPr>
            </w:pPr>
          </w:p>
        </w:tc>
        <w:tc>
          <w:tcPr>
            <w:tcW w:w="1776" w:type="dxa"/>
          </w:tcPr>
          <w:p w14:paraId="0FB78278" w14:textId="77777777" w:rsidR="00B33432" w:rsidRPr="00B33432" w:rsidRDefault="00B33432" w:rsidP="00B33432">
            <w:pPr>
              <w:spacing w:after="250" w:line="276" w:lineRule="auto"/>
              <w:jc w:val="both"/>
              <w:rPr>
                <w:rFonts w:ascii="Arial" w:hAnsi="Arial" w:cs="Arial"/>
                <w:color w:val="181818"/>
              </w:rPr>
            </w:pPr>
          </w:p>
        </w:tc>
        <w:tc>
          <w:tcPr>
            <w:tcW w:w="2060" w:type="dxa"/>
          </w:tcPr>
          <w:p w14:paraId="1FC39945" w14:textId="77777777" w:rsidR="00B33432" w:rsidRPr="00B33432" w:rsidRDefault="00B33432" w:rsidP="00B33432">
            <w:pPr>
              <w:spacing w:after="250" w:line="276" w:lineRule="auto"/>
              <w:jc w:val="both"/>
              <w:rPr>
                <w:rFonts w:ascii="Arial" w:hAnsi="Arial" w:cs="Arial"/>
                <w:color w:val="181818"/>
              </w:rPr>
            </w:pPr>
          </w:p>
        </w:tc>
        <w:tc>
          <w:tcPr>
            <w:tcW w:w="1706" w:type="dxa"/>
          </w:tcPr>
          <w:p w14:paraId="0562CB0E" w14:textId="77777777" w:rsidR="00B33432" w:rsidRPr="00B33432" w:rsidRDefault="00B33432" w:rsidP="00B33432">
            <w:pPr>
              <w:spacing w:after="250" w:line="276" w:lineRule="auto"/>
              <w:jc w:val="both"/>
              <w:rPr>
                <w:rFonts w:ascii="Arial" w:hAnsi="Arial" w:cs="Arial"/>
                <w:color w:val="181818"/>
              </w:rPr>
            </w:pPr>
          </w:p>
        </w:tc>
      </w:tr>
      <w:tr w:rsidR="005833FE" w:rsidRPr="00B33432" w14:paraId="6582FE19" w14:textId="77777777" w:rsidTr="00F278BC">
        <w:tc>
          <w:tcPr>
            <w:tcW w:w="2095" w:type="dxa"/>
          </w:tcPr>
          <w:p w14:paraId="73AF3CD4" w14:textId="77777777" w:rsidR="00B33432" w:rsidRPr="00B33432" w:rsidRDefault="00B33432" w:rsidP="00B33432">
            <w:pPr>
              <w:spacing w:after="250" w:line="276" w:lineRule="auto"/>
              <w:rPr>
                <w:rFonts w:ascii="Arial" w:hAnsi="Arial" w:cs="Arial"/>
              </w:rPr>
            </w:pPr>
            <w:r w:rsidRPr="00B33432">
              <w:rPr>
                <w:rFonts w:ascii="Arial" w:hAnsi="Arial" w:cs="Arial"/>
              </w:rPr>
              <w:t>8. Commodities and precious metals</w:t>
            </w:r>
            <w:r w:rsidRPr="00B33432">
              <w:rPr>
                <w:rFonts w:ascii="Arial" w:hAnsi="Arial" w:cs="Arial"/>
                <w:sz w:val="16"/>
                <w:vertAlign w:val="superscript"/>
              </w:rPr>
              <w:footnoteReference w:id="9"/>
            </w:r>
          </w:p>
        </w:tc>
        <w:tc>
          <w:tcPr>
            <w:tcW w:w="1683" w:type="dxa"/>
          </w:tcPr>
          <w:p w14:paraId="34CE0A41" w14:textId="77777777" w:rsidR="00B33432" w:rsidRPr="00B33432" w:rsidRDefault="00B33432" w:rsidP="00B33432">
            <w:pPr>
              <w:spacing w:after="250" w:line="276" w:lineRule="auto"/>
              <w:jc w:val="both"/>
              <w:rPr>
                <w:rFonts w:ascii="Arial" w:hAnsi="Arial" w:cs="Arial"/>
                <w:color w:val="181818"/>
              </w:rPr>
            </w:pPr>
          </w:p>
        </w:tc>
        <w:tc>
          <w:tcPr>
            <w:tcW w:w="1776" w:type="dxa"/>
          </w:tcPr>
          <w:p w14:paraId="62EBF3C5" w14:textId="77777777" w:rsidR="00B33432" w:rsidRPr="00B33432" w:rsidRDefault="00B33432" w:rsidP="00B33432">
            <w:pPr>
              <w:spacing w:after="250" w:line="276" w:lineRule="auto"/>
              <w:jc w:val="both"/>
              <w:rPr>
                <w:rFonts w:ascii="Arial" w:hAnsi="Arial" w:cs="Arial"/>
                <w:color w:val="181818"/>
              </w:rPr>
            </w:pPr>
          </w:p>
        </w:tc>
        <w:tc>
          <w:tcPr>
            <w:tcW w:w="2060" w:type="dxa"/>
          </w:tcPr>
          <w:p w14:paraId="6D98A12B" w14:textId="77777777" w:rsidR="00B33432" w:rsidRPr="00B33432" w:rsidRDefault="00B33432" w:rsidP="00B33432">
            <w:pPr>
              <w:spacing w:after="250" w:line="276" w:lineRule="auto"/>
              <w:jc w:val="both"/>
              <w:rPr>
                <w:rFonts w:ascii="Arial" w:hAnsi="Arial" w:cs="Arial"/>
                <w:color w:val="181818"/>
              </w:rPr>
            </w:pPr>
          </w:p>
        </w:tc>
        <w:tc>
          <w:tcPr>
            <w:tcW w:w="1706" w:type="dxa"/>
          </w:tcPr>
          <w:p w14:paraId="2946DB82" w14:textId="77777777" w:rsidR="00B33432" w:rsidRPr="00B33432" w:rsidRDefault="00B33432" w:rsidP="00B33432">
            <w:pPr>
              <w:spacing w:after="250" w:line="276" w:lineRule="auto"/>
              <w:jc w:val="both"/>
              <w:rPr>
                <w:rFonts w:ascii="Arial" w:hAnsi="Arial" w:cs="Arial"/>
                <w:color w:val="181818"/>
              </w:rPr>
            </w:pPr>
          </w:p>
        </w:tc>
      </w:tr>
      <w:tr w:rsidR="005833FE" w:rsidRPr="00B33432" w14:paraId="1D06A7CA" w14:textId="77777777" w:rsidTr="00F278BC">
        <w:tc>
          <w:tcPr>
            <w:tcW w:w="2095" w:type="dxa"/>
          </w:tcPr>
          <w:p w14:paraId="695108F8" w14:textId="77777777" w:rsidR="00B33432" w:rsidRPr="00B33432" w:rsidRDefault="00B33432" w:rsidP="00B33432">
            <w:pPr>
              <w:spacing w:after="250" w:line="276" w:lineRule="auto"/>
              <w:rPr>
                <w:rFonts w:ascii="Arial" w:hAnsi="Arial" w:cs="Arial"/>
              </w:rPr>
            </w:pPr>
            <w:r w:rsidRPr="00B33432">
              <w:rPr>
                <w:rFonts w:ascii="Arial" w:hAnsi="Arial" w:cs="Arial"/>
              </w:rPr>
              <w:t>9. Exchange-traded commodities (‘ETCs’)</w:t>
            </w:r>
          </w:p>
        </w:tc>
        <w:tc>
          <w:tcPr>
            <w:tcW w:w="1683" w:type="dxa"/>
          </w:tcPr>
          <w:p w14:paraId="5997CC1D" w14:textId="77777777" w:rsidR="00B33432" w:rsidRPr="00B33432" w:rsidRDefault="00B33432" w:rsidP="00B33432">
            <w:pPr>
              <w:spacing w:after="250" w:line="276" w:lineRule="auto"/>
              <w:jc w:val="both"/>
              <w:rPr>
                <w:rFonts w:ascii="Arial" w:hAnsi="Arial" w:cs="Arial"/>
                <w:color w:val="181818"/>
              </w:rPr>
            </w:pPr>
          </w:p>
        </w:tc>
        <w:tc>
          <w:tcPr>
            <w:tcW w:w="1776" w:type="dxa"/>
          </w:tcPr>
          <w:p w14:paraId="110FFD37" w14:textId="77777777" w:rsidR="00B33432" w:rsidRPr="00B33432" w:rsidRDefault="00B33432" w:rsidP="00B33432">
            <w:pPr>
              <w:spacing w:after="250" w:line="276" w:lineRule="auto"/>
              <w:jc w:val="both"/>
              <w:rPr>
                <w:rFonts w:ascii="Arial" w:hAnsi="Arial" w:cs="Arial"/>
                <w:color w:val="181818"/>
              </w:rPr>
            </w:pPr>
          </w:p>
        </w:tc>
        <w:tc>
          <w:tcPr>
            <w:tcW w:w="2060" w:type="dxa"/>
          </w:tcPr>
          <w:p w14:paraId="6B699379" w14:textId="77777777" w:rsidR="00B33432" w:rsidRPr="00B33432" w:rsidRDefault="00B33432" w:rsidP="00B33432">
            <w:pPr>
              <w:spacing w:after="250" w:line="276" w:lineRule="auto"/>
              <w:jc w:val="both"/>
              <w:rPr>
                <w:rFonts w:ascii="Arial" w:hAnsi="Arial" w:cs="Arial"/>
                <w:color w:val="181818"/>
              </w:rPr>
            </w:pPr>
          </w:p>
        </w:tc>
        <w:tc>
          <w:tcPr>
            <w:tcW w:w="1706" w:type="dxa"/>
          </w:tcPr>
          <w:p w14:paraId="3FE9F23F" w14:textId="77777777" w:rsidR="00B33432" w:rsidRPr="00B33432" w:rsidRDefault="00B33432" w:rsidP="00B33432">
            <w:pPr>
              <w:spacing w:after="250" w:line="276" w:lineRule="auto"/>
              <w:jc w:val="both"/>
              <w:rPr>
                <w:rFonts w:ascii="Arial" w:hAnsi="Arial" w:cs="Arial"/>
                <w:color w:val="181818"/>
              </w:rPr>
            </w:pPr>
          </w:p>
        </w:tc>
      </w:tr>
      <w:tr w:rsidR="005833FE" w:rsidRPr="00B33432" w14:paraId="241FBBEE" w14:textId="77777777" w:rsidTr="00F278BC">
        <w:tc>
          <w:tcPr>
            <w:tcW w:w="2095" w:type="dxa"/>
          </w:tcPr>
          <w:p w14:paraId="168EC9A2" w14:textId="77777777" w:rsidR="00B33432" w:rsidRPr="00B33432" w:rsidRDefault="00B33432" w:rsidP="00B33432">
            <w:pPr>
              <w:spacing w:after="250" w:line="276" w:lineRule="auto"/>
              <w:rPr>
                <w:rFonts w:ascii="Arial" w:hAnsi="Arial" w:cs="Arial"/>
              </w:rPr>
            </w:pPr>
            <w:r w:rsidRPr="00B33432">
              <w:rPr>
                <w:rFonts w:ascii="Arial" w:hAnsi="Arial" w:cs="Arial"/>
              </w:rPr>
              <w:t>10. Real estate</w:t>
            </w:r>
          </w:p>
        </w:tc>
        <w:tc>
          <w:tcPr>
            <w:tcW w:w="1683" w:type="dxa"/>
          </w:tcPr>
          <w:p w14:paraId="1F72F646" w14:textId="77777777" w:rsidR="00B33432" w:rsidRPr="00B33432" w:rsidRDefault="00B33432" w:rsidP="00B33432">
            <w:pPr>
              <w:spacing w:after="250" w:line="276" w:lineRule="auto"/>
              <w:jc w:val="both"/>
              <w:rPr>
                <w:rFonts w:ascii="Arial" w:hAnsi="Arial" w:cs="Arial"/>
                <w:color w:val="181818"/>
              </w:rPr>
            </w:pPr>
          </w:p>
        </w:tc>
        <w:tc>
          <w:tcPr>
            <w:tcW w:w="1776" w:type="dxa"/>
          </w:tcPr>
          <w:p w14:paraId="08CE6F91" w14:textId="77777777" w:rsidR="00B33432" w:rsidRPr="00B33432" w:rsidRDefault="00B33432" w:rsidP="00B33432">
            <w:pPr>
              <w:spacing w:after="250" w:line="276" w:lineRule="auto"/>
              <w:jc w:val="both"/>
              <w:rPr>
                <w:rFonts w:ascii="Arial" w:hAnsi="Arial" w:cs="Arial"/>
                <w:color w:val="181818"/>
              </w:rPr>
            </w:pPr>
          </w:p>
        </w:tc>
        <w:tc>
          <w:tcPr>
            <w:tcW w:w="2060" w:type="dxa"/>
          </w:tcPr>
          <w:p w14:paraId="61CDCEAD" w14:textId="77777777" w:rsidR="00B33432" w:rsidRPr="00B33432" w:rsidRDefault="00B33432" w:rsidP="00B33432">
            <w:pPr>
              <w:spacing w:after="250" w:line="276" w:lineRule="auto"/>
              <w:jc w:val="both"/>
              <w:rPr>
                <w:rFonts w:ascii="Arial" w:hAnsi="Arial" w:cs="Arial"/>
                <w:color w:val="181818"/>
              </w:rPr>
            </w:pPr>
          </w:p>
        </w:tc>
        <w:tc>
          <w:tcPr>
            <w:tcW w:w="1706" w:type="dxa"/>
          </w:tcPr>
          <w:p w14:paraId="6BB9E253" w14:textId="77777777" w:rsidR="00B33432" w:rsidRPr="00B33432" w:rsidRDefault="00B33432" w:rsidP="00B33432">
            <w:pPr>
              <w:spacing w:after="250" w:line="276" w:lineRule="auto"/>
              <w:jc w:val="both"/>
              <w:rPr>
                <w:rFonts w:ascii="Arial" w:hAnsi="Arial" w:cs="Arial"/>
                <w:color w:val="181818"/>
              </w:rPr>
            </w:pPr>
          </w:p>
        </w:tc>
      </w:tr>
      <w:tr w:rsidR="005833FE" w:rsidRPr="00B33432" w14:paraId="7FD6362C" w14:textId="77777777" w:rsidTr="00F278BC">
        <w:tc>
          <w:tcPr>
            <w:tcW w:w="2095" w:type="dxa"/>
          </w:tcPr>
          <w:p w14:paraId="146B0B65" w14:textId="77777777" w:rsidR="00B33432" w:rsidRPr="00B33432" w:rsidRDefault="00B33432" w:rsidP="00B33432">
            <w:pPr>
              <w:spacing w:after="250" w:line="276" w:lineRule="auto"/>
              <w:rPr>
                <w:rFonts w:ascii="Arial" w:hAnsi="Arial" w:cs="Arial"/>
              </w:rPr>
            </w:pPr>
            <w:r w:rsidRPr="00B33432">
              <w:rPr>
                <w:rFonts w:ascii="Arial" w:hAnsi="Arial" w:cs="Arial"/>
              </w:rPr>
              <w:t>11. Real Estate Investment Trusts (‘REITs’)</w:t>
            </w:r>
          </w:p>
        </w:tc>
        <w:tc>
          <w:tcPr>
            <w:tcW w:w="1683" w:type="dxa"/>
          </w:tcPr>
          <w:p w14:paraId="23DE523C" w14:textId="77777777" w:rsidR="00B33432" w:rsidRPr="00B33432" w:rsidRDefault="00B33432" w:rsidP="00B33432">
            <w:pPr>
              <w:spacing w:after="250" w:line="276" w:lineRule="auto"/>
              <w:jc w:val="both"/>
              <w:rPr>
                <w:rFonts w:ascii="Arial" w:hAnsi="Arial" w:cs="Arial"/>
                <w:color w:val="181818"/>
              </w:rPr>
            </w:pPr>
          </w:p>
        </w:tc>
        <w:tc>
          <w:tcPr>
            <w:tcW w:w="1776" w:type="dxa"/>
          </w:tcPr>
          <w:p w14:paraId="52E56223" w14:textId="77777777" w:rsidR="00B33432" w:rsidRPr="00B33432" w:rsidRDefault="00B33432" w:rsidP="00B33432">
            <w:pPr>
              <w:spacing w:after="250" w:line="276" w:lineRule="auto"/>
              <w:jc w:val="both"/>
              <w:rPr>
                <w:rFonts w:ascii="Arial" w:hAnsi="Arial" w:cs="Arial"/>
                <w:color w:val="181818"/>
              </w:rPr>
            </w:pPr>
          </w:p>
        </w:tc>
        <w:tc>
          <w:tcPr>
            <w:tcW w:w="2060" w:type="dxa"/>
          </w:tcPr>
          <w:p w14:paraId="07547A01" w14:textId="77777777" w:rsidR="00B33432" w:rsidRPr="00B33432" w:rsidRDefault="00B33432" w:rsidP="00B33432">
            <w:pPr>
              <w:spacing w:after="250" w:line="276" w:lineRule="auto"/>
              <w:jc w:val="both"/>
              <w:rPr>
                <w:rFonts w:ascii="Arial" w:hAnsi="Arial" w:cs="Arial"/>
                <w:color w:val="181818"/>
              </w:rPr>
            </w:pPr>
          </w:p>
        </w:tc>
        <w:tc>
          <w:tcPr>
            <w:tcW w:w="1706" w:type="dxa"/>
          </w:tcPr>
          <w:p w14:paraId="5043CB0F" w14:textId="77777777" w:rsidR="00B33432" w:rsidRPr="00B33432" w:rsidRDefault="00B33432" w:rsidP="00B33432">
            <w:pPr>
              <w:spacing w:after="250" w:line="276" w:lineRule="auto"/>
              <w:jc w:val="both"/>
              <w:rPr>
                <w:rFonts w:ascii="Arial" w:hAnsi="Arial" w:cs="Arial"/>
                <w:color w:val="181818"/>
              </w:rPr>
            </w:pPr>
          </w:p>
        </w:tc>
      </w:tr>
      <w:tr w:rsidR="005833FE" w:rsidRPr="00B33432" w14:paraId="585437CF" w14:textId="77777777" w:rsidTr="00F278BC">
        <w:tc>
          <w:tcPr>
            <w:tcW w:w="2095" w:type="dxa"/>
          </w:tcPr>
          <w:p w14:paraId="17F5DE1B"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12. Special Purpose Acquisition Companies (‘SPACs’)</w:t>
            </w:r>
          </w:p>
        </w:tc>
        <w:tc>
          <w:tcPr>
            <w:tcW w:w="1683" w:type="dxa"/>
          </w:tcPr>
          <w:p w14:paraId="07459315" w14:textId="77777777" w:rsidR="00B33432" w:rsidRPr="00B33432" w:rsidRDefault="00B33432" w:rsidP="00B33432">
            <w:pPr>
              <w:spacing w:after="250" w:line="276" w:lineRule="auto"/>
              <w:jc w:val="both"/>
              <w:rPr>
                <w:rFonts w:ascii="Arial" w:hAnsi="Arial" w:cs="Arial"/>
                <w:color w:val="181818"/>
              </w:rPr>
            </w:pPr>
          </w:p>
        </w:tc>
        <w:tc>
          <w:tcPr>
            <w:tcW w:w="1776" w:type="dxa"/>
          </w:tcPr>
          <w:p w14:paraId="6537F28F" w14:textId="77777777" w:rsidR="00B33432" w:rsidRPr="00B33432" w:rsidRDefault="00B33432" w:rsidP="00B33432">
            <w:pPr>
              <w:spacing w:after="250" w:line="276" w:lineRule="auto"/>
              <w:jc w:val="both"/>
              <w:rPr>
                <w:rFonts w:ascii="Arial" w:hAnsi="Arial" w:cs="Arial"/>
                <w:color w:val="181818"/>
              </w:rPr>
            </w:pPr>
          </w:p>
        </w:tc>
        <w:tc>
          <w:tcPr>
            <w:tcW w:w="2060" w:type="dxa"/>
          </w:tcPr>
          <w:p w14:paraId="6DFB9E20" w14:textId="77777777" w:rsidR="00B33432" w:rsidRPr="00B33432" w:rsidRDefault="00B33432" w:rsidP="00B33432">
            <w:pPr>
              <w:spacing w:after="250" w:line="276" w:lineRule="auto"/>
              <w:jc w:val="both"/>
              <w:rPr>
                <w:rFonts w:ascii="Arial" w:hAnsi="Arial" w:cs="Arial"/>
                <w:color w:val="181818"/>
              </w:rPr>
            </w:pPr>
          </w:p>
        </w:tc>
        <w:tc>
          <w:tcPr>
            <w:tcW w:w="1706" w:type="dxa"/>
          </w:tcPr>
          <w:p w14:paraId="70DF9E56" w14:textId="77777777" w:rsidR="00B33432" w:rsidRPr="00B33432" w:rsidRDefault="00B33432" w:rsidP="00B33432">
            <w:pPr>
              <w:spacing w:after="250" w:line="276" w:lineRule="auto"/>
              <w:jc w:val="both"/>
              <w:rPr>
                <w:rFonts w:ascii="Arial" w:hAnsi="Arial" w:cs="Arial"/>
                <w:color w:val="181818"/>
              </w:rPr>
            </w:pPr>
          </w:p>
        </w:tc>
      </w:tr>
      <w:tr w:rsidR="005833FE" w:rsidRPr="00B33432" w14:paraId="72D194A9" w14:textId="77777777" w:rsidTr="00F278BC">
        <w:tc>
          <w:tcPr>
            <w:tcW w:w="2095" w:type="dxa"/>
          </w:tcPr>
          <w:p w14:paraId="31158681" w14:textId="77777777" w:rsidR="00B33432" w:rsidRPr="00B33432" w:rsidRDefault="00B33432" w:rsidP="00B33432">
            <w:pPr>
              <w:spacing w:after="250" w:line="276" w:lineRule="auto"/>
              <w:rPr>
                <w:rFonts w:ascii="Arial" w:hAnsi="Arial" w:cs="Arial"/>
              </w:rPr>
            </w:pPr>
            <w:r w:rsidRPr="00B33432">
              <w:rPr>
                <w:rFonts w:ascii="Arial" w:hAnsi="Arial" w:cs="Arial"/>
              </w:rPr>
              <w:t>13. EU AIFs</w:t>
            </w:r>
            <w:r w:rsidRPr="00B33432">
              <w:rPr>
                <w:rFonts w:ascii="Arial" w:hAnsi="Arial" w:cs="Arial"/>
                <w:sz w:val="16"/>
                <w:vertAlign w:val="superscript"/>
              </w:rPr>
              <w:footnoteReference w:id="10"/>
            </w:r>
          </w:p>
        </w:tc>
        <w:tc>
          <w:tcPr>
            <w:tcW w:w="1683" w:type="dxa"/>
          </w:tcPr>
          <w:p w14:paraId="44E871BC" w14:textId="77777777" w:rsidR="00B33432" w:rsidRPr="00B33432" w:rsidRDefault="00B33432" w:rsidP="00B33432">
            <w:pPr>
              <w:spacing w:after="250" w:line="276" w:lineRule="auto"/>
              <w:jc w:val="both"/>
              <w:rPr>
                <w:rFonts w:ascii="Arial" w:hAnsi="Arial" w:cs="Arial"/>
                <w:color w:val="181818"/>
              </w:rPr>
            </w:pPr>
          </w:p>
        </w:tc>
        <w:tc>
          <w:tcPr>
            <w:tcW w:w="1776" w:type="dxa"/>
          </w:tcPr>
          <w:p w14:paraId="144A5D23" w14:textId="77777777" w:rsidR="00B33432" w:rsidRPr="00B33432" w:rsidRDefault="00B33432" w:rsidP="00B33432">
            <w:pPr>
              <w:spacing w:after="250" w:line="276" w:lineRule="auto"/>
              <w:jc w:val="both"/>
              <w:rPr>
                <w:rFonts w:ascii="Arial" w:hAnsi="Arial" w:cs="Arial"/>
                <w:color w:val="181818"/>
              </w:rPr>
            </w:pPr>
          </w:p>
        </w:tc>
        <w:tc>
          <w:tcPr>
            <w:tcW w:w="2060" w:type="dxa"/>
          </w:tcPr>
          <w:p w14:paraId="738610EB" w14:textId="77777777" w:rsidR="00B33432" w:rsidRPr="00B33432" w:rsidRDefault="00B33432" w:rsidP="00B33432">
            <w:pPr>
              <w:spacing w:after="250" w:line="276" w:lineRule="auto"/>
              <w:jc w:val="both"/>
              <w:rPr>
                <w:rFonts w:ascii="Arial" w:hAnsi="Arial" w:cs="Arial"/>
                <w:color w:val="181818"/>
              </w:rPr>
            </w:pPr>
          </w:p>
        </w:tc>
        <w:tc>
          <w:tcPr>
            <w:tcW w:w="1706" w:type="dxa"/>
          </w:tcPr>
          <w:p w14:paraId="637805D2" w14:textId="77777777" w:rsidR="00B33432" w:rsidRPr="00B33432" w:rsidRDefault="00B33432" w:rsidP="00B33432">
            <w:pPr>
              <w:spacing w:after="250" w:line="276" w:lineRule="auto"/>
              <w:jc w:val="both"/>
              <w:rPr>
                <w:rFonts w:ascii="Arial" w:hAnsi="Arial" w:cs="Arial"/>
                <w:color w:val="181818"/>
              </w:rPr>
            </w:pPr>
          </w:p>
        </w:tc>
      </w:tr>
      <w:tr w:rsidR="005833FE" w:rsidRPr="00B33432" w14:paraId="50B47933" w14:textId="77777777" w:rsidTr="00F278BC">
        <w:tc>
          <w:tcPr>
            <w:tcW w:w="2095" w:type="dxa"/>
          </w:tcPr>
          <w:p w14:paraId="5B21E6DB" w14:textId="77777777" w:rsidR="00B33432" w:rsidRPr="00B33432" w:rsidRDefault="00B33432" w:rsidP="00B33432">
            <w:pPr>
              <w:spacing w:after="250" w:line="276" w:lineRule="auto"/>
              <w:rPr>
                <w:rFonts w:ascii="Arial" w:hAnsi="Arial" w:cs="Arial"/>
              </w:rPr>
            </w:pPr>
            <w:r w:rsidRPr="00B33432">
              <w:rPr>
                <w:rFonts w:ascii="Arial" w:hAnsi="Arial" w:cs="Arial"/>
              </w:rPr>
              <w:t>14. Non-EU AIFs</w:t>
            </w:r>
          </w:p>
        </w:tc>
        <w:tc>
          <w:tcPr>
            <w:tcW w:w="1683" w:type="dxa"/>
          </w:tcPr>
          <w:p w14:paraId="463F29E8" w14:textId="77777777" w:rsidR="00B33432" w:rsidRPr="00B33432" w:rsidRDefault="00B33432" w:rsidP="00B33432">
            <w:pPr>
              <w:spacing w:after="250" w:line="276" w:lineRule="auto"/>
              <w:jc w:val="both"/>
              <w:rPr>
                <w:rFonts w:ascii="Arial" w:hAnsi="Arial" w:cs="Arial"/>
                <w:color w:val="181818"/>
              </w:rPr>
            </w:pPr>
          </w:p>
        </w:tc>
        <w:tc>
          <w:tcPr>
            <w:tcW w:w="1776" w:type="dxa"/>
          </w:tcPr>
          <w:p w14:paraId="3B7B4B86" w14:textId="77777777" w:rsidR="00B33432" w:rsidRPr="00B33432" w:rsidRDefault="00B33432" w:rsidP="00B33432">
            <w:pPr>
              <w:spacing w:after="250" w:line="276" w:lineRule="auto"/>
              <w:jc w:val="both"/>
              <w:rPr>
                <w:rFonts w:ascii="Arial" w:hAnsi="Arial" w:cs="Arial"/>
                <w:color w:val="181818"/>
              </w:rPr>
            </w:pPr>
          </w:p>
        </w:tc>
        <w:tc>
          <w:tcPr>
            <w:tcW w:w="2060" w:type="dxa"/>
          </w:tcPr>
          <w:p w14:paraId="3A0FF5F2" w14:textId="77777777" w:rsidR="00B33432" w:rsidRPr="00B33432" w:rsidRDefault="00B33432" w:rsidP="00B33432">
            <w:pPr>
              <w:spacing w:after="250" w:line="276" w:lineRule="auto"/>
              <w:jc w:val="both"/>
              <w:rPr>
                <w:rFonts w:ascii="Arial" w:hAnsi="Arial" w:cs="Arial"/>
                <w:color w:val="181818"/>
              </w:rPr>
            </w:pPr>
          </w:p>
        </w:tc>
        <w:tc>
          <w:tcPr>
            <w:tcW w:w="1706" w:type="dxa"/>
          </w:tcPr>
          <w:p w14:paraId="5630AD66" w14:textId="77777777" w:rsidR="00B33432" w:rsidRPr="00B33432" w:rsidRDefault="00B33432" w:rsidP="00B33432">
            <w:pPr>
              <w:spacing w:after="250" w:line="276" w:lineRule="auto"/>
              <w:jc w:val="both"/>
              <w:rPr>
                <w:rFonts w:ascii="Arial" w:hAnsi="Arial" w:cs="Arial"/>
                <w:color w:val="181818"/>
              </w:rPr>
            </w:pPr>
          </w:p>
        </w:tc>
      </w:tr>
      <w:tr w:rsidR="005833FE" w:rsidRPr="00B33432" w14:paraId="5A25875C" w14:textId="77777777" w:rsidTr="00F278BC">
        <w:tc>
          <w:tcPr>
            <w:tcW w:w="2095" w:type="dxa"/>
          </w:tcPr>
          <w:p w14:paraId="0BD070FC" w14:textId="77777777" w:rsidR="00B33432" w:rsidRPr="00B33432" w:rsidRDefault="00B33432" w:rsidP="00B33432">
            <w:pPr>
              <w:spacing w:after="250" w:line="276" w:lineRule="auto"/>
              <w:rPr>
                <w:rFonts w:ascii="Arial" w:hAnsi="Arial" w:cs="Arial"/>
              </w:rPr>
            </w:pPr>
            <w:r w:rsidRPr="00B33432">
              <w:rPr>
                <w:rFonts w:ascii="Arial" w:hAnsi="Arial" w:cs="Arial"/>
              </w:rPr>
              <w:t>15. Emission allowances</w:t>
            </w:r>
          </w:p>
        </w:tc>
        <w:tc>
          <w:tcPr>
            <w:tcW w:w="1683" w:type="dxa"/>
          </w:tcPr>
          <w:p w14:paraId="61829076" w14:textId="77777777" w:rsidR="00B33432" w:rsidRPr="00B33432" w:rsidRDefault="00B33432" w:rsidP="00B33432">
            <w:pPr>
              <w:spacing w:after="250" w:line="276" w:lineRule="auto"/>
              <w:jc w:val="both"/>
              <w:rPr>
                <w:rFonts w:ascii="Arial" w:hAnsi="Arial" w:cs="Arial"/>
                <w:color w:val="181818"/>
              </w:rPr>
            </w:pPr>
          </w:p>
        </w:tc>
        <w:tc>
          <w:tcPr>
            <w:tcW w:w="1776" w:type="dxa"/>
          </w:tcPr>
          <w:p w14:paraId="2BA226A1" w14:textId="77777777" w:rsidR="00B33432" w:rsidRPr="00B33432" w:rsidRDefault="00B33432" w:rsidP="00B33432">
            <w:pPr>
              <w:spacing w:after="250" w:line="276" w:lineRule="auto"/>
              <w:jc w:val="both"/>
              <w:rPr>
                <w:rFonts w:ascii="Arial" w:hAnsi="Arial" w:cs="Arial"/>
                <w:color w:val="181818"/>
              </w:rPr>
            </w:pPr>
          </w:p>
        </w:tc>
        <w:tc>
          <w:tcPr>
            <w:tcW w:w="2060" w:type="dxa"/>
          </w:tcPr>
          <w:p w14:paraId="17AD93B2" w14:textId="77777777" w:rsidR="00B33432" w:rsidRPr="00B33432" w:rsidRDefault="00B33432" w:rsidP="00B33432">
            <w:pPr>
              <w:spacing w:after="250" w:line="276" w:lineRule="auto"/>
              <w:jc w:val="both"/>
              <w:rPr>
                <w:rFonts w:ascii="Arial" w:hAnsi="Arial" w:cs="Arial"/>
                <w:color w:val="181818"/>
              </w:rPr>
            </w:pPr>
          </w:p>
        </w:tc>
        <w:tc>
          <w:tcPr>
            <w:tcW w:w="1706" w:type="dxa"/>
          </w:tcPr>
          <w:p w14:paraId="0DE4B5B7" w14:textId="77777777" w:rsidR="00B33432" w:rsidRPr="00B33432" w:rsidRDefault="00B33432" w:rsidP="00B33432">
            <w:pPr>
              <w:spacing w:after="250" w:line="276" w:lineRule="auto"/>
              <w:jc w:val="both"/>
              <w:rPr>
                <w:rFonts w:ascii="Arial" w:hAnsi="Arial" w:cs="Arial"/>
                <w:color w:val="181818"/>
              </w:rPr>
            </w:pPr>
          </w:p>
        </w:tc>
      </w:tr>
      <w:tr w:rsidR="005833FE" w:rsidRPr="00B33432" w14:paraId="4663360E" w14:textId="77777777" w:rsidTr="00F278BC">
        <w:tc>
          <w:tcPr>
            <w:tcW w:w="2095" w:type="dxa"/>
          </w:tcPr>
          <w:p w14:paraId="556F47DB" w14:textId="77777777" w:rsidR="00B33432" w:rsidRPr="00B33432" w:rsidRDefault="00B33432" w:rsidP="00B33432">
            <w:pPr>
              <w:spacing w:after="250" w:line="276" w:lineRule="auto"/>
              <w:rPr>
                <w:rFonts w:ascii="Arial" w:hAnsi="Arial" w:cs="Arial"/>
              </w:rPr>
            </w:pPr>
            <w:r w:rsidRPr="00B33432">
              <w:rPr>
                <w:rFonts w:ascii="Arial" w:hAnsi="Arial" w:cs="Arial"/>
              </w:rPr>
              <w:t>16. Delta-one instruments</w:t>
            </w:r>
          </w:p>
        </w:tc>
        <w:tc>
          <w:tcPr>
            <w:tcW w:w="1683" w:type="dxa"/>
          </w:tcPr>
          <w:p w14:paraId="66204FF1" w14:textId="77777777" w:rsidR="00B33432" w:rsidRPr="00B33432" w:rsidRDefault="00B33432" w:rsidP="00B33432">
            <w:pPr>
              <w:spacing w:after="250" w:line="276" w:lineRule="auto"/>
              <w:jc w:val="both"/>
              <w:rPr>
                <w:rFonts w:ascii="Arial" w:hAnsi="Arial" w:cs="Arial"/>
                <w:color w:val="181818"/>
              </w:rPr>
            </w:pPr>
          </w:p>
        </w:tc>
        <w:tc>
          <w:tcPr>
            <w:tcW w:w="1776" w:type="dxa"/>
          </w:tcPr>
          <w:p w14:paraId="2DBF0D7D" w14:textId="77777777" w:rsidR="00B33432" w:rsidRPr="00B33432" w:rsidRDefault="00B33432" w:rsidP="00B33432">
            <w:pPr>
              <w:spacing w:after="250" w:line="276" w:lineRule="auto"/>
              <w:jc w:val="both"/>
              <w:rPr>
                <w:rFonts w:ascii="Arial" w:hAnsi="Arial" w:cs="Arial"/>
                <w:color w:val="181818"/>
              </w:rPr>
            </w:pPr>
          </w:p>
        </w:tc>
        <w:tc>
          <w:tcPr>
            <w:tcW w:w="2060" w:type="dxa"/>
          </w:tcPr>
          <w:p w14:paraId="6B62F1B3" w14:textId="77777777" w:rsidR="00B33432" w:rsidRPr="00B33432" w:rsidRDefault="00B33432" w:rsidP="00B33432">
            <w:pPr>
              <w:spacing w:after="250" w:line="276" w:lineRule="auto"/>
              <w:jc w:val="both"/>
              <w:rPr>
                <w:rFonts w:ascii="Arial" w:hAnsi="Arial" w:cs="Arial"/>
                <w:color w:val="181818"/>
              </w:rPr>
            </w:pPr>
          </w:p>
        </w:tc>
        <w:tc>
          <w:tcPr>
            <w:tcW w:w="1706" w:type="dxa"/>
          </w:tcPr>
          <w:p w14:paraId="02F2C34E" w14:textId="77777777" w:rsidR="00B33432" w:rsidRPr="00B33432" w:rsidRDefault="00B33432" w:rsidP="00B33432">
            <w:pPr>
              <w:spacing w:after="250" w:line="276" w:lineRule="auto"/>
              <w:jc w:val="both"/>
              <w:rPr>
                <w:rFonts w:ascii="Arial" w:hAnsi="Arial" w:cs="Arial"/>
                <w:color w:val="181818"/>
              </w:rPr>
            </w:pPr>
          </w:p>
        </w:tc>
      </w:tr>
      <w:tr w:rsidR="005833FE" w:rsidRPr="00B33432" w14:paraId="6004F4E8" w14:textId="77777777" w:rsidTr="00F278BC">
        <w:tc>
          <w:tcPr>
            <w:tcW w:w="2095" w:type="dxa"/>
          </w:tcPr>
          <w:p w14:paraId="73D5771C" w14:textId="77777777" w:rsidR="00B33432" w:rsidRPr="00B33432" w:rsidRDefault="00B33432" w:rsidP="00B33432">
            <w:pPr>
              <w:spacing w:after="250" w:line="276" w:lineRule="auto"/>
              <w:rPr>
                <w:rFonts w:ascii="Arial" w:hAnsi="Arial" w:cs="Arial"/>
              </w:rPr>
            </w:pPr>
            <w:r w:rsidRPr="00B33432">
              <w:rPr>
                <w:rFonts w:ascii="Arial" w:hAnsi="Arial" w:cs="Arial"/>
              </w:rPr>
              <w:t>17. Exchange-traded notes (‘ETNs’)</w:t>
            </w:r>
          </w:p>
        </w:tc>
        <w:tc>
          <w:tcPr>
            <w:tcW w:w="1683" w:type="dxa"/>
          </w:tcPr>
          <w:p w14:paraId="680A4E5D" w14:textId="77777777" w:rsidR="00B33432" w:rsidRPr="00B33432" w:rsidRDefault="00B33432" w:rsidP="00B33432">
            <w:pPr>
              <w:spacing w:after="250" w:line="276" w:lineRule="auto"/>
              <w:jc w:val="both"/>
              <w:rPr>
                <w:rFonts w:ascii="Arial" w:hAnsi="Arial" w:cs="Arial"/>
                <w:color w:val="181818"/>
              </w:rPr>
            </w:pPr>
          </w:p>
        </w:tc>
        <w:tc>
          <w:tcPr>
            <w:tcW w:w="1776" w:type="dxa"/>
          </w:tcPr>
          <w:p w14:paraId="19219836" w14:textId="77777777" w:rsidR="00B33432" w:rsidRPr="00B33432" w:rsidRDefault="00B33432" w:rsidP="00B33432">
            <w:pPr>
              <w:spacing w:after="250" w:line="276" w:lineRule="auto"/>
              <w:jc w:val="both"/>
              <w:rPr>
                <w:rFonts w:ascii="Arial" w:hAnsi="Arial" w:cs="Arial"/>
                <w:color w:val="181818"/>
              </w:rPr>
            </w:pPr>
          </w:p>
        </w:tc>
        <w:tc>
          <w:tcPr>
            <w:tcW w:w="2060" w:type="dxa"/>
          </w:tcPr>
          <w:p w14:paraId="296FEF7D" w14:textId="77777777" w:rsidR="00B33432" w:rsidRPr="00B33432" w:rsidRDefault="00B33432" w:rsidP="00B33432">
            <w:pPr>
              <w:spacing w:after="250" w:line="276" w:lineRule="auto"/>
              <w:jc w:val="both"/>
              <w:rPr>
                <w:rFonts w:ascii="Arial" w:hAnsi="Arial" w:cs="Arial"/>
                <w:color w:val="181818"/>
              </w:rPr>
            </w:pPr>
          </w:p>
        </w:tc>
        <w:tc>
          <w:tcPr>
            <w:tcW w:w="1706" w:type="dxa"/>
          </w:tcPr>
          <w:p w14:paraId="7194DBDC" w14:textId="77777777" w:rsidR="00B33432" w:rsidRPr="00B33432" w:rsidRDefault="00B33432" w:rsidP="00B33432">
            <w:pPr>
              <w:spacing w:after="250" w:line="276" w:lineRule="auto"/>
              <w:jc w:val="both"/>
              <w:rPr>
                <w:rFonts w:ascii="Arial" w:hAnsi="Arial" w:cs="Arial"/>
                <w:color w:val="181818"/>
              </w:rPr>
            </w:pPr>
          </w:p>
        </w:tc>
      </w:tr>
      <w:tr w:rsidR="005833FE" w:rsidRPr="00B33432" w14:paraId="66BB473F" w14:textId="77777777" w:rsidTr="00F278BC">
        <w:tc>
          <w:tcPr>
            <w:tcW w:w="2095" w:type="dxa"/>
          </w:tcPr>
          <w:p w14:paraId="08FCC5EB" w14:textId="77777777" w:rsidR="00B33432" w:rsidRPr="00B33432" w:rsidRDefault="00B33432" w:rsidP="00B33432">
            <w:pPr>
              <w:spacing w:after="250" w:line="276" w:lineRule="auto"/>
              <w:rPr>
                <w:rFonts w:ascii="Arial" w:hAnsi="Arial" w:cs="Arial"/>
              </w:rPr>
            </w:pPr>
            <w:r w:rsidRPr="00B33432">
              <w:rPr>
                <w:rFonts w:ascii="Arial" w:hAnsi="Arial" w:cs="Arial"/>
              </w:rPr>
              <w:t>18. Asset-backed securities (‘ABS’) including mortgage-backed securities (‘MBS’)</w:t>
            </w:r>
          </w:p>
        </w:tc>
        <w:tc>
          <w:tcPr>
            <w:tcW w:w="1683" w:type="dxa"/>
          </w:tcPr>
          <w:p w14:paraId="769D0D3C" w14:textId="77777777" w:rsidR="00B33432" w:rsidRPr="00B33432" w:rsidRDefault="00B33432" w:rsidP="00B33432">
            <w:pPr>
              <w:spacing w:after="250" w:line="276" w:lineRule="auto"/>
              <w:jc w:val="both"/>
              <w:rPr>
                <w:rFonts w:ascii="Arial" w:hAnsi="Arial" w:cs="Arial"/>
                <w:color w:val="181818"/>
              </w:rPr>
            </w:pPr>
          </w:p>
        </w:tc>
        <w:tc>
          <w:tcPr>
            <w:tcW w:w="1776" w:type="dxa"/>
          </w:tcPr>
          <w:p w14:paraId="54CD245A" w14:textId="77777777" w:rsidR="00B33432" w:rsidRPr="00B33432" w:rsidRDefault="00B33432" w:rsidP="00B33432">
            <w:pPr>
              <w:spacing w:after="250" w:line="276" w:lineRule="auto"/>
              <w:jc w:val="both"/>
              <w:rPr>
                <w:rFonts w:ascii="Arial" w:hAnsi="Arial" w:cs="Arial"/>
                <w:color w:val="181818"/>
              </w:rPr>
            </w:pPr>
          </w:p>
        </w:tc>
        <w:tc>
          <w:tcPr>
            <w:tcW w:w="2060" w:type="dxa"/>
          </w:tcPr>
          <w:p w14:paraId="1231BE67" w14:textId="77777777" w:rsidR="00B33432" w:rsidRPr="00B33432" w:rsidRDefault="00B33432" w:rsidP="00B33432">
            <w:pPr>
              <w:spacing w:after="250" w:line="276" w:lineRule="auto"/>
              <w:jc w:val="both"/>
              <w:rPr>
                <w:rFonts w:ascii="Arial" w:hAnsi="Arial" w:cs="Arial"/>
                <w:color w:val="181818"/>
              </w:rPr>
            </w:pPr>
          </w:p>
        </w:tc>
        <w:tc>
          <w:tcPr>
            <w:tcW w:w="1706" w:type="dxa"/>
          </w:tcPr>
          <w:p w14:paraId="36FEB5B0" w14:textId="77777777" w:rsidR="00B33432" w:rsidRPr="00B33432" w:rsidRDefault="00B33432" w:rsidP="00B33432">
            <w:pPr>
              <w:spacing w:after="250" w:line="276" w:lineRule="auto"/>
              <w:jc w:val="both"/>
              <w:rPr>
                <w:rFonts w:ascii="Arial" w:hAnsi="Arial" w:cs="Arial"/>
                <w:color w:val="181818"/>
              </w:rPr>
            </w:pPr>
          </w:p>
        </w:tc>
      </w:tr>
      <w:tr w:rsidR="005833FE" w:rsidRPr="00B33432" w14:paraId="16623728" w14:textId="77777777" w:rsidTr="00F278BC">
        <w:tc>
          <w:tcPr>
            <w:tcW w:w="2095" w:type="dxa"/>
          </w:tcPr>
          <w:p w14:paraId="2D5FBB9B" w14:textId="77777777" w:rsidR="00B33432" w:rsidRPr="00B33432" w:rsidRDefault="00B33432" w:rsidP="00B33432">
            <w:pPr>
              <w:spacing w:after="250" w:line="276" w:lineRule="auto"/>
              <w:rPr>
                <w:rFonts w:ascii="Arial" w:hAnsi="Arial" w:cs="Arial"/>
              </w:rPr>
            </w:pPr>
            <w:r w:rsidRPr="00B33432">
              <w:rPr>
                <w:rFonts w:ascii="Arial" w:hAnsi="Arial" w:cs="Arial"/>
              </w:rPr>
              <w:t>19. Other relevant asset classes (please specify)</w:t>
            </w:r>
          </w:p>
        </w:tc>
        <w:tc>
          <w:tcPr>
            <w:tcW w:w="1683" w:type="dxa"/>
          </w:tcPr>
          <w:p w14:paraId="30D7AA69" w14:textId="77777777" w:rsidR="00B33432" w:rsidRPr="00B33432" w:rsidRDefault="00B33432" w:rsidP="00B33432">
            <w:pPr>
              <w:spacing w:after="250" w:line="276" w:lineRule="auto"/>
              <w:jc w:val="both"/>
              <w:rPr>
                <w:rFonts w:ascii="Arial" w:hAnsi="Arial" w:cs="Arial"/>
                <w:color w:val="181818"/>
              </w:rPr>
            </w:pPr>
          </w:p>
        </w:tc>
        <w:tc>
          <w:tcPr>
            <w:tcW w:w="1776" w:type="dxa"/>
          </w:tcPr>
          <w:p w14:paraId="7196D064" w14:textId="77777777" w:rsidR="00B33432" w:rsidRPr="00B33432" w:rsidRDefault="00B33432" w:rsidP="00B33432">
            <w:pPr>
              <w:spacing w:after="250" w:line="276" w:lineRule="auto"/>
              <w:jc w:val="both"/>
              <w:rPr>
                <w:rFonts w:ascii="Arial" w:hAnsi="Arial" w:cs="Arial"/>
                <w:color w:val="181818"/>
              </w:rPr>
            </w:pPr>
          </w:p>
        </w:tc>
        <w:tc>
          <w:tcPr>
            <w:tcW w:w="2060" w:type="dxa"/>
          </w:tcPr>
          <w:p w14:paraId="34FF1C98" w14:textId="77777777" w:rsidR="00B33432" w:rsidRPr="00B33432" w:rsidRDefault="00B33432" w:rsidP="00B33432">
            <w:pPr>
              <w:spacing w:after="250" w:line="276" w:lineRule="auto"/>
              <w:jc w:val="both"/>
              <w:rPr>
                <w:rFonts w:ascii="Arial" w:hAnsi="Arial" w:cs="Arial"/>
                <w:color w:val="181818"/>
              </w:rPr>
            </w:pPr>
          </w:p>
        </w:tc>
        <w:tc>
          <w:tcPr>
            <w:tcW w:w="1706" w:type="dxa"/>
          </w:tcPr>
          <w:p w14:paraId="6D072C0D" w14:textId="77777777" w:rsidR="00B33432" w:rsidRPr="00B33432" w:rsidRDefault="00B33432" w:rsidP="00B33432">
            <w:pPr>
              <w:spacing w:after="250" w:line="276" w:lineRule="auto"/>
              <w:jc w:val="both"/>
              <w:rPr>
                <w:rFonts w:ascii="Arial" w:hAnsi="Arial" w:cs="Arial"/>
                <w:color w:val="181818"/>
              </w:rPr>
            </w:pPr>
          </w:p>
        </w:tc>
      </w:tr>
    </w:tbl>
    <w:p w14:paraId="48A21919" w14:textId="77777777" w:rsidR="00B33432" w:rsidRPr="00B33432" w:rsidRDefault="00B33432" w:rsidP="00B33432">
      <w:pPr>
        <w:spacing w:after="120" w:line="276" w:lineRule="auto"/>
        <w:jc w:val="both"/>
        <w:rPr>
          <w:rFonts w:ascii="Arial" w:eastAsia="MS PGothic" w:hAnsi="Arial" w:cs="Arial"/>
          <w:color w:val="181818"/>
          <w:szCs w:val="20"/>
        </w:rPr>
      </w:pPr>
    </w:p>
    <w:p w14:paraId="65B36762" w14:textId="77777777" w:rsidR="003916BE" w:rsidRDefault="003916BE">
      <w:pPr>
        <w:rPr>
          <w:b/>
          <w:bCs/>
        </w:rPr>
      </w:pPr>
    </w:p>
    <w:p w14:paraId="30AEC0F9" w14:textId="77777777" w:rsidR="003916BE" w:rsidRDefault="003916BE">
      <w:pPr>
        <w:rPr>
          <w:b/>
          <w:bCs/>
        </w:rPr>
      </w:pPr>
    </w:p>
    <w:p w14:paraId="6AC75FAF" w14:textId="77777777" w:rsidR="003916BE" w:rsidRDefault="003916BE">
      <w:pPr>
        <w:rPr>
          <w:b/>
          <w:bCs/>
        </w:rPr>
      </w:pPr>
    </w:p>
    <w:p w14:paraId="3361D1E8" w14:textId="77777777" w:rsidR="003916BE" w:rsidRDefault="003916BE">
      <w:pPr>
        <w:rPr>
          <w:b/>
          <w:bCs/>
        </w:rPr>
      </w:pPr>
    </w:p>
    <w:p w14:paraId="209597A8" w14:textId="77777777" w:rsidR="00490507" w:rsidRDefault="00490507">
      <w:pPr>
        <w:rPr>
          <w:b/>
          <w:bCs/>
        </w:rPr>
      </w:pPr>
    </w:p>
    <w:p w14:paraId="46649826" w14:textId="77777777" w:rsidR="00490507" w:rsidRDefault="00490507">
      <w:pPr>
        <w:rPr>
          <w:b/>
          <w:bCs/>
        </w:rPr>
      </w:pPr>
    </w:p>
    <w:p w14:paraId="21FC8B06" w14:textId="77777777" w:rsidR="00490507" w:rsidRDefault="00490507">
      <w:pPr>
        <w:rPr>
          <w:b/>
          <w:bCs/>
        </w:rPr>
      </w:pPr>
    </w:p>
    <w:p w14:paraId="4A8998A5" w14:textId="77777777" w:rsidR="00490507" w:rsidRDefault="00490507">
      <w:pPr>
        <w:rPr>
          <w:b/>
          <w:bCs/>
        </w:rPr>
      </w:pPr>
    </w:p>
    <w:p w14:paraId="0C9923B7" w14:textId="77777777" w:rsidR="00490507" w:rsidRDefault="00490507">
      <w:pPr>
        <w:rPr>
          <w:b/>
          <w:bCs/>
        </w:rPr>
      </w:pPr>
    </w:p>
    <w:p w14:paraId="6BD18F9B" w14:textId="77E514CB" w:rsidR="004C269D" w:rsidRDefault="005833FE">
      <w:pPr>
        <w:rPr>
          <w:b/>
          <w:bCs/>
        </w:rPr>
      </w:pPr>
      <w:r>
        <w:rPr>
          <w:b/>
          <w:bCs/>
        </w:rPr>
        <w:lastRenderedPageBreak/>
        <w:t xml:space="preserve">Data on defaults by CLO 2.0 issuers </w:t>
      </w:r>
      <w:r w:rsidR="003916BE">
        <w:rPr>
          <w:b/>
          <w:bCs/>
        </w:rPr>
        <w:t>(source: S&amp;P Global)</w:t>
      </w:r>
    </w:p>
    <w:p w14:paraId="3B482521" w14:textId="3FC4C403" w:rsidR="005833FE" w:rsidRPr="005833FE" w:rsidRDefault="005833FE">
      <w:pPr>
        <w:rPr>
          <w:b/>
          <w:bCs/>
        </w:rPr>
      </w:pPr>
      <w:r>
        <w:rPr>
          <w:noProof/>
          <w:sz w:val="24"/>
          <w:szCs w:val="24"/>
          <w:lang w:eastAsia="en-GB"/>
        </w:rPr>
        <w:drawing>
          <wp:inline distT="0" distB="0" distL="0" distR="0" wp14:anchorId="2DB77079" wp14:editId="2D5FCAC2">
            <wp:extent cx="5731510" cy="2620010"/>
            <wp:effectExtent l="0" t="0" r="2540" b="8890"/>
            <wp:docPr id="885360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60374" name="Picture 1" descr="A screenshot of a repor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31510" cy="2620010"/>
                    </a:xfrm>
                    <a:prstGeom prst="rect">
                      <a:avLst/>
                    </a:prstGeom>
                    <a:noFill/>
                    <a:ln>
                      <a:noFill/>
                    </a:ln>
                  </pic:spPr>
                </pic:pic>
              </a:graphicData>
            </a:graphic>
          </wp:inline>
        </w:drawing>
      </w:r>
    </w:p>
    <w:sectPr w:rsidR="005833FE" w:rsidRPr="005833F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55287" w14:textId="77777777" w:rsidR="00F77C10" w:rsidRDefault="00F77C10" w:rsidP="00B33432">
      <w:pPr>
        <w:spacing w:after="0" w:line="240" w:lineRule="auto"/>
      </w:pPr>
      <w:r>
        <w:separator/>
      </w:r>
    </w:p>
  </w:endnote>
  <w:endnote w:type="continuationSeparator" w:id="0">
    <w:p w14:paraId="13D354AF" w14:textId="77777777" w:rsidR="00F77C10" w:rsidRDefault="00F77C10" w:rsidP="00B33432">
      <w:pPr>
        <w:spacing w:after="0" w:line="240" w:lineRule="auto"/>
      </w:pPr>
      <w:r>
        <w:continuationSeparator/>
      </w:r>
    </w:p>
  </w:endnote>
  <w:endnote w:type="continuationNotice" w:id="1">
    <w:p w14:paraId="0520458F" w14:textId="77777777" w:rsidR="00F77C10" w:rsidRDefault="00F77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22403" w14:textId="77777777" w:rsidR="00BB334E" w:rsidRDefault="00BB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A4384" w14:textId="77777777" w:rsidR="00BB334E" w:rsidRDefault="00BB3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7783" w14:textId="77777777" w:rsidR="00BB334E" w:rsidRDefault="00BB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F722A" w14:textId="77777777" w:rsidR="00F77C10" w:rsidRDefault="00F77C10" w:rsidP="00B33432">
      <w:pPr>
        <w:spacing w:after="0" w:line="240" w:lineRule="auto"/>
      </w:pPr>
      <w:r>
        <w:separator/>
      </w:r>
    </w:p>
  </w:footnote>
  <w:footnote w:type="continuationSeparator" w:id="0">
    <w:p w14:paraId="0C71AD41" w14:textId="77777777" w:rsidR="00F77C10" w:rsidRDefault="00F77C10" w:rsidP="00B33432">
      <w:pPr>
        <w:spacing w:after="0" w:line="240" w:lineRule="auto"/>
      </w:pPr>
      <w:r>
        <w:continuationSeparator/>
      </w:r>
    </w:p>
  </w:footnote>
  <w:footnote w:type="continuationNotice" w:id="1">
    <w:p w14:paraId="0DAC1260" w14:textId="77777777" w:rsidR="00F77C10" w:rsidRDefault="00F77C10">
      <w:pPr>
        <w:spacing w:after="0" w:line="240" w:lineRule="auto"/>
      </w:pPr>
    </w:p>
  </w:footnote>
  <w:footnote w:id="2">
    <w:p w14:paraId="53A506E4"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ESMA acknowledges that most of the asset classes listed below have not been clearly defined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include under this column any other evidence or views that you would like to share. </w:t>
      </w:r>
    </w:p>
  </w:footnote>
  <w:footnote w:id="6">
    <w:p w14:paraId="34D4CF9B"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leveraged/structured loans, collateralised loan obligations (CLOs) and other types of loans or loan participations (please specify).</w:t>
      </w:r>
    </w:p>
  </w:footnote>
  <w:footnote w:id="7">
    <w:p w14:paraId="48EF4E2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private companies and (2) shares in public companies that that are not listed.</w:t>
      </w:r>
    </w:p>
  </w:footnote>
  <w:footnote w:id="8">
    <w:p w14:paraId="156E5F1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crypto assets and whether the implementation of MICA will change anything in terms of your assessment. </w:t>
      </w:r>
      <w:bookmarkStart w:id="0"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0"/>
    </w:p>
  </w:footnote>
  <w:footnote w:id="9">
    <w:p w14:paraId="4A59E86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t>
      </w:r>
      <w:bookmarkStart w:id="1" w:name="_Hlk163456407"/>
      <w:r w:rsidRPr="00332B8C">
        <w:rPr>
          <w:rFonts w:ascii="Arial" w:hAnsi="Arial" w:cs="Arial"/>
        </w:rPr>
        <w:t>With respect to indirect exposures, ESMA is particularly interested in stakeholder input on ETFs with commodities/precious metals as underlying.</w:t>
      </w:r>
      <w:bookmarkEnd w:id="1"/>
      <w:r w:rsidRPr="00332B8C">
        <w:rPr>
          <w:rFonts w:ascii="Arial" w:hAnsi="Arial" w:cs="Arial"/>
        </w:rPr>
        <w:t xml:space="preserve"> Please note that under the current UCITS rules, precious metals and certificates representing them are not eligible (Article 50(2)(b) of the UCITS Directive).</w:t>
      </w:r>
    </w:p>
  </w:footnote>
  <w:footnote w:id="10">
    <w:p w14:paraId="09998020"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9089" w14:textId="77777777" w:rsidR="00BB334E" w:rsidRDefault="00BB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3DE6B" w14:textId="77777777" w:rsidR="00BB334E" w:rsidRDefault="00BB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361BB"/>
    <w:multiLevelType w:val="hybridMultilevel"/>
    <w:tmpl w:val="73D66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3602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2"/>
    <w:rsid w:val="00023D31"/>
    <w:rsid w:val="00025A1B"/>
    <w:rsid w:val="00050BF8"/>
    <w:rsid w:val="00065543"/>
    <w:rsid w:val="00067CE6"/>
    <w:rsid w:val="000C6088"/>
    <w:rsid w:val="000D6E83"/>
    <w:rsid w:val="00122CD0"/>
    <w:rsid w:val="001301D9"/>
    <w:rsid w:val="00144A98"/>
    <w:rsid w:val="001462AD"/>
    <w:rsid w:val="00150222"/>
    <w:rsid w:val="00152FEF"/>
    <w:rsid w:val="00162CAE"/>
    <w:rsid w:val="0017743F"/>
    <w:rsid w:val="001A53B9"/>
    <w:rsid w:val="001B11A8"/>
    <w:rsid w:val="001E7485"/>
    <w:rsid w:val="00203EF5"/>
    <w:rsid w:val="002072B4"/>
    <w:rsid w:val="00243F87"/>
    <w:rsid w:val="0025199F"/>
    <w:rsid w:val="0026434D"/>
    <w:rsid w:val="00264F16"/>
    <w:rsid w:val="00266B15"/>
    <w:rsid w:val="002829AC"/>
    <w:rsid w:val="00282BD2"/>
    <w:rsid w:val="00284DFC"/>
    <w:rsid w:val="00290E24"/>
    <w:rsid w:val="002A740A"/>
    <w:rsid w:val="002D58CD"/>
    <w:rsid w:val="002D6186"/>
    <w:rsid w:val="002F58FB"/>
    <w:rsid w:val="00304E46"/>
    <w:rsid w:val="00325DB2"/>
    <w:rsid w:val="00332B8C"/>
    <w:rsid w:val="0035372F"/>
    <w:rsid w:val="003916BE"/>
    <w:rsid w:val="00394809"/>
    <w:rsid w:val="003A6B50"/>
    <w:rsid w:val="003D2C3C"/>
    <w:rsid w:val="003E6639"/>
    <w:rsid w:val="0040029B"/>
    <w:rsid w:val="00402910"/>
    <w:rsid w:val="004508C5"/>
    <w:rsid w:val="004664E3"/>
    <w:rsid w:val="00470FA5"/>
    <w:rsid w:val="0048151A"/>
    <w:rsid w:val="00490507"/>
    <w:rsid w:val="004C269D"/>
    <w:rsid w:val="004F280B"/>
    <w:rsid w:val="00501AC4"/>
    <w:rsid w:val="0050210B"/>
    <w:rsid w:val="00502D1C"/>
    <w:rsid w:val="0051598D"/>
    <w:rsid w:val="00523239"/>
    <w:rsid w:val="00537FD1"/>
    <w:rsid w:val="00544A7D"/>
    <w:rsid w:val="00546B72"/>
    <w:rsid w:val="00554F00"/>
    <w:rsid w:val="00556DBB"/>
    <w:rsid w:val="00557028"/>
    <w:rsid w:val="00580D8A"/>
    <w:rsid w:val="005833FE"/>
    <w:rsid w:val="005846C0"/>
    <w:rsid w:val="00594512"/>
    <w:rsid w:val="005A35D5"/>
    <w:rsid w:val="005A365F"/>
    <w:rsid w:val="005A6BF0"/>
    <w:rsid w:val="005C1551"/>
    <w:rsid w:val="005C347A"/>
    <w:rsid w:val="005E0910"/>
    <w:rsid w:val="005E31F2"/>
    <w:rsid w:val="005E75CC"/>
    <w:rsid w:val="00605E0B"/>
    <w:rsid w:val="00611825"/>
    <w:rsid w:val="0061475B"/>
    <w:rsid w:val="00671025"/>
    <w:rsid w:val="00686D73"/>
    <w:rsid w:val="006A0B50"/>
    <w:rsid w:val="006B6977"/>
    <w:rsid w:val="006B7B4A"/>
    <w:rsid w:val="006C47BC"/>
    <w:rsid w:val="006C7811"/>
    <w:rsid w:val="00712439"/>
    <w:rsid w:val="00735E83"/>
    <w:rsid w:val="007457BD"/>
    <w:rsid w:val="00753DB8"/>
    <w:rsid w:val="00781546"/>
    <w:rsid w:val="00784D7C"/>
    <w:rsid w:val="00794019"/>
    <w:rsid w:val="007A589D"/>
    <w:rsid w:val="00817444"/>
    <w:rsid w:val="008351CF"/>
    <w:rsid w:val="00847BDD"/>
    <w:rsid w:val="0087027F"/>
    <w:rsid w:val="008A3E3D"/>
    <w:rsid w:val="008B6D19"/>
    <w:rsid w:val="008C4D04"/>
    <w:rsid w:val="008D1492"/>
    <w:rsid w:val="008D48E5"/>
    <w:rsid w:val="00901098"/>
    <w:rsid w:val="00915CEE"/>
    <w:rsid w:val="00920E73"/>
    <w:rsid w:val="009212B4"/>
    <w:rsid w:val="009244B3"/>
    <w:rsid w:val="00951595"/>
    <w:rsid w:val="00967D76"/>
    <w:rsid w:val="00971266"/>
    <w:rsid w:val="00997493"/>
    <w:rsid w:val="009A3E35"/>
    <w:rsid w:val="009F7052"/>
    <w:rsid w:val="009F7F67"/>
    <w:rsid w:val="00A032DE"/>
    <w:rsid w:val="00A13B25"/>
    <w:rsid w:val="00A338CF"/>
    <w:rsid w:val="00A35853"/>
    <w:rsid w:val="00A53BC9"/>
    <w:rsid w:val="00A73913"/>
    <w:rsid w:val="00A74149"/>
    <w:rsid w:val="00A85F46"/>
    <w:rsid w:val="00A87A31"/>
    <w:rsid w:val="00A87C58"/>
    <w:rsid w:val="00A90FA9"/>
    <w:rsid w:val="00A91152"/>
    <w:rsid w:val="00AE6FD6"/>
    <w:rsid w:val="00AF3545"/>
    <w:rsid w:val="00AF55C3"/>
    <w:rsid w:val="00B019DA"/>
    <w:rsid w:val="00B01DB8"/>
    <w:rsid w:val="00B33432"/>
    <w:rsid w:val="00B53F54"/>
    <w:rsid w:val="00B626E5"/>
    <w:rsid w:val="00B62E29"/>
    <w:rsid w:val="00B90F41"/>
    <w:rsid w:val="00B93076"/>
    <w:rsid w:val="00B95880"/>
    <w:rsid w:val="00BB334E"/>
    <w:rsid w:val="00BB49D8"/>
    <w:rsid w:val="00BC577D"/>
    <w:rsid w:val="00BD4295"/>
    <w:rsid w:val="00BD7454"/>
    <w:rsid w:val="00BF61E3"/>
    <w:rsid w:val="00C06FE4"/>
    <w:rsid w:val="00C17CFD"/>
    <w:rsid w:val="00C202C8"/>
    <w:rsid w:val="00C242FA"/>
    <w:rsid w:val="00C365B4"/>
    <w:rsid w:val="00C36669"/>
    <w:rsid w:val="00C4131B"/>
    <w:rsid w:val="00C745C1"/>
    <w:rsid w:val="00C77CCF"/>
    <w:rsid w:val="00C95659"/>
    <w:rsid w:val="00CA6D8C"/>
    <w:rsid w:val="00CB1B38"/>
    <w:rsid w:val="00CD6F07"/>
    <w:rsid w:val="00CF043C"/>
    <w:rsid w:val="00CF0B7A"/>
    <w:rsid w:val="00D01FE5"/>
    <w:rsid w:val="00D10784"/>
    <w:rsid w:val="00D16F57"/>
    <w:rsid w:val="00D45009"/>
    <w:rsid w:val="00D6002F"/>
    <w:rsid w:val="00D64553"/>
    <w:rsid w:val="00D86E5D"/>
    <w:rsid w:val="00D9720F"/>
    <w:rsid w:val="00DD67D7"/>
    <w:rsid w:val="00DF78BC"/>
    <w:rsid w:val="00E40A49"/>
    <w:rsid w:val="00E771B9"/>
    <w:rsid w:val="00E87C61"/>
    <w:rsid w:val="00ED4BC9"/>
    <w:rsid w:val="00EE4C70"/>
    <w:rsid w:val="00EE5B1A"/>
    <w:rsid w:val="00EF2185"/>
    <w:rsid w:val="00F02F1A"/>
    <w:rsid w:val="00F03868"/>
    <w:rsid w:val="00F03D56"/>
    <w:rsid w:val="00F042E8"/>
    <w:rsid w:val="00F278BC"/>
    <w:rsid w:val="00F5738E"/>
    <w:rsid w:val="00F61388"/>
    <w:rsid w:val="00F7458F"/>
    <w:rsid w:val="00F77C10"/>
    <w:rsid w:val="00F92D6A"/>
    <w:rsid w:val="00FB3EA8"/>
    <w:rsid w:val="00FC4846"/>
    <w:rsid w:val="00FD12FD"/>
    <w:rsid w:val="00FE6B1B"/>
    <w:rsid w:val="00FF17AE"/>
    <w:rsid w:val="06C380F5"/>
    <w:rsid w:val="095C8AB7"/>
    <w:rsid w:val="0CAEFC23"/>
    <w:rsid w:val="0EBCB8B4"/>
    <w:rsid w:val="1AFD8AD6"/>
    <w:rsid w:val="28CED790"/>
    <w:rsid w:val="2A636CE1"/>
    <w:rsid w:val="3DB91EF3"/>
    <w:rsid w:val="3FE99FEE"/>
    <w:rsid w:val="47F6D3D0"/>
    <w:rsid w:val="50D66E22"/>
    <w:rsid w:val="53D130EB"/>
    <w:rsid w:val="606EC105"/>
    <w:rsid w:val="66107C87"/>
    <w:rsid w:val="7C53680C"/>
    <w:rsid w:val="7D9B8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7B325"/>
  <w15:chartTrackingRefBased/>
  <w15:docId w15:val="{F0F16392-A36C-48A7-B6A1-DF2E3C58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432"/>
    <w:rPr>
      <w:sz w:val="20"/>
      <w:szCs w:val="20"/>
    </w:rPr>
  </w:style>
  <w:style w:type="table" w:customStyle="1" w:styleId="Tablenone1">
    <w:name w:val="Table none1"/>
    <w:basedOn w:val="TableNormal"/>
    <w:next w:val="TableGrid"/>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DefaultParagraphFont"/>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Normal"/>
    <w:link w:val="Ref1"/>
    <w:uiPriority w:val="99"/>
    <w:rsid w:val="00B33432"/>
    <w:pPr>
      <w:spacing w:before="120" w:line="240" w:lineRule="exact"/>
    </w:pPr>
    <w:rPr>
      <w:rFonts w:ascii="Arial" w:eastAsia="MS PGothic" w:hAnsi="Arial"/>
      <w:sz w:val="16"/>
      <w:szCs w:val="20"/>
      <w:vertAlign w:val="superscript"/>
      <w:lang w:val="nl-BE"/>
    </w:rPr>
  </w:style>
  <w:style w:type="table" w:styleId="TableGrid">
    <w:name w:val="Table Grid"/>
    <w:basedOn w:val="TableNormal"/>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33432"/>
    <w:rPr>
      <w:vertAlign w:val="superscript"/>
    </w:rPr>
  </w:style>
  <w:style w:type="paragraph" w:styleId="Header">
    <w:name w:val="header"/>
    <w:basedOn w:val="Normal"/>
    <w:link w:val="HeaderChar"/>
    <w:uiPriority w:val="99"/>
    <w:unhideWhenUsed/>
    <w:rsid w:val="00F0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56"/>
  </w:style>
  <w:style w:type="paragraph" w:styleId="Footer">
    <w:name w:val="footer"/>
    <w:basedOn w:val="Normal"/>
    <w:link w:val="FooterChar"/>
    <w:uiPriority w:val="99"/>
    <w:unhideWhenUsed/>
    <w:rsid w:val="00F0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56"/>
  </w:style>
  <w:style w:type="paragraph" w:styleId="BalloonText">
    <w:name w:val="Balloon Text"/>
    <w:basedOn w:val="Normal"/>
    <w:link w:val="BalloonTextChar"/>
    <w:uiPriority w:val="99"/>
    <w:semiHidden/>
    <w:unhideWhenUsed/>
    <w:rsid w:val="002D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6"/>
    <w:rPr>
      <w:rFonts w:ascii="Segoe UI" w:hAnsi="Segoe UI" w:cs="Segoe UI"/>
      <w:sz w:val="18"/>
      <w:szCs w:val="18"/>
    </w:rPr>
  </w:style>
  <w:style w:type="character" w:styleId="Hyperlink">
    <w:name w:val="Hyperlink"/>
    <w:basedOn w:val="DefaultParagraphFont"/>
    <w:uiPriority w:val="99"/>
    <w:unhideWhenUsed/>
    <w:rsid w:val="00901098"/>
    <w:rPr>
      <w:color w:val="0563C1" w:themeColor="hyperlink"/>
      <w:u w:val="single"/>
    </w:rPr>
  </w:style>
  <w:style w:type="character" w:styleId="UnresolvedMention">
    <w:name w:val="Unresolved Mention"/>
    <w:basedOn w:val="DefaultParagraphFont"/>
    <w:uiPriority w:val="99"/>
    <w:semiHidden/>
    <w:unhideWhenUsed/>
    <w:rsid w:val="00901098"/>
    <w:rPr>
      <w:color w:val="605E5C"/>
      <w:shd w:val="clear" w:color="auto" w:fill="E1DFDD"/>
    </w:rPr>
  </w:style>
  <w:style w:type="character" w:styleId="FollowedHyperlink">
    <w:name w:val="FollowedHyperlink"/>
    <w:basedOn w:val="DefaultParagraphFont"/>
    <w:uiPriority w:val="99"/>
    <w:semiHidden/>
    <w:unhideWhenUsed/>
    <w:rsid w:val="00901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957563">
      <w:bodyDiv w:val="1"/>
      <w:marLeft w:val="0"/>
      <w:marRight w:val="0"/>
      <w:marTop w:val="0"/>
      <w:marBottom w:val="0"/>
      <w:divBdr>
        <w:top w:val="none" w:sz="0" w:space="0" w:color="auto"/>
        <w:left w:val="none" w:sz="0" w:space="0" w:color="auto"/>
        <w:bottom w:val="none" w:sz="0" w:space="0" w:color="auto"/>
        <w:right w:val="none" w:sz="0" w:space="0" w:color="auto"/>
      </w:divBdr>
    </w:div>
    <w:div w:id="10339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AD2B3.2C75AF6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press-news/consultations/call-evidence-review-ucits-eligible-assets-directiv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gacyDocumentID xmlns="c5328c40-880a-4585-bbf1-a57e1cb97092" xsi:nil="true"/>
    <WorkType xmlns="c5328c40-880a-4585-bbf1-a57e1cb97092" xsi:nil="true"/>
    <ClientNumber xmlns="c5328c40-880a-4585-bbf1-a57e1cb97092" xsi:nil="true"/>
    <DocumentOwner xmlns="c5328c40-880a-4585-bbf1-a57e1cb97092">
      <UserInfo>
        <DisplayName/>
        <AccountId xsi:nil="true"/>
        <AccountType/>
      </UserInfo>
    </DocumentOwner>
    <ClientName xmlns="c5328c40-880a-4585-bbf1-a57e1cb97092" xsi:nil="true"/>
    <ClientReference xmlns="c5328c40-880a-4585-bbf1-a57e1cb97092" xsi:nil="true"/>
    <CCOffice xmlns="c5328c40-880a-4585-bbf1-a57e1cb97092">UK</CCOffice>
    <LegacyInformation xmlns="c5328c40-880a-4585-bbf1-a57e1cb97092" xsi:nil="true"/>
    <MatterStatus xmlns="c5328c40-880a-4585-bbf1-a57e1cb97092">Current</MatterStatus>
    <LegalTopicTaxHTField0 xmlns="c5328c40-880a-4585-bbf1-a57e1cb97092" xsi:nil="true"/>
    <MatterNumber xmlns="c5328c40-880a-4585-bbf1-a57e1cb97092">UK-3999-LMA</MatterNumber>
    <PracticeGroup xmlns="c5328c40-880a-4585-bbf1-a57e1cb97092">B&amp;F Central Support</PracticeGroup>
    <LegalDocumentTypeTaxHTField0 xmlns="c5328c40-880a-4585-bbf1-a57e1cb97092" xsi:nil="true"/>
    <MatterName xmlns="c5328c40-880a-4585-bbf1-a57e1cb97092">UK-3999-LMA</MatterName>
    <TaxCatchAll xmlns="c5328c40-880a-4585-bbf1-a57e1cb97092" xsi:nil="true"/>
    <JurisdictionTaxHTField0 xmlns="c5328c40-880a-4585-bbf1-a57e1cb97092" xsi:nil="true"/>
    <KeyDocument xmlns="c5328c40-880a-4585-bbf1-a57e1cb97092">false</KeyDocument>
    <PracticeArea xmlns="c5328c40-880a-4585-bbf1-a57e1cb97092">Capital Markets</PracticeArea>
    <ConfigListSynch xmlns="c5328c40-880a-4585-bbf1-a57e1cb97092" xsi:nil="true"/>
    <SectorTaxHTField0 xmlns="c5328c40-880a-4585-bbf1-a57e1cb970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egal Document" ma:contentTypeID="0x01010082D0B51EEABE574695EDDA2BB52A09600100FC37C1A2FAEFC04E96274E12E86F3DC7" ma:contentTypeVersion="45" ma:contentTypeDescription="Stores client and matter information common to all Legal Documents" ma:contentTypeScope="" ma:versionID="7d20f44b9745f688470c52326f7f3d83">
  <xsd:schema xmlns:xsd="http://www.w3.org/2001/XMLSchema" xmlns:xs="http://www.w3.org/2001/XMLSchema" xmlns:p="http://schemas.microsoft.com/office/2006/metadata/properties" xmlns:ns2="c5328c40-880a-4585-bbf1-a57e1cb97092" xmlns:ns3="b4cc91d8-8109-41b2-8baa-2405b18da33c" targetNamespace="http://schemas.microsoft.com/office/2006/metadata/properties" ma:root="true" ma:fieldsID="d1ccc41c43aeebd3ba905a2f0e39e4a6" ns2:_="" ns3:_="">
    <xsd:import namespace="c5328c40-880a-4585-bbf1-a57e1cb97092"/>
    <xsd:import namespace="b4cc91d8-8109-41b2-8baa-2405b18da33c"/>
    <xsd:element name="properties">
      <xsd:complexType>
        <xsd:sequence>
          <xsd:element name="documentManagement">
            <xsd:complexType>
              <xsd:all>
                <xsd:element ref="ns2:DocumentOwner" minOccurs="0"/>
                <xsd:element ref="ns2:LegacyDocumentID" minOccurs="0"/>
                <xsd:element ref="ns2:LegacyInformation" minOccurs="0"/>
                <xsd:element ref="ns2:KeyDocument"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2:DocumentIcons" minOccurs="0"/>
                <xsd:element ref="ns2:WorkType" minOccurs="0"/>
                <xsd:element ref="ns2:ConfigListSynch" minOccurs="0"/>
                <xsd:element ref="ns2:TaxCatchAl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TaxCatchAllLabel" minOccurs="0"/>
                <xsd:element ref="ns2:SectorTaxHTField0" minOccurs="0"/>
                <xsd:element ref="ns2:LegalDocumentTypeTaxHTField0" minOccurs="0"/>
                <xsd:element ref="ns2:LegalTopicTaxHTField0" minOccurs="0"/>
                <xsd:element ref="ns2:JurisdictionTaxHTField0"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28c40-880a-4585-bbf1-a57e1cb97092" elementFormDefault="qualified">
    <xsd:import namespace="http://schemas.microsoft.com/office/2006/documentManagement/types"/>
    <xsd:import namespace="http://schemas.microsoft.com/office/infopath/2007/PartnerControls"/>
    <xsd:element name="DocumentOwner" ma:index="4" nillable="true" ma:displayName="Document Owner" ma:indexed="true" ma:list="UserInfo" ma:SearchPeopleOnly="false"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5" nillable="true" ma:displayName="Legacy Document ID" ma:internalName="LegacyDocumentID" ma:readOnly="false">
      <xsd:simpleType>
        <xsd:restriction base="dms:Text">
          <xsd:maxLength value="255"/>
        </xsd:restriction>
      </xsd:simpleType>
    </xsd:element>
    <xsd:element name="LegacyInformation" ma:index="6" nillable="true" ma:displayName="Legacy Information" ma:internalName="LegacyInformation" ma:readOnly="false">
      <xsd:simpleType>
        <xsd:restriction base="dms:Note"/>
      </xsd:simpleType>
    </xsd:element>
    <xsd:element name="KeyDocument" ma:index="7" nillable="true" ma:displayName="Key Document" ma:default="0" ma:indexed="true" ma:internalName="KeyDocument" ma:readOnly="false">
      <xsd:simpleType>
        <xsd:restriction base="dms:Boolean"/>
      </xsd:simpleType>
    </xsd:element>
    <xsd:element name="MatterNumber" ma:index="8" nillable="true" ma:displayName="Matter Number" ma:default="UK-3999-LMA" ma:internalName="MatterNumber" ma:readOnly="false">
      <xsd:simpleType>
        <xsd:restriction base="dms:Text">
          <xsd:maxLength value="15"/>
        </xsd:restriction>
      </xsd:simpleType>
    </xsd:element>
    <xsd:element name="MatterName" ma:index="9" nillable="true" ma:displayName="Matter Name" ma:default="UK-3999-LMA" ma:internalName="MatterName" ma:readOnly="false">
      <xsd:simpleType>
        <xsd:restriction base="dms:Text">
          <xsd:maxLength value="255"/>
        </xsd:restriction>
      </xsd:simpleType>
    </xsd:element>
    <xsd:element name="MatterStatus" ma:index="10" nillable="true" ma:displayName="Matter Status" ma:default="Current" ma:format="Dropdown" ma:internalName="MatterStatus" ma:readOnly="false">
      <xsd:simpleType>
        <xsd:restriction base="dms:Choice">
          <xsd:enumeration value="Current"/>
          <xsd:enumeration value="Dormant"/>
        </xsd:restriction>
      </xsd:simpleType>
    </xsd:element>
    <xsd:element name="ClientNumber" ma:index="11" nillable="true" ma:displayName="Client Number" ma:internalName="ClientNumber" ma:readOnly="false">
      <xsd:simpleType>
        <xsd:restriction base="dms:Text">
          <xsd:maxLength value="50"/>
        </xsd:restriction>
      </xsd:simpleType>
    </xsd:element>
    <xsd:element name="ClientName" ma:index="12" nillable="true" ma:displayName="Client Name" ma:internalName="ClientName" ma:readOnly="false">
      <xsd:simpleType>
        <xsd:restriction base="dms:Text">
          <xsd:maxLength value="255"/>
        </xsd:restriction>
      </xsd:simpleType>
    </xsd:element>
    <xsd:element name="ClientReference" ma:index="13" nillable="true" ma:displayName="Client Reference" ma:internalName="ClientReference" ma:readOnly="false">
      <xsd:simpleType>
        <xsd:restriction base="dms:Text">
          <xsd:maxLength value="255"/>
        </xsd:restriction>
      </xsd:simpleType>
    </xsd:element>
    <xsd:element name="CCOffice" ma:index="14" nillable="true" ma:displayName="CC Office" ma:default="UK" ma:internalName="CCOffice" ma:readOnly="false">
      <xsd:simpleType>
        <xsd:restriction base="dms:Text">
          <xsd:maxLength value="255"/>
        </xsd:restriction>
      </xsd:simpleType>
    </xsd:element>
    <xsd:element name="PracticeArea" ma:index="15" nillable="true" ma:displayName="Practice Area" ma:default="Capital Markets" ma:internalName="PracticeArea" ma:readOnly="false">
      <xsd:simpleType>
        <xsd:restriction base="dms:Text">
          <xsd:maxLength value="255"/>
        </xsd:restriction>
      </xsd:simpleType>
    </xsd:element>
    <xsd:element name="PracticeGroup" ma:index="16" nillable="true" ma:displayName="Practice Group" ma:default="B&amp;F Central Support" ma:internalName="PracticeGroup" ma:readOnly="false">
      <xsd:simpleType>
        <xsd:restriction base="dms:Text">
          <xsd:maxLength value="255"/>
        </xsd:restriction>
      </xsd:simpleType>
    </xsd:element>
    <xsd:element name="DocumentIcons" ma:index="17" nillable="true" ma:displayName="Relationship Icons" ma:internalName="DocumentIcons" ma:readOnly="true">
      <xsd:simpleType>
        <xsd:restriction base="dms:Note"/>
      </xsd:simpleType>
    </xsd:element>
    <xsd:element name="WorkType" ma:index="18" nillable="true" ma:displayName="Work Type" ma:internalName="WorkType" ma:readOnly="false">
      <xsd:simpleType>
        <xsd:restriction base="dms:Text">
          <xsd:maxLength value="255"/>
        </xsd:restriction>
      </xsd:simpleType>
    </xsd:element>
    <xsd:element name="ConfigListSynch" ma:index="21" nillable="true" ma:displayName="Config List Synch" ma:format="DateTime" ma:hidden="true" ma:internalName="ConfigListSynch" ma:readOnly="false">
      <xsd:simpleType>
        <xsd:restriction base="dms:DateTime"/>
      </xsd:simpleType>
    </xsd:element>
    <xsd:element name="TaxCatchAll" ma:index="24" nillable="true" ma:displayName="Taxonomy Catch All Column" ma:hidden="true" ma:list="{8df1a563-0ce5-47a8-8451-311dde5dd33e}" ma:internalName="TaxCatchAll" ma:readOnly="false" ma:showField="CatchAllData" ma:web="c5328c40-880a-4585-bbf1-a57e1cb9709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Label" ma:index="33" nillable="true" ma:displayName="Taxonomy Catch All Column1" ma:hidden="true" ma:list="{8df1a563-0ce5-47a8-8451-311dde5dd33e}" ma:internalName="TaxCatchAllLabel" ma:readOnly="true" ma:showField="CatchAllDataLabel" ma:web="c5328c40-880a-4585-bbf1-a57e1cb97092">
      <xsd:complexType>
        <xsd:complexContent>
          <xsd:extension base="dms:MultiChoiceLookup">
            <xsd:sequence>
              <xsd:element name="Value" type="dms:Lookup" maxOccurs="unbounded" minOccurs="0" nillable="true"/>
            </xsd:sequence>
          </xsd:extension>
        </xsd:complexContent>
      </xsd:complexType>
    </xsd:element>
    <xsd:element name="SectorTaxHTField0" ma:index="34" nillable="true" ma:displayName="Sector_0" ma:hidden="true" ma:internalName="SectorTaxHTField0" ma:readOnly="false">
      <xsd:simpleType>
        <xsd:restriction base="dms:Note"/>
      </xsd:simpleType>
    </xsd:element>
    <xsd:element name="LegalDocumentTypeTaxHTField0" ma:index="35" nillable="true" ma:displayName="LegalDocumentType_0" ma:hidden="true" ma:internalName="LegalDocumentTypeTaxHTField0" ma:readOnly="false">
      <xsd:simpleType>
        <xsd:restriction base="dms:Note"/>
      </xsd:simpleType>
    </xsd:element>
    <xsd:element name="LegalTopicTaxHTField0" ma:index="36" nillable="true" ma:displayName="LegalTopic_0" ma:hidden="true" ma:internalName="LegalTopicTaxHTField0" ma:readOnly="false">
      <xsd:simpleType>
        <xsd:restriction base="dms:Note"/>
      </xsd:simpleType>
    </xsd:element>
    <xsd:element name="JurisdictionTaxHTField0" ma:index="37" nillable="true" ma:displayName="Jurisdiction_0" ma:hidden="true" ma:internalName="Jurisdiction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c91d8-8109-41b2-8baa-2405b18da33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description="" ma:hidden="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 E M E A ! 1 0 2 9 2 9 4 2 2 3 6 . 2 < / d o c u m e n t i d >  
     < s e n d e r i d > 9 3 6 3 6 9 < / s e n d e r i d >  
     < s e n d e r e m a i l > C H A R L O T T E . C H O P P I N G @ C L I F F O R D C H A N C E . C O M < / s e n d e r e m a i l >  
     < l a s t m o d i f i e d > 2 0 2 4 - 0 8 - 0 7 T 1 2 : 1 7 : 0 0 . 0 0 0 0 0 0 0 + 0 1 : 0 0 < / l a s t m o d i f i e d >  
     < d a t a b a s e > E M E A < / 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DBCE2-F0C2-4231-8B60-01B345CBDB07}">
  <ds:schemaRefs>
    <ds:schemaRef ds:uri="http://schemas.microsoft.com/office/2006/metadata/properties"/>
    <ds:schemaRef ds:uri="http://schemas.microsoft.com/office/infopath/2007/PartnerControls"/>
    <ds:schemaRef ds:uri="c5328c40-880a-4585-bbf1-a57e1cb97092"/>
  </ds:schemaRefs>
</ds:datastoreItem>
</file>

<file path=customXml/itemProps2.xml><?xml version="1.0" encoding="utf-8"?>
<ds:datastoreItem xmlns:ds="http://schemas.openxmlformats.org/officeDocument/2006/customXml" ds:itemID="{E6C2B963-7666-476B-A840-6255C11C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28c40-880a-4585-bbf1-a57e1cb97092"/>
    <ds:schemaRef ds:uri="b4cc91d8-8109-41b2-8baa-2405b18da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6C877-EE20-4069-ADE1-A8C8E70DA93B}">
  <ds:schemaRefs>
    <ds:schemaRef ds:uri="http://www.imanage.com/work/xmlschema"/>
  </ds:schemaRefs>
</ds:datastoreItem>
</file>

<file path=customXml/itemProps4.xml><?xml version="1.0" encoding="utf-8"?>
<ds:datastoreItem xmlns:ds="http://schemas.openxmlformats.org/officeDocument/2006/customXml" ds:itemID="{BD89FC73-13EB-432C-8699-37C0EC25C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776</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Traynor, Pearse (GFM-LON)</dc:creator>
  <cp:lastModifiedBy>Odelia Loke</cp:lastModifiedBy>
  <cp:revision>4</cp:revision>
  <cp:lastPrinted>2024-08-07T10:26:00Z</cp:lastPrinted>
  <dcterms:created xsi:type="dcterms:W3CDTF">2024-08-07T11:46:00Z</dcterms:created>
  <dcterms:modified xsi:type="dcterms:W3CDTF">2024-08-07T11:59:00Z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10292942236-v2</vt:lpwstr>
  </property>
  <property fmtid="{D5CDD505-2E9C-101B-9397-08002B2CF9AE}" pid="3" name="CCMatter">
    <vt:lpwstr>70-41076826</vt:lpwstr>
  </property>
  <property fmtid="{D5CDD505-2E9C-101B-9397-08002B2CF9AE}" pid="4" name="ContentTypeId">
    <vt:lpwstr>0x01010082D0B51EEABE574695EDDA2BB52A09600100FC37C1A2FAEFC04E96274E12E86F3DC7</vt:lpwstr>
  </property>
</Properties>
</file>