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EF7FE" w14:textId="05BFA884" w:rsidR="66107C87" w:rsidRDefault="7C53680C" w:rsidP="3FE99FEE">
      <w:pPr>
        <w:spacing w:after="250" w:line="276" w:lineRule="auto"/>
        <w:jc w:val="both"/>
        <w:rPr>
          <w:rFonts w:ascii="Arial" w:eastAsia="MS PGothic" w:hAnsi="Arial" w:cs="Arial"/>
          <w:b/>
          <w:bCs/>
          <w:color w:val="181818"/>
        </w:rPr>
      </w:pPr>
      <w:r w:rsidRPr="28CED790">
        <w:rPr>
          <w:rFonts w:ascii="Arial" w:eastAsia="MS PGothic" w:hAnsi="Arial" w:cs="Arial"/>
          <w:b/>
          <w:bCs/>
          <w:color w:val="181818"/>
        </w:rPr>
        <w:t xml:space="preserve">Annex </w:t>
      </w:r>
      <w:r w:rsidR="2A636CE1" w:rsidRPr="28CED790">
        <w:rPr>
          <w:rFonts w:ascii="Arial" w:eastAsia="MS PGothic" w:hAnsi="Arial" w:cs="Arial"/>
          <w:b/>
          <w:bCs/>
          <w:color w:val="181818"/>
        </w:rPr>
        <w:t xml:space="preserve">– </w:t>
      </w:r>
      <w:r w:rsidR="002F58FB" w:rsidRPr="002F58FB">
        <w:rPr>
          <w:rFonts w:ascii="Arial" w:eastAsia="MS PGothic" w:hAnsi="Arial" w:cs="Arial"/>
          <w:b/>
          <w:bCs/>
          <w:color w:val="181818"/>
        </w:rPr>
        <w:t>Question 20</w:t>
      </w:r>
      <w:r w:rsidR="00394809">
        <w:rPr>
          <w:rFonts w:ascii="Arial" w:eastAsia="MS PGothic" w:hAnsi="Arial" w:cs="Arial"/>
          <w:b/>
          <w:bCs/>
          <w:color w:val="181818"/>
        </w:rPr>
        <w:t>.</w:t>
      </w:r>
      <w:r w:rsidR="002D58CD">
        <w:rPr>
          <w:rFonts w:ascii="Arial" w:eastAsia="MS PGothic" w:hAnsi="Arial" w:cs="Arial"/>
          <w:b/>
          <w:bCs/>
          <w:color w:val="181818"/>
        </w:rPr>
        <w:t xml:space="preserve"> </w:t>
      </w:r>
      <w:r w:rsidR="00394809">
        <w:rPr>
          <w:rFonts w:ascii="Arial" w:eastAsia="MS PGothic" w:hAnsi="Arial" w:cs="Arial"/>
          <w:b/>
          <w:bCs/>
          <w:color w:val="181818"/>
        </w:rPr>
        <w:t>T</w:t>
      </w:r>
      <w:r w:rsidR="002D58CD">
        <w:rPr>
          <w:rFonts w:ascii="Arial" w:eastAsia="MS PGothic" w:hAnsi="Arial" w:cs="Arial"/>
          <w:b/>
          <w:bCs/>
          <w:color w:val="181818"/>
        </w:rPr>
        <w:t xml:space="preserve">able on </w:t>
      </w:r>
      <w:r w:rsidR="0048151A">
        <w:rPr>
          <w:rFonts w:ascii="Arial" w:eastAsia="MS PGothic" w:hAnsi="Arial" w:cs="Arial"/>
          <w:b/>
          <w:bCs/>
          <w:color w:val="181818"/>
        </w:rPr>
        <w:t xml:space="preserve">eligible assets </w:t>
      </w:r>
      <w:r w:rsidR="002F58FB" w:rsidRPr="002F58FB">
        <w:rPr>
          <w:rFonts w:ascii="Arial" w:eastAsia="MS PGothic" w:hAnsi="Arial" w:cs="Arial"/>
          <w:b/>
          <w:bCs/>
          <w:color w:val="181818"/>
        </w:rPr>
        <w:t>UCITS EAD</w:t>
      </w:r>
      <w:r w:rsidR="53D130EB" w:rsidRPr="28CED790">
        <w:rPr>
          <w:rFonts w:ascii="Arial" w:eastAsia="MS PGothic" w:hAnsi="Arial" w:cs="Arial"/>
          <w:b/>
          <w:bCs/>
          <w:color w:val="181818"/>
        </w:rPr>
        <w:t xml:space="preserve">. </w:t>
      </w:r>
    </w:p>
    <w:p w14:paraId="10145F69" w14:textId="4B8E6890" w:rsidR="00554F00" w:rsidRDefault="002F58FB" w:rsidP="3FE99FEE">
      <w:pPr>
        <w:spacing w:after="250" w:line="276" w:lineRule="auto"/>
        <w:jc w:val="both"/>
        <w:rPr>
          <w:rFonts w:ascii="Arial" w:eastAsia="MS PGothic" w:hAnsi="Arial" w:cs="Arial"/>
          <w:color w:val="181818"/>
        </w:rPr>
      </w:pPr>
      <w:r w:rsidRPr="002F58FB">
        <w:rPr>
          <w:rFonts w:ascii="Arial" w:eastAsia="MS PGothic" w:hAnsi="Arial" w:cs="Arial"/>
          <w:color w:val="181818"/>
          <w:szCs w:val="20"/>
        </w:rPr>
        <w:t xml:space="preserve">For the purposes of Question 20, please </w:t>
      </w:r>
      <w:r w:rsidR="00A87C58">
        <w:rPr>
          <w:rFonts w:ascii="Arial" w:eastAsia="MS PGothic" w:hAnsi="Arial" w:cs="Arial"/>
          <w:color w:val="181818"/>
          <w:szCs w:val="20"/>
        </w:rPr>
        <w:t>complete</w:t>
      </w:r>
      <w:r w:rsidRPr="002F58FB">
        <w:rPr>
          <w:rFonts w:ascii="Arial" w:eastAsia="MS PGothic" w:hAnsi="Arial" w:cs="Arial"/>
          <w:color w:val="181818"/>
          <w:szCs w:val="20"/>
        </w:rPr>
        <w:t xml:space="preserve"> the table </w:t>
      </w:r>
      <w:r w:rsidR="006C47BC">
        <w:rPr>
          <w:rFonts w:ascii="Arial" w:eastAsia="MS PGothic" w:hAnsi="Arial" w:cs="Arial"/>
          <w:color w:val="181818"/>
          <w:szCs w:val="20"/>
        </w:rPr>
        <w:t>below</w:t>
      </w:r>
      <w:r w:rsidRPr="002F58FB">
        <w:rPr>
          <w:rFonts w:ascii="Arial" w:eastAsia="MS PGothic" w:hAnsi="Arial" w:cs="Arial"/>
          <w:color w:val="181818"/>
          <w:szCs w:val="20"/>
        </w:rPr>
        <w:t xml:space="preserve"> with the requested information</w:t>
      </w:r>
      <w:r w:rsidR="00F042E8">
        <w:rPr>
          <w:rFonts w:ascii="Arial" w:eastAsia="MS PGothic" w:hAnsi="Arial" w:cs="Arial"/>
          <w:color w:val="181818"/>
          <w:szCs w:val="20"/>
        </w:rPr>
        <w:t xml:space="preserve">, </w:t>
      </w:r>
      <w:proofErr w:type="gramStart"/>
      <w:r w:rsidR="00F042E8">
        <w:rPr>
          <w:rFonts w:ascii="Arial" w:eastAsia="MS PGothic" w:hAnsi="Arial" w:cs="Arial"/>
          <w:color w:val="181818"/>
          <w:szCs w:val="20"/>
        </w:rPr>
        <w:t>taking into account</w:t>
      </w:r>
      <w:proofErr w:type="gramEnd"/>
      <w:r w:rsidR="00F042E8">
        <w:rPr>
          <w:rFonts w:ascii="Arial" w:eastAsia="MS PGothic" w:hAnsi="Arial" w:cs="Arial"/>
          <w:color w:val="181818"/>
          <w:szCs w:val="20"/>
        </w:rPr>
        <w:t xml:space="preserve"> the instructions </w:t>
      </w:r>
      <w:r w:rsidR="00FB3EA8">
        <w:rPr>
          <w:rFonts w:ascii="Arial" w:eastAsia="MS PGothic" w:hAnsi="Arial" w:cs="Arial"/>
          <w:color w:val="181818"/>
          <w:szCs w:val="20"/>
        </w:rPr>
        <w:t xml:space="preserve">provided in </w:t>
      </w:r>
      <w:r w:rsidR="006B7B4A">
        <w:rPr>
          <w:rFonts w:ascii="Arial" w:eastAsia="MS PGothic" w:hAnsi="Arial" w:cs="Arial"/>
          <w:color w:val="181818"/>
          <w:szCs w:val="20"/>
        </w:rPr>
        <w:t>the footnotes</w:t>
      </w:r>
      <w:r w:rsidRPr="002F58FB">
        <w:rPr>
          <w:rFonts w:ascii="Arial" w:eastAsia="MS PGothic" w:hAnsi="Arial" w:cs="Arial"/>
          <w:color w:val="181818"/>
          <w:szCs w:val="20"/>
        </w:rPr>
        <w:t xml:space="preserve">. After </w:t>
      </w:r>
      <w:r w:rsidR="003D2C3C">
        <w:rPr>
          <w:rFonts w:ascii="Arial" w:eastAsia="MS PGothic" w:hAnsi="Arial" w:cs="Arial"/>
          <w:color w:val="181818"/>
          <w:szCs w:val="20"/>
        </w:rPr>
        <w:t>having</w:t>
      </w:r>
      <w:r w:rsidRPr="002F58FB">
        <w:rPr>
          <w:rFonts w:ascii="Arial" w:eastAsia="MS PGothic" w:hAnsi="Arial" w:cs="Arial"/>
          <w:color w:val="181818"/>
          <w:szCs w:val="20"/>
        </w:rPr>
        <w:t xml:space="preserve"> </w:t>
      </w:r>
      <w:r w:rsidR="00F042E8">
        <w:rPr>
          <w:rFonts w:ascii="Arial" w:eastAsia="MS PGothic" w:hAnsi="Arial" w:cs="Arial"/>
          <w:color w:val="181818"/>
          <w:szCs w:val="20"/>
        </w:rPr>
        <w:t xml:space="preserve">completed </w:t>
      </w:r>
      <w:r w:rsidRPr="002F58FB">
        <w:rPr>
          <w:rFonts w:ascii="Arial" w:eastAsia="MS PGothic" w:hAnsi="Arial" w:cs="Arial"/>
          <w:color w:val="181818"/>
          <w:szCs w:val="20"/>
        </w:rPr>
        <w:t xml:space="preserve">the form, </w:t>
      </w:r>
      <w:r w:rsidR="00FD12FD">
        <w:rPr>
          <w:rFonts w:ascii="Arial" w:eastAsia="MS PGothic" w:hAnsi="Arial" w:cs="Arial"/>
          <w:color w:val="181818"/>
          <w:szCs w:val="20"/>
        </w:rPr>
        <w:t xml:space="preserve">please </w:t>
      </w:r>
      <w:r w:rsidRPr="002F58FB">
        <w:rPr>
          <w:rFonts w:ascii="Arial" w:eastAsia="MS PGothic" w:hAnsi="Arial" w:cs="Arial"/>
          <w:color w:val="181818"/>
          <w:szCs w:val="20"/>
        </w:rPr>
        <w:t xml:space="preserve">save the document </w:t>
      </w:r>
      <w:r w:rsidR="0040029B">
        <w:rPr>
          <w:rFonts w:ascii="Arial" w:eastAsia="MS PGothic" w:hAnsi="Arial" w:cs="Arial"/>
          <w:color w:val="181818"/>
          <w:szCs w:val="20"/>
        </w:rPr>
        <w:t>(</w:t>
      </w:r>
      <w:r w:rsidR="00FE6B1B">
        <w:rPr>
          <w:rFonts w:ascii="Arial" w:eastAsia="MS PGothic" w:hAnsi="Arial" w:cs="Arial"/>
          <w:color w:val="181818"/>
          <w:szCs w:val="20"/>
        </w:rPr>
        <w:t>according to the following convention:</w:t>
      </w:r>
      <w:r w:rsidRPr="002F58FB">
        <w:rPr>
          <w:rFonts w:ascii="Arial" w:eastAsia="MS PGothic" w:hAnsi="Arial" w:cs="Arial"/>
          <w:color w:val="181818"/>
          <w:szCs w:val="20"/>
        </w:rPr>
        <w:t xml:space="preserve"> </w:t>
      </w:r>
      <w:r w:rsidR="00FE6B1B">
        <w:rPr>
          <w:rFonts w:ascii="Arial" w:eastAsia="MS PGothic" w:hAnsi="Arial" w:cs="Arial"/>
          <w:color w:val="181818"/>
          <w:szCs w:val="20"/>
        </w:rPr>
        <w:t>“</w:t>
      </w:r>
      <w:r w:rsidRPr="002F58FB">
        <w:rPr>
          <w:rFonts w:ascii="Arial" w:eastAsia="MS PGothic" w:hAnsi="Arial" w:cs="Arial"/>
          <w:color w:val="181818"/>
          <w:szCs w:val="20"/>
        </w:rPr>
        <w:t>ESMA_</w:t>
      </w:r>
      <w:r w:rsidR="00915CEE">
        <w:rPr>
          <w:rFonts w:ascii="Arial" w:eastAsia="MS PGothic" w:hAnsi="Arial" w:cs="Arial"/>
          <w:color w:val="181818"/>
          <w:szCs w:val="20"/>
        </w:rPr>
        <w:t>Q20</w:t>
      </w:r>
      <w:r w:rsidRPr="002F58FB">
        <w:rPr>
          <w:rFonts w:ascii="Arial" w:eastAsia="MS PGothic" w:hAnsi="Arial" w:cs="Arial"/>
          <w:color w:val="181818"/>
          <w:szCs w:val="20"/>
        </w:rPr>
        <w:t>_nameofrespondent</w:t>
      </w:r>
      <w:r w:rsidR="00915CEE">
        <w:rPr>
          <w:rFonts w:ascii="Arial" w:eastAsia="MS PGothic" w:hAnsi="Arial" w:cs="Arial"/>
          <w:color w:val="181818"/>
          <w:szCs w:val="20"/>
        </w:rPr>
        <w:t>”</w:t>
      </w:r>
      <w:r w:rsidR="0040029B">
        <w:rPr>
          <w:rFonts w:ascii="Arial" w:eastAsia="MS PGothic" w:hAnsi="Arial" w:cs="Arial"/>
          <w:color w:val="181818"/>
          <w:szCs w:val="20"/>
        </w:rPr>
        <w:t>)</w:t>
      </w:r>
      <w:r w:rsidRPr="002F58FB">
        <w:rPr>
          <w:rFonts w:ascii="Arial" w:eastAsia="MS PGothic" w:hAnsi="Arial" w:cs="Arial"/>
          <w:color w:val="181818"/>
          <w:szCs w:val="20"/>
        </w:rPr>
        <w:t xml:space="preserve"> and</w:t>
      </w:r>
      <w:r w:rsidR="0040029B">
        <w:rPr>
          <w:rFonts w:ascii="Arial" w:eastAsia="MS PGothic" w:hAnsi="Arial" w:cs="Arial"/>
          <w:color w:val="181818"/>
          <w:szCs w:val="20"/>
        </w:rPr>
        <w:t xml:space="preserve"> </w:t>
      </w:r>
      <w:r w:rsidR="0051598D">
        <w:rPr>
          <w:rFonts w:ascii="Arial" w:eastAsia="MS PGothic" w:hAnsi="Arial" w:cs="Arial"/>
          <w:color w:val="181818"/>
          <w:szCs w:val="20"/>
        </w:rPr>
        <w:t xml:space="preserve">upload </w:t>
      </w:r>
      <w:r w:rsidR="0040029B">
        <w:rPr>
          <w:rFonts w:ascii="Arial" w:eastAsia="MS PGothic" w:hAnsi="Arial" w:cs="Arial"/>
          <w:color w:val="181818"/>
          <w:szCs w:val="20"/>
        </w:rPr>
        <w:t>it</w:t>
      </w:r>
      <w:r w:rsidR="006C7811">
        <w:rPr>
          <w:rFonts w:ascii="Arial" w:eastAsia="MS PGothic" w:hAnsi="Arial" w:cs="Arial"/>
          <w:color w:val="181818"/>
          <w:szCs w:val="20"/>
        </w:rPr>
        <w:t xml:space="preserve"> </w:t>
      </w:r>
      <w:r w:rsidR="005A6BF0" w:rsidRPr="005A6BF0">
        <w:rPr>
          <w:rFonts w:ascii="Arial" w:eastAsia="MS PGothic" w:hAnsi="Arial" w:cs="Arial"/>
          <w:bCs/>
          <w:color w:val="181818"/>
          <w:szCs w:val="20"/>
        </w:rPr>
        <w:t xml:space="preserve">online at </w:t>
      </w:r>
      <w:hyperlink r:id="rId10" w:history="1">
        <w:r w:rsidR="00901098" w:rsidRPr="00150222">
          <w:rPr>
            <w:rStyle w:val="Hyperlink"/>
            <w:rFonts w:ascii="Arial" w:eastAsia="MS PGothic" w:hAnsi="Arial" w:cs="Arial"/>
            <w:bCs/>
            <w:szCs w:val="20"/>
          </w:rPr>
          <w:t>https://www.esma.europa.eu/press-news/consultations/call-evidence-review-ucits-eligible-assets-directive</w:t>
        </w:r>
      </w:hyperlink>
      <w:r w:rsidR="00901098">
        <w:rPr>
          <w:rFonts w:ascii="Arial" w:eastAsia="MS PGothic" w:hAnsi="Arial" w:cs="Arial"/>
          <w:bCs/>
          <w:i/>
          <w:iCs/>
          <w:color w:val="181818"/>
          <w:szCs w:val="20"/>
        </w:rPr>
        <w:t xml:space="preserve"> </w:t>
      </w:r>
      <w:r w:rsidR="005A6BF0" w:rsidRPr="005A6BF0">
        <w:rPr>
          <w:rFonts w:ascii="Arial" w:eastAsia="MS PGothic" w:hAnsi="Arial" w:cs="Arial"/>
          <w:bCs/>
          <w:color w:val="181818"/>
          <w:szCs w:val="20"/>
        </w:rPr>
        <w:t xml:space="preserve">under the heading </w:t>
      </w:r>
      <w:r w:rsidR="005A6BF0" w:rsidRPr="005A6BF0">
        <w:rPr>
          <w:rFonts w:ascii="Arial" w:eastAsia="MS PGothic" w:hAnsi="Arial" w:cs="Arial"/>
          <w:bCs/>
          <w:i/>
          <w:iCs/>
          <w:color w:val="181818"/>
          <w:szCs w:val="20"/>
        </w:rPr>
        <w:t>‘Your input - Consultations’</w:t>
      </w:r>
      <w:r w:rsidR="005A6BF0">
        <w:rPr>
          <w:rFonts w:ascii="Arial" w:eastAsia="MS PGothic" w:hAnsi="Arial" w:cs="Arial"/>
          <w:bCs/>
          <w:color w:val="181818"/>
          <w:szCs w:val="20"/>
        </w:rPr>
        <w:t>, as an Annex to the Reply Form</w:t>
      </w:r>
      <w:r w:rsidR="0040029B">
        <w:rPr>
          <w:rFonts w:ascii="Arial" w:eastAsia="MS PGothic" w:hAnsi="Arial" w:cs="Arial"/>
          <w:color w:val="181818"/>
          <w:szCs w:val="20"/>
        </w:rPr>
        <w:t xml:space="preserve">. </w:t>
      </w:r>
      <w:r w:rsidR="008B6D19">
        <w:rPr>
          <w:rFonts w:ascii="Arial" w:eastAsia="MS PGothic" w:hAnsi="Arial" w:cs="Arial"/>
          <w:color w:val="181818"/>
          <w:szCs w:val="20"/>
        </w:rPr>
        <w:t xml:space="preserve">In case you upload a pdf file, please choose an editable form. </w:t>
      </w:r>
    </w:p>
    <w:tbl>
      <w:tblPr>
        <w:tblStyle w:val="Tablenone1"/>
        <w:tblW w:w="9320" w:type="dxa"/>
        <w:tblLook w:val="04A0" w:firstRow="1" w:lastRow="0" w:firstColumn="1" w:lastColumn="0" w:noHBand="0" w:noVBand="1"/>
      </w:tblPr>
      <w:tblGrid>
        <w:gridCol w:w="2043"/>
        <w:gridCol w:w="1649"/>
        <w:gridCol w:w="1739"/>
        <w:gridCol w:w="2027"/>
        <w:gridCol w:w="1862"/>
      </w:tblGrid>
      <w:tr w:rsidR="00B33432" w:rsidRPr="00B33432" w14:paraId="42644C63" w14:textId="77777777" w:rsidTr="006456F1">
        <w:tc>
          <w:tcPr>
            <w:tcW w:w="2043" w:type="dxa"/>
          </w:tcPr>
          <w:p w14:paraId="0268D242" w14:textId="77777777" w:rsidR="00B33432" w:rsidRPr="00B33432" w:rsidRDefault="00B33432" w:rsidP="00B33432">
            <w:pPr>
              <w:spacing w:after="250" w:line="276" w:lineRule="auto"/>
              <w:jc w:val="center"/>
              <w:rPr>
                <w:rFonts w:ascii="Arial" w:hAnsi="Arial" w:cs="Arial"/>
                <w:b/>
                <w:bCs/>
                <w:color w:val="181818"/>
              </w:rPr>
            </w:pPr>
            <w:r w:rsidRPr="00B33432">
              <w:rPr>
                <w:rFonts w:ascii="Arial" w:hAnsi="Arial" w:cs="Arial"/>
                <w:b/>
                <w:bCs/>
                <w:color w:val="181818"/>
              </w:rPr>
              <w:t>Asset class</w:t>
            </w:r>
            <w:r w:rsidRPr="00B33432">
              <w:rPr>
                <w:rFonts w:ascii="Arial" w:hAnsi="Arial" w:cs="Arial"/>
                <w:b/>
                <w:bCs/>
                <w:color w:val="181818"/>
                <w:sz w:val="16"/>
                <w:vertAlign w:val="superscript"/>
              </w:rPr>
              <w:footnoteReference w:id="2"/>
            </w:r>
          </w:p>
        </w:tc>
        <w:tc>
          <w:tcPr>
            <w:tcW w:w="1649" w:type="dxa"/>
          </w:tcPr>
          <w:p w14:paraId="60F87FED" w14:textId="77777777" w:rsidR="00B33432" w:rsidRPr="00B33432" w:rsidRDefault="00B33432" w:rsidP="00B33432">
            <w:pPr>
              <w:spacing w:after="250" w:line="276" w:lineRule="auto"/>
              <w:jc w:val="center"/>
              <w:rPr>
                <w:rFonts w:ascii="Arial" w:hAnsi="Arial" w:cs="Arial"/>
                <w:b/>
                <w:bCs/>
                <w:color w:val="181818"/>
              </w:rPr>
            </w:pPr>
            <w:r w:rsidRPr="00B33432">
              <w:rPr>
                <w:rFonts w:ascii="Arial" w:hAnsi="Arial" w:cs="Arial"/>
                <w:b/>
                <w:bCs/>
                <w:color w:val="181818"/>
              </w:rPr>
              <w:t>Merits of allowing direct UCITS exposures</w:t>
            </w:r>
          </w:p>
        </w:tc>
        <w:tc>
          <w:tcPr>
            <w:tcW w:w="1739" w:type="dxa"/>
          </w:tcPr>
          <w:p w14:paraId="49FEA0C2" w14:textId="77777777" w:rsidR="00B33432" w:rsidRPr="00B33432" w:rsidRDefault="00B33432" w:rsidP="00B33432">
            <w:pPr>
              <w:spacing w:after="250" w:line="276" w:lineRule="auto"/>
              <w:jc w:val="center"/>
              <w:rPr>
                <w:rFonts w:ascii="Arial" w:hAnsi="Arial" w:cs="Arial"/>
                <w:b/>
                <w:bCs/>
                <w:color w:val="181818"/>
              </w:rPr>
            </w:pPr>
            <w:r w:rsidRPr="00B33432">
              <w:rPr>
                <w:rFonts w:ascii="Arial" w:hAnsi="Arial" w:cs="Arial"/>
                <w:b/>
                <w:bCs/>
                <w:color w:val="181818"/>
              </w:rPr>
              <w:t xml:space="preserve">Merits of allowing </w:t>
            </w:r>
            <w:r w:rsidRPr="00B33432">
              <w:rPr>
                <w:rFonts w:ascii="Arial" w:hAnsi="Arial" w:cs="Arial"/>
                <w:b/>
                <w:i/>
                <w:color w:val="181818"/>
              </w:rPr>
              <w:t>indirect</w:t>
            </w:r>
            <w:r w:rsidRPr="00B33432">
              <w:rPr>
                <w:rFonts w:ascii="Arial" w:hAnsi="Arial" w:cs="Arial"/>
                <w:b/>
                <w:bCs/>
                <w:color w:val="181818"/>
              </w:rPr>
              <w:t xml:space="preserve"> UCITS exposures</w:t>
            </w:r>
            <w:r w:rsidRPr="00B33432">
              <w:rPr>
                <w:rFonts w:ascii="Arial" w:hAnsi="Arial" w:cs="Arial"/>
                <w:b/>
                <w:bCs/>
                <w:color w:val="181818"/>
                <w:sz w:val="16"/>
                <w:vertAlign w:val="superscript"/>
              </w:rPr>
              <w:footnoteReference w:id="3"/>
            </w:r>
          </w:p>
        </w:tc>
        <w:tc>
          <w:tcPr>
            <w:tcW w:w="2027" w:type="dxa"/>
          </w:tcPr>
          <w:p w14:paraId="5668F975" w14:textId="77777777" w:rsidR="00B33432" w:rsidRPr="00B33432" w:rsidRDefault="00B33432" w:rsidP="00B33432">
            <w:pPr>
              <w:spacing w:after="250" w:line="276" w:lineRule="auto"/>
              <w:jc w:val="center"/>
              <w:rPr>
                <w:rFonts w:ascii="Arial" w:hAnsi="Arial" w:cs="Arial"/>
                <w:b/>
                <w:bCs/>
                <w:color w:val="181818"/>
              </w:rPr>
            </w:pPr>
            <w:r w:rsidRPr="00B33432">
              <w:rPr>
                <w:rFonts w:ascii="Arial" w:hAnsi="Arial" w:cs="Arial"/>
                <w:b/>
                <w:bCs/>
                <w:color w:val="181818"/>
              </w:rPr>
              <w:t>Extent/amount of existing UCITS exposures</w:t>
            </w:r>
            <w:r w:rsidRPr="00B33432">
              <w:rPr>
                <w:rFonts w:ascii="Arial" w:hAnsi="Arial" w:cs="Arial"/>
                <w:b/>
                <w:bCs/>
                <w:color w:val="181818"/>
                <w:sz w:val="16"/>
                <w:vertAlign w:val="superscript"/>
              </w:rPr>
              <w:footnoteReference w:id="4"/>
            </w:r>
            <w:r w:rsidRPr="00B33432">
              <w:rPr>
                <w:rFonts w:ascii="Arial" w:hAnsi="Arial" w:cs="Arial"/>
                <w:b/>
                <w:bCs/>
                <w:color w:val="181818"/>
              </w:rPr>
              <w:t xml:space="preserve"> </w:t>
            </w:r>
          </w:p>
        </w:tc>
        <w:tc>
          <w:tcPr>
            <w:tcW w:w="1862" w:type="dxa"/>
          </w:tcPr>
          <w:p w14:paraId="50147042" w14:textId="77777777" w:rsidR="00B33432" w:rsidRPr="00B33432" w:rsidRDefault="00B33432" w:rsidP="00B33432">
            <w:pPr>
              <w:spacing w:after="250" w:line="276" w:lineRule="auto"/>
              <w:jc w:val="center"/>
              <w:rPr>
                <w:rFonts w:ascii="Arial" w:hAnsi="Arial" w:cs="Arial"/>
                <w:b/>
                <w:bCs/>
                <w:color w:val="181818"/>
              </w:rPr>
            </w:pPr>
            <w:r w:rsidRPr="00B33432">
              <w:rPr>
                <w:rFonts w:ascii="Arial" w:hAnsi="Arial" w:cs="Arial"/>
                <w:b/>
                <w:bCs/>
                <w:color w:val="181818"/>
              </w:rPr>
              <w:t>Additional comments</w:t>
            </w:r>
            <w:r w:rsidRPr="00B33432">
              <w:rPr>
                <w:rFonts w:ascii="Arial" w:hAnsi="Arial" w:cs="Arial"/>
                <w:b/>
                <w:bCs/>
                <w:vertAlign w:val="superscript"/>
              </w:rPr>
              <w:footnoteReference w:id="5"/>
            </w:r>
          </w:p>
        </w:tc>
      </w:tr>
      <w:tr w:rsidR="0013361A" w:rsidRPr="00B33432" w14:paraId="52801425" w14:textId="77777777" w:rsidTr="006456F1">
        <w:tc>
          <w:tcPr>
            <w:tcW w:w="2043" w:type="dxa"/>
          </w:tcPr>
          <w:p w14:paraId="06FDDDF6" w14:textId="77777777" w:rsidR="0013361A" w:rsidRPr="00B33432" w:rsidRDefault="0013361A" w:rsidP="0013361A">
            <w:pPr>
              <w:spacing w:after="250" w:line="276" w:lineRule="auto"/>
              <w:rPr>
                <w:rFonts w:ascii="Arial" w:hAnsi="Arial" w:cs="Arial"/>
                <w:color w:val="181818"/>
              </w:rPr>
            </w:pPr>
            <w:r w:rsidRPr="00B33432">
              <w:rPr>
                <w:rFonts w:ascii="Arial" w:hAnsi="Arial" w:cs="Arial"/>
              </w:rPr>
              <w:t>1. Loans</w:t>
            </w:r>
            <w:r w:rsidRPr="00B33432">
              <w:rPr>
                <w:rFonts w:ascii="Arial" w:hAnsi="Arial" w:cs="Arial"/>
                <w:sz w:val="16"/>
                <w:vertAlign w:val="superscript"/>
              </w:rPr>
              <w:footnoteReference w:id="6"/>
            </w:r>
          </w:p>
        </w:tc>
        <w:tc>
          <w:tcPr>
            <w:tcW w:w="1649" w:type="dxa"/>
          </w:tcPr>
          <w:p w14:paraId="672A6659" w14:textId="77777777" w:rsidR="0013361A" w:rsidRPr="00B33432" w:rsidRDefault="0013361A" w:rsidP="0013361A">
            <w:pPr>
              <w:spacing w:after="250" w:line="276" w:lineRule="auto"/>
              <w:jc w:val="both"/>
              <w:rPr>
                <w:rFonts w:ascii="Arial" w:hAnsi="Arial" w:cs="Arial"/>
                <w:color w:val="181818"/>
              </w:rPr>
            </w:pPr>
          </w:p>
        </w:tc>
        <w:tc>
          <w:tcPr>
            <w:tcW w:w="1739" w:type="dxa"/>
          </w:tcPr>
          <w:p w14:paraId="0A37501D" w14:textId="77777777" w:rsidR="0013361A" w:rsidRPr="00B33432" w:rsidRDefault="0013361A" w:rsidP="0013361A">
            <w:pPr>
              <w:spacing w:after="250" w:line="276" w:lineRule="auto"/>
              <w:jc w:val="both"/>
              <w:rPr>
                <w:rFonts w:ascii="Arial" w:hAnsi="Arial" w:cs="Arial"/>
                <w:color w:val="181818"/>
              </w:rPr>
            </w:pPr>
          </w:p>
        </w:tc>
        <w:tc>
          <w:tcPr>
            <w:tcW w:w="2027" w:type="dxa"/>
          </w:tcPr>
          <w:p w14:paraId="5DAB6C7B" w14:textId="77777777" w:rsidR="0013361A" w:rsidRPr="00B33432" w:rsidRDefault="0013361A" w:rsidP="0013361A">
            <w:pPr>
              <w:spacing w:after="250" w:line="276" w:lineRule="auto"/>
              <w:jc w:val="both"/>
              <w:rPr>
                <w:rFonts w:ascii="Arial" w:hAnsi="Arial" w:cs="Arial"/>
                <w:color w:val="181818"/>
              </w:rPr>
            </w:pPr>
          </w:p>
        </w:tc>
        <w:tc>
          <w:tcPr>
            <w:tcW w:w="1862" w:type="dxa"/>
          </w:tcPr>
          <w:p w14:paraId="5C698F03" w14:textId="2FA16C09" w:rsidR="0013361A" w:rsidRPr="007843FA" w:rsidRDefault="0013361A" w:rsidP="0013361A">
            <w:pPr>
              <w:spacing w:after="250" w:line="276" w:lineRule="auto"/>
              <w:jc w:val="both"/>
              <w:rPr>
                <w:rFonts w:ascii="Arial" w:hAnsi="Arial" w:cs="Arial"/>
                <w:color w:val="181818"/>
                <w:lang w:val="en-US"/>
              </w:rPr>
            </w:pPr>
            <w:r w:rsidRPr="007843FA">
              <w:rPr>
                <w:rFonts w:ascii="Arial" w:hAnsi="Arial" w:cs="Arial"/>
                <w:color w:val="181818"/>
                <w:lang w:val="en-US"/>
              </w:rPr>
              <w:t xml:space="preserve">The granting of loans or the acquisition of loans should not be allowed for UCITS - These investments are possible via ELTIFs which benefits from a marketing passport </w:t>
            </w:r>
            <w:r w:rsidRPr="008965A9">
              <w:rPr>
                <w:rFonts w:ascii="Arial" w:hAnsi="Arial" w:cs="Arial"/>
                <w:color w:val="181818"/>
                <w:lang w:val="en-US"/>
              </w:rPr>
              <w:t>to retail investors with specific liquidity conditions.</w:t>
            </w:r>
            <w:r w:rsidRPr="007843FA">
              <w:rPr>
                <w:rFonts w:ascii="Arial" w:hAnsi="Arial" w:cs="Arial"/>
                <w:color w:val="181818"/>
                <w:lang w:val="en-US"/>
              </w:rPr>
              <w:t xml:space="preserve">  </w:t>
            </w:r>
          </w:p>
          <w:p w14:paraId="02EB378F" w14:textId="58A055A8" w:rsidR="0013361A" w:rsidRPr="00B33432" w:rsidRDefault="0013361A" w:rsidP="0013361A">
            <w:pPr>
              <w:spacing w:after="250" w:line="276" w:lineRule="auto"/>
              <w:jc w:val="both"/>
              <w:rPr>
                <w:rFonts w:ascii="Arial" w:hAnsi="Arial" w:cs="Arial"/>
                <w:color w:val="181818"/>
              </w:rPr>
            </w:pPr>
            <w:proofErr w:type="spellStart"/>
            <w:r w:rsidRPr="007843FA">
              <w:rPr>
                <w:rFonts w:ascii="Arial" w:hAnsi="Arial" w:cs="Arial"/>
                <w:color w:val="181818"/>
                <w:lang w:val="en-US"/>
              </w:rPr>
              <w:t>Collateralised</w:t>
            </w:r>
            <w:proofErr w:type="spellEnd"/>
            <w:r w:rsidRPr="007843FA">
              <w:rPr>
                <w:rFonts w:ascii="Arial" w:hAnsi="Arial" w:cs="Arial"/>
                <w:color w:val="181818"/>
                <w:lang w:val="en-US"/>
              </w:rPr>
              <w:t xml:space="preserve"> loan obligations (CLOs), ABS, </w:t>
            </w:r>
            <w:r w:rsidRPr="007843FA">
              <w:rPr>
                <w:rFonts w:ascii="Arial" w:hAnsi="Arial" w:cs="Arial"/>
                <w:color w:val="181818"/>
                <w:lang w:val="en-US"/>
              </w:rPr>
              <w:lastRenderedPageBreak/>
              <w:t xml:space="preserve">MBS, etc. are eligible for UCITS if they meet the eligibility criteria and are transferable securities </w:t>
            </w:r>
            <w:proofErr w:type="spellStart"/>
            <w:r w:rsidRPr="007843FA">
              <w:rPr>
                <w:rFonts w:ascii="Arial" w:hAnsi="Arial" w:cs="Arial"/>
                <w:color w:val="181818"/>
                <w:lang w:val="en-US"/>
              </w:rPr>
              <w:t>negociated</w:t>
            </w:r>
            <w:proofErr w:type="spellEnd"/>
            <w:r w:rsidRPr="007843FA">
              <w:rPr>
                <w:rFonts w:ascii="Arial" w:hAnsi="Arial" w:cs="Arial"/>
                <w:color w:val="181818"/>
                <w:lang w:val="en-US"/>
              </w:rPr>
              <w:t xml:space="preserve"> on a trading platform (otherwise, the 10% </w:t>
            </w:r>
            <w:r w:rsidRPr="008965A9">
              <w:rPr>
                <w:rFonts w:ascii="Arial" w:hAnsi="Arial" w:cs="Arial"/>
                <w:color w:val="181818"/>
                <w:lang w:val="en-US"/>
              </w:rPr>
              <w:t>‘other eligible assets’</w:t>
            </w:r>
            <w:r w:rsidRPr="007843FA">
              <w:rPr>
                <w:rFonts w:ascii="Arial" w:hAnsi="Arial" w:cs="Arial"/>
                <w:color w:val="181818"/>
                <w:lang w:val="en-US"/>
              </w:rPr>
              <w:t xml:space="preserve"> ratio is applicable)</w:t>
            </w:r>
          </w:p>
        </w:tc>
      </w:tr>
      <w:tr w:rsidR="00664FFB" w:rsidRPr="00B33432" w14:paraId="131FC414" w14:textId="77777777" w:rsidTr="006456F1">
        <w:tc>
          <w:tcPr>
            <w:tcW w:w="2043" w:type="dxa"/>
          </w:tcPr>
          <w:p w14:paraId="55346258" w14:textId="77777777" w:rsidR="00664FFB" w:rsidRPr="00B33432" w:rsidRDefault="00664FFB" w:rsidP="00664FFB">
            <w:pPr>
              <w:spacing w:after="250" w:line="276" w:lineRule="auto"/>
              <w:rPr>
                <w:rFonts w:ascii="Arial" w:hAnsi="Arial" w:cs="Arial"/>
              </w:rPr>
            </w:pPr>
            <w:r w:rsidRPr="00B33432">
              <w:rPr>
                <w:rFonts w:ascii="Arial" w:hAnsi="Arial" w:cs="Arial"/>
              </w:rPr>
              <w:lastRenderedPageBreak/>
              <w:t>2. Catastrophe bonds (‘Cat bonds’)</w:t>
            </w:r>
          </w:p>
        </w:tc>
        <w:tc>
          <w:tcPr>
            <w:tcW w:w="1649" w:type="dxa"/>
          </w:tcPr>
          <w:p w14:paraId="6A05A809" w14:textId="77777777" w:rsidR="00664FFB" w:rsidRPr="00B33432" w:rsidRDefault="00664FFB" w:rsidP="00664FFB">
            <w:pPr>
              <w:spacing w:after="250" w:line="276" w:lineRule="auto"/>
              <w:jc w:val="both"/>
              <w:rPr>
                <w:rFonts w:ascii="Arial" w:hAnsi="Arial" w:cs="Arial"/>
                <w:color w:val="181818"/>
              </w:rPr>
            </w:pPr>
          </w:p>
        </w:tc>
        <w:tc>
          <w:tcPr>
            <w:tcW w:w="1739" w:type="dxa"/>
          </w:tcPr>
          <w:p w14:paraId="5A39BBE3" w14:textId="77777777" w:rsidR="00664FFB" w:rsidRPr="00B33432" w:rsidRDefault="00664FFB" w:rsidP="00664FFB">
            <w:pPr>
              <w:spacing w:after="250" w:line="276" w:lineRule="auto"/>
              <w:jc w:val="both"/>
              <w:rPr>
                <w:rFonts w:ascii="Arial" w:hAnsi="Arial" w:cs="Arial"/>
                <w:color w:val="181818"/>
              </w:rPr>
            </w:pPr>
          </w:p>
        </w:tc>
        <w:tc>
          <w:tcPr>
            <w:tcW w:w="2027" w:type="dxa"/>
          </w:tcPr>
          <w:p w14:paraId="41C8F396" w14:textId="77777777" w:rsidR="00664FFB" w:rsidRPr="00B33432" w:rsidRDefault="00664FFB" w:rsidP="00664FFB">
            <w:pPr>
              <w:spacing w:after="250" w:line="276" w:lineRule="auto"/>
              <w:jc w:val="both"/>
              <w:rPr>
                <w:rFonts w:ascii="Arial" w:hAnsi="Arial" w:cs="Arial"/>
                <w:color w:val="181818"/>
              </w:rPr>
            </w:pPr>
          </w:p>
        </w:tc>
        <w:tc>
          <w:tcPr>
            <w:tcW w:w="1862" w:type="dxa"/>
          </w:tcPr>
          <w:p w14:paraId="72A3D3EC" w14:textId="6AD57146" w:rsidR="00664FFB" w:rsidRPr="00B33432" w:rsidRDefault="00190BF5" w:rsidP="00664FFB">
            <w:pPr>
              <w:spacing w:after="250" w:line="276" w:lineRule="auto"/>
              <w:jc w:val="both"/>
              <w:rPr>
                <w:rFonts w:ascii="Arial" w:hAnsi="Arial" w:cs="Arial"/>
                <w:color w:val="181818"/>
              </w:rPr>
            </w:pPr>
            <w:r w:rsidRPr="00190BF5">
              <w:rPr>
                <w:rFonts w:ascii="Arial" w:hAnsi="Arial" w:cs="Arial"/>
                <w:color w:val="181818"/>
              </w:rPr>
              <w:t>The purchase of bonds whose yield or service is dependent on the occurrence of a catastrophic event (Cat Bonds) is not permitted because they do not relate to a permissible underlying asset within the meaning of Article 8(1)(a) of Directive 2007/16/EC.</w:t>
            </w:r>
          </w:p>
        </w:tc>
      </w:tr>
      <w:tr w:rsidR="004E20C3" w:rsidRPr="00B33432" w14:paraId="756B6A0E" w14:textId="77777777" w:rsidTr="006456F1">
        <w:tc>
          <w:tcPr>
            <w:tcW w:w="2043" w:type="dxa"/>
          </w:tcPr>
          <w:p w14:paraId="2C56CC88" w14:textId="77777777" w:rsidR="004E20C3" w:rsidRPr="00B33432" w:rsidRDefault="004E20C3" w:rsidP="004E20C3">
            <w:pPr>
              <w:spacing w:after="250" w:line="276" w:lineRule="auto"/>
              <w:rPr>
                <w:rFonts w:ascii="Arial" w:hAnsi="Arial" w:cs="Arial"/>
                <w:color w:val="181818"/>
              </w:rPr>
            </w:pPr>
            <w:r w:rsidRPr="00B33432">
              <w:rPr>
                <w:rFonts w:ascii="Arial" w:hAnsi="Arial" w:cs="Arial"/>
              </w:rPr>
              <w:t>3. Contingent Convertible bonds (‘CoCo bonds’)</w:t>
            </w:r>
          </w:p>
        </w:tc>
        <w:tc>
          <w:tcPr>
            <w:tcW w:w="1649" w:type="dxa"/>
          </w:tcPr>
          <w:p w14:paraId="0D0B940D" w14:textId="77777777" w:rsidR="004E20C3" w:rsidRPr="00B33432" w:rsidRDefault="004E20C3" w:rsidP="004E20C3">
            <w:pPr>
              <w:spacing w:after="250" w:line="276" w:lineRule="auto"/>
              <w:jc w:val="both"/>
              <w:rPr>
                <w:rFonts w:ascii="Arial" w:hAnsi="Arial" w:cs="Arial"/>
                <w:color w:val="181818"/>
              </w:rPr>
            </w:pPr>
          </w:p>
        </w:tc>
        <w:tc>
          <w:tcPr>
            <w:tcW w:w="1739" w:type="dxa"/>
          </w:tcPr>
          <w:p w14:paraId="0E27B00A" w14:textId="77777777" w:rsidR="004E20C3" w:rsidRPr="00B33432" w:rsidRDefault="004E20C3" w:rsidP="004E20C3">
            <w:pPr>
              <w:spacing w:after="250" w:line="276" w:lineRule="auto"/>
              <w:jc w:val="both"/>
              <w:rPr>
                <w:rFonts w:ascii="Arial" w:hAnsi="Arial" w:cs="Arial"/>
                <w:color w:val="181818"/>
              </w:rPr>
            </w:pPr>
          </w:p>
        </w:tc>
        <w:tc>
          <w:tcPr>
            <w:tcW w:w="2027" w:type="dxa"/>
          </w:tcPr>
          <w:p w14:paraId="60061E4C" w14:textId="77777777" w:rsidR="004E20C3" w:rsidRPr="00B33432" w:rsidRDefault="004E20C3" w:rsidP="004E20C3">
            <w:pPr>
              <w:spacing w:after="250" w:line="276" w:lineRule="auto"/>
              <w:jc w:val="both"/>
              <w:rPr>
                <w:rFonts w:ascii="Arial" w:hAnsi="Arial" w:cs="Arial"/>
                <w:color w:val="181818"/>
              </w:rPr>
            </w:pPr>
          </w:p>
        </w:tc>
        <w:tc>
          <w:tcPr>
            <w:tcW w:w="1862" w:type="dxa"/>
          </w:tcPr>
          <w:p w14:paraId="44EAFD9C" w14:textId="607C9EAC" w:rsidR="004E20C3" w:rsidRPr="00B33432" w:rsidRDefault="004E20C3" w:rsidP="004E20C3">
            <w:pPr>
              <w:spacing w:after="250" w:line="276" w:lineRule="auto"/>
              <w:jc w:val="both"/>
              <w:rPr>
                <w:rFonts w:ascii="Arial" w:hAnsi="Arial" w:cs="Arial"/>
                <w:color w:val="181818"/>
              </w:rPr>
            </w:pPr>
          </w:p>
        </w:tc>
      </w:tr>
      <w:tr w:rsidR="001A4C91" w:rsidRPr="00B33432" w14:paraId="02325B0B" w14:textId="77777777" w:rsidTr="006456F1">
        <w:tc>
          <w:tcPr>
            <w:tcW w:w="2043" w:type="dxa"/>
          </w:tcPr>
          <w:p w14:paraId="4EA5968E" w14:textId="77777777" w:rsidR="001A4C91" w:rsidRPr="00B33432" w:rsidRDefault="001A4C91" w:rsidP="001A4C91">
            <w:pPr>
              <w:spacing w:after="250" w:line="276" w:lineRule="auto"/>
              <w:rPr>
                <w:rFonts w:ascii="Arial" w:hAnsi="Arial" w:cs="Arial"/>
                <w:color w:val="181818"/>
              </w:rPr>
            </w:pPr>
            <w:r w:rsidRPr="00B33432">
              <w:rPr>
                <w:rFonts w:ascii="Arial" w:hAnsi="Arial" w:cs="Arial"/>
              </w:rPr>
              <w:t>4. Unrated bonds</w:t>
            </w:r>
          </w:p>
        </w:tc>
        <w:tc>
          <w:tcPr>
            <w:tcW w:w="1649" w:type="dxa"/>
          </w:tcPr>
          <w:p w14:paraId="4B94D5A5" w14:textId="77777777" w:rsidR="001A4C91" w:rsidRPr="00B33432" w:rsidRDefault="001A4C91" w:rsidP="001A4C91">
            <w:pPr>
              <w:spacing w:after="250" w:line="276" w:lineRule="auto"/>
              <w:jc w:val="both"/>
              <w:rPr>
                <w:rFonts w:ascii="Arial" w:hAnsi="Arial" w:cs="Arial"/>
                <w:color w:val="181818"/>
              </w:rPr>
            </w:pPr>
          </w:p>
        </w:tc>
        <w:tc>
          <w:tcPr>
            <w:tcW w:w="1739" w:type="dxa"/>
          </w:tcPr>
          <w:p w14:paraId="3DEEC669" w14:textId="77777777" w:rsidR="001A4C91" w:rsidRPr="00B33432" w:rsidRDefault="001A4C91" w:rsidP="001A4C91">
            <w:pPr>
              <w:spacing w:after="250" w:line="276" w:lineRule="auto"/>
              <w:jc w:val="both"/>
              <w:rPr>
                <w:rFonts w:ascii="Arial" w:hAnsi="Arial" w:cs="Arial"/>
                <w:color w:val="181818"/>
              </w:rPr>
            </w:pPr>
          </w:p>
        </w:tc>
        <w:tc>
          <w:tcPr>
            <w:tcW w:w="2027" w:type="dxa"/>
          </w:tcPr>
          <w:p w14:paraId="3656B9AB" w14:textId="77777777" w:rsidR="001A4C91" w:rsidRPr="00B33432" w:rsidRDefault="001A4C91" w:rsidP="001A4C91">
            <w:pPr>
              <w:spacing w:after="250" w:line="276" w:lineRule="auto"/>
              <w:jc w:val="both"/>
              <w:rPr>
                <w:rFonts w:ascii="Arial" w:hAnsi="Arial" w:cs="Arial"/>
                <w:color w:val="181818"/>
              </w:rPr>
            </w:pPr>
          </w:p>
        </w:tc>
        <w:tc>
          <w:tcPr>
            <w:tcW w:w="1862" w:type="dxa"/>
          </w:tcPr>
          <w:p w14:paraId="3831584D" w14:textId="77777777" w:rsidR="001A4C91" w:rsidRPr="007843FA" w:rsidRDefault="001A4C91" w:rsidP="001A4C91">
            <w:pPr>
              <w:spacing w:after="250" w:line="276" w:lineRule="auto"/>
              <w:jc w:val="both"/>
              <w:rPr>
                <w:rFonts w:ascii="Arial" w:hAnsi="Arial" w:cs="Arial"/>
                <w:color w:val="181818"/>
                <w:lang w:val="en-US"/>
              </w:rPr>
            </w:pPr>
            <w:r w:rsidRPr="007843FA">
              <w:rPr>
                <w:rFonts w:ascii="Arial" w:hAnsi="Arial" w:cs="Arial"/>
                <w:color w:val="181818"/>
                <w:lang w:val="en-US"/>
              </w:rPr>
              <w:t>Unrated bonds are already eligible if they are explicitly provided for in the UCITS</w:t>
            </w:r>
            <w:r>
              <w:rPr>
                <w:rFonts w:ascii="Arial" w:hAnsi="Arial" w:cs="Arial"/>
                <w:color w:val="181818"/>
                <w:lang w:val="en-US"/>
              </w:rPr>
              <w:t>’</w:t>
            </w:r>
            <w:r w:rsidRPr="007843FA">
              <w:rPr>
                <w:rFonts w:ascii="Arial" w:hAnsi="Arial" w:cs="Arial"/>
                <w:color w:val="181818"/>
                <w:lang w:val="en-US"/>
              </w:rPr>
              <w:t xml:space="preserve"> prospectus. The current texts do not require that the bond be rated by at least one rating agency (Moody's, SP and/or Fitch) and independently of the asset manager's own </w:t>
            </w:r>
            <w:r w:rsidRPr="007843FA">
              <w:rPr>
                <w:rFonts w:ascii="Arial" w:hAnsi="Arial" w:cs="Arial"/>
                <w:color w:val="181818"/>
                <w:lang w:val="en-US"/>
              </w:rPr>
              <w:lastRenderedPageBreak/>
              <w:t xml:space="preserve">rating. </w:t>
            </w:r>
            <w:r w:rsidRPr="008965A9">
              <w:rPr>
                <w:rFonts w:ascii="Arial" w:hAnsi="Arial" w:cs="Arial"/>
                <w:color w:val="181818"/>
                <w:lang w:val="en-US"/>
              </w:rPr>
              <w:t>This should be systematically the case</w:t>
            </w:r>
            <w:r w:rsidRPr="00194553">
              <w:rPr>
                <w:rFonts w:ascii="Arial" w:hAnsi="Arial" w:cs="Arial"/>
                <w:color w:val="181818"/>
                <w:lang w:val="en-US"/>
              </w:rPr>
              <w:t>.</w:t>
            </w:r>
          </w:p>
          <w:p w14:paraId="45FB0818" w14:textId="581558BD" w:rsidR="001A4C91" w:rsidRPr="00B33432" w:rsidRDefault="001A4C91" w:rsidP="001A4C91">
            <w:pPr>
              <w:spacing w:after="250" w:line="276" w:lineRule="auto"/>
              <w:jc w:val="both"/>
              <w:rPr>
                <w:rFonts w:ascii="Arial" w:hAnsi="Arial" w:cs="Arial"/>
                <w:color w:val="181818"/>
              </w:rPr>
            </w:pPr>
            <w:r w:rsidRPr="007843FA">
              <w:rPr>
                <w:rFonts w:ascii="Arial" w:hAnsi="Arial" w:cs="Arial"/>
                <w:color w:val="181818"/>
                <w:lang w:val="en-US"/>
              </w:rPr>
              <w:t>Unlisted bonds are eligible under the ratio of ‘other eligible assets’ (max 10%) subject to compliance with the eligibility conditions.</w:t>
            </w:r>
          </w:p>
        </w:tc>
      </w:tr>
      <w:tr w:rsidR="009C6DB6" w:rsidRPr="00B33432" w14:paraId="68D99D9D" w14:textId="77777777" w:rsidTr="006456F1">
        <w:tc>
          <w:tcPr>
            <w:tcW w:w="2043" w:type="dxa"/>
          </w:tcPr>
          <w:p w14:paraId="17D8B71D" w14:textId="77777777" w:rsidR="009C6DB6" w:rsidRPr="00B33432" w:rsidRDefault="009C6DB6" w:rsidP="009C6DB6">
            <w:pPr>
              <w:spacing w:after="250" w:line="276" w:lineRule="auto"/>
              <w:rPr>
                <w:rFonts w:ascii="Arial" w:hAnsi="Arial" w:cs="Arial"/>
                <w:color w:val="181818"/>
              </w:rPr>
            </w:pPr>
            <w:r w:rsidRPr="00B33432">
              <w:rPr>
                <w:rFonts w:ascii="Arial" w:hAnsi="Arial" w:cs="Arial"/>
              </w:rPr>
              <w:lastRenderedPageBreak/>
              <w:t>5. Distressed securities</w:t>
            </w:r>
          </w:p>
        </w:tc>
        <w:tc>
          <w:tcPr>
            <w:tcW w:w="1649" w:type="dxa"/>
          </w:tcPr>
          <w:p w14:paraId="049F31CB" w14:textId="77777777" w:rsidR="009C6DB6" w:rsidRPr="00B33432" w:rsidRDefault="009C6DB6" w:rsidP="009C6DB6">
            <w:pPr>
              <w:spacing w:after="250" w:line="276" w:lineRule="auto"/>
              <w:jc w:val="both"/>
              <w:rPr>
                <w:rFonts w:ascii="Arial" w:hAnsi="Arial" w:cs="Arial"/>
                <w:color w:val="181818"/>
              </w:rPr>
            </w:pPr>
          </w:p>
        </w:tc>
        <w:tc>
          <w:tcPr>
            <w:tcW w:w="1739" w:type="dxa"/>
          </w:tcPr>
          <w:p w14:paraId="53128261" w14:textId="77777777" w:rsidR="009C6DB6" w:rsidRPr="00B33432" w:rsidRDefault="009C6DB6" w:rsidP="009C6DB6">
            <w:pPr>
              <w:spacing w:after="250" w:line="276" w:lineRule="auto"/>
              <w:jc w:val="both"/>
              <w:rPr>
                <w:rFonts w:ascii="Arial" w:hAnsi="Arial" w:cs="Arial"/>
                <w:color w:val="181818"/>
              </w:rPr>
            </w:pPr>
          </w:p>
        </w:tc>
        <w:tc>
          <w:tcPr>
            <w:tcW w:w="2027" w:type="dxa"/>
          </w:tcPr>
          <w:p w14:paraId="62486C05" w14:textId="77777777" w:rsidR="009C6DB6" w:rsidRPr="00B33432" w:rsidRDefault="009C6DB6" w:rsidP="009C6DB6">
            <w:pPr>
              <w:spacing w:after="250" w:line="276" w:lineRule="auto"/>
              <w:jc w:val="both"/>
              <w:rPr>
                <w:rFonts w:ascii="Arial" w:hAnsi="Arial" w:cs="Arial"/>
                <w:color w:val="181818"/>
              </w:rPr>
            </w:pPr>
          </w:p>
        </w:tc>
        <w:tc>
          <w:tcPr>
            <w:tcW w:w="1862" w:type="dxa"/>
          </w:tcPr>
          <w:p w14:paraId="36D583E3" w14:textId="77777777" w:rsidR="009C6DB6" w:rsidRPr="007843FA" w:rsidRDefault="009C6DB6" w:rsidP="009C6DB6">
            <w:pPr>
              <w:spacing w:after="250" w:line="276" w:lineRule="auto"/>
              <w:jc w:val="both"/>
              <w:rPr>
                <w:rFonts w:ascii="Arial" w:hAnsi="Arial" w:cs="Arial"/>
                <w:color w:val="181818"/>
                <w:lang w:val="en-US"/>
              </w:rPr>
            </w:pPr>
            <w:r w:rsidRPr="007843FA">
              <w:rPr>
                <w:rFonts w:ascii="Arial" w:hAnsi="Arial" w:cs="Arial"/>
                <w:color w:val="181818"/>
                <w:lang w:val="en-US"/>
              </w:rPr>
              <w:t xml:space="preserve">This type of investment should not be allowed as an investment by the management company but only held passively </w:t>
            </w:r>
            <w:r w:rsidRPr="008965A9">
              <w:rPr>
                <w:rFonts w:ascii="Arial" w:hAnsi="Arial" w:cs="Arial"/>
                <w:color w:val="181818"/>
                <w:lang w:val="en-US"/>
              </w:rPr>
              <w:t>(e.g., after deterioration).</w:t>
            </w:r>
          </w:p>
          <w:p w14:paraId="38316BB7" w14:textId="77777777" w:rsidR="009C6DB6" w:rsidRPr="007843FA" w:rsidRDefault="009C6DB6" w:rsidP="009C6DB6">
            <w:pPr>
              <w:spacing w:after="250" w:line="276" w:lineRule="auto"/>
              <w:jc w:val="both"/>
              <w:rPr>
                <w:rFonts w:ascii="Arial" w:hAnsi="Arial" w:cs="Arial"/>
                <w:color w:val="181818"/>
                <w:lang w:val="en-US"/>
              </w:rPr>
            </w:pPr>
            <w:r w:rsidRPr="007843FA">
              <w:rPr>
                <w:rFonts w:ascii="Arial" w:hAnsi="Arial" w:cs="Arial"/>
                <w:color w:val="181818"/>
                <w:lang w:val="en-US"/>
              </w:rPr>
              <w:t xml:space="preserve">It is an eligible financial instrument </w:t>
            </w:r>
            <w:r w:rsidRPr="008965A9">
              <w:rPr>
                <w:rFonts w:ascii="Arial" w:hAnsi="Arial" w:cs="Arial"/>
                <w:color w:val="181818"/>
                <w:lang w:val="en-US"/>
              </w:rPr>
              <w:t>if eligibility conditions</w:t>
            </w:r>
            <w:r w:rsidRPr="007843FA">
              <w:rPr>
                <w:rFonts w:ascii="Arial" w:hAnsi="Arial" w:cs="Arial"/>
                <w:color w:val="181818"/>
                <w:lang w:val="en-US"/>
              </w:rPr>
              <w:t xml:space="preserve"> including liquidity are met.</w:t>
            </w:r>
          </w:p>
          <w:p w14:paraId="4101652C" w14:textId="5AFE138F" w:rsidR="009C6DB6" w:rsidRPr="00B33432" w:rsidRDefault="009C6DB6" w:rsidP="009C6DB6">
            <w:pPr>
              <w:spacing w:after="250" w:line="276" w:lineRule="auto"/>
              <w:jc w:val="both"/>
              <w:rPr>
                <w:rFonts w:ascii="Arial" w:hAnsi="Arial" w:cs="Arial"/>
                <w:color w:val="181818"/>
              </w:rPr>
            </w:pPr>
            <w:r w:rsidRPr="007843FA">
              <w:rPr>
                <w:rFonts w:ascii="Arial" w:hAnsi="Arial" w:cs="Arial"/>
                <w:color w:val="181818"/>
                <w:lang w:val="en-US"/>
              </w:rPr>
              <w:t>In the event of delisting, distressed securities fall into the ‘other eligible assets’ ratio limited to 10% if they are still negotiable; they become prohibited in the absence of liquidity.</w:t>
            </w:r>
          </w:p>
        </w:tc>
      </w:tr>
      <w:tr w:rsidR="00870911" w:rsidRPr="00B33432" w14:paraId="2B493676" w14:textId="77777777" w:rsidTr="006456F1">
        <w:tc>
          <w:tcPr>
            <w:tcW w:w="2043" w:type="dxa"/>
          </w:tcPr>
          <w:p w14:paraId="45E99430" w14:textId="77777777" w:rsidR="00870911" w:rsidRPr="00B33432" w:rsidRDefault="00870911" w:rsidP="00870911">
            <w:pPr>
              <w:spacing w:after="250" w:line="276" w:lineRule="auto"/>
              <w:rPr>
                <w:rFonts w:ascii="Arial" w:hAnsi="Arial" w:cs="Arial"/>
              </w:rPr>
            </w:pPr>
            <w:r w:rsidRPr="00B33432">
              <w:rPr>
                <w:rFonts w:ascii="Arial" w:hAnsi="Arial" w:cs="Arial"/>
              </w:rPr>
              <w:t>6. Unlisted equities</w:t>
            </w:r>
            <w:r w:rsidRPr="00B33432">
              <w:rPr>
                <w:rFonts w:ascii="Arial" w:hAnsi="Arial" w:cs="Arial"/>
                <w:sz w:val="16"/>
                <w:vertAlign w:val="superscript"/>
              </w:rPr>
              <w:footnoteReference w:id="7"/>
            </w:r>
          </w:p>
        </w:tc>
        <w:tc>
          <w:tcPr>
            <w:tcW w:w="1649" w:type="dxa"/>
          </w:tcPr>
          <w:p w14:paraId="4B99056E" w14:textId="77777777" w:rsidR="00870911" w:rsidRPr="00B33432" w:rsidRDefault="00870911" w:rsidP="00870911">
            <w:pPr>
              <w:spacing w:after="250" w:line="276" w:lineRule="auto"/>
              <w:jc w:val="both"/>
              <w:rPr>
                <w:rFonts w:ascii="Arial" w:hAnsi="Arial" w:cs="Arial"/>
                <w:color w:val="181818"/>
              </w:rPr>
            </w:pPr>
          </w:p>
        </w:tc>
        <w:tc>
          <w:tcPr>
            <w:tcW w:w="1739" w:type="dxa"/>
          </w:tcPr>
          <w:p w14:paraId="1299C43A" w14:textId="77777777" w:rsidR="00870911" w:rsidRPr="00B33432" w:rsidRDefault="00870911" w:rsidP="00870911">
            <w:pPr>
              <w:spacing w:after="250" w:line="276" w:lineRule="auto"/>
              <w:jc w:val="both"/>
              <w:rPr>
                <w:rFonts w:ascii="Arial" w:hAnsi="Arial" w:cs="Arial"/>
                <w:color w:val="181818"/>
              </w:rPr>
            </w:pPr>
          </w:p>
        </w:tc>
        <w:tc>
          <w:tcPr>
            <w:tcW w:w="2027" w:type="dxa"/>
          </w:tcPr>
          <w:p w14:paraId="4DDBEF00" w14:textId="77777777" w:rsidR="00870911" w:rsidRPr="00B33432" w:rsidRDefault="00870911" w:rsidP="00870911">
            <w:pPr>
              <w:spacing w:after="250" w:line="276" w:lineRule="auto"/>
              <w:jc w:val="both"/>
              <w:rPr>
                <w:rFonts w:ascii="Arial" w:hAnsi="Arial" w:cs="Arial"/>
                <w:color w:val="181818"/>
              </w:rPr>
            </w:pPr>
          </w:p>
        </w:tc>
        <w:tc>
          <w:tcPr>
            <w:tcW w:w="1862" w:type="dxa"/>
          </w:tcPr>
          <w:p w14:paraId="3461D779" w14:textId="4DDEE15D" w:rsidR="00870911" w:rsidRPr="00B33432" w:rsidRDefault="00870911" w:rsidP="00870911">
            <w:pPr>
              <w:spacing w:after="250" w:line="276" w:lineRule="auto"/>
              <w:jc w:val="both"/>
              <w:rPr>
                <w:rFonts w:ascii="Arial" w:hAnsi="Arial" w:cs="Arial"/>
                <w:color w:val="181818"/>
              </w:rPr>
            </w:pPr>
            <w:r w:rsidRPr="00194553">
              <w:rPr>
                <w:rFonts w:ascii="Arial" w:hAnsi="Arial" w:cs="Arial"/>
                <w:color w:val="181818"/>
                <w:lang w:val="en-US"/>
              </w:rPr>
              <w:t xml:space="preserve">Unlisted </w:t>
            </w:r>
            <w:r w:rsidRPr="000879B9">
              <w:rPr>
                <w:rFonts w:ascii="Arial" w:hAnsi="Arial" w:cs="Arial"/>
                <w:color w:val="181818"/>
                <w:lang w:val="en-US"/>
              </w:rPr>
              <w:t>equities</w:t>
            </w:r>
            <w:r w:rsidRPr="00732F24">
              <w:rPr>
                <w:rFonts w:ascii="Arial" w:hAnsi="Arial" w:cs="Arial"/>
                <w:color w:val="181818"/>
                <w:lang w:val="en-US"/>
              </w:rPr>
              <w:t xml:space="preserve"> are eligible under </w:t>
            </w:r>
            <w:r w:rsidRPr="00732F24">
              <w:rPr>
                <w:rFonts w:ascii="Arial" w:hAnsi="Arial" w:cs="Arial"/>
                <w:color w:val="181818"/>
                <w:lang w:val="en-US"/>
              </w:rPr>
              <w:lastRenderedPageBreak/>
              <w:t xml:space="preserve">the ‘other eligible assets’ ratio (max 10%) subject to compliance with </w:t>
            </w:r>
            <w:r w:rsidRPr="008965A9">
              <w:rPr>
                <w:rFonts w:ascii="Arial" w:hAnsi="Arial" w:cs="Arial"/>
                <w:color w:val="181818"/>
                <w:lang w:val="en-US"/>
              </w:rPr>
              <w:t>the eligibility conditions,</w:t>
            </w:r>
            <w:r w:rsidRPr="00194553">
              <w:rPr>
                <w:rFonts w:ascii="Arial" w:hAnsi="Arial" w:cs="Arial"/>
                <w:color w:val="181818"/>
                <w:lang w:val="en-US"/>
              </w:rPr>
              <w:t xml:space="preserve"> including liquidity.</w:t>
            </w:r>
          </w:p>
        </w:tc>
      </w:tr>
      <w:tr w:rsidR="0003296B" w:rsidRPr="00B33432" w14:paraId="5539B04B" w14:textId="77777777" w:rsidTr="006456F1">
        <w:tc>
          <w:tcPr>
            <w:tcW w:w="2043" w:type="dxa"/>
          </w:tcPr>
          <w:p w14:paraId="378D969D" w14:textId="77777777" w:rsidR="0003296B" w:rsidRPr="00B33432" w:rsidRDefault="0003296B" w:rsidP="0003296B">
            <w:pPr>
              <w:spacing w:after="250" w:line="276" w:lineRule="auto"/>
              <w:rPr>
                <w:rFonts w:ascii="Arial" w:hAnsi="Arial" w:cs="Arial"/>
              </w:rPr>
            </w:pPr>
            <w:r w:rsidRPr="00B33432">
              <w:rPr>
                <w:rFonts w:ascii="Arial" w:hAnsi="Arial" w:cs="Arial"/>
              </w:rPr>
              <w:lastRenderedPageBreak/>
              <w:t>7. Crypto assets</w:t>
            </w:r>
            <w:r w:rsidRPr="00B33432">
              <w:rPr>
                <w:rFonts w:ascii="Arial" w:hAnsi="Arial" w:cs="Arial"/>
                <w:vertAlign w:val="superscript"/>
              </w:rPr>
              <w:footnoteReference w:id="8"/>
            </w:r>
          </w:p>
        </w:tc>
        <w:tc>
          <w:tcPr>
            <w:tcW w:w="1649" w:type="dxa"/>
          </w:tcPr>
          <w:p w14:paraId="3CF2D8B6" w14:textId="77777777" w:rsidR="0003296B" w:rsidRPr="00B33432" w:rsidRDefault="0003296B" w:rsidP="0003296B">
            <w:pPr>
              <w:spacing w:after="250" w:line="276" w:lineRule="auto"/>
              <w:jc w:val="both"/>
              <w:rPr>
                <w:rFonts w:ascii="Arial" w:hAnsi="Arial" w:cs="Arial"/>
                <w:color w:val="181818"/>
              </w:rPr>
            </w:pPr>
          </w:p>
        </w:tc>
        <w:tc>
          <w:tcPr>
            <w:tcW w:w="1739" w:type="dxa"/>
          </w:tcPr>
          <w:p w14:paraId="0FB78278" w14:textId="77777777" w:rsidR="0003296B" w:rsidRPr="00B33432" w:rsidRDefault="0003296B" w:rsidP="0003296B">
            <w:pPr>
              <w:spacing w:after="250" w:line="276" w:lineRule="auto"/>
              <w:jc w:val="both"/>
              <w:rPr>
                <w:rFonts w:ascii="Arial" w:hAnsi="Arial" w:cs="Arial"/>
                <w:color w:val="181818"/>
              </w:rPr>
            </w:pPr>
          </w:p>
        </w:tc>
        <w:tc>
          <w:tcPr>
            <w:tcW w:w="2027" w:type="dxa"/>
          </w:tcPr>
          <w:p w14:paraId="1FC39945" w14:textId="77777777" w:rsidR="0003296B" w:rsidRPr="00B33432" w:rsidRDefault="0003296B" w:rsidP="0003296B">
            <w:pPr>
              <w:spacing w:after="250" w:line="276" w:lineRule="auto"/>
              <w:jc w:val="both"/>
              <w:rPr>
                <w:rFonts w:ascii="Arial" w:hAnsi="Arial" w:cs="Arial"/>
                <w:color w:val="181818"/>
              </w:rPr>
            </w:pPr>
          </w:p>
        </w:tc>
        <w:tc>
          <w:tcPr>
            <w:tcW w:w="1862" w:type="dxa"/>
          </w:tcPr>
          <w:p w14:paraId="0562CB0E" w14:textId="626BFBB5" w:rsidR="0003296B" w:rsidRPr="00DD3DD6" w:rsidRDefault="00B221C7" w:rsidP="0003296B">
            <w:pPr>
              <w:spacing w:after="250" w:line="276" w:lineRule="auto"/>
              <w:jc w:val="both"/>
              <w:rPr>
                <w:rFonts w:ascii="Arial" w:hAnsi="Arial" w:cs="Arial"/>
                <w:color w:val="181818"/>
                <w:lang w:val="en-US"/>
              </w:rPr>
            </w:pPr>
            <w:r>
              <w:rPr>
                <w:rFonts w:ascii="Arial" w:hAnsi="Arial" w:cs="Arial"/>
                <w:color w:val="181818"/>
                <w:lang w:val="en-US"/>
              </w:rPr>
              <w:t>Direct investments in c</w:t>
            </w:r>
            <w:r w:rsidR="0003296B" w:rsidRPr="007843FA">
              <w:rPr>
                <w:rFonts w:ascii="Arial" w:hAnsi="Arial" w:cs="Arial"/>
                <w:color w:val="181818"/>
                <w:lang w:val="en-US"/>
              </w:rPr>
              <w:t xml:space="preserve">rypto assets that are not transferable securities are not eligible for a UCITS. </w:t>
            </w:r>
          </w:p>
        </w:tc>
      </w:tr>
      <w:tr w:rsidR="00FE66B0" w:rsidRPr="00B33432" w14:paraId="6582FE19" w14:textId="77777777" w:rsidTr="006456F1">
        <w:tc>
          <w:tcPr>
            <w:tcW w:w="2043" w:type="dxa"/>
          </w:tcPr>
          <w:p w14:paraId="73AF3CD4" w14:textId="77777777" w:rsidR="00FE66B0" w:rsidRPr="00B33432" w:rsidRDefault="00FE66B0" w:rsidP="00FE66B0">
            <w:pPr>
              <w:spacing w:after="250" w:line="276" w:lineRule="auto"/>
              <w:rPr>
                <w:rFonts w:ascii="Arial" w:hAnsi="Arial" w:cs="Arial"/>
              </w:rPr>
            </w:pPr>
            <w:r w:rsidRPr="00B33432">
              <w:rPr>
                <w:rFonts w:ascii="Arial" w:hAnsi="Arial" w:cs="Arial"/>
              </w:rPr>
              <w:t>8. Commodities and precious metals</w:t>
            </w:r>
            <w:r w:rsidRPr="00B33432">
              <w:rPr>
                <w:rFonts w:ascii="Arial" w:hAnsi="Arial" w:cs="Arial"/>
                <w:sz w:val="16"/>
                <w:vertAlign w:val="superscript"/>
              </w:rPr>
              <w:footnoteReference w:id="9"/>
            </w:r>
          </w:p>
        </w:tc>
        <w:tc>
          <w:tcPr>
            <w:tcW w:w="1649" w:type="dxa"/>
          </w:tcPr>
          <w:p w14:paraId="34CE0A41" w14:textId="77777777" w:rsidR="00FE66B0" w:rsidRPr="00B33432" w:rsidRDefault="00FE66B0" w:rsidP="00FE66B0">
            <w:pPr>
              <w:spacing w:after="250" w:line="276" w:lineRule="auto"/>
              <w:jc w:val="both"/>
              <w:rPr>
                <w:rFonts w:ascii="Arial" w:hAnsi="Arial" w:cs="Arial"/>
                <w:color w:val="181818"/>
              </w:rPr>
            </w:pPr>
          </w:p>
        </w:tc>
        <w:tc>
          <w:tcPr>
            <w:tcW w:w="1739" w:type="dxa"/>
          </w:tcPr>
          <w:p w14:paraId="62EBF3C5" w14:textId="77777777" w:rsidR="00FE66B0" w:rsidRPr="00B33432" w:rsidRDefault="00FE66B0" w:rsidP="00FE66B0">
            <w:pPr>
              <w:spacing w:after="250" w:line="276" w:lineRule="auto"/>
              <w:jc w:val="both"/>
              <w:rPr>
                <w:rFonts w:ascii="Arial" w:hAnsi="Arial" w:cs="Arial"/>
                <w:color w:val="181818"/>
              </w:rPr>
            </w:pPr>
          </w:p>
        </w:tc>
        <w:tc>
          <w:tcPr>
            <w:tcW w:w="2027" w:type="dxa"/>
          </w:tcPr>
          <w:p w14:paraId="6D98A12B" w14:textId="77777777" w:rsidR="00FE66B0" w:rsidRPr="00B33432" w:rsidRDefault="00FE66B0" w:rsidP="00FE66B0">
            <w:pPr>
              <w:spacing w:after="250" w:line="276" w:lineRule="auto"/>
              <w:jc w:val="both"/>
              <w:rPr>
                <w:rFonts w:ascii="Arial" w:hAnsi="Arial" w:cs="Arial"/>
                <w:color w:val="181818"/>
              </w:rPr>
            </w:pPr>
          </w:p>
        </w:tc>
        <w:tc>
          <w:tcPr>
            <w:tcW w:w="1862" w:type="dxa"/>
          </w:tcPr>
          <w:p w14:paraId="44F1C196" w14:textId="77777777" w:rsidR="00FE66B0" w:rsidRPr="007843FA" w:rsidRDefault="00FE66B0" w:rsidP="00FE66B0">
            <w:pPr>
              <w:spacing w:after="250" w:line="276" w:lineRule="auto"/>
              <w:jc w:val="both"/>
              <w:rPr>
                <w:rFonts w:ascii="Arial" w:hAnsi="Arial" w:cs="Arial"/>
                <w:color w:val="181818"/>
                <w:lang w:val="en-US"/>
              </w:rPr>
            </w:pPr>
            <w:r w:rsidRPr="007843FA">
              <w:rPr>
                <w:rFonts w:ascii="Arial" w:hAnsi="Arial" w:cs="Arial"/>
                <w:color w:val="181818"/>
                <w:lang w:val="en-US"/>
              </w:rPr>
              <w:t>Precious metals and commodities are not allowed directly to the assets of a UCITS.</w:t>
            </w:r>
          </w:p>
          <w:p w14:paraId="2946DB82" w14:textId="4101044E" w:rsidR="00FE66B0" w:rsidRPr="00B33432" w:rsidRDefault="00FE66B0" w:rsidP="002E758C">
            <w:pPr>
              <w:spacing w:after="250" w:line="276" w:lineRule="auto"/>
              <w:jc w:val="both"/>
              <w:rPr>
                <w:rFonts w:ascii="Arial" w:hAnsi="Arial" w:cs="Arial"/>
                <w:color w:val="181818"/>
              </w:rPr>
            </w:pPr>
            <w:r w:rsidRPr="007843FA">
              <w:rPr>
                <w:rFonts w:ascii="Arial" w:hAnsi="Arial" w:cs="Arial"/>
                <w:color w:val="181818"/>
                <w:lang w:val="en-US"/>
              </w:rPr>
              <w:t xml:space="preserve">They could be eligible through </w:t>
            </w:r>
            <w:r w:rsidR="00190BF5">
              <w:rPr>
                <w:rFonts w:ascii="Arial" w:hAnsi="Arial" w:cs="Arial"/>
                <w:color w:val="181818"/>
                <w:lang w:val="en-US"/>
              </w:rPr>
              <w:t xml:space="preserve">1:1 </w:t>
            </w:r>
            <w:proofErr w:type="gramStart"/>
            <w:r w:rsidR="00190BF5">
              <w:rPr>
                <w:rFonts w:ascii="Arial" w:hAnsi="Arial" w:cs="Arial"/>
                <w:color w:val="181818"/>
                <w:lang w:val="en-US"/>
              </w:rPr>
              <w:t>certificates</w:t>
            </w:r>
            <w:proofErr w:type="gramEnd"/>
            <w:r w:rsidR="00190BF5">
              <w:rPr>
                <w:rFonts w:ascii="Arial" w:hAnsi="Arial" w:cs="Arial"/>
                <w:color w:val="181818"/>
                <w:lang w:val="en-US"/>
              </w:rPr>
              <w:t xml:space="preserve">. </w:t>
            </w:r>
            <w:r w:rsidR="002E758C" w:rsidRPr="002E758C">
              <w:rPr>
                <w:rFonts w:ascii="Arial" w:hAnsi="Arial" w:cs="Arial"/>
                <w:color w:val="181818"/>
                <w:lang w:val="en-US"/>
              </w:rPr>
              <w:t xml:space="preserve">1:1 </w:t>
            </w:r>
            <w:proofErr w:type="gramStart"/>
            <w:r w:rsidR="002E758C" w:rsidRPr="002E758C">
              <w:rPr>
                <w:rFonts w:ascii="Arial" w:hAnsi="Arial" w:cs="Arial"/>
                <w:color w:val="181818"/>
                <w:lang w:val="en-US"/>
              </w:rPr>
              <w:t>certificates</w:t>
            </w:r>
            <w:proofErr w:type="gramEnd"/>
            <w:r w:rsidR="002E758C" w:rsidRPr="002E758C">
              <w:rPr>
                <w:rFonts w:ascii="Arial" w:hAnsi="Arial" w:cs="Arial"/>
                <w:color w:val="181818"/>
                <w:lang w:val="en-US"/>
              </w:rPr>
              <w:t xml:space="preserve"> on precious metals can be acquired as securities if the acquisition does not lead to a physical delivery. The ban on acquiring certificates on precious metals, which is based on Article 50 paragraph 2 letter b) of Directive 2009/65/EC </w:t>
            </w:r>
            <w:r w:rsidR="002E758C" w:rsidRPr="002E758C">
              <w:rPr>
                <w:rFonts w:ascii="Arial" w:hAnsi="Arial" w:cs="Arial"/>
                <w:color w:val="181818"/>
                <w:lang w:val="en-US"/>
              </w:rPr>
              <w:lastRenderedPageBreak/>
              <w:t xml:space="preserve">(UCITS Directive), is to be interpreted as only covering certificates whose acquisition leads to a physical delivery of the precious metal. In order to be able to acquire 1:1 </w:t>
            </w:r>
            <w:proofErr w:type="gramStart"/>
            <w:r w:rsidR="002E758C" w:rsidRPr="002E758C">
              <w:rPr>
                <w:rFonts w:ascii="Arial" w:hAnsi="Arial" w:cs="Arial"/>
                <w:color w:val="181818"/>
                <w:lang w:val="en-US"/>
              </w:rPr>
              <w:t>certificates</w:t>
            </w:r>
            <w:proofErr w:type="gramEnd"/>
            <w:r w:rsidR="002E758C" w:rsidRPr="002E758C">
              <w:rPr>
                <w:rFonts w:ascii="Arial" w:hAnsi="Arial" w:cs="Arial"/>
                <w:color w:val="181818"/>
                <w:lang w:val="en-US"/>
              </w:rPr>
              <w:t xml:space="preserve"> on precious metals, the capital management company must ensure that it does not receive a physical delivery of the precious metal, either legally through a corresponding agreement with the issuer of the certificate or even just de facto by not exercising the right to physical delivery vis-à-vis the issuer.</w:t>
            </w:r>
            <w:r w:rsidR="002E758C" w:rsidRPr="002E758C" w:rsidDel="002E758C">
              <w:rPr>
                <w:rFonts w:ascii="Arial" w:hAnsi="Arial" w:cs="Arial"/>
                <w:color w:val="181818"/>
                <w:lang w:val="en-US"/>
              </w:rPr>
              <w:t xml:space="preserve"> </w:t>
            </w:r>
          </w:p>
        </w:tc>
      </w:tr>
      <w:tr w:rsidR="002C4F7E" w:rsidRPr="00B33432" w14:paraId="1D06A7CA" w14:textId="77777777" w:rsidTr="006456F1">
        <w:tc>
          <w:tcPr>
            <w:tcW w:w="2043" w:type="dxa"/>
          </w:tcPr>
          <w:p w14:paraId="695108F8" w14:textId="77777777" w:rsidR="002C4F7E" w:rsidRPr="00B33432" w:rsidRDefault="002C4F7E" w:rsidP="002C4F7E">
            <w:pPr>
              <w:spacing w:after="250" w:line="276" w:lineRule="auto"/>
              <w:rPr>
                <w:rFonts w:ascii="Arial" w:hAnsi="Arial" w:cs="Arial"/>
              </w:rPr>
            </w:pPr>
            <w:r w:rsidRPr="00B33432">
              <w:rPr>
                <w:rFonts w:ascii="Arial" w:hAnsi="Arial" w:cs="Arial"/>
              </w:rPr>
              <w:lastRenderedPageBreak/>
              <w:t>9. Exchange-traded commodities (‘ETCs’)</w:t>
            </w:r>
          </w:p>
        </w:tc>
        <w:tc>
          <w:tcPr>
            <w:tcW w:w="1649" w:type="dxa"/>
          </w:tcPr>
          <w:p w14:paraId="5997CC1D" w14:textId="77777777" w:rsidR="002C4F7E" w:rsidRPr="00B33432" w:rsidRDefault="002C4F7E" w:rsidP="002C4F7E">
            <w:pPr>
              <w:spacing w:after="250" w:line="276" w:lineRule="auto"/>
              <w:jc w:val="both"/>
              <w:rPr>
                <w:rFonts w:ascii="Arial" w:hAnsi="Arial" w:cs="Arial"/>
                <w:color w:val="181818"/>
              </w:rPr>
            </w:pPr>
          </w:p>
        </w:tc>
        <w:tc>
          <w:tcPr>
            <w:tcW w:w="1739" w:type="dxa"/>
          </w:tcPr>
          <w:p w14:paraId="110FFD37" w14:textId="77777777" w:rsidR="002C4F7E" w:rsidRPr="00B33432" w:rsidRDefault="002C4F7E" w:rsidP="002C4F7E">
            <w:pPr>
              <w:spacing w:after="250" w:line="276" w:lineRule="auto"/>
              <w:jc w:val="both"/>
              <w:rPr>
                <w:rFonts w:ascii="Arial" w:hAnsi="Arial" w:cs="Arial"/>
                <w:color w:val="181818"/>
              </w:rPr>
            </w:pPr>
          </w:p>
        </w:tc>
        <w:tc>
          <w:tcPr>
            <w:tcW w:w="2027" w:type="dxa"/>
          </w:tcPr>
          <w:p w14:paraId="6B699379" w14:textId="77777777" w:rsidR="002C4F7E" w:rsidRPr="00B33432" w:rsidRDefault="002C4F7E" w:rsidP="002C4F7E">
            <w:pPr>
              <w:spacing w:after="250" w:line="276" w:lineRule="auto"/>
              <w:jc w:val="both"/>
              <w:rPr>
                <w:rFonts w:ascii="Arial" w:hAnsi="Arial" w:cs="Arial"/>
                <w:color w:val="181818"/>
              </w:rPr>
            </w:pPr>
          </w:p>
        </w:tc>
        <w:tc>
          <w:tcPr>
            <w:tcW w:w="1862" w:type="dxa"/>
          </w:tcPr>
          <w:p w14:paraId="3FE9F23F" w14:textId="566338AC" w:rsidR="002C4F7E" w:rsidRPr="00B33432" w:rsidRDefault="002C4F7E" w:rsidP="002C4F7E">
            <w:pPr>
              <w:spacing w:after="250" w:line="276" w:lineRule="auto"/>
              <w:jc w:val="both"/>
              <w:rPr>
                <w:rFonts w:ascii="Arial" w:hAnsi="Arial" w:cs="Arial"/>
                <w:color w:val="181818"/>
              </w:rPr>
            </w:pPr>
            <w:r w:rsidRPr="007843FA">
              <w:rPr>
                <w:rFonts w:ascii="Arial" w:hAnsi="Arial" w:cs="Arial"/>
                <w:color w:val="181818"/>
                <w:lang w:val="en-US"/>
              </w:rPr>
              <w:t>The ETC is directly linked to the physical underlying (e.g. gold) and therefore does not comply with the diversification rules</w:t>
            </w:r>
            <w:r>
              <w:rPr>
                <w:rFonts w:ascii="Arial" w:hAnsi="Arial" w:cs="Arial"/>
                <w:color w:val="181818"/>
                <w:lang w:val="en-US"/>
              </w:rPr>
              <w:t xml:space="preserve"> or concentration rules</w:t>
            </w:r>
            <w:r w:rsidRPr="007843FA">
              <w:rPr>
                <w:rFonts w:ascii="Arial" w:hAnsi="Arial" w:cs="Arial"/>
                <w:color w:val="181818"/>
                <w:lang w:val="en-US"/>
              </w:rPr>
              <w:t xml:space="preserve"> of the UCITS directive. </w:t>
            </w:r>
            <w:r w:rsidR="00190BF5" w:rsidRPr="00190BF5">
              <w:rPr>
                <w:rFonts w:ascii="Arial" w:hAnsi="Arial" w:cs="Arial"/>
                <w:color w:val="181818"/>
                <w:lang w:val="en-US"/>
              </w:rPr>
              <w:t xml:space="preserve">The information provided under point 8 applies. The current status quo must be </w:t>
            </w:r>
            <w:proofErr w:type="gramStart"/>
            <w:r w:rsidR="00190BF5" w:rsidRPr="00190BF5">
              <w:rPr>
                <w:rFonts w:ascii="Arial" w:hAnsi="Arial" w:cs="Arial"/>
                <w:color w:val="181818"/>
                <w:lang w:val="en-US"/>
              </w:rPr>
              <w:t xml:space="preserve">taken </w:t>
            </w:r>
            <w:r w:rsidR="00190BF5" w:rsidRPr="00190BF5">
              <w:rPr>
                <w:rFonts w:ascii="Arial" w:hAnsi="Arial" w:cs="Arial"/>
                <w:color w:val="181818"/>
                <w:lang w:val="en-US"/>
              </w:rPr>
              <w:lastRenderedPageBreak/>
              <w:t>into account</w:t>
            </w:r>
            <w:proofErr w:type="gramEnd"/>
            <w:r w:rsidR="00190BF5" w:rsidRPr="00190BF5">
              <w:rPr>
                <w:rFonts w:ascii="Arial" w:hAnsi="Arial" w:cs="Arial"/>
                <w:color w:val="181818"/>
                <w:lang w:val="en-US"/>
              </w:rPr>
              <w:t>, i.e. precious metals can be purchased with the restriction that no physical delivery of the precious metal may take place.</w:t>
            </w:r>
            <w:r w:rsidR="00190BF5" w:rsidRPr="00190BF5" w:rsidDel="00190BF5">
              <w:rPr>
                <w:rFonts w:ascii="Arial" w:hAnsi="Arial" w:cs="Arial"/>
                <w:color w:val="181818"/>
                <w:lang w:val="en-US"/>
              </w:rPr>
              <w:t xml:space="preserve"> </w:t>
            </w:r>
            <w:r w:rsidRPr="007843FA">
              <w:rPr>
                <w:rFonts w:ascii="Arial" w:hAnsi="Arial" w:cs="Arial"/>
                <w:color w:val="181818"/>
                <w:lang w:val="en-US"/>
              </w:rPr>
              <w:t>.</w:t>
            </w:r>
          </w:p>
        </w:tc>
      </w:tr>
      <w:tr w:rsidR="002C4F7E" w:rsidRPr="00B33432" w14:paraId="241FBBEE" w14:textId="77777777" w:rsidTr="006456F1">
        <w:tc>
          <w:tcPr>
            <w:tcW w:w="2043" w:type="dxa"/>
          </w:tcPr>
          <w:p w14:paraId="168EC9A2" w14:textId="77777777" w:rsidR="002C4F7E" w:rsidRPr="00B33432" w:rsidRDefault="002C4F7E" w:rsidP="002C4F7E">
            <w:pPr>
              <w:spacing w:after="250" w:line="276" w:lineRule="auto"/>
              <w:rPr>
                <w:rFonts w:ascii="Arial" w:hAnsi="Arial" w:cs="Arial"/>
              </w:rPr>
            </w:pPr>
            <w:r w:rsidRPr="00B33432">
              <w:rPr>
                <w:rFonts w:ascii="Arial" w:hAnsi="Arial" w:cs="Arial"/>
              </w:rPr>
              <w:lastRenderedPageBreak/>
              <w:t>10. Real estate</w:t>
            </w:r>
          </w:p>
        </w:tc>
        <w:tc>
          <w:tcPr>
            <w:tcW w:w="1649" w:type="dxa"/>
          </w:tcPr>
          <w:p w14:paraId="1F72F646" w14:textId="77777777" w:rsidR="002C4F7E" w:rsidRPr="00B33432" w:rsidRDefault="002C4F7E" w:rsidP="002C4F7E">
            <w:pPr>
              <w:spacing w:after="250" w:line="276" w:lineRule="auto"/>
              <w:jc w:val="both"/>
              <w:rPr>
                <w:rFonts w:ascii="Arial" w:hAnsi="Arial" w:cs="Arial"/>
                <w:color w:val="181818"/>
              </w:rPr>
            </w:pPr>
          </w:p>
        </w:tc>
        <w:tc>
          <w:tcPr>
            <w:tcW w:w="1739" w:type="dxa"/>
          </w:tcPr>
          <w:p w14:paraId="08CE6F91" w14:textId="77777777" w:rsidR="002C4F7E" w:rsidRPr="00B33432" w:rsidRDefault="002C4F7E" w:rsidP="002C4F7E">
            <w:pPr>
              <w:spacing w:after="250" w:line="276" w:lineRule="auto"/>
              <w:jc w:val="both"/>
              <w:rPr>
                <w:rFonts w:ascii="Arial" w:hAnsi="Arial" w:cs="Arial"/>
                <w:color w:val="181818"/>
              </w:rPr>
            </w:pPr>
          </w:p>
        </w:tc>
        <w:tc>
          <w:tcPr>
            <w:tcW w:w="2027" w:type="dxa"/>
          </w:tcPr>
          <w:p w14:paraId="61CDCEAD" w14:textId="77777777" w:rsidR="002C4F7E" w:rsidRPr="00B33432" w:rsidRDefault="002C4F7E" w:rsidP="002C4F7E">
            <w:pPr>
              <w:spacing w:after="250" w:line="276" w:lineRule="auto"/>
              <w:jc w:val="both"/>
              <w:rPr>
                <w:rFonts w:ascii="Arial" w:hAnsi="Arial" w:cs="Arial"/>
                <w:color w:val="181818"/>
              </w:rPr>
            </w:pPr>
          </w:p>
        </w:tc>
        <w:tc>
          <w:tcPr>
            <w:tcW w:w="1862" w:type="dxa"/>
          </w:tcPr>
          <w:p w14:paraId="6BB9E253" w14:textId="769ED7D5" w:rsidR="002C4F7E" w:rsidRPr="00B33432" w:rsidRDefault="00D96182" w:rsidP="002C4F7E">
            <w:pPr>
              <w:spacing w:after="250" w:line="276" w:lineRule="auto"/>
              <w:jc w:val="both"/>
              <w:rPr>
                <w:rFonts w:ascii="Arial" w:hAnsi="Arial" w:cs="Arial"/>
                <w:color w:val="181818"/>
              </w:rPr>
            </w:pPr>
            <w:r w:rsidRPr="007843FA">
              <w:rPr>
                <w:rFonts w:ascii="Arial" w:hAnsi="Arial" w:cs="Arial"/>
                <w:color w:val="181818"/>
                <w:lang w:val="en-US"/>
              </w:rPr>
              <w:t xml:space="preserve">Ineligible for a UCITS. The ELTIF-vehicle </w:t>
            </w:r>
            <w:r w:rsidRPr="000879B9">
              <w:rPr>
                <w:rFonts w:ascii="Arial" w:hAnsi="Arial" w:cs="Arial"/>
                <w:color w:val="181818"/>
                <w:lang w:val="en-US"/>
              </w:rPr>
              <w:t xml:space="preserve">allows this type of asset </w:t>
            </w:r>
            <w:r w:rsidRPr="008965A9">
              <w:rPr>
                <w:rFonts w:ascii="Arial" w:hAnsi="Arial" w:cs="Arial"/>
                <w:color w:val="181818"/>
                <w:lang w:val="en-US"/>
              </w:rPr>
              <w:t>and should be the suitable vehicle since it also benefits from a marketing passport for retail investors</w:t>
            </w:r>
            <w:r>
              <w:rPr>
                <w:rFonts w:ascii="Arial" w:hAnsi="Arial" w:cs="Arial"/>
                <w:color w:val="181818"/>
                <w:lang w:val="en-US"/>
              </w:rPr>
              <w:t>.</w:t>
            </w:r>
          </w:p>
        </w:tc>
      </w:tr>
      <w:tr w:rsidR="006456F1" w:rsidRPr="00B33432" w14:paraId="7FD6362C" w14:textId="77777777" w:rsidTr="006456F1">
        <w:tc>
          <w:tcPr>
            <w:tcW w:w="2043" w:type="dxa"/>
          </w:tcPr>
          <w:p w14:paraId="146B0B65" w14:textId="77777777" w:rsidR="006456F1" w:rsidRPr="00B33432" w:rsidRDefault="006456F1" w:rsidP="006456F1">
            <w:pPr>
              <w:spacing w:after="250" w:line="276" w:lineRule="auto"/>
              <w:rPr>
                <w:rFonts w:ascii="Arial" w:hAnsi="Arial" w:cs="Arial"/>
              </w:rPr>
            </w:pPr>
            <w:r w:rsidRPr="00B33432">
              <w:rPr>
                <w:rFonts w:ascii="Arial" w:hAnsi="Arial" w:cs="Arial"/>
              </w:rPr>
              <w:t>11. Real Estate Investment Trusts (‘REITs’)</w:t>
            </w:r>
          </w:p>
        </w:tc>
        <w:tc>
          <w:tcPr>
            <w:tcW w:w="1649" w:type="dxa"/>
          </w:tcPr>
          <w:p w14:paraId="23DE523C" w14:textId="77777777" w:rsidR="006456F1" w:rsidRPr="00B33432" w:rsidRDefault="006456F1" w:rsidP="006456F1">
            <w:pPr>
              <w:spacing w:after="250" w:line="276" w:lineRule="auto"/>
              <w:jc w:val="both"/>
              <w:rPr>
                <w:rFonts w:ascii="Arial" w:hAnsi="Arial" w:cs="Arial"/>
                <w:color w:val="181818"/>
              </w:rPr>
            </w:pPr>
          </w:p>
        </w:tc>
        <w:tc>
          <w:tcPr>
            <w:tcW w:w="1739" w:type="dxa"/>
          </w:tcPr>
          <w:p w14:paraId="52E56223" w14:textId="77777777" w:rsidR="006456F1" w:rsidRPr="00B33432" w:rsidRDefault="006456F1" w:rsidP="006456F1">
            <w:pPr>
              <w:spacing w:after="250" w:line="276" w:lineRule="auto"/>
              <w:jc w:val="both"/>
              <w:rPr>
                <w:rFonts w:ascii="Arial" w:hAnsi="Arial" w:cs="Arial"/>
                <w:color w:val="181818"/>
              </w:rPr>
            </w:pPr>
          </w:p>
        </w:tc>
        <w:tc>
          <w:tcPr>
            <w:tcW w:w="2027" w:type="dxa"/>
          </w:tcPr>
          <w:p w14:paraId="07547A01" w14:textId="77777777" w:rsidR="006456F1" w:rsidRPr="00B33432" w:rsidRDefault="006456F1" w:rsidP="006456F1">
            <w:pPr>
              <w:spacing w:after="250" w:line="276" w:lineRule="auto"/>
              <w:jc w:val="both"/>
              <w:rPr>
                <w:rFonts w:ascii="Arial" w:hAnsi="Arial" w:cs="Arial"/>
                <w:color w:val="181818"/>
              </w:rPr>
            </w:pPr>
          </w:p>
        </w:tc>
        <w:tc>
          <w:tcPr>
            <w:tcW w:w="1862" w:type="dxa"/>
          </w:tcPr>
          <w:p w14:paraId="2516C136" w14:textId="77777777" w:rsidR="006456F1" w:rsidRPr="007843FA" w:rsidRDefault="006456F1" w:rsidP="006456F1">
            <w:pPr>
              <w:spacing w:after="250" w:line="276" w:lineRule="auto"/>
              <w:jc w:val="both"/>
              <w:rPr>
                <w:rFonts w:ascii="Arial" w:hAnsi="Arial" w:cs="Arial"/>
                <w:color w:val="181818"/>
                <w:lang w:val="en-US"/>
              </w:rPr>
            </w:pPr>
            <w:r w:rsidRPr="007843FA">
              <w:rPr>
                <w:rFonts w:ascii="Arial" w:hAnsi="Arial" w:cs="Arial"/>
                <w:color w:val="181818"/>
                <w:lang w:val="en-US"/>
              </w:rPr>
              <w:t xml:space="preserve">Allowed if listed and assimilated to listed real estate companies. </w:t>
            </w:r>
          </w:p>
          <w:p w14:paraId="5043CB0F" w14:textId="1AC82301" w:rsidR="006456F1" w:rsidRPr="00B33432" w:rsidRDefault="006456F1" w:rsidP="006456F1">
            <w:pPr>
              <w:spacing w:after="250" w:line="276" w:lineRule="auto"/>
              <w:jc w:val="both"/>
              <w:rPr>
                <w:rFonts w:ascii="Arial" w:hAnsi="Arial" w:cs="Arial"/>
                <w:color w:val="181818"/>
              </w:rPr>
            </w:pPr>
            <w:r w:rsidRPr="000879B9">
              <w:rPr>
                <w:rFonts w:ascii="Arial" w:hAnsi="Arial" w:cs="Arial"/>
                <w:color w:val="181818"/>
                <w:lang w:val="en-US"/>
              </w:rPr>
              <w:t xml:space="preserve">Not allowed if they are unlisted funds, </w:t>
            </w:r>
            <w:r w:rsidRPr="008965A9">
              <w:rPr>
                <w:rFonts w:ascii="Arial" w:hAnsi="Arial" w:cs="Arial"/>
                <w:color w:val="181818"/>
                <w:lang w:val="en-US"/>
              </w:rPr>
              <w:t>as they do not comply with the same rules for diversifying a UCITS</w:t>
            </w:r>
            <w:r w:rsidR="00EF5A0C">
              <w:rPr>
                <w:rFonts w:ascii="Arial" w:hAnsi="Arial" w:cs="Arial"/>
                <w:color w:val="181818"/>
                <w:lang w:val="en-US"/>
              </w:rPr>
              <w:t>.</w:t>
            </w:r>
            <w:r w:rsidRPr="008965A9">
              <w:rPr>
                <w:rFonts w:ascii="Arial" w:hAnsi="Arial" w:cs="Arial"/>
                <w:color w:val="181818"/>
                <w:lang w:val="en-US"/>
              </w:rPr>
              <w:t xml:space="preserve"> </w:t>
            </w:r>
          </w:p>
        </w:tc>
      </w:tr>
      <w:tr w:rsidR="00EA7893" w:rsidRPr="00B33432" w14:paraId="585437CF" w14:textId="77777777" w:rsidTr="006456F1">
        <w:tc>
          <w:tcPr>
            <w:tcW w:w="2043" w:type="dxa"/>
          </w:tcPr>
          <w:p w14:paraId="17F5DE1B" w14:textId="77777777" w:rsidR="00EA7893" w:rsidRPr="00B33432" w:rsidRDefault="00EA7893" w:rsidP="00EA7893">
            <w:pPr>
              <w:spacing w:after="250" w:line="276" w:lineRule="auto"/>
              <w:rPr>
                <w:rFonts w:ascii="Arial" w:hAnsi="Arial" w:cs="Arial"/>
              </w:rPr>
            </w:pPr>
            <w:r w:rsidRPr="00B33432">
              <w:rPr>
                <w:rFonts w:ascii="Arial" w:hAnsi="Arial" w:cs="Arial"/>
              </w:rPr>
              <w:t>12. Special Purpose Acquisition Companies (‘SPACs’)</w:t>
            </w:r>
          </w:p>
        </w:tc>
        <w:tc>
          <w:tcPr>
            <w:tcW w:w="1649" w:type="dxa"/>
          </w:tcPr>
          <w:p w14:paraId="07459315" w14:textId="77777777" w:rsidR="00EA7893" w:rsidRPr="00B33432" w:rsidRDefault="00EA7893" w:rsidP="00EA7893">
            <w:pPr>
              <w:spacing w:after="250" w:line="276" w:lineRule="auto"/>
              <w:jc w:val="both"/>
              <w:rPr>
                <w:rFonts w:ascii="Arial" w:hAnsi="Arial" w:cs="Arial"/>
                <w:color w:val="181818"/>
              </w:rPr>
            </w:pPr>
          </w:p>
        </w:tc>
        <w:tc>
          <w:tcPr>
            <w:tcW w:w="1739" w:type="dxa"/>
          </w:tcPr>
          <w:p w14:paraId="6537F28F" w14:textId="77777777" w:rsidR="00EA7893" w:rsidRPr="00B33432" w:rsidRDefault="00EA7893" w:rsidP="00EA7893">
            <w:pPr>
              <w:spacing w:after="250" w:line="276" w:lineRule="auto"/>
              <w:jc w:val="both"/>
              <w:rPr>
                <w:rFonts w:ascii="Arial" w:hAnsi="Arial" w:cs="Arial"/>
                <w:color w:val="181818"/>
              </w:rPr>
            </w:pPr>
          </w:p>
        </w:tc>
        <w:tc>
          <w:tcPr>
            <w:tcW w:w="2027" w:type="dxa"/>
          </w:tcPr>
          <w:p w14:paraId="6DFB9E20" w14:textId="77777777" w:rsidR="00EA7893" w:rsidRPr="00B33432" w:rsidRDefault="00EA7893" w:rsidP="00EA7893">
            <w:pPr>
              <w:spacing w:after="250" w:line="276" w:lineRule="auto"/>
              <w:jc w:val="both"/>
              <w:rPr>
                <w:rFonts w:ascii="Arial" w:hAnsi="Arial" w:cs="Arial"/>
                <w:color w:val="181818"/>
              </w:rPr>
            </w:pPr>
          </w:p>
        </w:tc>
        <w:tc>
          <w:tcPr>
            <w:tcW w:w="1862" w:type="dxa"/>
          </w:tcPr>
          <w:p w14:paraId="45C51E18" w14:textId="77777777" w:rsidR="00EA7893" w:rsidRPr="007843FA" w:rsidRDefault="00EA7893" w:rsidP="00EA7893">
            <w:pPr>
              <w:spacing w:after="160" w:line="259" w:lineRule="auto"/>
              <w:rPr>
                <w:rFonts w:ascii="Arial" w:hAnsi="Arial" w:cs="Arial"/>
                <w:color w:val="181818"/>
                <w:lang w:val="en-US"/>
              </w:rPr>
            </w:pPr>
            <w:r w:rsidRPr="007843FA">
              <w:rPr>
                <w:rFonts w:ascii="Arial" w:hAnsi="Arial" w:cs="Arial"/>
                <w:color w:val="181818"/>
                <w:lang w:val="en-US"/>
              </w:rPr>
              <w:t xml:space="preserve">Assimilated to listed shares and therefore eligible for a UCITS. </w:t>
            </w:r>
          </w:p>
          <w:p w14:paraId="70DF9E56" w14:textId="6E58ACC7" w:rsidR="00EA7893" w:rsidRPr="00B33432" w:rsidRDefault="00EA7893" w:rsidP="00EA7893">
            <w:pPr>
              <w:spacing w:after="250" w:line="276" w:lineRule="auto"/>
              <w:jc w:val="both"/>
              <w:rPr>
                <w:rFonts w:ascii="Arial" w:hAnsi="Arial" w:cs="Arial"/>
                <w:color w:val="181818"/>
              </w:rPr>
            </w:pPr>
            <w:r w:rsidRPr="007843FA">
              <w:rPr>
                <w:rFonts w:ascii="Arial" w:hAnsi="Arial" w:cs="Arial"/>
                <w:color w:val="181818"/>
                <w:lang w:val="en-US"/>
              </w:rPr>
              <w:t xml:space="preserve">Some jurisdictions (e.g., Luxembourg) have introduced an investment limit of up to 10% of UCITS-assets, so </w:t>
            </w:r>
            <w:proofErr w:type="spellStart"/>
            <w:r w:rsidRPr="007843FA">
              <w:rPr>
                <w:rFonts w:ascii="Arial" w:hAnsi="Arial" w:cs="Arial"/>
                <w:color w:val="181818"/>
                <w:lang w:val="en-US"/>
              </w:rPr>
              <w:t>harmonisation</w:t>
            </w:r>
            <w:proofErr w:type="spellEnd"/>
            <w:r w:rsidRPr="007843FA">
              <w:rPr>
                <w:rFonts w:ascii="Arial" w:hAnsi="Arial" w:cs="Arial"/>
                <w:color w:val="181818"/>
                <w:lang w:val="en-US"/>
              </w:rPr>
              <w:t xml:space="preserve"> </w:t>
            </w:r>
            <w:r w:rsidRPr="007843FA">
              <w:rPr>
                <w:rFonts w:ascii="Arial" w:hAnsi="Arial" w:cs="Arial"/>
                <w:color w:val="181818"/>
                <w:lang w:val="en-US"/>
              </w:rPr>
              <w:lastRenderedPageBreak/>
              <w:t>would be desirable.</w:t>
            </w:r>
          </w:p>
        </w:tc>
      </w:tr>
      <w:tr w:rsidR="00774B17" w:rsidRPr="00B33432" w14:paraId="72D194A9" w14:textId="77777777" w:rsidTr="006456F1">
        <w:tc>
          <w:tcPr>
            <w:tcW w:w="2043" w:type="dxa"/>
          </w:tcPr>
          <w:p w14:paraId="31158681" w14:textId="77777777" w:rsidR="00774B17" w:rsidRPr="00B33432" w:rsidRDefault="00774B17" w:rsidP="00774B17">
            <w:pPr>
              <w:spacing w:after="250" w:line="276" w:lineRule="auto"/>
              <w:rPr>
                <w:rFonts w:ascii="Arial" w:hAnsi="Arial" w:cs="Arial"/>
              </w:rPr>
            </w:pPr>
            <w:r w:rsidRPr="00B33432">
              <w:rPr>
                <w:rFonts w:ascii="Arial" w:hAnsi="Arial" w:cs="Arial"/>
              </w:rPr>
              <w:lastRenderedPageBreak/>
              <w:t>13. EU AIFs</w:t>
            </w:r>
            <w:r w:rsidRPr="00B33432">
              <w:rPr>
                <w:rFonts w:ascii="Arial" w:hAnsi="Arial" w:cs="Arial"/>
                <w:sz w:val="16"/>
                <w:vertAlign w:val="superscript"/>
              </w:rPr>
              <w:footnoteReference w:id="10"/>
            </w:r>
          </w:p>
        </w:tc>
        <w:tc>
          <w:tcPr>
            <w:tcW w:w="1649" w:type="dxa"/>
          </w:tcPr>
          <w:p w14:paraId="44E871BC" w14:textId="77777777" w:rsidR="00774B17" w:rsidRPr="00B33432" w:rsidRDefault="00774B17" w:rsidP="00774B17">
            <w:pPr>
              <w:spacing w:after="250" w:line="276" w:lineRule="auto"/>
              <w:jc w:val="both"/>
              <w:rPr>
                <w:rFonts w:ascii="Arial" w:hAnsi="Arial" w:cs="Arial"/>
                <w:color w:val="181818"/>
              </w:rPr>
            </w:pPr>
          </w:p>
        </w:tc>
        <w:tc>
          <w:tcPr>
            <w:tcW w:w="1739" w:type="dxa"/>
          </w:tcPr>
          <w:p w14:paraId="144A5D23" w14:textId="77777777" w:rsidR="00774B17" w:rsidRPr="00B33432" w:rsidRDefault="00774B17" w:rsidP="00774B17">
            <w:pPr>
              <w:spacing w:after="250" w:line="276" w:lineRule="auto"/>
              <w:jc w:val="both"/>
              <w:rPr>
                <w:rFonts w:ascii="Arial" w:hAnsi="Arial" w:cs="Arial"/>
                <w:color w:val="181818"/>
              </w:rPr>
            </w:pPr>
          </w:p>
        </w:tc>
        <w:tc>
          <w:tcPr>
            <w:tcW w:w="2027" w:type="dxa"/>
          </w:tcPr>
          <w:p w14:paraId="738610EB" w14:textId="77777777" w:rsidR="00774B17" w:rsidRPr="00B33432" w:rsidRDefault="00774B17" w:rsidP="00774B17">
            <w:pPr>
              <w:spacing w:after="250" w:line="276" w:lineRule="auto"/>
              <w:jc w:val="both"/>
              <w:rPr>
                <w:rFonts w:ascii="Arial" w:hAnsi="Arial" w:cs="Arial"/>
                <w:color w:val="181818"/>
              </w:rPr>
            </w:pPr>
          </w:p>
        </w:tc>
        <w:tc>
          <w:tcPr>
            <w:tcW w:w="1862" w:type="dxa"/>
          </w:tcPr>
          <w:p w14:paraId="637805D2" w14:textId="1EB81913" w:rsidR="00774B17" w:rsidRPr="00B33432" w:rsidRDefault="00774B17" w:rsidP="00774B17">
            <w:pPr>
              <w:spacing w:after="250" w:line="276" w:lineRule="auto"/>
              <w:jc w:val="both"/>
              <w:rPr>
                <w:rFonts w:ascii="Arial" w:hAnsi="Arial" w:cs="Arial"/>
                <w:color w:val="181818"/>
              </w:rPr>
            </w:pPr>
            <w:r w:rsidRPr="007843FA">
              <w:rPr>
                <w:rFonts w:ascii="Arial" w:hAnsi="Arial" w:cs="Arial"/>
                <w:color w:val="181818"/>
                <w:lang w:val="en-US"/>
              </w:rPr>
              <w:t>Eligibility for UCITS if compliance with the criteria of Article 50 - 1e)</w:t>
            </w:r>
          </w:p>
        </w:tc>
      </w:tr>
      <w:tr w:rsidR="00774B17" w:rsidRPr="00B33432" w14:paraId="50B47933" w14:textId="77777777" w:rsidTr="006456F1">
        <w:tc>
          <w:tcPr>
            <w:tcW w:w="2043" w:type="dxa"/>
          </w:tcPr>
          <w:p w14:paraId="5B21E6DB" w14:textId="77777777" w:rsidR="00774B17" w:rsidRPr="00B33432" w:rsidRDefault="00774B17" w:rsidP="00774B17">
            <w:pPr>
              <w:spacing w:after="250" w:line="276" w:lineRule="auto"/>
              <w:rPr>
                <w:rFonts w:ascii="Arial" w:hAnsi="Arial" w:cs="Arial"/>
              </w:rPr>
            </w:pPr>
            <w:r w:rsidRPr="00B33432">
              <w:rPr>
                <w:rFonts w:ascii="Arial" w:hAnsi="Arial" w:cs="Arial"/>
              </w:rPr>
              <w:t>14. Non-EU AIFs</w:t>
            </w:r>
          </w:p>
        </w:tc>
        <w:tc>
          <w:tcPr>
            <w:tcW w:w="1649" w:type="dxa"/>
          </w:tcPr>
          <w:p w14:paraId="463F29E8" w14:textId="77777777" w:rsidR="00774B17" w:rsidRPr="00B33432" w:rsidRDefault="00774B17" w:rsidP="00774B17">
            <w:pPr>
              <w:spacing w:after="250" w:line="276" w:lineRule="auto"/>
              <w:jc w:val="both"/>
              <w:rPr>
                <w:rFonts w:ascii="Arial" w:hAnsi="Arial" w:cs="Arial"/>
                <w:color w:val="181818"/>
              </w:rPr>
            </w:pPr>
          </w:p>
        </w:tc>
        <w:tc>
          <w:tcPr>
            <w:tcW w:w="1739" w:type="dxa"/>
          </w:tcPr>
          <w:p w14:paraId="3B7B4B86" w14:textId="77777777" w:rsidR="00774B17" w:rsidRPr="00B33432" w:rsidRDefault="00774B17" w:rsidP="00774B17">
            <w:pPr>
              <w:spacing w:after="250" w:line="276" w:lineRule="auto"/>
              <w:jc w:val="both"/>
              <w:rPr>
                <w:rFonts w:ascii="Arial" w:hAnsi="Arial" w:cs="Arial"/>
                <w:color w:val="181818"/>
              </w:rPr>
            </w:pPr>
          </w:p>
        </w:tc>
        <w:tc>
          <w:tcPr>
            <w:tcW w:w="2027" w:type="dxa"/>
          </w:tcPr>
          <w:p w14:paraId="3A0FF5F2" w14:textId="77777777" w:rsidR="00774B17" w:rsidRPr="00B33432" w:rsidRDefault="00774B17" w:rsidP="00774B17">
            <w:pPr>
              <w:spacing w:after="250" w:line="276" w:lineRule="auto"/>
              <w:jc w:val="both"/>
              <w:rPr>
                <w:rFonts w:ascii="Arial" w:hAnsi="Arial" w:cs="Arial"/>
                <w:color w:val="181818"/>
              </w:rPr>
            </w:pPr>
          </w:p>
        </w:tc>
        <w:tc>
          <w:tcPr>
            <w:tcW w:w="1862" w:type="dxa"/>
          </w:tcPr>
          <w:p w14:paraId="5630AD66" w14:textId="45890F2E" w:rsidR="00774B17" w:rsidRPr="00B33432" w:rsidRDefault="006A1C5D" w:rsidP="00774B17">
            <w:pPr>
              <w:spacing w:after="250" w:line="276" w:lineRule="auto"/>
              <w:jc w:val="both"/>
              <w:rPr>
                <w:rFonts w:ascii="Arial" w:hAnsi="Arial" w:cs="Arial"/>
                <w:color w:val="181818"/>
              </w:rPr>
            </w:pPr>
            <w:r w:rsidRPr="007843FA">
              <w:rPr>
                <w:rFonts w:ascii="Arial" w:hAnsi="Arial" w:cs="Arial"/>
                <w:color w:val="181818"/>
                <w:lang w:val="en-US"/>
              </w:rPr>
              <w:t xml:space="preserve">Eligibility for UCITS if compliance with the criteria of Article 50 - 1e).  </w:t>
            </w:r>
          </w:p>
        </w:tc>
      </w:tr>
      <w:tr w:rsidR="00774B17" w:rsidRPr="00B33432" w14:paraId="5A25875C" w14:textId="77777777" w:rsidTr="006456F1">
        <w:tc>
          <w:tcPr>
            <w:tcW w:w="2043" w:type="dxa"/>
          </w:tcPr>
          <w:p w14:paraId="0BD070FC" w14:textId="77777777" w:rsidR="00774B17" w:rsidRPr="00B33432" w:rsidRDefault="00774B17" w:rsidP="00774B17">
            <w:pPr>
              <w:spacing w:after="250" w:line="276" w:lineRule="auto"/>
              <w:rPr>
                <w:rFonts w:ascii="Arial" w:hAnsi="Arial" w:cs="Arial"/>
              </w:rPr>
            </w:pPr>
            <w:r w:rsidRPr="00B33432">
              <w:rPr>
                <w:rFonts w:ascii="Arial" w:hAnsi="Arial" w:cs="Arial"/>
              </w:rPr>
              <w:t>15. Emission allowances</w:t>
            </w:r>
          </w:p>
        </w:tc>
        <w:tc>
          <w:tcPr>
            <w:tcW w:w="1649" w:type="dxa"/>
          </w:tcPr>
          <w:p w14:paraId="61829076" w14:textId="77777777" w:rsidR="00774B17" w:rsidRPr="00B33432" w:rsidRDefault="00774B17" w:rsidP="00774B17">
            <w:pPr>
              <w:spacing w:after="250" w:line="276" w:lineRule="auto"/>
              <w:jc w:val="both"/>
              <w:rPr>
                <w:rFonts w:ascii="Arial" w:hAnsi="Arial" w:cs="Arial"/>
                <w:color w:val="181818"/>
              </w:rPr>
            </w:pPr>
          </w:p>
        </w:tc>
        <w:tc>
          <w:tcPr>
            <w:tcW w:w="1739" w:type="dxa"/>
          </w:tcPr>
          <w:p w14:paraId="2BA226A1" w14:textId="77777777" w:rsidR="00774B17" w:rsidRPr="00B33432" w:rsidRDefault="00774B17" w:rsidP="00774B17">
            <w:pPr>
              <w:spacing w:after="250" w:line="276" w:lineRule="auto"/>
              <w:jc w:val="both"/>
              <w:rPr>
                <w:rFonts w:ascii="Arial" w:hAnsi="Arial" w:cs="Arial"/>
                <w:color w:val="181818"/>
              </w:rPr>
            </w:pPr>
          </w:p>
        </w:tc>
        <w:tc>
          <w:tcPr>
            <w:tcW w:w="2027" w:type="dxa"/>
          </w:tcPr>
          <w:p w14:paraId="17AD93B2" w14:textId="77777777" w:rsidR="00774B17" w:rsidRPr="00B33432" w:rsidRDefault="00774B17" w:rsidP="00774B17">
            <w:pPr>
              <w:spacing w:after="250" w:line="276" w:lineRule="auto"/>
              <w:jc w:val="both"/>
              <w:rPr>
                <w:rFonts w:ascii="Arial" w:hAnsi="Arial" w:cs="Arial"/>
                <w:color w:val="181818"/>
              </w:rPr>
            </w:pPr>
          </w:p>
        </w:tc>
        <w:tc>
          <w:tcPr>
            <w:tcW w:w="1862" w:type="dxa"/>
          </w:tcPr>
          <w:p w14:paraId="54042BE7" w14:textId="77777777" w:rsidR="00D04C63" w:rsidRPr="008965A9" w:rsidRDefault="00D04C63" w:rsidP="00D04C63">
            <w:pPr>
              <w:spacing w:after="160" w:line="259" w:lineRule="auto"/>
              <w:rPr>
                <w:rFonts w:ascii="Arial" w:hAnsi="Arial" w:cs="Arial"/>
                <w:color w:val="181818"/>
                <w:lang w:val="en-US"/>
              </w:rPr>
            </w:pPr>
            <w:r w:rsidRPr="000879B9">
              <w:rPr>
                <w:rFonts w:ascii="Arial" w:hAnsi="Arial" w:cs="Arial"/>
                <w:color w:val="181818"/>
                <w:lang w:val="en-US"/>
              </w:rPr>
              <w:t xml:space="preserve">Carbon credits are not eligible for UCITS (not subject of custody </w:t>
            </w:r>
            <w:r w:rsidRPr="008965A9">
              <w:rPr>
                <w:rFonts w:ascii="Arial" w:hAnsi="Arial" w:cs="Arial"/>
                <w:color w:val="181818"/>
                <w:lang w:val="en-US"/>
              </w:rPr>
              <w:t>but record keeping regime)</w:t>
            </w:r>
          </w:p>
          <w:p w14:paraId="0DE4B5B7" w14:textId="3F1515DC" w:rsidR="00774B17" w:rsidRPr="00B33432" w:rsidRDefault="00D04C63" w:rsidP="00D04C63">
            <w:pPr>
              <w:spacing w:after="250" w:line="276" w:lineRule="auto"/>
              <w:jc w:val="both"/>
              <w:rPr>
                <w:rFonts w:ascii="Arial" w:hAnsi="Arial" w:cs="Arial"/>
                <w:color w:val="181818"/>
              </w:rPr>
            </w:pPr>
            <w:r w:rsidRPr="008965A9">
              <w:rPr>
                <w:rFonts w:ascii="Arial" w:hAnsi="Arial" w:cs="Arial"/>
                <w:color w:val="181818"/>
                <w:lang w:val="en-US"/>
              </w:rPr>
              <w:t>In addition, it is an immature market, with potential lack of liquidity</w:t>
            </w:r>
          </w:p>
        </w:tc>
      </w:tr>
      <w:tr w:rsidR="00774B17" w:rsidRPr="00B33432" w14:paraId="4663360E" w14:textId="77777777" w:rsidTr="006456F1">
        <w:tc>
          <w:tcPr>
            <w:tcW w:w="2043" w:type="dxa"/>
          </w:tcPr>
          <w:p w14:paraId="556F47DB" w14:textId="77777777" w:rsidR="00774B17" w:rsidRPr="00B33432" w:rsidRDefault="00774B17" w:rsidP="00774B17">
            <w:pPr>
              <w:spacing w:after="250" w:line="276" w:lineRule="auto"/>
              <w:rPr>
                <w:rFonts w:ascii="Arial" w:hAnsi="Arial" w:cs="Arial"/>
              </w:rPr>
            </w:pPr>
            <w:r w:rsidRPr="00B33432">
              <w:rPr>
                <w:rFonts w:ascii="Arial" w:hAnsi="Arial" w:cs="Arial"/>
              </w:rPr>
              <w:t>16. Delta-one instruments</w:t>
            </w:r>
          </w:p>
        </w:tc>
        <w:tc>
          <w:tcPr>
            <w:tcW w:w="1649" w:type="dxa"/>
          </w:tcPr>
          <w:p w14:paraId="66204FF1" w14:textId="77777777" w:rsidR="00774B17" w:rsidRPr="00B33432" w:rsidRDefault="00774B17" w:rsidP="00774B17">
            <w:pPr>
              <w:spacing w:after="250" w:line="276" w:lineRule="auto"/>
              <w:jc w:val="both"/>
              <w:rPr>
                <w:rFonts w:ascii="Arial" w:hAnsi="Arial" w:cs="Arial"/>
                <w:color w:val="181818"/>
              </w:rPr>
            </w:pPr>
          </w:p>
        </w:tc>
        <w:tc>
          <w:tcPr>
            <w:tcW w:w="1739" w:type="dxa"/>
          </w:tcPr>
          <w:p w14:paraId="2DBF0D7D" w14:textId="77777777" w:rsidR="00774B17" w:rsidRPr="00B33432" w:rsidRDefault="00774B17" w:rsidP="00774B17">
            <w:pPr>
              <w:spacing w:after="250" w:line="276" w:lineRule="auto"/>
              <w:jc w:val="both"/>
              <w:rPr>
                <w:rFonts w:ascii="Arial" w:hAnsi="Arial" w:cs="Arial"/>
                <w:color w:val="181818"/>
              </w:rPr>
            </w:pPr>
          </w:p>
        </w:tc>
        <w:tc>
          <w:tcPr>
            <w:tcW w:w="2027" w:type="dxa"/>
          </w:tcPr>
          <w:p w14:paraId="6B62F1B3" w14:textId="77777777" w:rsidR="00774B17" w:rsidRPr="00B33432" w:rsidRDefault="00774B17" w:rsidP="00774B17">
            <w:pPr>
              <w:spacing w:after="250" w:line="276" w:lineRule="auto"/>
              <w:jc w:val="both"/>
              <w:rPr>
                <w:rFonts w:ascii="Arial" w:hAnsi="Arial" w:cs="Arial"/>
                <w:color w:val="181818"/>
              </w:rPr>
            </w:pPr>
          </w:p>
        </w:tc>
        <w:tc>
          <w:tcPr>
            <w:tcW w:w="1862" w:type="dxa"/>
          </w:tcPr>
          <w:p w14:paraId="230D2594" w14:textId="77777777" w:rsidR="00322E87" w:rsidRPr="000879B9" w:rsidRDefault="00322E87" w:rsidP="00322E87">
            <w:pPr>
              <w:spacing w:after="160" w:line="259" w:lineRule="auto"/>
              <w:rPr>
                <w:rFonts w:ascii="Arial" w:hAnsi="Arial" w:cs="Arial"/>
                <w:color w:val="181818"/>
                <w:lang w:val="en-US"/>
              </w:rPr>
            </w:pPr>
            <w:r w:rsidRPr="007843FA">
              <w:rPr>
                <w:rFonts w:ascii="Arial" w:hAnsi="Arial" w:cs="Arial"/>
                <w:color w:val="181818"/>
                <w:lang w:val="en-US"/>
              </w:rPr>
              <w:t xml:space="preserve">No definition of "Delta One" </w:t>
            </w:r>
            <w:r w:rsidRPr="000879B9">
              <w:rPr>
                <w:rFonts w:ascii="Arial" w:hAnsi="Arial" w:cs="Arial"/>
                <w:color w:val="181818"/>
                <w:lang w:val="en-US"/>
              </w:rPr>
              <w:t xml:space="preserve">instrument </w:t>
            </w:r>
            <w:r w:rsidRPr="008965A9">
              <w:rPr>
                <w:rFonts w:ascii="Arial" w:hAnsi="Arial" w:cs="Arial"/>
                <w:color w:val="181818"/>
                <w:lang w:val="en-US"/>
              </w:rPr>
              <w:t>in regulation</w:t>
            </w:r>
          </w:p>
          <w:p w14:paraId="02F2C34E" w14:textId="68C8D2E9" w:rsidR="00774B17" w:rsidRPr="00B33432" w:rsidRDefault="00322E87" w:rsidP="00322E87">
            <w:pPr>
              <w:rPr>
                <w:rFonts w:ascii="Arial" w:hAnsi="Arial" w:cs="Arial"/>
                <w:color w:val="181818"/>
              </w:rPr>
            </w:pPr>
            <w:r w:rsidRPr="000879B9">
              <w:rPr>
                <w:rFonts w:ascii="Arial" w:hAnsi="Arial" w:cs="Arial"/>
                <w:color w:val="181818"/>
                <w:lang w:val="en-US"/>
              </w:rPr>
              <w:t xml:space="preserve">Eligible assets, subject to compliance with the eligibility conditions of </w:t>
            </w:r>
            <w:r w:rsidRPr="008965A9">
              <w:rPr>
                <w:rFonts w:ascii="Arial" w:hAnsi="Arial" w:cs="Arial"/>
                <w:color w:val="181818"/>
                <w:lang w:val="en-US"/>
              </w:rPr>
              <w:t>the transferable securities</w:t>
            </w:r>
            <w:r w:rsidRPr="007843FA">
              <w:rPr>
                <w:rFonts w:ascii="Arial" w:hAnsi="Arial" w:cs="Arial"/>
                <w:color w:val="181818"/>
                <w:lang w:val="en-US"/>
              </w:rPr>
              <w:t xml:space="preserve">. </w:t>
            </w:r>
            <w:r w:rsidRPr="009A648B">
              <w:rPr>
                <w:rFonts w:ascii="Arial" w:hAnsi="Arial" w:cs="Arial"/>
                <w:color w:val="181818"/>
              </w:rPr>
              <w:t xml:space="preserve">See answer </w:t>
            </w:r>
            <w:r>
              <w:rPr>
                <w:rFonts w:ascii="Arial" w:hAnsi="Arial" w:cs="Arial"/>
                <w:color w:val="181818"/>
              </w:rPr>
              <w:t xml:space="preserve">to </w:t>
            </w:r>
            <w:r w:rsidRPr="009A648B">
              <w:rPr>
                <w:rFonts w:ascii="Arial" w:hAnsi="Arial" w:cs="Arial"/>
                <w:color w:val="181818"/>
              </w:rPr>
              <w:t xml:space="preserve">Q13 of the call </w:t>
            </w:r>
            <w:r>
              <w:rPr>
                <w:rFonts w:ascii="Arial" w:hAnsi="Arial" w:cs="Arial"/>
                <w:color w:val="181818"/>
              </w:rPr>
              <w:t>f</w:t>
            </w:r>
            <w:r w:rsidRPr="009A648B">
              <w:rPr>
                <w:rFonts w:ascii="Arial" w:hAnsi="Arial" w:cs="Arial"/>
                <w:color w:val="181818"/>
              </w:rPr>
              <w:t>or evidence</w:t>
            </w:r>
            <w:r>
              <w:rPr>
                <w:rFonts w:ascii="Arial" w:hAnsi="Arial" w:cs="Arial"/>
                <w:color w:val="181818"/>
              </w:rPr>
              <w:t>.</w:t>
            </w:r>
          </w:p>
        </w:tc>
      </w:tr>
      <w:tr w:rsidR="008B1237" w:rsidRPr="00B33432" w14:paraId="6004F4E8" w14:textId="77777777" w:rsidTr="006456F1">
        <w:tc>
          <w:tcPr>
            <w:tcW w:w="2043" w:type="dxa"/>
          </w:tcPr>
          <w:p w14:paraId="73D5771C" w14:textId="77777777" w:rsidR="008B1237" w:rsidRPr="00B33432" w:rsidRDefault="008B1237" w:rsidP="008B1237">
            <w:pPr>
              <w:spacing w:after="250" w:line="276" w:lineRule="auto"/>
              <w:rPr>
                <w:rFonts w:ascii="Arial" w:hAnsi="Arial" w:cs="Arial"/>
              </w:rPr>
            </w:pPr>
            <w:r w:rsidRPr="00B33432">
              <w:rPr>
                <w:rFonts w:ascii="Arial" w:hAnsi="Arial" w:cs="Arial"/>
              </w:rPr>
              <w:t>17. Exchange-traded notes (‘ETNs’)</w:t>
            </w:r>
          </w:p>
        </w:tc>
        <w:tc>
          <w:tcPr>
            <w:tcW w:w="1649" w:type="dxa"/>
          </w:tcPr>
          <w:p w14:paraId="680A4E5D" w14:textId="77777777" w:rsidR="008B1237" w:rsidRPr="00B33432" w:rsidRDefault="008B1237" w:rsidP="008B1237">
            <w:pPr>
              <w:spacing w:after="250" w:line="276" w:lineRule="auto"/>
              <w:jc w:val="both"/>
              <w:rPr>
                <w:rFonts w:ascii="Arial" w:hAnsi="Arial" w:cs="Arial"/>
                <w:color w:val="181818"/>
              </w:rPr>
            </w:pPr>
          </w:p>
        </w:tc>
        <w:tc>
          <w:tcPr>
            <w:tcW w:w="1739" w:type="dxa"/>
          </w:tcPr>
          <w:p w14:paraId="19219836" w14:textId="77777777" w:rsidR="008B1237" w:rsidRPr="00B33432" w:rsidRDefault="008B1237" w:rsidP="008B1237">
            <w:pPr>
              <w:spacing w:after="250" w:line="276" w:lineRule="auto"/>
              <w:jc w:val="both"/>
              <w:rPr>
                <w:rFonts w:ascii="Arial" w:hAnsi="Arial" w:cs="Arial"/>
                <w:color w:val="181818"/>
              </w:rPr>
            </w:pPr>
          </w:p>
        </w:tc>
        <w:tc>
          <w:tcPr>
            <w:tcW w:w="2027" w:type="dxa"/>
          </w:tcPr>
          <w:p w14:paraId="296FEF7D" w14:textId="77777777" w:rsidR="008B1237" w:rsidRPr="00B33432" w:rsidRDefault="008B1237" w:rsidP="008B1237">
            <w:pPr>
              <w:spacing w:after="250" w:line="276" w:lineRule="auto"/>
              <w:jc w:val="both"/>
              <w:rPr>
                <w:rFonts w:ascii="Arial" w:hAnsi="Arial" w:cs="Arial"/>
                <w:color w:val="181818"/>
              </w:rPr>
            </w:pPr>
          </w:p>
        </w:tc>
        <w:tc>
          <w:tcPr>
            <w:tcW w:w="1862" w:type="dxa"/>
          </w:tcPr>
          <w:p w14:paraId="3A9A0954" w14:textId="782FF450" w:rsidR="008B1237" w:rsidRPr="007843FA" w:rsidRDefault="008B1237" w:rsidP="008B1237">
            <w:pPr>
              <w:spacing w:after="160" w:line="259" w:lineRule="auto"/>
              <w:rPr>
                <w:rFonts w:ascii="Arial" w:hAnsi="Arial" w:cs="Arial"/>
                <w:color w:val="181818"/>
                <w:lang w:val="en-US"/>
              </w:rPr>
            </w:pPr>
            <w:r w:rsidRPr="007843FA">
              <w:rPr>
                <w:rFonts w:ascii="Arial" w:hAnsi="Arial" w:cs="Arial"/>
                <w:color w:val="181818"/>
                <w:lang w:val="en-US"/>
              </w:rPr>
              <w:t xml:space="preserve">An ETN that meets the transferable securities eligibility requirements is </w:t>
            </w:r>
            <w:r w:rsidRPr="007843FA">
              <w:rPr>
                <w:rFonts w:ascii="Arial" w:hAnsi="Arial" w:cs="Arial"/>
                <w:color w:val="181818"/>
                <w:lang w:val="en-US"/>
              </w:rPr>
              <w:lastRenderedPageBreak/>
              <w:t>eligible for a UCITS.</w:t>
            </w:r>
          </w:p>
          <w:p w14:paraId="7194DBDC" w14:textId="10C075A5" w:rsidR="008B1237" w:rsidRPr="00B33432" w:rsidRDefault="008B1237" w:rsidP="008B1237">
            <w:pPr>
              <w:spacing w:after="250" w:line="276" w:lineRule="auto"/>
              <w:jc w:val="both"/>
              <w:rPr>
                <w:rFonts w:ascii="Arial" w:hAnsi="Arial" w:cs="Arial"/>
                <w:color w:val="181818"/>
              </w:rPr>
            </w:pPr>
            <w:r w:rsidRPr="007843FA">
              <w:rPr>
                <w:rFonts w:ascii="Arial" w:hAnsi="Arial" w:cs="Arial"/>
                <w:color w:val="181818"/>
                <w:lang w:val="en-US"/>
              </w:rPr>
              <w:t>The regulation does not require that its performance is based on diversification criteria. Via this ETN, a UCITS could therefore be exposed to the performance of assets that would not be directly eligible (e.g., ETN, Bitcoin, ETN gold, etc.), thus leading to a circumvention.</w:t>
            </w:r>
          </w:p>
        </w:tc>
      </w:tr>
      <w:tr w:rsidR="00406786" w:rsidRPr="00B33432" w14:paraId="66BB473F" w14:textId="77777777" w:rsidTr="006456F1">
        <w:tc>
          <w:tcPr>
            <w:tcW w:w="2043" w:type="dxa"/>
          </w:tcPr>
          <w:p w14:paraId="08FCC5EB" w14:textId="77777777" w:rsidR="00406786" w:rsidRPr="00B33432" w:rsidRDefault="00406786" w:rsidP="00406786">
            <w:pPr>
              <w:spacing w:after="250" w:line="276" w:lineRule="auto"/>
              <w:rPr>
                <w:rFonts w:ascii="Arial" w:hAnsi="Arial" w:cs="Arial"/>
              </w:rPr>
            </w:pPr>
            <w:r w:rsidRPr="00B33432">
              <w:rPr>
                <w:rFonts w:ascii="Arial" w:hAnsi="Arial" w:cs="Arial"/>
              </w:rPr>
              <w:lastRenderedPageBreak/>
              <w:t>18. Asset-backed securities (‘ABS’) including mortgage-backed securities (‘MBS’)</w:t>
            </w:r>
          </w:p>
        </w:tc>
        <w:tc>
          <w:tcPr>
            <w:tcW w:w="1649" w:type="dxa"/>
          </w:tcPr>
          <w:p w14:paraId="769D0D3C" w14:textId="77777777" w:rsidR="00406786" w:rsidRPr="00B33432" w:rsidRDefault="00406786" w:rsidP="00406786">
            <w:pPr>
              <w:spacing w:after="250" w:line="276" w:lineRule="auto"/>
              <w:jc w:val="both"/>
              <w:rPr>
                <w:rFonts w:ascii="Arial" w:hAnsi="Arial" w:cs="Arial"/>
                <w:color w:val="181818"/>
              </w:rPr>
            </w:pPr>
          </w:p>
        </w:tc>
        <w:tc>
          <w:tcPr>
            <w:tcW w:w="1739" w:type="dxa"/>
          </w:tcPr>
          <w:p w14:paraId="54CD245A" w14:textId="77777777" w:rsidR="00406786" w:rsidRPr="00B33432" w:rsidRDefault="00406786" w:rsidP="00406786">
            <w:pPr>
              <w:spacing w:after="250" w:line="276" w:lineRule="auto"/>
              <w:jc w:val="both"/>
              <w:rPr>
                <w:rFonts w:ascii="Arial" w:hAnsi="Arial" w:cs="Arial"/>
                <w:color w:val="181818"/>
              </w:rPr>
            </w:pPr>
          </w:p>
        </w:tc>
        <w:tc>
          <w:tcPr>
            <w:tcW w:w="2027" w:type="dxa"/>
          </w:tcPr>
          <w:p w14:paraId="1231BE67" w14:textId="77777777" w:rsidR="00406786" w:rsidRPr="00B33432" w:rsidRDefault="00406786" w:rsidP="00406786">
            <w:pPr>
              <w:spacing w:after="250" w:line="276" w:lineRule="auto"/>
              <w:jc w:val="both"/>
              <w:rPr>
                <w:rFonts w:ascii="Arial" w:hAnsi="Arial" w:cs="Arial"/>
                <w:color w:val="181818"/>
              </w:rPr>
            </w:pPr>
          </w:p>
        </w:tc>
        <w:tc>
          <w:tcPr>
            <w:tcW w:w="1862" w:type="dxa"/>
          </w:tcPr>
          <w:p w14:paraId="36FEB5B0" w14:textId="46ECF20A" w:rsidR="00406786" w:rsidRPr="00B33432" w:rsidRDefault="00406786" w:rsidP="00406786">
            <w:pPr>
              <w:spacing w:after="250" w:line="276" w:lineRule="auto"/>
              <w:jc w:val="both"/>
              <w:rPr>
                <w:rFonts w:ascii="Arial" w:hAnsi="Arial" w:cs="Arial"/>
                <w:color w:val="181818"/>
              </w:rPr>
            </w:pPr>
            <w:r w:rsidRPr="007843FA">
              <w:rPr>
                <w:rFonts w:ascii="Arial" w:hAnsi="Arial" w:cs="Arial"/>
                <w:color w:val="181818"/>
                <w:lang w:val="en-US"/>
              </w:rPr>
              <w:t>Eligible if listed and liquid securities</w:t>
            </w:r>
            <w:r>
              <w:rPr>
                <w:rFonts w:ascii="Arial" w:hAnsi="Arial" w:cs="Arial"/>
                <w:color w:val="181818"/>
                <w:lang w:val="en-US"/>
              </w:rPr>
              <w:t>.</w:t>
            </w:r>
          </w:p>
        </w:tc>
      </w:tr>
      <w:tr w:rsidR="00406786" w:rsidRPr="00B33432" w14:paraId="16623728" w14:textId="77777777" w:rsidTr="006456F1">
        <w:tc>
          <w:tcPr>
            <w:tcW w:w="2043" w:type="dxa"/>
          </w:tcPr>
          <w:p w14:paraId="2D5FBB9B" w14:textId="77777777" w:rsidR="00406786" w:rsidRPr="00B33432" w:rsidRDefault="00406786" w:rsidP="00406786">
            <w:pPr>
              <w:spacing w:after="250" w:line="276" w:lineRule="auto"/>
              <w:rPr>
                <w:rFonts w:ascii="Arial" w:hAnsi="Arial" w:cs="Arial"/>
              </w:rPr>
            </w:pPr>
            <w:r w:rsidRPr="00B33432">
              <w:rPr>
                <w:rFonts w:ascii="Arial" w:hAnsi="Arial" w:cs="Arial"/>
              </w:rPr>
              <w:t>19. Other relevant asset classes (please specify)</w:t>
            </w:r>
          </w:p>
        </w:tc>
        <w:tc>
          <w:tcPr>
            <w:tcW w:w="1649" w:type="dxa"/>
          </w:tcPr>
          <w:p w14:paraId="30D7AA69" w14:textId="77777777" w:rsidR="00406786" w:rsidRPr="00B33432" w:rsidRDefault="00406786" w:rsidP="00406786">
            <w:pPr>
              <w:spacing w:after="250" w:line="276" w:lineRule="auto"/>
              <w:jc w:val="both"/>
              <w:rPr>
                <w:rFonts w:ascii="Arial" w:hAnsi="Arial" w:cs="Arial"/>
                <w:color w:val="181818"/>
              </w:rPr>
            </w:pPr>
          </w:p>
        </w:tc>
        <w:tc>
          <w:tcPr>
            <w:tcW w:w="1739" w:type="dxa"/>
          </w:tcPr>
          <w:p w14:paraId="7196D064" w14:textId="77777777" w:rsidR="00406786" w:rsidRPr="00B33432" w:rsidRDefault="00406786" w:rsidP="00406786">
            <w:pPr>
              <w:spacing w:after="250" w:line="276" w:lineRule="auto"/>
              <w:jc w:val="both"/>
              <w:rPr>
                <w:rFonts w:ascii="Arial" w:hAnsi="Arial" w:cs="Arial"/>
                <w:color w:val="181818"/>
              </w:rPr>
            </w:pPr>
          </w:p>
        </w:tc>
        <w:tc>
          <w:tcPr>
            <w:tcW w:w="2027" w:type="dxa"/>
          </w:tcPr>
          <w:p w14:paraId="34FF1C98" w14:textId="77777777" w:rsidR="00406786" w:rsidRPr="00B33432" w:rsidRDefault="00406786" w:rsidP="00406786">
            <w:pPr>
              <w:spacing w:after="250" w:line="276" w:lineRule="auto"/>
              <w:jc w:val="both"/>
              <w:rPr>
                <w:rFonts w:ascii="Arial" w:hAnsi="Arial" w:cs="Arial"/>
                <w:color w:val="181818"/>
              </w:rPr>
            </w:pPr>
          </w:p>
        </w:tc>
        <w:tc>
          <w:tcPr>
            <w:tcW w:w="1862" w:type="dxa"/>
          </w:tcPr>
          <w:p w14:paraId="0FC71B72" w14:textId="4D8B1394" w:rsidR="004B0341" w:rsidRPr="008965A9" w:rsidRDefault="004B0341" w:rsidP="004B0341">
            <w:pPr>
              <w:rPr>
                <w:rFonts w:ascii="Arial" w:hAnsi="Arial" w:cs="Arial"/>
                <w:color w:val="181818"/>
              </w:rPr>
            </w:pPr>
            <w:r w:rsidRPr="008965A9">
              <w:rPr>
                <w:rFonts w:ascii="Arial" w:hAnsi="Arial" w:cs="Arial"/>
                <w:color w:val="181818"/>
              </w:rPr>
              <w:t>No additional comments</w:t>
            </w:r>
            <w:r>
              <w:rPr>
                <w:rFonts w:ascii="Arial" w:hAnsi="Arial" w:cs="Arial"/>
                <w:color w:val="181818"/>
              </w:rPr>
              <w:t>.</w:t>
            </w:r>
          </w:p>
          <w:p w14:paraId="6D072C0D" w14:textId="77777777" w:rsidR="00406786" w:rsidRPr="00B33432" w:rsidRDefault="00406786" w:rsidP="00406786">
            <w:pPr>
              <w:spacing w:after="250" w:line="276" w:lineRule="auto"/>
              <w:jc w:val="both"/>
              <w:rPr>
                <w:rFonts w:ascii="Arial" w:hAnsi="Arial" w:cs="Arial"/>
                <w:color w:val="181818"/>
              </w:rPr>
            </w:pPr>
          </w:p>
        </w:tc>
      </w:tr>
    </w:tbl>
    <w:p w14:paraId="48A21919" w14:textId="77777777" w:rsidR="00B33432" w:rsidRPr="00B33432" w:rsidRDefault="00B33432" w:rsidP="00B33432">
      <w:pPr>
        <w:spacing w:after="120" w:line="276" w:lineRule="auto"/>
        <w:jc w:val="both"/>
        <w:rPr>
          <w:rFonts w:ascii="Arial" w:eastAsia="MS PGothic" w:hAnsi="Arial" w:cs="Arial"/>
          <w:color w:val="181818"/>
          <w:szCs w:val="20"/>
        </w:rPr>
      </w:pPr>
    </w:p>
    <w:p w14:paraId="6BD18F9B" w14:textId="77777777" w:rsidR="004C269D" w:rsidRDefault="004C269D"/>
    <w:sectPr w:rsidR="004C269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EF347" w14:textId="77777777" w:rsidR="0074548F" w:rsidRDefault="0074548F" w:rsidP="00B33432">
      <w:pPr>
        <w:spacing w:after="0" w:line="240" w:lineRule="auto"/>
      </w:pPr>
      <w:r>
        <w:separator/>
      </w:r>
    </w:p>
  </w:endnote>
  <w:endnote w:type="continuationSeparator" w:id="0">
    <w:p w14:paraId="3D29C8D9" w14:textId="77777777" w:rsidR="0074548F" w:rsidRDefault="0074548F" w:rsidP="00B33432">
      <w:pPr>
        <w:spacing w:after="0" w:line="240" w:lineRule="auto"/>
      </w:pPr>
      <w:r>
        <w:continuationSeparator/>
      </w:r>
    </w:p>
  </w:endnote>
  <w:endnote w:type="continuationNotice" w:id="1">
    <w:p w14:paraId="4A40065C" w14:textId="77777777" w:rsidR="0074548F" w:rsidRDefault="007454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DF3C4" w14:textId="77777777" w:rsidR="0074548F" w:rsidRDefault="0074548F" w:rsidP="00B33432">
      <w:pPr>
        <w:spacing w:after="0" w:line="240" w:lineRule="auto"/>
      </w:pPr>
      <w:r>
        <w:separator/>
      </w:r>
    </w:p>
  </w:footnote>
  <w:footnote w:type="continuationSeparator" w:id="0">
    <w:p w14:paraId="21B71BF0" w14:textId="77777777" w:rsidR="0074548F" w:rsidRDefault="0074548F" w:rsidP="00B33432">
      <w:pPr>
        <w:spacing w:after="0" w:line="240" w:lineRule="auto"/>
      </w:pPr>
      <w:r>
        <w:continuationSeparator/>
      </w:r>
    </w:p>
  </w:footnote>
  <w:footnote w:type="continuationNotice" w:id="1">
    <w:p w14:paraId="04D3FD21" w14:textId="77777777" w:rsidR="0074548F" w:rsidRDefault="0074548F">
      <w:pPr>
        <w:spacing w:after="0" w:line="240" w:lineRule="auto"/>
      </w:pPr>
    </w:p>
  </w:footnote>
  <w:footnote w:id="2">
    <w:p w14:paraId="53A506E4" w14:textId="77777777" w:rsidR="00B33432" w:rsidRPr="00332B8C" w:rsidRDefault="00B33432" w:rsidP="00332B8C">
      <w:pPr>
        <w:pStyle w:val="Funotentext"/>
        <w:jc w:val="both"/>
        <w:rPr>
          <w:rFonts w:ascii="Arial" w:hAnsi="Arial" w:cs="Arial"/>
        </w:rPr>
      </w:pPr>
      <w:r w:rsidRPr="00332B8C">
        <w:rPr>
          <w:rStyle w:val="Ref1"/>
          <w:rFonts w:cs="Arial"/>
          <w:sz w:val="20"/>
        </w:rPr>
        <w:footnoteRef/>
      </w:r>
      <w:r w:rsidRPr="00332B8C">
        <w:rPr>
          <w:rFonts w:ascii="Arial" w:hAnsi="Arial" w:cs="Arial"/>
        </w:rPr>
        <w:t xml:space="preserve"> ESMA acknowledges that most of the asset classes listed below have not been clearly defined in EU legislation and this might be a source of divergent interpretations and misunderstandings. Where possible, ESMA invites stakeholders to specify their understanding or definition of the relevant asset classes under the “additional comments” box.</w:t>
      </w:r>
    </w:p>
  </w:footnote>
  <w:footnote w:id="3">
    <w:p w14:paraId="5DF96E01" w14:textId="77777777" w:rsidR="00B33432" w:rsidRPr="00332B8C" w:rsidRDefault="00B33432" w:rsidP="00332B8C">
      <w:pPr>
        <w:pStyle w:val="Funotentext"/>
        <w:jc w:val="both"/>
        <w:rPr>
          <w:rFonts w:ascii="Arial" w:hAnsi="Arial" w:cs="Arial"/>
        </w:rPr>
      </w:pPr>
      <w:r w:rsidRPr="00332B8C">
        <w:rPr>
          <w:rStyle w:val="Ref1"/>
          <w:rFonts w:cs="Arial"/>
          <w:sz w:val="20"/>
        </w:rPr>
        <w:footnoteRef/>
      </w:r>
      <w:r w:rsidRPr="00332B8C">
        <w:rPr>
          <w:rFonts w:ascii="Arial" w:hAnsi="Arial" w:cs="Arial"/>
        </w:rPr>
        <w:t xml:space="preserve"> Where relevant, please distinguish between indirect exposures via instruments such as delta-one instruments, exchange-traded products, derivatives, or AIFs (EU or non-EU). </w:t>
      </w:r>
    </w:p>
  </w:footnote>
  <w:footnote w:id="4">
    <w:p w14:paraId="0C264AC6" w14:textId="77777777" w:rsidR="00B33432" w:rsidRPr="00332B8C" w:rsidRDefault="00B33432" w:rsidP="00332B8C">
      <w:pPr>
        <w:pStyle w:val="Funotentext"/>
        <w:jc w:val="both"/>
        <w:rPr>
          <w:rFonts w:ascii="Arial" w:hAnsi="Arial" w:cs="Arial"/>
        </w:rPr>
      </w:pPr>
      <w:r w:rsidRPr="00332B8C">
        <w:rPr>
          <w:rStyle w:val="Ref1"/>
          <w:rFonts w:cs="Arial"/>
          <w:sz w:val="20"/>
        </w:rPr>
        <w:footnoteRef/>
      </w:r>
      <w:r w:rsidRPr="00332B8C">
        <w:rPr>
          <w:rFonts w:ascii="Arial" w:hAnsi="Arial" w:cs="Arial"/>
        </w:rPr>
        <w:t xml:space="preserve"> Please share any available data or estimates that help to assess the amount or extent to which there are existing UCITS exposures (distinguishing between direct and indirect, where possible) to these asset classes. Where no reliable data is available, ESMA would appreciate receiving estimates in terms of numbers and/or percentages of UCITS exposed to these asset classes and what is the average proportion in the relevant portfolios. Any additional data and insights on strategies, techniques and instruments used to gain exposure to these asset classes would be also highly appreciated.</w:t>
      </w:r>
    </w:p>
  </w:footnote>
  <w:footnote w:id="5">
    <w:p w14:paraId="5718C342" w14:textId="77777777" w:rsidR="00B33432" w:rsidRPr="00332B8C" w:rsidRDefault="00B33432" w:rsidP="00332B8C">
      <w:pPr>
        <w:pStyle w:val="Funotentext"/>
        <w:jc w:val="both"/>
        <w:rPr>
          <w:rFonts w:ascii="Arial" w:hAnsi="Arial" w:cs="Arial"/>
        </w:rPr>
      </w:pPr>
      <w:r w:rsidRPr="00332B8C">
        <w:rPr>
          <w:rStyle w:val="Ref1"/>
          <w:rFonts w:cs="Arial"/>
          <w:sz w:val="20"/>
        </w:rPr>
        <w:footnoteRef/>
      </w:r>
      <w:r w:rsidRPr="00332B8C">
        <w:rPr>
          <w:rFonts w:ascii="Arial" w:hAnsi="Arial" w:cs="Arial"/>
        </w:rPr>
        <w:t xml:space="preserve"> Please include under this column any other evidence or views that you would like to share. </w:t>
      </w:r>
    </w:p>
  </w:footnote>
  <w:footnote w:id="6">
    <w:p w14:paraId="34D4CF9B" w14:textId="77777777" w:rsidR="0013361A" w:rsidRPr="00332B8C" w:rsidRDefault="0013361A" w:rsidP="00332B8C">
      <w:pPr>
        <w:pStyle w:val="Funotentext"/>
        <w:jc w:val="both"/>
        <w:rPr>
          <w:rFonts w:ascii="Arial" w:hAnsi="Arial" w:cs="Arial"/>
        </w:rPr>
      </w:pPr>
      <w:r w:rsidRPr="00332B8C">
        <w:rPr>
          <w:rStyle w:val="Ref1"/>
          <w:rFonts w:cs="Arial"/>
          <w:sz w:val="20"/>
        </w:rPr>
        <w:footnoteRef/>
      </w:r>
      <w:r w:rsidRPr="00332B8C">
        <w:rPr>
          <w:rFonts w:ascii="Arial" w:hAnsi="Arial" w:cs="Arial"/>
        </w:rPr>
        <w:t xml:space="preserve"> Where relevant, please distinguish between leveraged/structured loans, collateralised loan obligations (CLOs) and other types of loans or loan participations (please specify).</w:t>
      </w:r>
    </w:p>
  </w:footnote>
  <w:footnote w:id="7">
    <w:p w14:paraId="48EF4E2A" w14:textId="77777777" w:rsidR="00870911" w:rsidRPr="00332B8C" w:rsidRDefault="00870911" w:rsidP="00332B8C">
      <w:pPr>
        <w:pStyle w:val="Funotentext"/>
        <w:jc w:val="both"/>
        <w:rPr>
          <w:rFonts w:ascii="Arial" w:hAnsi="Arial" w:cs="Arial"/>
        </w:rPr>
      </w:pPr>
      <w:r w:rsidRPr="00332B8C">
        <w:rPr>
          <w:rStyle w:val="Ref1"/>
          <w:rFonts w:cs="Arial"/>
          <w:sz w:val="20"/>
        </w:rPr>
        <w:footnoteRef/>
      </w:r>
      <w:r w:rsidRPr="00332B8C">
        <w:rPr>
          <w:rFonts w:ascii="Arial" w:hAnsi="Arial" w:cs="Arial"/>
        </w:rPr>
        <w:t xml:space="preserve"> Where relevant, please distinguish between equity instruments issued by (1) </w:t>
      </w:r>
      <w:r w:rsidRPr="00332B8C">
        <w:rPr>
          <w:rFonts w:ascii="Arial" w:hAnsi="Arial" w:cs="Arial"/>
          <w:lang w:val="en-US"/>
        </w:rPr>
        <w:t>private companies and (2) shares in public companies that that are not listed.</w:t>
      </w:r>
    </w:p>
  </w:footnote>
  <w:footnote w:id="8">
    <w:p w14:paraId="156E5F12" w14:textId="77777777" w:rsidR="0003296B" w:rsidRPr="00332B8C" w:rsidRDefault="0003296B" w:rsidP="00332B8C">
      <w:pPr>
        <w:pStyle w:val="Funotentext"/>
        <w:jc w:val="both"/>
        <w:rPr>
          <w:rFonts w:ascii="Arial" w:hAnsi="Arial" w:cs="Arial"/>
        </w:rPr>
      </w:pPr>
      <w:r w:rsidRPr="00332B8C">
        <w:rPr>
          <w:rStyle w:val="Ref1"/>
          <w:rFonts w:cs="Arial"/>
          <w:sz w:val="20"/>
        </w:rPr>
        <w:footnoteRef/>
      </w:r>
      <w:r w:rsidRPr="00332B8C">
        <w:rPr>
          <w:rFonts w:ascii="Arial" w:hAnsi="Arial" w:cs="Arial"/>
        </w:rPr>
        <w:t xml:space="preserve"> Where relevant, please specify what type of crypto assets and whether the implementation of MICA will change anything in terms of your assessment. </w:t>
      </w:r>
      <w:bookmarkStart w:id="0" w:name="_Hlk163456352"/>
      <w:r w:rsidRPr="00332B8C">
        <w:rPr>
          <w:rFonts w:ascii="Arial" w:hAnsi="Arial" w:cs="Arial"/>
        </w:rPr>
        <w:t xml:space="preserve">With respect to indirect exposures, ESMA is particularly interested in stakeholder input on exchange-traded products including ETFs with crypto assets as an underlying. </w:t>
      </w:r>
      <w:bookmarkEnd w:id="0"/>
    </w:p>
  </w:footnote>
  <w:footnote w:id="9">
    <w:p w14:paraId="4A59E86A" w14:textId="77777777" w:rsidR="00FE66B0" w:rsidRPr="00332B8C" w:rsidRDefault="00FE66B0" w:rsidP="00332B8C">
      <w:pPr>
        <w:pStyle w:val="Funotentext"/>
        <w:jc w:val="both"/>
        <w:rPr>
          <w:rFonts w:ascii="Arial" w:hAnsi="Arial" w:cs="Arial"/>
        </w:rPr>
      </w:pPr>
      <w:r w:rsidRPr="00332B8C">
        <w:rPr>
          <w:rStyle w:val="Ref1"/>
          <w:rFonts w:cs="Arial"/>
          <w:sz w:val="20"/>
        </w:rPr>
        <w:footnoteRef/>
      </w:r>
      <w:r w:rsidRPr="00332B8C">
        <w:rPr>
          <w:rFonts w:ascii="Arial" w:hAnsi="Arial" w:cs="Arial"/>
        </w:rPr>
        <w:t xml:space="preserve"> </w:t>
      </w:r>
      <w:bookmarkStart w:id="1" w:name="_Hlk163456407"/>
      <w:r w:rsidRPr="00332B8C">
        <w:rPr>
          <w:rFonts w:ascii="Arial" w:hAnsi="Arial" w:cs="Arial"/>
        </w:rPr>
        <w:t>With respect to indirect exposures, ESMA is particularly interested in stakeholder input on ETFs with commodities/precious metals as underlying.</w:t>
      </w:r>
      <w:bookmarkEnd w:id="1"/>
      <w:r w:rsidRPr="00332B8C">
        <w:rPr>
          <w:rFonts w:ascii="Arial" w:hAnsi="Arial" w:cs="Arial"/>
        </w:rPr>
        <w:t xml:space="preserve"> Please note that under the current UCITS rules, precious metals and certificates representing them are not eligible (Article 50(2)(b) of the UCITS Directive).</w:t>
      </w:r>
    </w:p>
  </w:footnote>
  <w:footnote w:id="10">
    <w:p w14:paraId="09998020" w14:textId="77777777" w:rsidR="00774B17" w:rsidRPr="00332B8C" w:rsidRDefault="00774B17" w:rsidP="00332B8C">
      <w:pPr>
        <w:pStyle w:val="Funotentext"/>
        <w:jc w:val="both"/>
        <w:rPr>
          <w:rFonts w:ascii="Arial" w:hAnsi="Arial" w:cs="Arial"/>
        </w:rPr>
      </w:pPr>
      <w:r w:rsidRPr="00332B8C">
        <w:rPr>
          <w:rStyle w:val="Ref1"/>
          <w:rFonts w:cs="Arial"/>
          <w:sz w:val="20"/>
        </w:rPr>
        <w:footnoteRef/>
      </w:r>
      <w:r w:rsidRPr="00332B8C">
        <w:rPr>
          <w:rFonts w:ascii="Arial" w:hAnsi="Arial" w:cs="Arial"/>
        </w:rPr>
        <w:t xml:space="preserve"> Where relevant, please distinguish between different types of AIFs (e.g. open-ended, closed-ended) and investment strategies (e.g. real estate, private equity, hedge funds).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BB383" w14:textId="77777777" w:rsidR="002D6186" w:rsidRPr="002D6186" w:rsidRDefault="002D6186" w:rsidP="002D6186">
    <w:pPr>
      <w:tabs>
        <w:tab w:val="center" w:pos="4513"/>
        <w:tab w:val="right" w:pos="9026"/>
      </w:tabs>
      <w:spacing w:after="0" w:line="240" w:lineRule="auto"/>
      <w:jc w:val="right"/>
      <w:rPr>
        <w:rFonts w:ascii="Arial" w:eastAsia="MS PGothic" w:hAnsi="Arial" w:cs="Arial"/>
        <w:bCs/>
        <w:caps/>
        <w:color w:val="FF0000"/>
        <w:szCs w:val="20"/>
      </w:rPr>
    </w:pPr>
    <w:r w:rsidRPr="002D6186">
      <w:rPr>
        <w:rFonts w:ascii="Arial" w:eastAsia="MS PGothic" w:hAnsi="Arial" w:cs="Arial"/>
        <w:bCs/>
        <w:caps/>
        <w:noProof/>
        <w:color w:val="FF0000"/>
        <w:szCs w:val="20"/>
      </w:rPr>
      <w:drawing>
        <wp:anchor distT="0" distB="0" distL="114300" distR="114300" simplePos="0" relativeHeight="251658240" behindDoc="0" locked="0" layoutInCell="1" allowOverlap="1" wp14:anchorId="6009BBBF" wp14:editId="70747D81">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Pr="002D6186">
      <w:rPr>
        <w:rFonts w:ascii="Arial" w:eastAsia="MS PGothic" w:hAnsi="Arial" w:cs="Arial"/>
        <w:color w:val="001B4F"/>
        <w:sz w:val="16"/>
        <w:szCs w:val="20"/>
      </w:rPr>
      <w:t>7 May 2024</w:t>
    </w:r>
  </w:p>
  <w:p w14:paraId="3E32722B" w14:textId="5F6683E2" w:rsidR="002D6186" w:rsidRPr="002D6186" w:rsidRDefault="002D6186" w:rsidP="002D6186">
    <w:pPr>
      <w:tabs>
        <w:tab w:val="center" w:pos="4513"/>
        <w:tab w:val="right" w:pos="9026"/>
      </w:tabs>
      <w:spacing w:after="0" w:line="240" w:lineRule="auto"/>
      <w:jc w:val="right"/>
      <w:rPr>
        <w:rFonts w:ascii="Arial" w:eastAsia="MS PGothic" w:hAnsi="Arial" w:cs="Arial"/>
        <w:color w:val="001B4F"/>
        <w:sz w:val="16"/>
        <w:szCs w:val="20"/>
      </w:rPr>
    </w:pPr>
    <w:r w:rsidRPr="002D6186">
      <w:rPr>
        <w:rFonts w:ascii="Arial" w:eastAsia="MS PGothic" w:hAnsi="Arial" w:cs="Arial"/>
        <w:color w:val="001B4F"/>
        <w:sz w:val="16"/>
        <w:szCs w:val="20"/>
      </w:rPr>
      <w:t>ESMA 34-1270380148-10</w:t>
    </w:r>
    <w:r w:rsidR="00AF55C3">
      <w:rPr>
        <w:rFonts w:ascii="Arial" w:eastAsia="MS PGothic" w:hAnsi="Arial" w:cs="Arial"/>
        <w:color w:val="001B4F"/>
        <w:sz w:val="16"/>
        <w:szCs w:val="20"/>
      </w:rPr>
      <w:t>66</w:t>
    </w:r>
  </w:p>
  <w:p w14:paraId="3052C3B3" w14:textId="77777777" w:rsidR="002D6186" w:rsidRPr="002D6186" w:rsidRDefault="002D6186" w:rsidP="002D6186">
    <w:pPr>
      <w:spacing w:after="250" w:line="276" w:lineRule="auto"/>
      <w:jc w:val="both"/>
      <w:rPr>
        <w:rFonts w:ascii="Arial" w:eastAsia="MS PGothic" w:hAnsi="Arial" w:cs="Arial"/>
        <w:color w:val="181818"/>
        <w:szCs w:val="20"/>
      </w:rPr>
    </w:pPr>
  </w:p>
  <w:p w14:paraId="722A68F7" w14:textId="77777777" w:rsidR="002D6186" w:rsidRPr="002D6186" w:rsidRDefault="002D6186" w:rsidP="002D6186">
    <w:pPr>
      <w:spacing w:after="250" w:line="276" w:lineRule="auto"/>
      <w:jc w:val="both"/>
      <w:rPr>
        <w:rFonts w:ascii="Arial" w:eastAsia="MS PGothic" w:hAnsi="Arial" w:cs="Arial"/>
        <w:color w:val="181818"/>
        <w:szCs w:val="20"/>
      </w:rPr>
    </w:pPr>
  </w:p>
  <w:p w14:paraId="74BAAB78" w14:textId="588A28CA" w:rsidR="002D6186" w:rsidRPr="002D6186" w:rsidRDefault="002D6186" w:rsidP="002D618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32"/>
    <w:rsid w:val="00023D31"/>
    <w:rsid w:val="00025A1B"/>
    <w:rsid w:val="0003296B"/>
    <w:rsid w:val="0004728D"/>
    <w:rsid w:val="00050BF8"/>
    <w:rsid w:val="00065543"/>
    <w:rsid w:val="00067CE6"/>
    <w:rsid w:val="000D6E83"/>
    <w:rsid w:val="001301D9"/>
    <w:rsid w:val="0013361A"/>
    <w:rsid w:val="001462AD"/>
    <w:rsid w:val="00150222"/>
    <w:rsid w:val="00152FEF"/>
    <w:rsid w:val="00162CAE"/>
    <w:rsid w:val="0017743F"/>
    <w:rsid w:val="00190BF5"/>
    <w:rsid w:val="001A4C91"/>
    <w:rsid w:val="001A53B9"/>
    <w:rsid w:val="001B11A8"/>
    <w:rsid w:val="00203EF5"/>
    <w:rsid w:val="002072B4"/>
    <w:rsid w:val="00243F87"/>
    <w:rsid w:val="0025199F"/>
    <w:rsid w:val="0026434D"/>
    <w:rsid w:val="00264F16"/>
    <w:rsid w:val="00266B15"/>
    <w:rsid w:val="002829AC"/>
    <w:rsid w:val="00282BD2"/>
    <w:rsid w:val="00290E24"/>
    <w:rsid w:val="002A740A"/>
    <w:rsid w:val="002C4F7E"/>
    <w:rsid w:val="002D58B6"/>
    <w:rsid w:val="002D58CD"/>
    <w:rsid w:val="002D6186"/>
    <w:rsid w:val="002E758C"/>
    <w:rsid w:val="002F58FB"/>
    <w:rsid w:val="00304E46"/>
    <w:rsid w:val="00322E87"/>
    <w:rsid w:val="00332B8C"/>
    <w:rsid w:val="0035372F"/>
    <w:rsid w:val="00394809"/>
    <w:rsid w:val="003A6B50"/>
    <w:rsid w:val="003D2C3C"/>
    <w:rsid w:val="0040029B"/>
    <w:rsid w:val="00406786"/>
    <w:rsid w:val="004664E3"/>
    <w:rsid w:val="00470FA5"/>
    <w:rsid w:val="0048151A"/>
    <w:rsid w:val="004B0341"/>
    <w:rsid w:val="004C269D"/>
    <w:rsid w:val="004E20C3"/>
    <w:rsid w:val="004F280B"/>
    <w:rsid w:val="00501AC4"/>
    <w:rsid w:val="0050210B"/>
    <w:rsid w:val="00502D1C"/>
    <w:rsid w:val="0051598D"/>
    <w:rsid w:val="00523239"/>
    <w:rsid w:val="00537FD1"/>
    <w:rsid w:val="00544A7D"/>
    <w:rsid w:val="00546B72"/>
    <w:rsid w:val="00554F00"/>
    <w:rsid w:val="00556DBB"/>
    <w:rsid w:val="00557028"/>
    <w:rsid w:val="00580D8A"/>
    <w:rsid w:val="005846C0"/>
    <w:rsid w:val="00594512"/>
    <w:rsid w:val="005A35D5"/>
    <w:rsid w:val="005A6BF0"/>
    <w:rsid w:val="005C1551"/>
    <w:rsid w:val="005C347A"/>
    <w:rsid w:val="005E0910"/>
    <w:rsid w:val="005E31F2"/>
    <w:rsid w:val="005E75CC"/>
    <w:rsid w:val="00605E0B"/>
    <w:rsid w:val="00611825"/>
    <w:rsid w:val="0061475B"/>
    <w:rsid w:val="0062752F"/>
    <w:rsid w:val="006456F1"/>
    <w:rsid w:val="00664FFB"/>
    <w:rsid w:val="00686D73"/>
    <w:rsid w:val="006A1C5D"/>
    <w:rsid w:val="006B6977"/>
    <w:rsid w:val="006B7B4A"/>
    <w:rsid w:val="006C47BC"/>
    <w:rsid w:val="006C7811"/>
    <w:rsid w:val="00712439"/>
    <w:rsid w:val="0074548F"/>
    <w:rsid w:val="00753DB8"/>
    <w:rsid w:val="00774B17"/>
    <w:rsid w:val="00784D7C"/>
    <w:rsid w:val="00794019"/>
    <w:rsid w:val="007A589D"/>
    <w:rsid w:val="00817444"/>
    <w:rsid w:val="008351CF"/>
    <w:rsid w:val="00847BDD"/>
    <w:rsid w:val="0087027F"/>
    <w:rsid w:val="00870911"/>
    <w:rsid w:val="008B1237"/>
    <w:rsid w:val="008B6D19"/>
    <w:rsid w:val="008C4D04"/>
    <w:rsid w:val="008D1492"/>
    <w:rsid w:val="00901098"/>
    <w:rsid w:val="00915CEE"/>
    <w:rsid w:val="00920E73"/>
    <w:rsid w:val="009212B4"/>
    <w:rsid w:val="009244B3"/>
    <w:rsid w:val="00951595"/>
    <w:rsid w:val="00967D76"/>
    <w:rsid w:val="00971266"/>
    <w:rsid w:val="00997493"/>
    <w:rsid w:val="009A3E35"/>
    <w:rsid w:val="009C6DB6"/>
    <w:rsid w:val="009F7052"/>
    <w:rsid w:val="00A338CF"/>
    <w:rsid w:val="00A35853"/>
    <w:rsid w:val="00A53BC9"/>
    <w:rsid w:val="00A73913"/>
    <w:rsid w:val="00A8008F"/>
    <w:rsid w:val="00A85F46"/>
    <w:rsid w:val="00A87C58"/>
    <w:rsid w:val="00AE6FD6"/>
    <w:rsid w:val="00AF3545"/>
    <w:rsid w:val="00AF55C3"/>
    <w:rsid w:val="00B01DB8"/>
    <w:rsid w:val="00B221C7"/>
    <w:rsid w:val="00B33432"/>
    <w:rsid w:val="00B53F54"/>
    <w:rsid w:val="00B626E5"/>
    <w:rsid w:val="00B62E29"/>
    <w:rsid w:val="00BB49D8"/>
    <w:rsid w:val="00BC577D"/>
    <w:rsid w:val="00BD4295"/>
    <w:rsid w:val="00BD7454"/>
    <w:rsid w:val="00C06FE4"/>
    <w:rsid w:val="00C202C8"/>
    <w:rsid w:val="00C242FA"/>
    <w:rsid w:val="00C365B4"/>
    <w:rsid w:val="00C36669"/>
    <w:rsid w:val="00C745C1"/>
    <w:rsid w:val="00C95659"/>
    <w:rsid w:val="00CB1B38"/>
    <w:rsid w:val="00CF043C"/>
    <w:rsid w:val="00CF0B7A"/>
    <w:rsid w:val="00D01FE5"/>
    <w:rsid w:val="00D04C63"/>
    <w:rsid w:val="00D10784"/>
    <w:rsid w:val="00D16F57"/>
    <w:rsid w:val="00D45009"/>
    <w:rsid w:val="00D6002F"/>
    <w:rsid w:val="00D64553"/>
    <w:rsid w:val="00D86E5D"/>
    <w:rsid w:val="00D96182"/>
    <w:rsid w:val="00DD3DD6"/>
    <w:rsid w:val="00DD67D7"/>
    <w:rsid w:val="00DF78BC"/>
    <w:rsid w:val="00E26A1E"/>
    <w:rsid w:val="00E771B9"/>
    <w:rsid w:val="00E87C61"/>
    <w:rsid w:val="00EA7893"/>
    <w:rsid w:val="00EE4C70"/>
    <w:rsid w:val="00EE5B1A"/>
    <w:rsid w:val="00EF2185"/>
    <w:rsid w:val="00EF5A0C"/>
    <w:rsid w:val="00F03868"/>
    <w:rsid w:val="00F03D56"/>
    <w:rsid w:val="00F042E8"/>
    <w:rsid w:val="00F278BC"/>
    <w:rsid w:val="00F5738E"/>
    <w:rsid w:val="00F92D6A"/>
    <w:rsid w:val="00FB3EA8"/>
    <w:rsid w:val="00FC4846"/>
    <w:rsid w:val="00FD12FD"/>
    <w:rsid w:val="00FE66B0"/>
    <w:rsid w:val="00FE6B1B"/>
    <w:rsid w:val="00FF17AE"/>
    <w:rsid w:val="06C380F5"/>
    <w:rsid w:val="095C8AB7"/>
    <w:rsid w:val="0CAEFC23"/>
    <w:rsid w:val="0EBCB8B4"/>
    <w:rsid w:val="1AFD8AD6"/>
    <w:rsid w:val="28CED790"/>
    <w:rsid w:val="2A636CE1"/>
    <w:rsid w:val="3DB91EF3"/>
    <w:rsid w:val="3FE99FEE"/>
    <w:rsid w:val="47F6D3D0"/>
    <w:rsid w:val="50D66E22"/>
    <w:rsid w:val="53D130EB"/>
    <w:rsid w:val="606EC105"/>
    <w:rsid w:val="66107C87"/>
    <w:rsid w:val="7C53680C"/>
    <w:rsid w:val="7D9B8A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7B325"/>
  <w15:chartTrackingRefBased/>
  <w15:docId w15:val="{F0F16392-A36C-48A7-B6A1-DF2E3C58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B3343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33432"/>
    <w:rPr>
      <w:sz w:val="20"/>
      <w:szCs w:val="20"/>
    </w:rPr>
  </w:style>
  <w:style w:type="table" w:customStyle="1" w:styleId="Tablenone1">
    <w:name w:val="Table none1"/>
    <w:basedOn w:val="NormaleTabelle"/>
    <w:next w:val="Tabellenraster"/>
    <w:uiPriority w:val="39"/>
    <w:rsid w:val="00B33432"/>
    <w:pPr>
      <w:spacing w:after="0" w:line="240" w:lineRule="auto"/>
    </w:pPr>
    <w:rPr>
      <w:rFonts w:eastAsia="MS PGothic"/>
      <w:sz w:val="20"/>
      <w:szCs w:val="2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1">
    <w:name w:val="Ref1"/>
    <w:basedOn w:val="Absatz-Standardschriftart"/>
    <w:link w:val="Superscript6Point"/>
    <w:uiPriority w:val="99"/>
    <w:unhideWhenUsed/>
    <w:qFormat/>
    <w:rsid w:val="00B33432"/>
    <w:rPr>
      <w:rFonts w:ascii="Arial" w:hAnsi="Arial"/>
      <w:sz w:val="16"/>
      <w:vertAlign w:val="superscript"/>
    </w:rPr>
  </w:style>
  <w:style w:type="paragraph" w:customStyle="1" w:styleId="Superscript6Point">
    <w:name w:val="Superscript 6 Point"/>
    <w:aliases w:val="Odwołanie przypisu,de nota al pie,footnote ref,2001+ Fußnotenzeichen, Exposant 3 Point,BVI fnr Знак Знак,BVI fnr Car Car Знак Знак,BVI fnr Car Знак Знак,R,16 Point,number"/>
    <w:basedOn w:val="Standard"/>
    <w:link w:val="Ref1"/>
    <w:uiPriority w:val="99"/>
    <w:rsid w:val="00B33432"/>
    <w:pPr>
      <w:spacing w:before="120" w:line="240" w:lineRule="exact"/>
    </w:pPr>
    <w:rPr>
      <w:rFonts w:ascii="Arial" w:eastAsia="MS PGothic" w:hAnsi="Arial"/>
      <w:sz w:val="16"/>
      <w:szCs w:val="20"/>
      <w:vertAlign w:val="superscript"/>
      <w:lang w:val="nl-BE"/>
    </w:rPr>
  </w:style>
  <w:style w:type="table" w:styleId="Tabellenraster">
    <w:name w:val="Table Grid"/>
    <w:basedOn w:val="NormaleTabelle"/>
    <w:uiPriority w:val="39"/>
    <w:rsid w:val="00B33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B33432"/>
    <w:rPr>
      <w:vertAlign w:val="superscript"/>
    </w:rPr>
  </w:style>
  <w:style w:type="paragraph" w:styleId="Kopfzeile">
    <w:name w:val="header"/>
    <w:basedOn w:val="Standard"/>
    <w:link w:val="KopfzeileZchn"/>
    <w:uiPriority w:val="99"/>
    <w:unhideWhenUsed/>
    <w:rsid w:val="00F03D56"/>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F03D56"/>
  </w:style>
  <w:style w:type="paragraph" w:styleId="Fuzeile">
    <w:name w:val="footer"/>
    <w:basedOn w:val="Standard"/>
    <w:link w:val="FuzeileZchn"/>
    <w:uiPriority w:val="99"/>
    <w:unhideWhenUsed/>
    <w:rsid w:val="00F03D56"/>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F03D56"/>
  </w:style>
  <w:style w:type="paragraph" w:styleId="Sprechblasentext">
    <w:name w:val="Balloon Text"/>
    <w:basedOn w:val="Standard"/>
    <w:link w:val="SprechblasentextZchn"/>
    <w:uiPriority w:val="99"/>
    <w:semiHidden/>
    <w:unhideWhenUsed/>
    <w:rsid w:val="002D618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6186"/>
    <w:rPr>
      <w:rFonts w:ascii="Segoe UI" w:hAnsi="Segoe UI" w:cs="Segoe UI"/>
      <w:sz w:val="18"/>
      <w:szCs w:val="18"/>
    </w:rPr>
  </w:style>
  <w:style w:type="character" w:styleId="Hyperlink">
    <w:name w:val="Hyperlink"/>
    <w:basedOn w:val="Absatz-Standardschriftart"/>
    <w:uiPriority w:val="99"/>
    <w:unhideWhenUsed/>
    <w:rsid w:val="00901098"/>
    <w:rPr>
      <w:color w:val="0563C1" w:themeColor="hyperlink"/>
      <w:u w:val="single"/>
    </w:rPr>
  </w:style>
  <w:style w:type="character" w:styleId="NichtaufgelsteErwhnung">
    <w:name w:val="Unresolved Mention"/>
    <w:basedOn w:val="Absatz-Standardschriftart"/>
    <w:uiPriority w:val="99"/>
    <w:semiHidden/>
    <w:unhideWhenUsed/>
    <w:rsid w:val="00901098"/>
    <w:rPr>
      <w:color w:val="605E5C"/>
      <w:shd w:val="clear" w:color="auto" w:fill="E1DFDD"/>
    </w:rPr>
  </w:style>
  <w:style w:type="character" w:styleId="BesuchterLink">
    <w:name w:val="FollowedHyperlink"/>
    <w:basedOn w:val="Absatz-Standardschriftart"/>
    <w:uiPriority w:val="99"/>
    <w:semiHidden/>
    <w:unhideWhenUsed/>
    <w:rsid w:val="00901098"/>
    <w:rPr>
      <w:color w:val="954F72" w:themeColor="followedHyperlink"/>
      <w:u w:val="single"/>
    </w:rPr>
  </w:style>
  <w:style w:type="paragraph" w:styleId="berarbeitung">
    <w:name w:val="Revision"/>
    <w:hidden/>
    <w:uiPriority w:val="99"/>
    <w:semiHidden/>
    <w:rsid w:val="006275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sma.europa.eu/press-news/consultations/call-evidence-review-ucits-eligible-assets-directive"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CITS Document" ma:contentTypeID="0x0101000ED1C6BF2ECFE74585EFFEA9E6E27962010B006EE2F6F0923B8D47B938E8456CAF7C4C" ma:contentTypeVersion="24" ma:contentTypeDescription="" ma:contentTypeScope="" ma:versionID="bb69f40d48060915a746d88e25b3ce6c">
  <xsd:schema xmlns:xsd="http://www.w3.org/2001/XMLSchema" xmlns:xs="http://www.w3.org/2001/XMLSchema" xmlns:p="http://schemas.microsoft.com/office/2006/metadata/properties" xmlns:ns2="d0fb0f98-34f9-4d57-9559-eb8efd17aa5e" xmlns:ns3="6992b194-ece9-4b26-973e-e25c2ee2cdcd" targetNamespace="http://schemas.microsoft.com/office/2006/metadata/properties" ma:root="true" ma:fieldsID="d393c18af9c87e7948f2665729661357" ns2:_="" ns3:_="">
    <xsd:import namespace="d0fb0f98-34f9-4d57-9559-eb8efd17aa5e"/>
    <xsd:import namespace="6992b194-ece9-4b26-973e-e25c2ee2cdcd"/>
    <xsd:element name="properties">
      <xsd:complexType>
        <xsd:sequence>
          <xsd:element name="documentManagement">
            <xsd:complexType>
              <xsd:all>
                <xsd:element ref="ns2:Year"/>
                <xsd:element ref="ns2:MeetingDate" minOccurs="0"/>
                <xsd:element ref="ns2:TaxCatchAll" minOccurs="0"/>
                <xsd:element ref="ns2:TaxCatchAllLabel" minOccurs="0"/>
                <xsd:element ref="ns2:kdd529b9a5cb416096d62dbd0e6e5583" minOccurs="0"/>
                <xsd:element ref="ns2:oa4fe03ffd8943c1880fe290404e8de7" minOccurs="0"/>
                <xsd:element ref="ns2:o129a376828d47fdaef4d5f5d93fd079" minOccurs="0"/>
                <xsd:element ref="ns2:k9db3a09612944c49e649e0ff38a506b" minOccurs="0"/>
                <xsd:element ref="ns2:le43fdf786354491b6a92d49b491b10f" minOccurs="0"/>
                <xsd:element ref="ns2:i273e4c9de95495b82bee898e1d119e4"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0"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dd529b9a5cb416096d62dbd0e6e5583" ma:index="18"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19"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0" nillable="true"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k9db3a09612944c49e649e0ff38a506b" ma:index="21"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e43fdf786354491b6a92d49b491b10f" ma:index="22" nillable="true" ma:taxonomy="true" ma:internalName="le43fdf786354491b6a92d49b491b10f" ma:taxonomyFieldName="TeamTopic" ma:displayName="Team Topic" ma:readOnly="false" ma:default="-1;#UCITS|a853cb80-aed9-44bd-ac2a-0e80b5a444d7" ma:fieldId="{5e43fdf7-8635-4491-b6a9-2d49b491b10f}" ma:taxonomyMulti="true" ma:sspId="d4b01e31-ead0-4f68-a8e9-2aaca35f2e62" ma:termSetId="659d163a-41f8-4a11-98d0-47db219aa0e4" ma:anchorId="00000000-0000-0000-0000-000000000000" ma:open="false" ma:isKeyword="false">
      <xsd:complexType>
        <xsd:sequence>
          <xsd:element ref="pc:Terms" minOccurs="0" maxOccurs="1"/>
        </xsd:sequence>
      </xsd:complexType>
    </xsd:element>
    <xsd:element name="i273e4c9de95495b82bee898e1d119e4" ma:index="23" nillable="true" ma:taxonomy="true" ma:internalName="i273e4c9de95495b82bee898e1d119e4" ma:taxonomyFieldName="Topic" ma:displayName="Topic" ma:readOnly="false" ma:fieldId="{2273e4c9-de95-495b-82be-e898e1d119e4}" ma:sspId="d4b01e31-ead0-4f68-a8e9-2aaca35f2e62" ma:termSetId="d513acc8-7dbc-449c-a6a2-9c4e1874ec8d"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92b194-ece9-4b26-973e-e25c2ee2cdcd"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33</Value>
      <Value>254</Value>
      <Value>5</Value>
    </TaxCatchAll>
    <i273e4c9de95495b82bee898e1d119e4 xmlns="d0fb0f98-34f9-4d57-9559-eb8efd17aa5e">
      <Terms xmlns="http://schemas.microsoft.com/office/infopath/2007/PartnerControls">
        <TermInfo xmlns="http://schemas.microsoft.com/office/infopath/2007/PartnerControls">
          <TermName xmlns="http://schemas.microsoft.com/office/infopath/2007/PartnerControls">UCITS V</TermName>
          <TermId xmlns="http://schemas.microsoft.com/office/infopath/2007/PartnerControls">f647cd65-9fed-4943-9235-640226c8ffaf</TermId>
        </TermInfo>
      </Terms>
    </i273e4c9de95495b82bee898e1d119e4>
    <k9db3a09612944c49e649e0ff38a506b xmlns="d0fb0f98-34f9-4d57-9559-eb8efd17aa5e">
      <Terms xmlns="http://schemas.microsoft.com/office/infopath/2007/PartnerControls"/>
    </k9db3a09612944c49e649e0ff38a506b>
    <MeetingDate xmlns="d0fb0f98-34f9-4d57-9559-eb8efd17aa5e" xsi:nil="true"/>
    <Year xmlns="d0fb0f98-34f9-4d57-9559-eb8efd17aa5e">2023</Year>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d0fb0f98-34f9-4d57-9559-eb8efd17aa5e">
      <Terms xmlns="http://schemas.microsoft.com/office/infopath/2007/PartnerControls">
        <TermInfo xmlns="http://schemas.microsoft.com/office/infopath/2007/PartnerControls">
          <TermName xmlns="http://schemas.microsoft.com/office/infopath/2007/PartnerControls">UCITS</TermName>
          <TermId xmlns="http://schemas.microsoft.com/office/infopath/2007/PartnerControls">a853cb80-aed9-44bd-ac2a-0e80b5a444d7</TermId>
        </TermInfo>
      </Terms>
    </le43fdf786354491b6a92d49b491b10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oa4fe03ffd8943c1880fe290404e8de7>
    <_dlc_DocId xmlns="d0fb0f98-34f9-4d57-9559-eb8efd17aa5e">ESMA34-1270380148-1066</_dlc_DocId>
    <_dlc_DocIdUrl xmlns="d0fb0f98-34f9-4d57-9559-eb8efd17aa5e">
      <Url>https://securitiesandmarketsauth.sharepoint.com/sites/sherpa-ivm/_layouts/15/DocIdRedir.aspx?ID=ESMA34-1270380148-1066</Url>
      <Description>ESMA34-1270380148-1066</Description>
    </_dlc_DocIdUrl>
    <SharedWithUsers xmlns="d0fb0f98-34f9-4d57-9559-eb8efd17aa5e">
      <UserInfo>
        <DisplayName>Iris Hude</DisplayName>
        <AccountId>82</AccountId>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543A0A-BC65-43F9-A5CA-D69219D76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6992b194-ece9-4b26-973e-e25c2ee2c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A697FA-BE24-4878-AFDB-AD64CEE0912C}">
  <ds:schemaRefs>
    <ds:schemaRef ds:uri="http://schemas.microsoft.com/office/2006/metadata/properties"/>
    <ds:schemaRef ds:uri="http://schemas.microsoft.com/office/infopath/2007/PartnerControls"/>
    <ds:schemaRef ds:uri="d0fb0f98-34f9-4d57-9559-eb8efd17aa5e"/>
  </ds:schemaRefs>
</ds:datastoreItem>
</file>

<file path=customXml/itemProps3.xml><?xml version="1.0" encoding="utf-8"?>
<ds:datastoreItem xmlns:ds="http://schemas.openxmlformats.org/officeDocument/2006/customXml" ds:itemID="{DC84FCA0-A20E-48DE-B522-B2D818717B37}">
  <ds:schemaRefs>
    <ds:schemaRef ds:uri="http://schemas.microsoft.com/sharepoint/events"/>
  </ds:schemaRefs>
</ds:datastoreItem>
</file>

<file path=customXml/itemProps4.xml><?xml version="1.0" encoding="utf-8"?>
<ds:datastoreItem xmlns:ds="http://schemas.openxmlformats.org/officeDocument/2006/customXml" ds:itemID="{93EC7362-CE0E-45A1-9F25-BE624802C5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853</Words>
  <Characters>5380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Arina Costila</dc:creator>
  <cp:keywords/>
  <dc:description/>
  <cp:lastModifiedBy>Seel, Edgar</cp:lastModifiedBy>
  <cp:revision>27</cp:revision>
  <dcterms:created xsi:type="dcterms:W3CDTF">2024-07-19T10:02:00Z</dcterms:created>
  <dcterms:modified xsi:type="dcterms:W3CDTF">2024-08-07T07:33:00Z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0x0101000ED1C6BF2ECFE74585EFFEA9E6E27962010B006EE2F6F0923B8D47B938E8456CAF7C4C</vt:lpwstr>
  </property>
  <property fmtid="{D5CDD505-2E9C-101B-9397-08002B2CF9AE}" pid="3" name="TeamName">
    <vt:lpwstr>5</vt:lpwstr>
  </property>
  <property fmtid="{D5CDD505-2E9C-101B-9397-08002B2CF9AE}" pid="4" name="Topic">
    <vt:lpwstr>254</vt:lpwstr>
  </property>
  <property fmtid="{D5CDD505-2E9C-101B-9397-08002B2CF9AE}" pid="5" name="ConfidentialityLevel">
    <vt:lpwstr>6;#Regular|07f1e362-856b-423d-bea6-a14079762141</vt:lpwstr>
  </property>
  <property fmtid="{D5CDD505-2E9C-101B-9397-08002B2CF9AE}" pid="6" name="TeamTopic">
    <vt:lpwstr>33;#UCITS|a853cb80-aed9-44bd-ac2a-0e80b5a444d7</vt:lpwstr>
  </property>
  <property fmtid="{D5CDD505-2E9C-101B-9397-08002B2CF9AE}" pid="7" name="DocumentType">
    <vt:lpwstr/>
  </property>
  <property fmtid="{D5CDD505-2E9C-101B-9397-08002B2CF9AE}" pid="8" name="EsmaAudience">
    <vt:lpwstr/>
  </property>
  <property fmtid="{D5CDD505-2E9C-101B-9397-08002B2CF9AE}" pid="9" name="_dlc_DocIdItemGuid">
    <vt:lpwstr>1a846c82-0d53-46e2-86e5-7d75005f4a47</vt:lpwstr>
  </property>
  <property fmtid="{D5CDD505-2E9C-101B-9397-08002B2CF9AE}" pid="10" name="MSIP_Label_48ed5431-0ab7-4c1b-98f4-d4e50f674d02_Enabled">
    <vt:lpwstr>true</vt:lpwstr>
  </property>
  <property fmtid="{D5CDD505-2E9C-101B-9397-08002B2CF9AE}" pid="11" name="MSIP_Label_48ed5431-0ab7-4c1b-98f4-d4e50f674d02_SetDate">
    <vt:lpwstr>2024-07-19T10:01:45Z</vt:lpwstr>
  </property>
  <property fmtid="{D5CDD505-2E9C-101B-9397-08002B2CF9AE}" pid="12" name="MSIP_Label_48ed5431-0ab7-4c1b-98f4-d4e50f674d02_Method">
    <vt:lpwstr>Privileged</vt:lpwstr>
  </property>
  <property fmtid="{D5CDD505-2E9C-101B-9397-08002B2CF9AE}" pid="13" name="MSIP_Label_48ed5431-0ab7-4c1b-98f4-d4e50f674d02_Name">
    <vt:lpwstr>48ed5431-0ab7-4c1b-98f4-d4e50f674d02</vt:lpwstr>
  </property>
  <property fmtid="{D5CDD505-2E9C-101B-9397-08002B2CF9AE}" pid="14" name="MSIP_Label_48ed5431-0ab7-4c1b-98f4-d4e50f674d02_SiteId">
    <vt:lpwstr>614f9c25-bffa-42c7-86d8-964101f55fa2</vt:lpwstr>
  </property>
  <property fmtid="{D5CDD505-2E9C-101B-9397-08002B2CF9AE}" pid="15" name="MSIP_Label_48ed5431-0ab7-4c1b-98f4-d4e50f674d02_ActionId">
    <vt:lpwstr>3fd12484-1dd4-4630-9a2a-8ddac4f5c897</vt:lpwstr>
  </property>
  <property fmtid="{D5CDD505-2E9C-101B-9397-08002B2CF9AE}" pid="16" name="MSIP_Label_48ed5431-0ab7-4c1b-98f4-d4e50f674d02_ContentBits">
    <vt:lpwstr>0</vt:lpwstr>
  </property>
</Properties>
</file>