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el"/>
          </w:pPr>
          <w:r>
            <w:t>Reply form</w:t>
          </w:r>
        </w:p>
        <w:p w14:paraId="031F2108" w14:textId="0F73999B" w:rsidR="007E7997" w:rsidRDefault="00D77369" w:rsidP="00D77369">
          <w:pPr>
            <w:pStyle w:val="Untertitel"/>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Untertitel"/>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enabsatz"/>
          </w:pPr>
          <w:r w:rsidRPr="00E13D25">
            <w:t>respond to the question stated;</w:t>
          </w:r>
        </w:p>
        <w:p w14:paraId="72FD40F6" w14:textId="77777777" w:rsidR="002533FC" w:rsidRPr="00E13D25" w:rsidRDefault="002533FC" w:rsidP="00EC6066">
          <w:pPr>
            <w:pStyle w:val="Listenabsatz"/>
          </w:pPr>
          <w:r w:rsidRPr="00E13D25">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E13D25" w:rsidRDefault="002533FC" w:rsidP="00EC6066">
          <w:pPr>
            <w:pStyle w:val="Listenabsatz"/>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0A955481" w:rsidR="00635BCA" w:rsidRPr="00557BD2" w:rsidRDefault="006E08B4" w:rsidP="00D21C35">
                <w:r>
                  <w:t>Association of German Banks</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7D647258" w:rsidR="00635BCA" w:rsidRPr="00557BD2" w:rsidRDefault="006E08B4" w:rsidP="00D21C35">
                <w:r>
                  <w:t>Association</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726BE90C" w:rsidR="00635BCA" w:rsidRPr="00557BD2" w:rsidRDefault="006E08B4" w:rsidP="00D21C35">
                <w:r>
                  <w:t>Germany</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berschrift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5C50B66D" w14:textId="77777777" w:rsidR="006E08B4" w:rsidRDefault="006E08B4" w:rsidP="006E08B4">
      <w:permStart w:id="1975413025" w:edGrp="everyone"/>
      <w:r>
        <w:t>UCITS funds have the advantage of a marketing passport that enables them to be marketed to retail investors within the European Union. This franchise is a crucial component of the Capital Markets Union.</w:t>
      </w:r>
    </w:p>
    <w:p w14:paraId="1F734F03" w14:textId="77777777" w:rsidR="006E08B4" w:rsidRDefault="006E08B4" w:rsidP="006E08B4">
      <w:r>
        <w:t>The success of UCITS funds can be attributed to the liquidity of their assets, which is ensured by stringent asset eligibility criteria and risk dispersion rules. These measures provide robust protection for retail investors.</w:t>
      </w:r>
    </w:p>
    <w:p w14:paraId="25AAF0A5" w14:textId="77777777" w:rsidR="006E08B4" w:rsidRDefault="006E08B4" w:rsidP="006E08B4">
      <w:r>
        <w:t>Clear and precise definitions are important for depositaries to minimize ambiguity regarding asset eligibility, such as the concept of presumption of liquidity. This clarity enables depositaries to effectively oversee the management decisions made by management companies for the UCITS they manage.</w:t>
      </w:r>
    </w:p>
    <w:p w14:paraId="29DEB984" w14:textId="77777777" w:rsidR="006E08B4" w:rsidRDefault="006E08B4" w:rsidP="006E08B4">
      <w:r>
        <w:t>Furthermore, National Competent Authorities (NCAs) have formulated local doctrines concerning the eligibility of specific assets. These local doctrines need to be standardized at the EU level to ensure uniform rules and a level playing field across the EU.</w:t>
      </w:r>
    </w:p>
    <w:p w14:paraId="607FD30B" w14:textId="77777777" w:rsidR="006E08B4" w:rsidRDefault="006E08B4" w:rsidP="006E08B4">
      <w:r>
        <w:t>In line with the UCITS Directive, depositaries argue that UCITS should be exposed to simple risks and hold highly liquid assets to meet the redemption requirements outlined in the prospectus.</w:t>
      </w:r>
    </w:p>
    <w:p w14:paraId="22D041E3" w14:textId="77777777" w:rsidR="006E08B4" w:rsidRDefault="006E08B4" w:rsidP="006E08B4">
      <w:r>
        <w:t xml:space="preserve">Depositaries also highlight that the European Long-Term Investment Fund (ELTIF) provides retail investors access to private asset classes such as private equity, debts, loans, and simple </w:t>
      </w:r>
      <w:r>
        <w:lastRenderedPageBreak/>
        <w:t>transparent and standardized (STS) securitizations and real assets. This alternative investment fund (AIF), approved by the NCAs and benefiting from the EU marketing passport, should be the avenue for offering private assets, rather than including them in UCITS.</w:t>
      </w:r>
    </w:p>
    <w:p w14:paraId="2A7C62BB" w14:textId="77777777" w:rsidR="006E08B4" w:rsidRDefault="006E08B4" w:rsidP="006E08B4">
      <w:r>
        <w:t xml:space="preserve">In addition, when the UCITS Directive was first established, the financial instruments that qualified for UCITS (specifically transferable securities and MMI) were under the custody regime (i.e. all assets could be safekept in custody by the depositary). This meant that in the event of asset loss or the depositary's bankruptcy, assets would be returned, providing increased protection for UCITS and ultimately for investors. Over time, many financial instruments subject to record-keeping requirements (i.e. assets that are not eligible for safekeeping/custody at the depositary) have been included in UCITS, including derivative instruments for hedging or exposure as outlined in the Directive (settled through a Clearing Broker, which is appointed independently from the depositary by the UCITS </w:t>
      </w:r>
      <w:proofErr w:type="spellStart"/>
      <w:r>
        <w:t>ManCo</w:t>
      </w:r>
      <w:proofErr w:type="spellEnd"/>
      <w:r>
        <w:t>), and more complex financial instruments following a local approach in the absence of specific details in the Directive.</w:t>
      </w:r>
    </w:p>
    <w:p w14:paraId="00E45B6E" w14:textId="77777777" w:rsidR="006E08B4" w:rsidRDefault="006E08B4" w:rsidP="006E08B4">
      <w:r>
        <w:t>Depositaries emphasize that the record-keeping regime involves also verifying the ownership of the fund's assets, and the processes for ownership verification performed by the depositary can be intricate. The presence of complex record-keeping assets in a UCITS portfolio leads to more intricate ownership assurance criteria (</w:t>
      </w:r>
      <w:proofErr w:type="spellStart"/>
      <w:r>
        <w:t>e.g</w:t>
      </w:r>
      <w:proofErr w:type="spellEnd"/>
      <w:r>
        <w:t xml:space="preserve"> getting correct extracts of position statements from numerous registrars across the world, etc.). Furthermore, as these assets </w:t>
      </w:r>
      <w:proofErr w:type="spellStart"/>
      <w:r>
        <w:t>can not</w:t>
      </w:r>
      <w:proofErr w:type="spellEnd"/>
      <w:r>
        <w:t xml:space="preserve"> be subject to restitution in case of loss, this results in decreased protection for investors.</w:t>
      </w:r>
    </w:p>
    <w:p w14:paraId="539446FA" w14:textId="77777777" w:rsidR="006E08B4" w:rsidRDefault="006E08B4" w:rsidP="006E08B4">
      <w:r>
        <w:t>Therefore, depositaries are not supportive of expanding the eligibility of asset classes mentioned in question 20 that are not under the custody regime, but under the record-keeping regime, such as loans, emission allowances, or crypto assets.</w:t>
      </w:r>
    </w:p>
    <w:p w14:paraId="7A73D19D" w14:textId="77777777" w:rsidR="006E08B4" w:rsidRDefault="006E08B4" w:rsidP="006E08B4">
      <w:r w:rsidRPr="00914765">
        <w:t>The depository institutions for UCITS are urging for the preservation of a designation that stays uniform, easy to comprehend, and clear for individual investors. This will help in ensuring that the UCITS framework can keep growing and make a meaningful contribution to the Capital Markets Union.</w:t>
      </w:r>
    </w:p>
    <w:p w14:paraId="483D75D0" w14:textId="77777777" w:rsidR="006E08B4" w:rsidRDefault="006E08B4" w:rsidP="006E08B4">
      <w:r>
        <w:t>Depositaries are requesting clarity on specific criteria such as liquidity and negotiability to determine whether an asset is eligible for a UCITS. This clarity is essential to minimize varied interpretations and enable depositaries to conduct reliable second-level ex-post checks in the best interest of investors. These guidelines would ensure that asset management firms across the EU adhere to consistent and transparent rules, preventing the formation of localized doctrines that could lead to conflicting interpretations and unfair competition within the European Union, as it is already today the case.</w:t>
      </w:r>
    </w:p>
    <w:p w14:paraId="1E7C868E" w14:textId="0B654826" w:rsidR="00667FF6" w:rsidRDefault="006E08B4" w:rsidP="00667FF6">
      <w:r>
        <w:lastRenderedPageBreak/>
        <w:t>In addition to asset liquidity, the EAD must also offer guidance on asset types that, while not explicitly prohibited by the Directive established since 2007, do not align with the UCITS framework (e.g., certain complex derivatives).</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2AE188F7" w:rsidR="00667FF6" w:rsidRDefault="00667FF6" w:rsidP="00667FF6">
      <w:permStart w:id="85149166" w:edGrp="everyone"/>
      <w:r>
        <w:t>TYPE YOUR TEXT HERE</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77777777" w:rsidR="00667FF6" w:rsidRDefault="00667FF6" w:rsidP="00667FF6">
      <w:permStart w:id="1981048397" w:edGrp="everyone"/>
      <w:r>
        <w:t>TYPE YOUR TEXT HERE</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 xml:space="preserve">Have you experienced any recurring or significant issues with the interpretation or consistent application of UCITS EAD provisions using the notions of « </w:t>
      </w:r>
      <w:r>
        <w:lastRenderedPageBreak/>
        <w:t>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77777777" w:rsidR="00667FF6" w:rsidRDefault="00667FF6" w:rsidP="00667FF6">
      <w:permStart w:id="1012351271" w:edGrp="everyone"/>
      <w:r>
        <w:t>TYPE YOUR TEXT HERE</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77777777" w:rsidR="00667FF6" w:rsidRDefault="00667FF6" w:rsidP="00667FF6">
      <w:permStart w:id="1300367218" w:edGrp="everyone"/>
      <w:r>
        <w:t>TYPE YOUR TEXT HERE</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42FC559A" w14:textId="77777777" w:rsidR="006E08B4" w:rsidRDefault="006E08B4" w:rsidP="006E08B4">
      <w:permStart w:id="974730357" w:edGrp="everyone"/>
      <w:r w:rsidRPr="00914765">
        <w:t>The lack of a clear definition for the term 'ancillary' has led to varying interpretations among the Member States. To minimize the potential for diverse interpretations and local adjustments, it is recommended to refrain from using adverbs or to substitute them with a universally applicable threshold.</w:t>
      </w:r>
    </w:p>
    <w:permEnd w:id="974730357"/>
    <w:p w14:paraId="307CFCEA" w14:textId="77777777" w:rsidR="00667FF6" w:rsidRDefault="00667FF6" w:rsidP="00667FF6">
      <w:r>
        <w:lastRenderedPageBreak/>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24C7BA65" w14:textId="77777777" w:rsidR="00667FF6" w:rsidRDefault="00667FF6" w:rsidP="00667FF6">
      <w:permStart w:id="12191390" w:edGrp="everyone"/>
      <w:r>
        <w:t>TYPE YOUR TEXT HERE</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560210E2" w14:textId="77777777" w:rsidR="006E08B4" w:rsidRDefault="006E08B4" w:rsidP="006E08B4">
      <w:permStart w:id="1602386857" w:edGrp="everyone"/>
      <w:proofErr w:type="gramStart"/>
      <w:r>
        <w:t>Upon reviewing the situation, it</w:t>
      </w:r>
      <w:proofErr w:type="gramEnd"/>
      <w:r>
        <w:t xml:space="preserve"> appears that the application of the 10% limit on "other eligible assets" is not consistent across the European Union.</w:t>
      </w:r>
    </w:p>
    <w:p w14:paraId="284E9342" w14:textId="77777777" w:rsidR="006E08B4" w:rsidRDefault="006E08B4" w:rsidP="006E08B4">
      <w:r>
        <w:t>In essence, only eligible MMI and financial securities not traded on a regulated market are allowed to be held in the assets of the UCITS up to a maximum of 10%. Any other assets would not be permitted as they do not meet the criteria for eligibility (e.g., unlisted shares or bonds). Nonetheless, discussions have already occurred between management companies and depositories regarding the securities held within this ratio, especially concerning securities admitted to a traded/negotiated market but with low transaction volumes.</w:t>
      </w:r>
    </w:p>
    <w:p w14:paraId="3334222E" w14:textId="559EECAE" w:rsidR="00667FF6" w:rsidRDefault="006E08B4" w:rsidP="00667FF6">
      <w:r>
        <w:t xml:space="preserve">It seems that other countries have taken a different approach by eliminating the concept of the "other eligible assets" ratio to prevent any circumvention of the asset eligibility under this 10% limit. This is particularly noticeable for the CBI in Ireland and the AFM in the Netherlands. It would be advisable to clarify whether, in the context of market practices or developments, securities other than those exhaustively mentioned in Article 50(2)(a) could be held within the </w:t>
      </w:r>
      <w:r>
        <w:lastRenderedPageBreak/>
        <w:t>"other eligible assets ratio". This would help establish clear rules for all EU actors, simplify oversight, and ensure fair competition within the EU.</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77777777" w:rsidR="00667FF6" w:rsidRDefault="00667FF6" w:rsidP="00667FF6">
      <w:permStart w:id="1226657538" w:edGrp="everyone"/>
      <w:r>
        <w:t>TYPE YOUR TEXT HERE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77777777" w:rsidR="00667FF6" w:rsidRDefault="00667FF6" w:rsidP="00667FF6">
      <w:permStart w:id="1286214635" w:edGrp="everyone"/>
      <w:r>
        <w:t>TYPE YOUR TEXT HERE</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lastRenderedPageBreak/>
        <w:t>&lt;ESMA_QUESTION_EADC_11&gt;</w:t>
      </w:r>
    </w:p>
    <w:p w14:paraId="0E3B2DB0" w14:textId="77777777" w:rsidR="00667FF6" w:rsidRDefault="00667FF6" w:rsidP="00667FF6">
      <w:permStart w:id="704664972" w:edGrp="everyone"/>
      <w:r>
        <w:t>TYPE YOUR TEXT HERE</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77777777" w:rsidR="00667FF6" w:rsidRDefault="00667FF6" w:rsidP="00667FF6">
      <w:permStart w:id="624035433" w:edGrp="everyone"/>
      <w:r>
        <w:t>TYPE YOUR TEXT HERE</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3C8965C8" w14:textId="77777777" w:rsidR="006E08B4" w:rsidRDefault="006E08B4" w:rsidP="006E08B4">
      <w:permStart w:id="1487874619" w:edGrp="everyone"/>
      <w:r w:rsidRPr="006A7BC9">
        <w:t>The regulations do not provide a clear definition of financial instruments known as 'delta one instruments.' This leads to ambiguity when it comes to instruments that include basic derivatives and are classified as delta one. For instance, bonds with 'make whole call' features should be considered as securities that include simple, non-leveraged derivatives of the delta one type. It would be beneficial to have specific criteria and definitions for these instruments to determine their eligibility and associated risks.</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lastRenderedPageBreak/>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77777777" w:rsidR="00667FF6" w:rsidRDefault="00667FF6" w:rsidP="00667FF6">
      <w:permStart w:id="1362129429" w:edGrp="everyone"/>
      <w:r>
        <w:t>TYPE YOUR TEXT HERE</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01944298" w14:textId="696D0FE6" w:rsidR="00667FF6" w:rsidRDefault="006E08B4" w:rsidP="00667FF6">
      <w:permStart w:id="493775816" w:edGrp="everyone"/>
      <w:r w:rsidRPr="006A7BC9">
        <w:t>Non-EU ETFs or ETCs need to adhere to the UCITS criteria for eligibility. It's important to note that the criteria are interpreted differently by various member countries. For instance, a single underlying ETC on gold</w:t>
      </w:r>
      <w:r>
        <w:t xml:space="preserve"> (e.g. </w:t>
      </w:r>
      <w:proofErr w:type="spellStart"/>
      <w:r>
        <w:t>Xetra</w:t>
      </w:r>
      <w:proofErr w:type="spellEnd"/>
      <w:r>
        <w:t xml:space="preserve"> Gold) or</w:t>
      </w:r>
      <w:r w:rsidRPr="006A7BC9">
        <w:t xml:space="preserve"> </w:t>
      </w:r>
      <w:r>
        <w:t>a US domiciled</w:t>
      </w:r>
      <w:r w:rsidRPr="006A7BC9">
        <w:t xml:space="preserve"> iShares ETF, </w:t>
      </w:r>
      <w:r>
        <w:t>can be</w:t>
      </w:r>
      <w:r w:rsidRPr="006A7BC9">
        <w:t xml:space="preserve"> prohibited in </w:t>
      </w:r>
      <w:r>
        <w:t xml:space="preserve">one state </w:t>
      </w:r>
      <w:r w:rsidRPr="006A7BC9">
        <w:t xml:space="preserve">but authorized in </w:t>
      </w:r>
      <w:r>
        <w:t>another</w:t>
      </w:r>
      <w:r w:rsidRPr="006A7BC9">
        <w:t>. The same principle applies to US bitcoin ETFs. Achieving consistency in applying these criteria would be beneficial.</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4E6EC137" w14:textId="77777777" w:rsidR="00667FF6" w:rsidRDefault="00667FF6" w:rsidP="00667FF6">
      <w:permStart w:id="1032210024" w:edGrp="everyone"/>
      <w:r>
        <w:t>TYPE YOUR TEXT HERE</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0A21A428" w14:textId="77777777" w:rsidR="00667FF6" w:rsidRDefault="00667FF6" w:rsidP="00667FF6">
      <w:permStart w:id="589041498" w:edGrp="everyone"/>
      <w:r>
        <w:t>TYPE YOUR TEXT HERE</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1396FB8B" w14:textId="77777777" w:rsidR="00667FF6" w:rsidRDefault="00667FF6" w:rsidP="00667FF6">
      <w:permStart w:id="1158356501" w:edGrp="everyone"/>
      <w:r>
        <w:lastRenderedPageBreak/>
        <w:t>TYPE YOUR TEXT HERE</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62FE2DC4" w14:textId="77777777" w:rsidR="006E08B4" w:rsidRDefault="006E08B4" w:rsidP="006E08B4">
      <w:permStart w:id="784558918" w:edGrp="everyone"/>
      <w:r>
        <w:t>NCAs have the authority to establish national doctrines on various subjects to address stakeholders' inquiries and provide guidance. This does not imply a desire to over-regulate, but rather a necessity to clarify rules insufficiently defined at the directive level.</w:t>
      </w:r>
    </w:p>
    <w:p w14:paraId="4C2E9676" w14:textId="77777777" w:rsidR="006E08B4" w:rsidRDefault="006E08B4" w:rsidP="006E08B4">
      <w:r>
        <w:t>While this approach helps to elucidate important concepts, it also means that each regulator interprets the text based on their risk-based approach, resulting in inconsistent application of the rules. For instance, the holding of ETCs indexed to gold is permissible in certain member states but not in others, which can lead to diverging supervision standards.</w:t>
      </w:r>
    </w:p>
    <w:p w14:paraId="2B449671" w14:textId="324F1A0A" w:rsidR="00667FF6" w:rsidRDefault="006E08B4" w:rsidP="006E08B4">
      <w:r>
        <w:t xml:space="preserve">In its evaluation, ESMA should adopt the most </w:t>
      </w:r>
      <w:proofErr w:type="spellStart"/>
      <w:r>
        <w:t>favorable</w:t>
      </w:r>
      <w:proofErr w:type="spellEnd"/>
      <w:r>
        <w:t xml:space="preserve"> approaches to investor protection as a European standard. Specifically, there should be a requirement for asset managers to fully disclose all assets in the UCITS prospectus along with their associated risks. Any assets not specified in the prospectus should be deemed ineligible for UCITS.</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xml:space="preserve">.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w:t>
      </w:r>
      <w:r>
        <w:lastRenderedPageBreak/>
        <w:t>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6AEF8535" w14:textId="77777777" w:rsidR="00667FF6" w:rsidRDefault="00667FF6" w:rsidP="00667FF6">
      <w:permStart w:id="1828006997" w:edGrp="everyone"/>
      <w:r>
        <w:t>TYPE YOUR TEXT HERE</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3D2BA70" w14:textId="77777777" w:rsidR="00667FF6" w:rsidRDefault="00667FF6" w:rsidP="00667FF6">
      <w:permStart w:id="1004748421" w:edGrp="everyone"/>
      <w:r>
        <w:t>TYPE YOUR TEXT HERE</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77777777" w:rsidR="00667FF6" w:rsidRDefault="00667FF6" w:rsidP="00667FF6">
      <w:permStart w:id="1208368603" w:edGrp="everyone"/>
      <w:r>
        <w:t>TYPE YOUR TEXT HERE</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77777777" w:rsidR="00667FF6" w:rsidRDefault="00667FF6" w:rsidP="00667FF6">
      <w:permStart w:id="160252285" w:edGrp="everyone"/>
      <w:r>
        <w:t>TYPE YOUR TEXT HERE</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77777777" w:rsidR="00667FF6" w:rsidRDefault="00667FF6" w:rsidP="00667FF6">
      <w:permStart w:id="478484191" w:edGrp="everyone"/>
      <w:r>
        <w:t>TYPE YOUR TEXT HERE</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Fuzeile"/>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E930342" w:rsidR="00D77369" w:rsidRPr="008858FE" w:rsidRDefault="00D77369" w:rsidP="008858FE">
    <w:pPr>
      <w:pStyle w:val="Kopfzeile"/>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Kopfzeile"/>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Kopfzeile"/>
    </w:pPr>
  </w:p>
  <w:p w14:paraId="6A43EA5E" w14:textId="4A830C83" w:rsidR="00AD0B10" w:rsidRDefault="00AD0B10" w:rsidP="0043139E">
    <w:pPr>
      <w:pStyle w:val="Kopfzeile"/>
    </w:pPr>
  </w:p>
  <w:p w14:paraId="2083DACE" w14:textId="77777777" w:rsidR="00AD0B10" w:rsidRPr="0043139E" w:rsidRDefault="00AD0B10" w:rsidP="0043139E">
    <w:pPr>
      <w:pStyle w:val="Kopfzeile"/>
    </w:pPr>
  </w:p>
  <w:p w14:paraId="140A363C" w14:textId="77777777" w:rsidR="006A44DA" w:rsidRPr="0043139E" w:rsidRDefault="006A44DA" w:rsidP="0043139E">
    <w:pPr>
      <w:pStyle w:val="Kopfzeile"/>
    </w:pPr>
  </w:p>
  <w:p w14:paraId="66CF4BF9" w14:textId="4F625EE8" w:rsidR="006A44DA" w:rsidRPr="0043139E" w:rsidRDefault="008858FE" w:rsidP="0043139E">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Kopfzeile"/>
    </w:pPr>
  </w:p>
  <w:p w14:paraId="70942C9C" w14:textId="77777777" w:rsidR="00672010" w:rsidRPr="0043139E" w:rsidRDefault="00672010" w:rsidP="0043139E">
    <w:pPr>
      <w:pStyle w:val="Kopfzeile"/>
    </w:pPr>
  </w:p>
  <w:p w14:paraId="7F8040EC" w14:textId="77777777" w:rsidR="0018540C" w:rsidRPr="0043139E" w:rsidRDefault="0018540C" w:rsidP="0043139E">
    <w:pPr>
      <w:pStyle w:val="Kopfzeile"/>
    </w:pPr>
  </w:p>
  <w:p w14:paraId="76479F6F" w14:textId="77777777" w:rsidR="00CA565A" w:rsidRPr="0043139E" w:rsidRDefault="00CA565A" w:rsidP="0043139E">
    <w:pPr>
      <w:pStyle w:val="Kopfzeile"/>
    </w:pPr>
  </w:p>
  <w:p w14:paraId="34BC4F59" w14:textId="77777777" w:rsidR="00CA565A" w:rsidRPr="0043139E" w:rsidRDefault="00CA565A" w:rsidP="0043139E">
    <w:pPr>
      <w:pStyle w:val="Kopfzeile"/>
    </w:pPr>
  </w:p>
  <w:p w14:paraId="373CE412" w14:textId="77777777" w:rsidR="0018540C" w:rsidRPr="0043139E" w:rsidRDefault="0018540C" w:rsidP="0043139E">
    <w:pPr>
      <w:pStyle w:val="Kopfzeile"/>
    </w:pPr>
  </w:p>
  <w:p w14:paraId="36065F1B" w14:textId="154438DA" w:rsidR="0018540C" w:rsidRDefault="0018540C" w:rsidP="0043139E">
    <w:pPr>
      <w:pStyle w:val="Kopfzeile"/>
    </w:pPr>
  </w:p>
  <w:p w14:paraId="7545C91A" w14:textId="77777777" w:rsidR="0043139E" w:rsidRPr="0043139E" w:rsidRDefault="0043139E" w:rsidP="004313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Kopfzeile"/>
    </w:pPr>
  </w:p>
  <w:p w14:paraId="410BE8FC" w14:textId="77777777" w:rsidR="006A44DA" w:rsidRDefault="006A44DA">
    <w:pPr>
      <w:pStyle w:val="Kopfzeile"/>
    </w:pPr>
  </w:p>
  <w:p w14:paraId="00F5D8E1" w14:textId="77777777" w:rsidR="006A44DA" w:rsidRDefault="006A44DA">
    <w:pPr>
      <w:pStyle w:val="Kopfzeile"/>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1"/>
  </w:num>
  <w:num w:numId="2" w16cid:durableId="1144354351">
    <w:abstractNumId w:val="4"/>
  </w:num>
  <w:num w:numId="3" w16cid:durableId="1006909420">
    <w:abstractNumId w:val="9"/>
  </w:num>
  <w:num w:numId="4" w16cid:durableId="569996677">
    <w:abstractNumId w:val="3"/>
  </w:num>
  <w:num w:numId="5" w16cid:durableId="807014924">
    <w:abstractNumId w:val="0"/>
  </w:num>
  <w:num w:numId="6" w16cid:durableId="310985182">
    <w:abstractNumId w:val="5"/>
  </w:num>
  <w:num w:numId="7" w16cid:durableId="492061559">
    <w:abstractNumId w:val="12"/>
  </w:num>
  <w:num w:numId="8" w16cid:durableId="2063743978">
    <w:abstractNumId w:val="2"/>
  </w:num>
  <w:num w:numId="9" w16cid:durableId="1378703109">
    <w:abstractNumId w:val="10"/>
  </w:num>
  <w:num w:numId="10" w16cid:durableId="632100844">
    <w:abstractNumId w:val="8"/>
  </w:num>
  <w:num w:numId="11" w16cid:durableId="1573200029">
    <w:abstractNumId w:val="7"/>
  </w:num>
  <w:num w:numId="12" w16cid:durableId="1587836858">
    <w:abstractNumId w:val="7"/>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08B4"/>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2FB"/>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Absatz-Standardschriftart"/>
    <w:link w:val="Questionstyle"/>
    <w:rsid w:val="00DB686B"/>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747575"/>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6992b194-ece9-4b26-973e-e25c2ee2cdcd"/>
    <ds:schemaRef ds:uri="http://schemas.openxmlformats.org/package/2006/metadata/core-properties"/>
    <ds:schemaRef ds:uri="http://purl.org/dc/elements/1.1/"/>
    <ds:schemaRef ds:uri="http://www.w3.org/XML/1998/namespace"/>
    <ds:schemaRef ds:uri="d0fb0f98-34f9-4d57-9559-eb8efd17aa5e"/>
    <ds:schemaRef ds:uri="http://purl.org/dc/dcmitype/"/>
  </ds:schemaRefs>
</ds:datastoreItem>
</file>

<file path=customXml/itemProps3.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3426</Words>
  <Characters>21590</Characters>
  <Application>Microsoft Office Word</Application>
  <DocSecurity>8</DocSecurity>
  <Lines>179</Lines>
  <Paragraphs>49</Paragraphs>
  <ScaleCrop>false</ScaleCrop>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Seel, Edgar</cp:lastModifiedBy>
  <cp:revision>59</cp:revision>
  <cp:lastPrinted>2023-09-09T09:53:00Z</cp:lastPrinted>
  <dcterms:created xsi:type="dcterms:W3CDTF">2024-05-09T08:26:00Z</dcterms:created>
  <dcterms:modified xsi:type="dcterms:W3CDTF">2024-08-07T09:18:00Z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