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EF7FE" w14:textId="05BFA884" w:rsidR="66107C87" w:rsidRDefault="7C53680C" w:rsidP="3FE99FEE">
      <w:pPr>
        <w:spacing w:after="250" w:line="276" w:lineRule="auto"/>
        <w:jc w:val="both"/>
        <w:rPr>
          <w:rFonts w:ascii="Arial" w:eastAsia="MS PGothic" w:hAnsi="Arial" w:cs="Arial"/>
          <w:b/>
          <w:bCs/>
          <w:color w:val="181818"/>
        </w:rPr>
      </w:pPr>
      <w:r w:rsidRPr="28CED790">
        <w:rPr>
          <w:rFonts w:ascii="Arial" w:eastAsia="MS PGothic" w:hAnsi="Arial" w:cs="Arial"/>
          <w:b/>
          <w:bCs/>
          <w:color w:val="181818"/>
        </w:rPr>
        <w:t xml:space="preserve">Annex </w:t>
      </w:r>
      <w:r w:rsidR="2A636CE1" w:rsidRPr="28CED790">
        <w:rPr>
          <w:rFonts w:ascii="Arial" w:eastAsia="MS PGothic" w:hAnsi="Arial" w:cs="Arial"/>
          <w:b/>
          <w:bCs/>
          <w:color w:val="181818"/>
        </w:rPr>
        <w:t xml:space="preserve">– </w:t>
      </w:r>
      <w:r w:rsidR="002F58FB" w:rsidRPr="002F58FB">
        <w:rPr>
          <w:rFonts w:ascii="Arial" w:eastAsia="MS PGothic" w:hAnsi="Arial" w:cs="Arial"/>
          <w:b/>
          <w:bCs/>
          <w:color w:val="181818"/>
        </w:rPr>
        <w:t>Question 20</w:t>
      </w:r>
      <w:r w:rsidR="00394809">
        <w:rPr>
          <w:rFonts w:ascii="Arial" w:eastAsia="MS PGothic" w:hAnsi="Arial" w:cs="Arial"/>
          <w:b/>
          <w:bCs/>
          <w:color w:val="181818"/>
        </w:rPr>
        <w:t>.</w:t>
      </w:r>
      <w:r w:rsidR="002D58CD">
        <w:rPr>
          <w:rFonts w:ascii="Arial" w:eastAsia="MS PGothic" w:hAnsi="Arial" w:cs="Arial"/>
          <w:b/>
          <w:bCs/>
          <w:color w:val="181818"/>
        </w:rPr>
        <w:t xml:space="preserve"> </w:t>
      </w:r>
      <w:r w:rsidR="00394809">
        <w:rPr>
          <w:rFonts w:ascii="Arial" w:eastAsia="MS PGothic" w:hAnsi="Arial" w:cs="Arial"/>
          <w:b/>
          <w:bCs/>
          <w:color w:val="181818"/>
        </w:rPr>
        <w:t>T</w:t>
      </w:r>
      <w:r w:rsidR="002D58CD">
        <w:rPr>
          <w:rFonts w:ascii="Arial" w:eastAsia="MS PGothic" w:hAnsi="Arial" w:cs="Arial"/>
          <w:b/>
          <w:bCs/>
          <w:color w:val="181818"/>
        </w:rPr>
        <w:t xml:space="preserve">able on </w:t>
      </w:r>
      <w:r w:rsidR="0048151A">
        <w:rPr>
          <w:rFonts w:ascii="Arial" w:eastAsia="MS PGothic" w:hAnsi="Arial" w:cs="Arial"/>
          <w:b/>
          <w:bCs/>
          <w:color w:val="181818"/>
        </w:rPr>
        <w:t xml:space="preserve">eligible assets </w:t>
      </w:r>
      <w:r w:rsidR="002F58FB" w:rsidRPr="002F58FB">
        <w:rPr>
          <w:rFonts w:ascii="Arial" w:eastAsia="MS PGothic" w:hAnsi="Arial" w:cs="Arial"/>
          <w:b/>
          <w:bCs/>
          <w:color w:val="181818"/>
        </w:rPr>
        <w:t>UCITS EAD</w:t>
      </w:r>
      <w:r w:rsidR="53D130EB" w:rsidRPr="28CED790">
        <w:rPr>
          <w:rFonts w:ascii="Arial" w:eastAsia="MS PGothic" w:hAnsi="Arial" w:cs="Arial"/>
          <w:b/>
          <w:bCs/>
          <w:color w:val="181818"/>
        </w:rPr>
        <w:t xml:space="preserve">. </w:t>
      </w:r>
    </w:p>
    <w:p w14:paraId="10145F69" w14:textId="4B8E6890" w:rsidR="00554F00" w:rsidRDefault="002F58FB" w:rsidP="3FE99FEE">
      <w:pPr>
        <w:spacing w:after="250" w:line="276" w:lineRule="auto"/>
        <w:jc w:val="both"/>
        <w:rPr>
          <w:rFonts w:ascii="Arial" w:eastAsia="MS PGothic" w:hAnsi="Arial" w:cs="Arial"/>
          <w:color w:val="181818"/>
        </w:rPr>
      </w:pPr>
      <w:r w:rsidRPr="002F58FB">
        <w:rPr>
          <w:rFonts w:ascii="Arial" w:eastAsia="MS PGothic" w:hAnsi="Arial" w:cs="Arial"/>
          <w:color w:val="181818"/>
          <w:szCs w:val="20"/>
        </w:rPr>
        <w:t xml:space="preserve">For the purposes of Question 20, please </w:t>
      </w:r>
      <w:r w:rsidR="00A87C58">
        <w:rPr>
          <w:rFonts w:ascii="Arial" w:eastAsia="MS PGothic" w:hAnsi="Arial" w:cs="Arial"/>
          <w:color w:val="181818"/>
          <w:szCs w:val="20"/>
        </w:rPr>
        <w:t>complete</w:t>
      </w:r>
      <w:r w:rsidRPr="002F58FB">
        <w:rPr>
          <w:rFonts w:ascii="Arial" w:eastAsia="MS PGothic" w:hAnsi="Arial" w:cs="Arial"/>
          <w:color w:val="181818"/>
          <w:szCs w:val="20"/>
        </w:rPr>
        <w:t xml:space="preserve"> the table </w:t>
      </w:r>
      <w:r w:rsidR="006C47BC">
        <w:rPr>
          <w:rFonts w:ascii="Arial" w:eastAsia="MS PGothic" w:hAnsi="Arial" w:cs="Arial"/>
          <w:color w:val="181818"/>
          <w:szCs w:val="20"/>
        </w:rPr>
        <w:t>below</w:t>
      </w:r>
      <w:r w:rsidRPr="002F58FB">
        <w:rPr>
          <w:rFonts w:ascii="Arial" w:eastAsia="MS PGothic" w:hAnsi="Arial" w:cs="Arial"/>
          <w:color w:val="181818"/>
          <w:szCs w:val="20"/>
        </w:rPr>
        <w:t xml:space="preserve"> with the requested information</w:t>
      </w:r>
      <w:r w:rsidR="00F042E8">
        <w:rPr>
          <w:rFonts w:ascii="Arial" w:eastAsia="MS PGothic" w:hAnsi="Arial" w:cs="Arial"/>
          <w:color w:val="181818"/>
          <w:szCs w:val="20"/>
        </w:rPr>
        <w:t xml:space="preserve">, </w:t>
      </w:r>
      <w:proofErr w:type="gramStart"/>
      <w:r w:rsidR="00F042E8">
        <w:rPr>
          <w:rFonts w:ascii="Arial" w:eastAsia="MS PGothic" w:hAnsi="Arial" w:cs="Arial"/>
          <w:color w:val="181818"/>
          <w:szCs w:val="20"/>
        </w:rPr>
        <w:t>taking into account</w:t>
      </w:r>
      <w:proofErr w:type="gramEnd"/>
      <w:r w:rsidR="00F042E8">
        <w:rPr>
          <w:rFonts w:ascii="Arial" w:eastAsia="MS PGothic" w:hAnsi="Arial" w:cs="Arial"/>
          <w:color w:val="181818"/>
          <w:szCs w:val="20"/>
        </w:rPr>
        <w:t xml:space="preserve"> the instructions </w:t>
      </w:r>
      <w:r w:rsidR="00FB3EA8">
        <w:rPr>
          <w:rFonts w:ascii="Arial" w:eastAsia="MS PGothic" w:hAnsi="Arial" w:cs="Arial"/>
          <w:color w:val="181818"/>
          <w:szCs w:val="20"/>
        </w:rPr>
        <w:t xml:space="preserve">provided in </w:t>
      </w:r>
      <w:r w:rsidR="006B7B4A">
        <w:rPr>
          <w:rFonts w:ascii="Arial" w:eastAsia="MS PGothic" w:hAnsi="Arial" w:cs="Arial"/>
          <w:color w:val="181818"/>
          <w:szCs w:val="20"/>
        </w:rPr>
        <w:t>the footnotes</w:t>
      </w:r>
      <w:r w:rsidRPr="002F58FB">
        <w:rPr>
          <w:rFonts w:ascii="Arial" w:eastAsia="MS PGothic" w:hAnsi="Arial" w:cs="Arial"/>
          <w:color w:val="181818"/>
          <w:szCs w:val="20"/>
        </w:rPr>
        <w:t xml:space="preserve">. After </w:t>
      </w:r>
      <w:r w:rsidR="003D2C3C">
        <w:rPr>
          <w:rFonts w:ascii="Arial" w:eastAsia="MS PGothic" w:hAnsi="Arial" w:cs="Arial"/>
          <w:color w:val="181818"/>
          <w:szCs w:val="20"/>
        </w:rPr>
        <w:t>having</w:t>
      </w:r>
      <w:r w:rsidRPr="002F58FB">
        <w:rPr>
          <w:rFonts w:ascii="Arial" w:eastAsia="MS PGothic" w:hAnsi="Arial" w:cs="Arial"/>
          <w:color w:val="181818"/>
          <w:szCs w:val="20"/>
        </w:rPr>
        <w:t xml:space="preserve"> </w:t>
      </w:r>
      <w:r w:rsidR="00F042E8">
        <w:rPr>
          <w:rFonts w:ascii="Arial" w:eastAsia="MS PGothic" w:hAnsi="Arial" w:cs="Arial"/>
          <w:color w:val="181818"/>
          <w:szCs w:val="20"/>
        </w:rPr>
        <w:t xml:space="preserve">completed </w:t>
      </w:r>
      <w:r w:rsidRPr="002F58FB">
        <w:rPr>
          <w:rFonts w:ascii="Arial" w:eastAsia="MS PGothic" w:hAnsi="Arial" w:cs="Arial"/>
          <w:color w:val="181818"/>
          <w:szCs w:val="20"/>
        </w:rPr>
        <w:t xml:space="preserve">the form, </w:t>
      </w:r>
      <w:r w:rsidR="00FD12FD">
        <w:rPr>
          <w:rFonts w:ascii="Arial" w:eastAsia="MS PGothic" w:hAnsi="Arial" w:cs="Arial"/>
          <w:color w:val="181818"/>
          <w:szCs w:val="20"/>
        </w:rPr>
        <w:t xml:space="preserve">please </w:t>
      </w:r>
      <w:r w:rsidRPr="002F58FB">
        <w:rPr>
          <w:rFonts w:ascii="Arial" w:eastAsia="MS PGothic" w:hAnsi="Arial" w:cs="Arial"/>
          <w:color w:val="181818"/>
          <w:szCs w:val="20"/>
        </w:rPr>
        <w:t xml:space="preserve">save the document </w:t>
      </w:r>
      <w:r w:rsidR="0040029B">
        <w:rPr>
          <w:rFonts w:ascii="Arial" w:eastAsia="MS PGothic" w:hAnsi="Arial" w:cs="Arial"/>
          <w:color w:val="181818"/>
          <w:szCs w:val="20"/>
        </w:rPr>
        <w:t>(</w:t>
      </w:r>
      <w:r w:rsidR="00FE6B1B">
        <w:rPr>
          <w:rFonts w:ascii="Arial" w:eastAsia="MS PGothic" w:hAnsi="Arial" w:cs="Arial"/>
          <w:color w:val="181818"/>
          <w:szCs w:val="20"/>
        </w:rPr>
        <w:t>according to the following convention:</w:t>
      </w:r>
      <w:r w:rsidRPr="002F58FB">
        <w:rPr>
          <w:rFonts w:ascii="Arial" w:eastAsia="MS PGothic" w:hAnsi="Arial" w:cs="Arial"/>
          <w:color w:val="181818"/>
          <w:szCs w:val="20"/>
        </w:rPr>
        <w:t xml:space="preserve"> </w:t>
      </w:r>
      <w:r w:rsidR="00FE6B1B">
        <w:rPr>
          <w:rFonts w:ascii="Arial" w:eastAsia="MS PGothic" w:hAnsi="Arial" w:cs="Arial"/>
          <w:color w:val="181818"/>
          <w:szCs w:val="20"/>
        </w:rPr>
        <w:t>“</w:t>
      </w:r>
      <w:r w:rsidRPr="002F58FB">
        <w:rPr>
          <w:rFonts w:ascii="Arial" w:eastAsia="MS PGothic" w:hAnsi="Arial" w:cs="Arial"/>
          <w:color w:val="181818"/>
          <w:szCs w:val="20"/>
        </w:rPr>
        <w:t>ESMA_</w:t>
      </w:r>
      <w:r w:rsidR="00915CEE">
        <w:rPr>
          <w:rFonts w:ascii="Arial" w:eastAsia="MS PGothic" w:hAnsi="Arial" w:cs="Arial"/>
          <w:color w:val="181818"/>
          <w:szCs w:val="20"/>
        </w:rPr>
        <w:t>Q20</w:t>
      </w:r>
      <w:r w:rsidRPr="002F58FB">
        <w:rPr>
          <w:rFonts w:ascii="Arial" w:eastAsia="MS PGothic" w:hAnsi="Arial" w:cs="Arial"/>
          <w:color w:val="181818"/>
          <w:szCs w:val="20"/>
        </w:rPr>
        <w:t>_nameofrespondent</w:t>
      </w:r>
      <w:r w:rsidR="00915CEE">
        <w:rPr>
          <w:rFonts w:ascii="Arial" w:eastAsia="MS PGothic" w:hAnsi="Arial" w:cs="Arial"/>
          <w:color w:val="181818"/>
          <w:szCs w:val="20"/>
        </w:rPr>
        <w:t>”</w:t>
      </w:r>
      <w:r w:rsidR="0040029B">
        <w:rPr>
          <w:rFonts w:ascii="Arial" w:eastAsia="MS PGothic" w:hAnsi="Arial" w:cs="Arial"/>
          <w:color w:val="181818"/>
          <w:szCs w:val="20"/>
        </w:rPr>
        <w:t>)</w:t>
      </w:r>
      <w:r w:rsidRPr="002F58FB">
        <w:rPr>
          <w:rFonts w:ascii="Arial" w:eastAsia="MS PGothic" w:hAnsi="Arial" w:cs="Arial"/>
          <w:color w:val="181818"/>
          <w:szCs w:val="20"/>
        </w:rPr>
        <w:t xml:space="preserve"> and</w:t>
      </w:r>
      <w:r w:rsidR="0040029B">
        <w:rPr>
          <w:rFonts w:ascii="Arial" w:eastAsia="MS PGothic" w:hAnsi="Arial" w:cs="Arial"/>
          <w:color w:val="181818"/>
          <w:szCs w:val="20"/>
        </w:rPr>
        <w:t xml:space="preserve"> </w:t>
      </w:r>
      <w:r w:rsidR="0051598D">
        <w:rPr>
          <w:rFonts w:ascii="Arial" w:eastAsia="MS PGothic" w:hAnsi="Arial" w:cs="Arial"/>
          <w:color w:val="181818"/>
          <w:szCs w:val="20"/>
        </w:rPr>
        <w:t xml:space="preserve">upload </w:t>
      </w:r>
      <w:r w:rsidR="0040029B">
        <w:rPr>
          <w:rFonts w:ascii="Arial" w:eastAsia="MS PGothic" w:hAnsi="Arial" w:cs="Arial"/>
          <w:color w:val="181818"/>
          <w:szCs w:val="20"/>
        </w:rPr>
        <w:t>it</w:t>
      </w:r>
      <w:r w:rsidR="006C7811">
        <w:rPr>
          <w:rFonts w:ascii="Arial" w:eastAsia="MS PGothic" w:hAnsi="Arial" w:cs="Arial"/>
          <w:color w:val="181818"/>
          <w:szCs w:val="20"/>
        </w:rPr>
        <w:t xml:space="preserve"> </w:t>
      </w:r>
      <w:r w:rsidR="005A6BF0" w:rsidRPr="005A6BF0">
        <w:rPr>
          <w:rFonts w:ascii="Arial" w:eastAsia="MS PGothic" w:hAnsi="Arial" w:cs="Arial"/>
          <w:bCs/>
          <w:color w:val="181818"/>
          <w:szCs w:val="20"/>
        </w:rPr>
        <w:t xml:space="preserve">online at </w:t>
      </w:r>
      <w:hyperlink r:id="rId11" w:history="1">
        <w:r w:rsidR="00901098" w:rsidRPr="00150222">
          <w:rPr>
            <w:rStyle w:val="Hyperlink"/>
            <w:rFonts w:ascii="Arial" w:eastAsia="MS PGothic" w:hAnsi="Arial" w:cs="Arial"/>
            <w:bCs/>
            <w:szCs w:val="20"/>
          </w:rPr>
          <w:t>https://www.esma.europa.eu/press-news/consultations/call-evidence-review-ucits-eligible-assets-directive</w:t>
        </w:r>
      </w:hyperlink>
      <w:r w:rsidR="00901098">
        <w:rPr>
          <w:rFonts w:ascii="Arial" w:eastAsia="MS PGothic" w:hAnsi="Arial" w:cs="Arial"/>
          <w:bCs/>
          <w:i/>
          <w:iCs/>
          <w:color w:val="181818"/>
          <w:szCs w:val="20"/>
        </w:rPr>
        <w:t xml:space="preserve"> </w:t>
      </w:r>
      <w:r w:rsidR="005A6BF0" w:rsidRPr="005A6BF0">
        <w:rPr>
          <w:rFonts w:ascii="Arial" w:eastAsia="MS PGothic" w:hAnsi="Arial" w:cs="Arial"/>
          <w:bCs/>
          <w:color w:val="181818"/>
          <w:szCs w:val="20"/>
        </w:rPr>
        <w:t xml:space="preserve">under the heading </w:t>
      </w:r>
      <w:r w:rsidR="005A6BF0" w:rsidRPr="005A6BF0">
        <w:rPr>
          <w:rFonts w:ascii="Arial" w:eastAsia="MS PGothic" w:hAnsi="Arial" w:cs="Arial"/>
          <w:bCs/>
          <w:i/>
          <w:iCs/>
          <w:color w:val="181818"/>
          <w:szCs w:val="20"/>
        </w:rPr>
        <w:t>‘Your input - Consultations’</w:t>
      </w:r>
      <w:r w:rsidR="005A6BF0">
        <w:rPr>
          <w:rFonts w:ascii="Arial" w:eastAsia="MS PGothic" w:hAnsi="Arial" w:cs="Arial"/>
          <w:bCs/>
          <w:color w:val="181818"/>
          <w:szCs w:val="20"/>
        </w:rPr>
        <w:t>, as an Annex to the Reply Form</w:t>
      </w:r>
      <w:r w:rsidR="0040029B">
        <w:rPr>
          <w:rFonts w:ascii="Arial" w:eastAsia="MS PGothic" w:hAnsi="Arial" w:cs="Arial"/>
          <w:color w:val="181818"/>
          <w:szCs w:val="20"/>
        </w:rPr>
        <w:t xml:space="preserve">. </w:t>
      </w:r>
      <w:r w:rsidR="008B6D19">
        <w:rPr>
          <w:rFonts w:ascii="Arial" w:eastAsia="MS PGothic" w:hAnsi="Arial" w:cs="Arial"/>
          <w:color w:val="181818"/>
          <w:szCs w:val="20"/>
        </w:rPr>
        <w:t xml:space="preserve">In case you upload a pdf file, please choose an editable form. </w:t>
      </w:r>
    </w:p>
    <w:tbl>
      <w:tblPr>
        <w:tblStyle w:val="Tablenone1"/>
        <w:tblW w:w="13887" w:type="dxa"/>
        <w:tblLook w:val="04A0" w:firstRow="1" w:lastRow="0" w:firstColumn="1" w:lastColumn="0" w:noHBand="0" w:noVBand="1"/>
      </w:tblPr>
      <w:tblGrid>
        <w:gridCol w:w="2085"/>
        <w:gridCol w:w="2730"/>
        <w:gridCol w:w="2835"/>
        <w:gridCol w:w="2551"/>
        <w:gridCol w:w="3686"/>
      </w:tblGrid>
      <w:tr w:rsidR="00B33432" w:rsidRPr="00B33432" w14:paraId="42644C63" w14:textId="77777777" w:rsidTr="09FED478">
        <w:tc>
          <w:tcPr>
            <w:tcW w:w="2085" w:type="dxa"/>
          </w:tcPr>
          <w:p w14:paraId="0268D242" w14:textId="77777777" w:rsidR="00B33432" w:rsidRPr="00B33432" w:rsidRDefault="00B33432" w:rsidP="00B33432">
            <w:pPr>
              <w:spacing w:after="250" w:line="276" w:lineRule="auto"/>
              <w:jc w:val="center"/>
              <w:rPr>
                <w:rFonts w:ascii="Arial" w:hAnsi="Arial" w:cs="Arial"/>
                <w:b/>
                <w:bCs/>
                <w:color w:val="181818"/>
              </w:rPr>
            </w:pPr>
            <w:r w:rsidRPr="00B33432">
              <w:rPr>
                <w:rFonts w:ascii="Arial" w:hAnsi="Arial" w:cs="Arial"/>
                <w:b/>
                <w:bCs/>
                <w:color w:val="181818"/>
              </w:rPr>
              <w:t>Asset class</w:t>
            </w:r>
            <w:r w:rsidRPr="00B33432">
              <w:rPr>
                <w:rFonts w:ascii="Arial" w:hAnsi="Arial" w:cs="Arial"/>
                <w:b/>
                <w:bCs/>
                <w:color w:val="181818"/>
                <w:sz w:val="16"/>
                <w:vertAlign w:val="superscript"/>
              </w:rPr>
              <w:footnoteReference w:id="2"/>
            </w:r>
          </w:p>
        </w:tc>
        <w:tc>
          <w:tcPr>
            <w:tcW w:w="2730" w:type="dxa"/>
          </w:tcPr>
          <w:p w14:paraId="60F87FED" w14:textId="77777777" w:rsidR="00B33432" w:rsidRPr="00273DED" w:rsidRDefault="00B33432" w:rsidP="00B33432">
            <w:pPr>
              <w:spacing w:after="250" w:line="276" w:lineRule="auto"/>
              <w:jc w:val="center"/>
              <w:rPr>
                <w:rFonts w:ascii="Arial" w:hAnsi="Arial" w:cs="Arial"/>
                <w:b/>
                <w:bCs/>
                <w:color w:val="181818"/>
                <w:lang w:val="en-GB"/>
              </w:rPr>
            </w:pPr>
            <w:r w:rsidRPr="00273DED">
              <w:rPr>
                <w:rFonts w:ascii="Arial" w:hAnsi="Arial" w:cs="Arial"/>
                <w:b/>
                <w:bCs/>
                <w:color w:val="181818"/>
                <w:lang w:val="en-GB"/>
              </w:rPr>
              <w:t>Merits of allowing direct UCITS exposures</w:t>
            </w:r>
          </w:p>
        </w:tc>
        <w:tc>
          <w:tcPr>
            <w:tcW w:w="2835" w:type="dxa"/>
          </w:tcPr>
          <w:p w14:paraId="49FEA0C2" w14:textId="77777777" w:rsidR="00B33432" w:rsidRPr="00273DED" w:rsidRDefault="00B33432" w:rsidP="00B33432">
            <w:pPr>
              <w:spacing w:after="250" w:line="276" w:lineRule="auto"/>
              <w:jc w:val="center"/>
              <w:rPr>
                <w:rFonts w:ascii="Arial" w:hAnsi="Arial" w:cs="Arial"/>
                <w:b/>
                <w:bCs/>
                <w:color w:val="181818"/>
                <w:lang w:val="en-GB"/>
              </w:rPr>
            </w:pPr>
            <w:r w:rsidRPr="00273DED">
              <w:rPr>
                <w:rFonts w:ascii="Arial" w:hAnsi="Arial" w:cs="Arial"/>
                <w:b/>
                <w:bCs/>
                <w:color w:val="181818"/>
                <w:lang w:val="en-GB"/>
              </w:rPr>
              <w:t xml:space="preserve">Merits of allowing </w:t>
            </w:r>
            <w:r w:rsidRPr="00273DED">
              <w:rPr>
                <w:rFonts w:ascii="Arial" w:hAnsi="Arial" w:cs="Arial"/>
                <w:b/>
                <w:i/>
                <w:color w:val="181818"/>
                <w:lang w:val="en-GB"/>
              </w:rPr>
              <w:t>indirect</w:t>
            </w:r>
            <w:r w:rsidRPr="00273DED">
              <w:rPr>
                <w:rFonts w:ascii="Arial" w:hAnsi="Arial" w:cs="Arial"/>
                <w:b/>
                <w:bCs/>
                <w:color w:val="181818"/>
                <w:lang w:val="en-GB"/>
              </w:rPr>
              <w:t xml:space="preserve"> UCITS exposures</w:t>
            </w:r>
            <w:r w:rsidRPr="00B33432">
              <w:rPr>
                <w:rFonts w:ascii="Arial" w:hAnsi="Arial" w:cs="Arial"/>
                <w:b/>
                <w:bCs/>
                <w:color w:val="181818"/>
                <w:sz w:val="16"/>
                <w:vertAlign w:val="superscript"/>
              </w:rPr>
              <w:footnoteReference w:id="3"/>
            </w:r>
          </w:p>
        </w:tc>
        <w:tc>
          <w:tcPr>
            <w:tcW w:w="2551" w:type="dxa"/>
          </w:tcPr>
          <w:p w14:paraId="5668F975" w14:textId="77777777" w:rsidR="00B33432" w:rsidRPr="00273DED" w:rsidRDefault="00B33432" w:rsidP="00B33432">
            <w:pPr>
              <w:spacing w:after="250" w:line="276" w:lineRule="auto"/>
              <w:jc w:val="center"/>
              <w:rPr>
                <w:rFonts w:ascii="Arial" w:hAnsi="Arial" w:cs="Arial"/>
                <w:b/>
                <w:bCs/>
                <w:color w:val="181818"/>
                <w:lang w:val="en-GB"/>
              </w:rPr>
            </w:pPr>
            <w:r w:rsidRPr="00273DED">
              <w:rPr>
                <w:rFonts w:ascii="Arial" w:hAnsi="Arial" w:cs="Arial"/>
                <w:b/>
                <w:bCs/>
                <w:color w:val="181818"/>
                <w:lang w:val="en-GB"/>
              </w:rPr>
              <w:t>Extent/amount of existing UCITS exposures</w:t>
            </w:r>
            <w:r w:rsidRPr="00B33432">
              <w:rPr>
                <w:rFonts w:ascii="Arial" w:hAnsi="Arial" w:cs="Arial"/>
                <w:b/>
                <w:bCs/>
                <w:color w:val="181818"/>
                <w:sz w:val="16"/>
                <w:vertAlign w:val="superscript"/>
              </w:rPr>
              <w:footnoteReference w:id="4"/>
            </w:r>
            <w:r w:rsidRPr="00273DED">
              <w:rPr>
                <w:rFonts w:ascii="Arial" w:hAnsi="Arial" w:cs="Arial"/>
                <w:b/>
                <w:bCs/>
                <w:color w:val="181818"/>
                <w:lang w:val="en-GB"/>
              </w:rPr>
              <w:t xml:space="preserve"> </w:t>
            </w:r>
          </w:p>
        </w:tc>
        <w:tc>
          <w:tcPr>
            <w:tcW w:w="3686" w:type="dxa"/>
          </w:tcPr>
          <w:p w14:paraId="50147042" w14:textId="77777777" w:rsidR="00B33432" w:rsidRPr="00B33432" w:rsidRDefault="00B33432" w:rsidP="00B33432">
            <w:pPr>
              <w:spacing w:after="250" w:line="276" w:lineRule="auto"/>
              <w:jc w:val="center"/>
              <w:rPr>
                <w:rFonts w:ascii="Arial" w:hAnsi="Arial" w:cs="Arial"/>
                <w:b/>
                <w:bCs/>
                <w:color w:val="181818"/>
              </w:rPr>
            </w:pPr>
            <w:proofErr w:type="spellStart"/>
            <w:r w:rsidRPr="00B33432">
              <w:rPr>
                <w:rFonts w:ascii="Arial" w:hAnsi="Arial" w:cs="Arial"/>
                <w:b/>
                <w:bCs/>
                <w:color w:val="181818"/>
              </w:rPr>
              <w:t>Additional</w:t>
            </w:r>
            <w:proofErr w:type="spellEnd"/>
            <w:r w:rsidRPr="00B33432">
              <w:rPr>
                <w:rFonts w:ascii="Arial" w:hAnsi="Arial" w:cs="Arial"/>
                <w:b/>
                <w:bCs/>
                <w:color w:val="181818"/>
              </w:rPr>
              <w:t xml:space="preserve"> </w:t>
            </w:r>
            <w:proofErr w:type="spellStart"/>
            <w:r w:rsidRPr="00B33432">
              <w:rPr>
                <w:rFonts w:ascii="Arial" w:hAnsi="Arial" w:cs="Arial"/>
                <w:b/>
                <w:bCs/>
                <w:color w:val="181818"/>
              </w:rPr>
              <w:t>comments</w:t>
            </w:r>
            <w:proofErr w:type="spellEnd"/>
            <w:r w:rsidRPr="00B33432">
              <w:rPr>
                <w:rFonts w:ascii="Arial" w:hAnsi="Arial" w:cs="Arial"/>
                <w:b/>
                <w:bCs/>
                <w:vertAlign w:val="superscript"/>
              </w:rPr>
              <w:footnoteReference w:id="5"/>
            </w:r>
          </w:p>
        </w:tc>
      </w:tr>
      <w:tr w:rsidR="00B33432" w:rsidRPr="00103EE0" w14:paraId="52801425" w14:textId="77777777" w:rsidTr="09FED478">
        <w:tc>
          <w:tcPr>
            <w:tcW w:w="2085" w:type="dxa"/>
          </w:tcPr>
          <w:p w14:paraId="06FDDDF6" w14:textId="77777777" w:rsidR="00B33432" w:rsidRPr="00B33432" w:rsidRDefault="00B33432" w:rsidP="00B33432">
            <w:pPr>
              <w:spacing w:after="250" w:line="276" w:lineRule="auto"/>
              <w:rPr>
                <w:rFonts w:ascii="Arial" w:hAnsi="Arial" w:cs="Arial"/>
                <w:color w:val="181818"/>
              </w:rPr>
            </w:pPr>
            <w:r w:rsidRPr="00B33432">
              <w:rPr>
                <w:rFonts w:ascii="Arial" w:hAnsi="Arial" w:cs="Arial"/>
              </w:rPr>
              <w:t xml:space="preserve">1. </w:t>
            </w:r>
            <w:proofErr w:type="spellStart"/>
            <w:r w:rsidRPr="00B33432">
              <w:rPr>
                <w:rFonts w:ascii="Arial" w:hAnsi="Arial" w:cs="Arial"/>
              </w:rPr>
              <w:t>Loans</w:t>
            </w:r>
            <w:proofErr w:type="spellEnd"/>
            <w:r w:rsidRPr="00B33432">
              <w:rPr>
                <w:rFonts w:ascii="Arial" w:hAnsi="Arial" w:cs="Arial"/>
                <w:sz w:val="16"/>
                <w:vertAlign w:val="superscript"/>
              </w:rPr>
              <w:footnoteReference w:id="6"/>
            </w:r>
          </w:p>
        </w:tc>
        <w:tc>
          <w:tcPr>
            <w:tcW w:w="2730" w:type="dxa"/>
          </w:tcPr>
          <w:p w14:paraId="672A6659" w14:textId="096D7D32" w:rsidR="008A6D6F" w:rsidRPr="00943DA5" w:rsidRDefault="00943DA5" w:rsidP="00CC748C">
            <w:pPr>
              <w:spacing w:after="250" w:line="276" w:lineRule="auto"/>
              <w:jc w:val="both"/>
              <w:rPr>
                <w:rFonts w:ascii="Arial" w:hAnsi="Arial" w:cs="Arial"/>
                <w:lang w:val="en-GB"/>
              </w:rPr>
            </w:pPr>
            <w:r w:rsidRPr="00943DA5">
              <w:rPr>
                <w:rFonts w:ascii="Arial" w:hAnsi="Arial" w:cs="Arial"/>
                <w:lang w:val="en-GB"/>
              </w:rPr>
              <w:t>Please see EFAMA’s response</w:t>
            </w:r>
          </w:p>
        </w:tc>
        <w:tc>
          <w:tcPr>
            <w:tcW w:w="2835" w:type="dxa"/>
          </w:tcPr>
          <w:p w14:paraId="0A37501D" w14:textId="01642E4D" w:rsidR="008A6D6F" w:rsidRPr="008D4ED6" w:rsidRDefault="00F73AAE" w:rsidP="00FE5982">
            <w:pPr>
              <w:spacing w:after="250" w:line="276" w:lineRule="auto"/>
              <w:jc w:val="both"/>
              <w:rPr>
                <w:rFonts w:ascii="Arial" w:hAnsi="Arial" w:cs="Arial"/>
                <w:color w:val="181818"/>
                <w:lang w:val="en-GB"/>
              </w:rPr>
            </w:pPr>
            <w:r>
              <w:rPr>
                <w:rFonts w:ascii="Arial" w:hAnsi="Arial" w:cs="Arial"/>
                <w:color w:val="181818"/>
                <w:lang w:val="en-GB"/>
              </w:rPr>
              <w:t>Please see EFAMA’s response</w:t>
            </w:r>
          </w:p>
        </w:tc>
        <w:tc>
          <w:tcPr>
            <w:tcW w:w="2551" w:type="dxa"/>
          </w:tcPr>
          <w:p w14:paraId="2D59C519" w14:textId="507F3DAF" w:rsidR="00B33432" w:rsidRPr="008D4ED6" w:rsidRDefault="009A6D12" w:rsidP="00B33432">
            <w:pPr>
              <w:spacing w:after="250" w:line="276" w:lineRule="auto"/>
              <w:jc w:val="both"/>
              <w:rPr>
                <w:rFonts w:ascii="Arial" w:hAnsi="Arial" w:cs="Arial"/>
                <w:color w:val="181818"/>
                <w:lang w:val="en-GB"/>
              </w:rPr>
            </w:pPr>
            <w:r w:rsidRPr="09FED478">
              <w:rPr>
                <w:rFonts w:ascii="Arial" w:hAnsi="Arial" w:cs="Arial"/>
                <w:color w:val="181818"/>
                <w:lang w:val="en-GB"/>
              </w:rPr>
              <w:t>No direct exposure</w:t>
            </w:r>
            <w:r w:rsidR="00103EE0" w:rsidRPr="09FED478">
              <w:rPr>
                <w:rFonts w:ascii="Arial" w:hAnsi="Arial" w:cs="Arial"/>
                <w:color w:val="181818"/>
                <w:lang w:val="en-GB"/>
              </w:rPr>
              <w:t xml:space="preserve"> is permitted by the UCITS Directive.</w:t>
            </w:r>
          </w:p>
          <w:p w14:paraId="5DAB6C7B" w14:textId="071E2DE9" w:rsidR="009A6D12" w:rsidRPr="008D4ED6" w:rsidRDefault="246DA3EE" w:rsidP="09FED478">
            <w:pPr>
              <w:spacing w:after="250" w:line="276" w:lineRule="auto"/>
              <w:jc w:val="both"/>
              <w:rPr>
                <w:rFonts w:ascii="Arial" w:hAnsi="Arial" w:cs="Arial"/>
                <w:color w:val="181818"/>
                <w:lang w:val="en-GB"/>
              </w:rPr>
            </w:pPr>
            <w:r w:rsidRPr="09FED478">
              <w:rPr>
                <w:rFonts w:ascii="Arial" w:hAnsi="Arial" w:cs="Arial"/>
                <w:color w:val="181818"/>
                <w:lang w:val="en-GB"/>
              </w:rPr>
              <w:t>Exposure to loans through securitisation structures (such as through CLO investments) within allowable parameters</w:t>
            </w:r>
            <w:r w:rsidR="00C47A32">
              <w:rPr>
                <w:rFonts w:ascii="Arial" w:hAnsi="Arial" w:cs="Arial"/>
                <w:color w:val="181818"/>
                <w:lang w:val="en-GB"/>
              </w:rPr>
              <w:t xml:space="preserve"> </w:t>
            </w:r>
            <w:r w:rsidR="00C47A32">
              <w:rPr>
                <w:rFonts w:ascii="Arial" w:hAnsi="Arial" w:cs="Arial"/>
                <w:color w:val="181818"/>
                <w:lang w:val="en-GB"/>
              </w:rPr>
              <w:lastRenderedPageBreak/>
              <w:t>dependent on fund objectives and policies</w:t>
            </w:r>
            <w:r w:rsidRPr="09FED478">
              <w:rPr>
                <w:rFonts w:ascii="Arial" w:hAnsi="Arial" w:cs="Arial"/>
                <w:color w:val="181818"/>
                <w:lang w:val="en-GB"/>
              </w:rPr>
              <w:t>.</w:t>
            </w:r>
          </w:p>
        </w:tc>
        <w:tc>
          <w:tcPr>
            <w:tcW w:w="3686" w:type="dxa"/>
          </w:tcPr>
          <w:p w14:paraId="4E6533F3" w14:textId="4A451D99" w:rsidR="00B33432" w:rsidRPr="00F73AAE" w:rsidRDefault="00695514" w:rsidP="489EF81A">
            <w:pPr>
              <w:spacing w:line="276" w:lineRule="auto"/>
              <w:jc w:val="both"/>
              <w:rPr>
                <w:rFonts w:ascii="Arial" w:eastAsia="Times New Roman" w:hAnsi="Arial" w:cs="Arial"/>
                <w:color w:val="444444"/>
                <w:lang w:val="en-GB"/>
              </w:rPr>
            </w:pPr>
            <w:r w:rsidRPr="00F73AAE">
              <w:rPr>
                <w:rFonts w:ascii="Arial" w:eastAsia="Times New Roman" w:hAnsi="Arial" w:cs="Arial"/>
                <w:color w:val="444444"/>
                <w:lang w:val="en-GB"/>
              </w:rPr>
              <w:lastRenderedPageBreak/>
              <w:t>We would support</w:t>
            </w:r>
            <w:r w:rsidR="37CB5C04" w:rsidRPr="00F73AAE">
              <w:rPr>
                <w:rFonts w:ascii="Arial" w:eastAsia="Times New Roman" w:hAnsi="Arial" w:cs="Arial"/>
                <w:color w:val="444444"/>
                <w:lang w:val="en-GB"/>
              </w:rPr>
              <w:t xml:space="preserve"> the inclusion of loans as eligible assets under the UCITS regime, while allowing the European Commission the flexibility to determine the best approach to achieve this. This stance also aligns with the Loan Market Association's (LMA) long-standing position on the matter. One potential option we may suggest is that the Commission consider creating a new </w:t>
            </w:r>
            <w:r w:rsidR="37CB5C04" w:rsidRPr="00F73AAE">
              <w:rPr>
                <w:rFonts w:ascii="Arial" w:eastAsia="Times New Roman" w:hAnsi="Arial" w:cs="Arial"/>
                <w:color w:val="444444"/>
                <w:lang w:val="en-GB"/>
              </w:rPr>
              <w:lastRenderedPageBreak/>
              <w:t>category specifically for loans, rather than attempting to fit them into the existing categories of eligible assets.</w:t>
            </w:r>
          </w:p>
          <w:p w14:paraId="02EB378F" w14:textId="29264645" w:rsidR="00B33432" w:rsidRPr="00F73AAE" w:rsidRDefault="00B33432" w:rsidP="00AA0F10">
            <w:pPr>
              <w:spacing w:after="250" w:line="276" w:lineRule="auto"/>
              <w:jc w:val="both"/>
              <w:rPr>
                <w:rFonts w:ascii="Arial" w:eastAsia="Times New Roman" w:hAnsi="Arial" w:cs="Arial"/>
                <w:color w:val="444444"/>
                <w:lang w:val="en-GB"/>
              </w:rPr>
            </w:pPr>
          </w:p>
        </w:tc>
      </w:tr>
      <w:tr w:rsidR="00B33432" w:rsidRPr="00B33432" w14:paraId="131FC414" w14:textId="77777777" w:rsidTr="09FED478">
        <w:tc>
          <w:tcPr>
            <w:tcW w:w="2085" w:type="dxa"/>
          </w:tcPr>
          <w:p w14:paraId="55346258" w14:textId="77777777" w:rsidR="00B33432" w:rsidRPr="00B33432" w:rsidRDefault="00B33432" w:rsidP="00B33432">
            <w:pPr>
              <w:spacing w:after="250" w:line="276" w:lineRule="auto"/>
              <w:rPr>
                <w:rFonts w:ascii="Arial" w:hAnsi="Arial" w:cs="Arial"/>
              </w:rPr>
            </w:pPr>
            <w:r w:rsidRPr="00B33432">
              <w:rPr>
                <w:rFonts w:ascii="Arial" w:hAnsi="Arial" w:cs="Arial"/>
              </w:rPr>
              <w:lastRenderedPageBreak/>
              <w:t xml:space="preserve">2. </w:t>
            </w:r>
            <w:proofErr w:type="spellStart"/>
            <w:r w:rsidRPr="00B33432">
              <w:rPr>
                <w:rFonts w:ascii="Arial" w:hAnsi="Arial" w:cs="Arial"/>
              </w:rPr>
              <w:t>Catastrophe</w:t>
            </w:r>
            <w:proofErr w:type="spellEnd"/>
            <w:r w:rsidRPr="00B33432">
              <w:rPr>
                <w:rFonts w:ascii="Arial" w:hAnsi="Arial" w:cs="Arial"/>
              </w:rPr>
              <w:t xml:space="preserve"> </w:t>
            </w:r>
            <w:proofErr w:type="spellStart"/>
            <w:r w:rsidRPr="00B33432">
              <w:rPr>
                <w:rFonts w:ascii="Arial" w:hAnsi="Arial" w:cs="Arial"/>
              </w:rPr>
              <w:t>bonds</w:t>
            </w:r>
            <w:proofErr w:type="spellEnd"/>
            <w:r w:rsidRPr="00B33432">
              <w:rPr>
                <w:rFonts w:ascii="Arial" w:hAnsi="Arial" w:cs="Arial"/>
              </w:rPr>
              <w:t xml:space="preserve"> (‘Cat </w:t>
            </w:r>
            <w:proofErr w:type="spellStart"/>
            <w:r w:rsidRPr="00B33432">
              <w:rPr>
                <w:rFonts w:ascii="Arial" w:hAnsi="Arial" w:cs="Arial"/>
              </w:rPr>
              <w:t>bonds</w:t>
            </w:r>
            <w:proofErr w:type="spellEnd"/>
            <w:r w:rsidRPr="00B33432">
              <w:rPr>
                <w:rFonts w:ascii="Arial" w:hAnsi="Arial" w:cs="Arial"/>
              </w:rPr>
              <w:t>’)</w:t>
            </w:r>
          </w:p>
        </w:tc>
        <w:tc>
          <w:tcPr>
            <w:tcW w:w="2730" w:type="dxa"/>
          </w:tcPr>
          <w:p w14:paraId="38A4529A" w14:textId="4EBB9470" w:rsidR="002C5DA4" w:rsidRPr="002C5DA4" w:rsidRDefault="002C5DA4" w:rsidP="204DEE5A">
            <w:pPr>
              <w:shd w:val="clear" w:color="auto" w:fill="FFFFFF" w:themeFill="background1"/>
              <w:rPr>
                <w:rFonts w:ascii="Arial" w:hAnsi="Arial" w:cs="Arial"/>
                <w:lang w:val="en-GB"/>
              </w:rPr>
            </w:pPr>
            <w:r w:rsidRPr="204DEE5A">
              <w:rPr>
                <w:rFonts w:ascii="Arial" w:hAnsi="Arial" w:cs="Arial"/>
                <w:lang w:val="en-GB"/>
              </w:rPr>
              <w:t xml:space="preserve"> </w:t>
            </w:r>
            <w:r w:rsidR="006F425A" w:rsidRPr="204DEE5A">
              <w:rPr>
                <w:rFonts w:ascii="Arial" w:hAnsi="Arial" w:cs="Arial"/>
                <w:lang w:val="en-GB"/>
              </w:rPr>
              <w:t xml:space="preserve">(1) </w:t>
            </w:r>
            <w:r w:rsidR="002A0612">
              <w:rPr>
                <w:rFonts w:ascii="Arial" w:hAnsi="Arial" w:cs="Arial"/>
                <w:lang w:val="en-GB"/>
              </w:rPr>
              <w:t>V</w:t>
            </w:r>
            <w:r w:rsidR="002A0DDC" w:rsidRPr="204DEE5A">
              <w:rPr>
                <w:rFonts w:ascii="Arial" w:hAnsi="Arial" w:cs="Arial"/>
                <w:lang w:val="en-GB"/>
              </w:rPr>
              <w:t>ery l</w:t>
            </w:r>
            <w:r w:rsidRPr="204DEE5A">
              <w:rPr>
                <w:rFonts w:ascii="Arial" w:hAnsi="Arial" w:cs="Arial"/>
                <w:lang w:val="en-GB"/>
              </w:rPr>
              <w:t>ow correlation of cat bonds to all major financial assets</w:t>
            </w:r>
          </w:p>
          <w:p w14:paraId="31B7C66D" w14:textId="067A8158" w:rsidR="204DEE5A" w:rsidRDefault="204DEE5A" w:rsidP="204DEE5A">
            <w:pPr>
              <w:shd w:val="clear" w:color="auto" w:fill="FFFFFF" w:themeFill="background1"/>
              <w:rPr>
                <w:rFonts w:ascii="Arial" w:hAnsi="Arial" w:cs="Arial"/>
                <w:lang w:val="en-GB"/>
              </w:rPr>
            </w:pPr>
          </w:p>
          <w:p w14:paraId="1301B2FE" w14:textId="1379665B" w:rsidR="002C5DA4" w:rsidRPr="002C5DA4" w:rsidRDefault="00C76FC1" w:rsidP="204DEE5A">
            <w:pPr>
              <w:shd w:val="clear" w:color="auto" w:fill="FFFFFF" w:themeFill="background1"/>
              <w:rPr>
                <w:rFonts w:ascii="Arial" w:hAnsi="Arial" w:cs="Arial"/>
                <w:lang w:val="en-GB"/>
              </w:rPr>
            </w:pPr>
            <w:r w:rsidRPr="204DEE5A">
              <w:rPr>
                <w:rFonts w:ascii="Arial" w:hAnsi="Arial" w:cs="Arial"/>
                <w:lang w:val="en-GB"/>
              </w:rPr>
              <w:t xml:space="preserve">(2) </w:t>
            </w:r>
            <w:r w:rsidR="002A0612">
              <w:rPr>
                <w:rFonts w:ascii="Arial" w:hAnsi="Arial" w:cs="Arial"/>
                <w:lang w:val="en-GB"/>
              </w:rPr>
              <w:t>L</w:t>
            </w:r>
            <w:r w:rsidR="002C5DA4" w:rsidRPr="204DEE5A">
              <w:rPr>
                <w:rFonts w:ascii="Arial" w:hAnsi="Arial" w:cs="Arial"/>
                <w:lang w:val="en-GB"/>
              </w:rPr>
              <w:t>ow volatility of cat bond returns vs financial assets - Overall risk reduction in diversified investment portfolio</w:t>
            </w:r>
          </w:p>
          <w:p w14:paraId="4B0984B3" w14:textId="70A6BF34" w:rsidR="204DEE5A" w:rsidRDefault="204DEE5A" w:rsidP="204DEE5A">
            <w:pPr>
              <w:shd w:val="clear" w:color="auto" w:fill="FFFFFF" w:themeFill="background1"/>
              <w:rPr>
                <w:rFonts w:ascii="Arial" w:hAnsi="Arial" w:cs="Arial"/>
                <w:lang w:val="en-GB"/>
              </w:rPr>
            </w:pPr>
          </w:p>
          <w:p w14:paraId="433C73F8" w14:textId="64DB81FC" w:rsidR="002C5DA4" w:rsidRPr="002C5DA4" w:rsidRDefault="00C76FC1" w:rsidP="204DEE5A">
            <w:pPr>
              <w:shd w:val="clear" w:color="auto" w:fill="FFFFFF" w:themeFill="background1"/>
              <w:rPr>
                <w:rFonts w:ascii="Arial" w:hAnsi="Arial" w:cs="Arial"/>
                <w:lang w:val="en-GB"/>
              </w:rPr>
            </w:pPr>
            <w:r w:rsidRPr="204DEE5A">
              <w:rPr>
                <w:rFonts w:ascii="Arial" w:hAnsi="Arial" w:cs="Arial"/>
                <w:lang w:val="en-GB"/>
              </w:rPr>
              <w:t xml:space="preserve">(3) </w:t>
            </w:r>
            <w:r w:rsidR="002A0612">
              <w:rPr>
                <w:rFonts w:ascii="Arial" w:hAnsi="Arial" w:cs="Arial"/>
                <w:lang w:val="en-GB"/>
              </w:rPr>
              <w:t>P</w:t>
            </w:r>
            <w:r w:rsidRPr="204DEE5A">
              <w:rPr>
                <w:rFonts w:ascii="Arial" w:hAnsi="Arial" w:cs="Arial"/>
                <w:lang w:val="en-GB"/>
              </w:rPr>
              <w:t>ositive absolute expected</w:t>
            </w:r>
            <w:r w:rsidRPr="00273DED">
              <w:rPr>
                <w:rFonts w:ascii="Arial" w:hAnsi="Arial" w:cs="Arial"/>
                <w:lang w:val="en-GB"/>
              </w:rPr>
              <w:t xml:space="preserve"> return</w:t>
            </w:r>
            <w:r w:rsidR="002C5DA4" w:rsidRPr="204DEE5A">
              <w:rPr>
                <w:rFonts w:ascii="Arial" w:hAnsi="Arial" w:cs="Arial"/>
                <w:lang w:val="en-GB"/>
              </w:rPr>
              <w:t>, even in low or negative interest rate environments</w:t>
            </w:r>
          </w:p>
          <w:p w14:paraId="19BCDFEC" w14:textId="65E72EF9" w:rsidR="204DEE5A" w:rsidRDefault="204DEE5A" w:rsidP="204DEE5A">
            <w:pPr>
              <w:shd w:val="clear" w:color="auto" w:fill="FFFFFF" w:themeFill="background1"/>
              <w:rPr>
                <w:rFonts w:ascii="Arial" w:hAnsi="Arial" w:cs="Arial"/>
                <w:lang w:val="en-GB"/>
              </w:rPr>
            </w:pPr>
          </w:p>
          <w:p w14:paraId="0139C5B1" w14:textId="02867E69" w:rsidR="002C5DA4" w:rsidRDefault="00C76FC1" w:rsidP="204DEE5A">
            <w:pPr>
              <w:shd w:val="clear" w:color="auto" w:fill="FFFFFF" w:themeFill="background1"/>
              <w:rPr>
                <w:rFonts w:ascii="Arial" w:hAnsi="Arial" w:cs="Arial"/>
                <w:lang w:val="en-GB"/>
              </w:rPr>
            </w:pPr>
            <w:r w:rsidRPr="204DEE5A">
              <w:rPr>
                <w:rFonts w:ascii="Arial" w:hAnsi="Arial" w:cs="Arial"/>
                <w:lang w:val="en-GB"/>
              </w:rPr>
              <w:t xml:space="preserve">(4) </w:t>
            </w:r>
            <w:r w:rsidR="002A0612">
              <w:rPr>
                <w:rFonts w:ascii="Arial" w:hAnsi="Arial" w:cs="Arial"/>
                <w:lang w:val="en-GB"/>
              </w:rPr>
              <w:t>F</w:t>
            </w:r>
            <w:r w:rsidR="002C5DA4" w:rsidRPr="204DEE5A">
              <w:rPr>
                <w:rFonts w:ascii="Arial" w:hAnsi="Arial" w:cs="Arial"/>
                <w:lang w:val="en-GB"/>
              </w:rPr>
              <w:t xml:space="preserve">ixed (risk premium) and floating (compensation for collateralization) rate cat bond structure; includes prevailing money market rates in overall returns and reduces exposure to </w:t>
            </w:r>
            <w:proofErr w:type="spellStart"/>
            <w:r w:rsidR="002C5DA4" w:rsidRPr="204DEE5A">
              <w:rPr>
                <w:rFonts w:ascii="Arial" w:hAnsi="Arial" w:cs="Arial"/>
                <w:lang w:val="en-GB"/>
              </w:rPr>
              <w:t>MtM</w:t>
            </w:r>
            <w:proofErr w:type="spellEnd"/>
            <w:r w:rsidR="002C5DA4" w:rsidRPr="204DEE5A">
              <w:rPr>
                <w:rFonts w:ascii="Arial" w:hAnsi="Arial" w:cs="Arial"/>
                <w:lang w:val="en-GB"/>
              </w:rPr>
              <w:t xml:space="preserve"> adjustments when interest rates rise</w:t>
            </w:r>
          </w:p>
          <w:p w14:paraId="4E2423A2" w14:textId="77777777" w:rsidR="00B17384" w:rsidRPr="002C5DA4" w:rsidRDefault="00B17384" w:rsidP="002C5DA4">
            <w:pPr>
              <w:shd w:val="clear" w:color="auto" w:fill="FFFFFF"/>
              <w:rPr>
                <w:rFonts w:ascii="Arial" w:hAnsi="Arial" w:cs="Arial"/>
                <w:lang w:val="en-GB"/>
              </w:rPr>
            </w:pPr>
          </w:p>
          <w:p w14:paraId="2061CD8D" w14:textId="2988A0A9" w:rsidR="002C5DA4" w:rsidRDefault="001C7D7F" w:rsidP="204DEE5A">
            <w:pPr>
              <w:shd w:val="clear" w:color="auto" w:fill="FFFFFF" w:themeFill="background1"/>
              <w:rPr>
                <w:rFonts w:ascii="Arial" w:hAnsi="Arial" w:cs="Arial"/>
                <w:lang w:val="en-GB"/>
              </w:rPr>
            </w:pPr>
            <w:r w:rsidRPr="204DEE5A">
              <w:rPr>
                <w:rFonts w:ascii="Arial" w:hAnsi="Arial" w:cs="Arial"/>
                <w:lang w:val="en-GB"/>
              </w:rPr>
              <w:t xml:space="preserve">(5) </w:t>
            </w:r>
            <w:r w:rsidR="00EE7999">
              <w:rPr>
                <w:rFonts w:ascii="Arial" w:hAnsi="Arial" w:cs="Arial"/>
                <w:lang w:val="en-GB"/>
              </w:rPr>
              <w:t>L</w:t>
            </w:r>
            <w:r w:rsidR="002C5DA4" w:rsidRPr="204DEE5A">
              <w:rPr>
                <w:rFonts w:ascii="Arial" w:hAnsi="Arial" w:cs="Arial"/>
                <w:lang w:val="en-GB"/>
              </w:rPr>
              <w:t>ow duration</w:t>
            </w:r>
          </w:p>
          <w:p w14:paraId="1F0D9950" w14:textId="77777777" w:rsidR="00B17384" w:rsidRPr="002C5DA4" w:rsidRDefault="00B17384" w:rsidP="002C5DA4">
            <w:pPr>
              <w:shd w:val="clear" w:color="auto" w:fill="FFFFFF"/>
              <w:rPr>
                <w:rFonts w:ascii="Arial" w:hAnsi="Arial" w:cs="Arial"/>
                <w:lang w:val="en-GB"/>
              </w:rPr>
            </w:pPr>
          </w:p>
          <w:p w14:paraId="6317612E" w14:textId="70124AA3" w:rsidR="002C5DA4" w:rsidRDefault="001C7D7F" w:rsidP="002C5DA4">
            <w:pPr>
              <w:shd w:val="clear" w:color="auto" w:fill="FFFFFF"/>
              <w:rPr>
                <w:rFonts w:ascii="Arial" w:hAnsi="Arial" w:cs="Arial"/>
                <w:lang w:val="en-GB"/>
              </w:rPr>
            </w:pPr>
            <w:r w:rsidRPr="00EE098A">
              <w:rPr>
                <w:rFonts w:ascii="Arial" w:hAnsi="Arial" w:cs="Arial"/>
                <w:lang w:val="en-GB"/>
              </w:rPr>
              <w:t xml:space="preserve">(6) </w:t>
            </w:r>
            <w:r w:rsidR="00EE7999">
              <w:rPr>
                <w:rFonts w:ascii="Arial" w:hAnsi="Arial" w:cs="Arial"/>
                <w:lang w:val="en-GB"/>
              </w:rPr>
              <w:t xml:space="preserve">The </w:t>
            </w:r>
            <w:r w:rsidR="00041B6C">
              <w:rPr>
                <w:rFonts w:ascii="Arial" w:hAnsi="Arial" w:cs="Arial"/>
                <w:lang w:val="en-GB"/>
              </w:rPr>
              <w:t>i</w:t>
            </w:r>
            <w:r w:rsidR="002C5DA4" w:rsidRPr="002C5DA4">
              <w:rPr>
                <w:rFonts w:ascii="Arial" w:hAnsi="Arial" w:cs="Arial"/>
                <w:lang w:val="en-GB"/>
              </w:rPr>
              <w:t xml:space="preserve">mportant role of cat bonds in addressing </w:t>
            </w:r>
            <w:r w:rsidR="002C5DA4" w:rsidRPr="002C5DA4">
              <w:rPr>
                <w:rFonts w:ascii="Arial" w:hAnsi="Arial" w:cs="Arial"/>
                <w:lang w:val="en-GB"/>
              </w:rPr>
              <w:lastRenderedPageBreak/>
              <w:t>exposure growth, demographic trends and environmental and climate changes</w:t>
            </w:r>
            <w:r w:rsidR="00EE098A" w:rsidRPr="00EE098A">
              <w:rPr>
                <w:rFonts w:ascii="Arial" w:hAnsi="Arial" w:cs="Arial"/>
                <w:lang w:val="en-GB"/>
              </w:rPr>
              <w:t xml:space="preserve"> (e.g. flood risks)</w:t>
            </w:r>
          </w:p>
          <w:p w14:paraId="2EA0FA2D" w14:textId="77777777" w:rsidR="006F550D" w:rsidRDefault="006F550D" w:rsidP="002C5DA4">
            <w:pPr>
              <w:shd w:val="clear" w:color="auto" w:fill="FFFFFF"/>
              <w:rPr>
                <w:rFonts w:ascii="Arial" w:hAnsi="Arial" w:cs="Arial"/>
                <w:lang w:val="en-GB"/>
              </w:rPr>
            </w:pPr>
          </w:p>
          <w:p w14:paraId="5311F81F" w14:textId="73B07C08" w:rsidR="006F550D" w:rsidRPr="002C5DA4" w:rsidRDefault="006F550D" w:rsidP="2AF5E461">
            <w:pPr>
              <w:shd w:val="clear" w:color="auto" w:fill="FFFFFF" w:themeFill="background1"/>
              <w:rPr>
                <w:rFonts w:ascii="Arial" w:hAnsi="Arial" w:cs="Arial"/>
                <w:lang w:val="en-GB"/>
              </w:rPr>
            </w:pPr>
            <w:r w:rsidRPr="204DEE5A">
              <w:rPr>
                <w:rFonts w:ascii="Arial" w:hAnsi="Arial" w:cs="Arial"/>
                <w:lang w:val="en-GB"/>
              </w:rPr>
              <w:t xml:space="preserve">(7) </w:t>
            </w:r>
            <w:r w:rsidR="006F7ED0">
              <w:rPr>
                <w:rFonts w:ascii="Arial" w:hAnsi="Arial" w:cs="Arial"/>
                <w:lang w:val="en-GB"/>
              </w:rPr>
              <w:t xml:space="preserve">A </w:t>
            </w:r>
            <w:r w:rsidR="2034A455" w:rsidRPr="204DEE5A">
              <w:rPr>
                <w:rFonts w:ascii="Arial" w:hAnsi="Arial" w:cs="Arial"/>
                <w:lang w:val="en-GB"/>
              </w:rPr>
              <w:t>source of fully funded risk transfer capacity for the (re)insurance industry and governments</w:t>
            </w:r>
            <w:r w:rsidR="2249B80E" w:rsidRPr="204DEE5A">
              <w:rPr>
                <w:rFonts w:ascii="Arial" w:hAnsi="Arial" w:cs="Arial"/>
                <w:lang w:val="en-GB"/>
              </w:rPr>
              <w:t xml:space="preserve"> to support resilience against catastrophes</w:t>
            </w:r>
          </w:p>
          <w:p w14:paraId="55F44E44" w14:textId="12E20333" w:rsidR="204DEE5A" w:rsidRDefault="204DEE5A" w:rsidP="204DEE5A">
            <w:pPr>
              <w:shd w:val="clear" w:color="auto" w:fill="FFFFFF" w:themeFill="background1"/>
              <w:rPr>
                <w:rFonts w:ascii="Arial" w:hAnsi="Arial" w:cs="Arial"/>
                <w:lang w:val="en-GB"/>
              </w:rPr>
            </w:pPr>
          </w:p>
          <w:p w14:paraId="6C524190" w14:textId="307000EB" w:rsidR="2034A455" w:rsidRDefault="2034A455" w:rsidP="204DEE5A">
            <w:pPr>
              <w:shd w:val="clear" w:color="auto" w:fill="FFFFFF" w:themeFill="background1"/>
              <w:rPr>
                <w:rFonts w:ascii="Arial" w:hAnsi="Arial" w:cs="Arial"/>
                <w:lang w:val="en-GB"/>
              </w:rPr>
            </w:pPr>
            <w:r w:rsidRPr="204DEE5A">
              <w:rPr>
                <w:rFonts w:ascii="Arial" w:hAnsi="Arial" w:cs="Arial"/>
                <w:lang w:val="en-GB"/>
              </w:rPr>
              <w:t xml:space="preserve">(8) </w:t>
            </w:r>
            <w:r w:rsidR="006F7ED0">
              <w:rPr>
                <w:rFonts w:ascii="Arial" w:hAnsi="Arial" w:cs="Arial"/>
                <w:lang w:val="en-GB"/>
              </w:rPr>
              <w:t>C</w:t>
            </w:r>
            <w:r w:rsidR="44D49742" w:rsidRPr="204DEE5A">
              <w:rPr>
                <w:rFonts w:ascii="Arial" w:hAnsi="Arial" w:cs="Arial"/>
                <w:lang w:val="en-GB"/>
              </w:rPr>
              <w:t xml:space="preserve">at bonds comprise robust structures that have been refined over </w:t>
            </w:r>
            <w:r w:rsidR="7EAD5C13" w:rsidRPr="204DEE5A">
              <w:rPr>
                <w:rFonts w:ascii="Arial" w:hAnsi="Arial" w:cs="Arial"/>
                <w:lang w:val="en-GB"/>
              </w:rPr>
              <w:t xml:space="preserve">almost 30 years and operate within a clearly understood clearing and custodial operating </w:t>
            </w:r>
            <w:r w:rsidR="2C08F76F" w:rsidRPr="204DEE5A">
              <w:rPr>
                <w:rFonts w:ascii="Arial" w:hAnsi="Arial" w:cs="Arial"/>
                <w:lang w:val="en-GB"/>
              </w:rPr>
              <w:t>environment</w:t>
            </w:r>
          </w:p>
          <w:p w14:paraId="625C7734" w14:textId="3C7A5A1E" w:rsidR="204DEE5A" w:rsidRDefault="204DEE5A" w:rsidP="204DEE5A">
            <w:pPr>
              <w:shd w:val="clear" w:color="auto" w:fill="FFFFFF" w:themeFill="background1"/>
              <w:rPr>
                <w:rFonts w:ascii="Arial" w:hAnsi="Arial" w:cs="Arial"/>
                <w:lang w:val="en-GB"/>
              </w:rPr>
            </w:pPr>
          </w:p>
          <w:p w14:paraId="5CA43200" w14:textId="51FEE475" w:rsidR="7EAD5C13" w:rsidRDefault="7EAD5C13" w:rsidP="204DEE5A">
            <w:pPr>
              <w:shd w:val="clear" w:color="auto" w:fill="FFFFFF" w:themeFill="background1"/>
              <w:rPr>
                <w:rFonts w:ascii="Arial" w:hAnsi="Arial" w:cs="Arial"/>
                <w:lang w:val="en-GB"/>
              </w:rPr>
            </w:pPr>
            <w:r w:rsidRPr="204DEE5A">
              <w:rPr>
                <w:rFonts w:ascii="Arial" w:hAnsi="Arial" w:cs="Arial"/>
                <w:lang w:val="en-GB"/>
              </w:rPr>
              <w:t xml:space="preserve">(9) </w:t>
            </w:r>
            <w:r w:rsidR="006F7ED0">
              <w:rPr>
                <w:rFonts w:ascii="Arial" w:hAnsi="Arial" w:cs="Arial"/>
                <w:lang w:val="en-GB"/>
              </w:rPr>
              <w:t>S</w:t>
            </w:r>
            <w:r w:rsidRPr="204DEE5A">
              <w:rPr>
                <w:rFonts w:ascii="Arial" w:hAnsi="Arial" w:cs="Arial"/>
                <w:lang w:val="en-GB"/>
              </w:rPr>
              <w:t>ponsors themselves are typically highly regulated and supervised</w:t>
            </w:r>
          </w:p>
          <w:p w14:paraId="1D88B069" w14:textId="5D93EC91" w:rsidR="204DEE5A" w:rsidRDefault="204DEE5A" w:rsidP="204DEE5A">
            <w:pPr>
              <w:shd w:val="clear" w:color="auto" w:fill="FFFFFF" w:themeFill="background1"/>
              <w:rPr>
                <w:rFonts w:ascii="Arial" w:hAnsi="Arial" w:cs="Arial"/>
                <w:lang w:val="en-GB"/>
              </w:rPr>
            </w:pPr>
          </w:p>
          <w:p w14:paraId="0D58D959" w14:textId="004992D8" w:rsidR="7EAD5C13" w:rsidRDefault="7EAD5C13" w:rsidP="204DEE5A">
            <w:pPr>
              <w:shd w:val="clear" w:color="auto" w:fill="FFFFFF" w:themeFill="background1"/>
              <w:rPr>
                <w:rFonts w:ascii="Arial" w:hAnsi="Arial" w:cs="Arial"/>
                <w:lang w:val="en-GB"/>
              </w:rPr>
            </w:pPr>
            <w:r w:rsidRPr="204DEE5A">
              <w:rPr>
                <w:rFonts w:ascii="Arial" w:hAnsi="Arial" w:cs="Arial"/>
                <w:lang w:val="en-GB"/>
              </w:rPr>
              <w:t xml:space="preserve">(10) </w:t>
            </w:r>
            <w:r w:rsidR="00467E5D">
              <w:rPr>
                <w:rFonts w:ascii="Arial" w:hAnsi="Arial" w:cs="Arial"/>
                <w:lang w:val="en-GB"/>
              </w:rPr>
              <w:t>D</w:t>
            </w:r>
            <w:r w:rsidR="00401701">
              <w:rPr>
                <w:rFonts w:ascii="Arial" w:hAnsi="Arial" w:cs="Arial"/>
                <w:lang w:val="en-GB"/>
              </w:rPr>
              <w:t xml:space="preserve">ue </w:t>
            </w:r>
            <w:r w:rsidR="37F674D1" w:rsidRPr="204DEE5A">
              <w:rPr>
                <w:rFonts w:ascii="Arial" w:hAnsi="Arial" w:cs="Arial"/>
                <w:lang w:val="en-GB"/>
              </w:rPr>
              <w:t>to their strong ESG characteristics, cat bonds can be held in funds that achieve high (8 or 9) SFDR accreditations</w:t>
            </w:r>
          </w:p>
          <w:p w14:paraId="5C143AAA" w14:textId="147ADE57" w:rsidR="204DEE5A" w:rsidRDefault="204DEE5A" w:rsidP="204DEE5A">
            <w:pPr>
              <w:shd w:val="clear" w:color="auto" w:fill="FFFFFF" w:themeFill="background1"/>
              <w:rPr>
                <w:rFonts w:ascii="Arial" w:hAnsi="Arial" w:cs="Arial"/>
                <w:lang w:val="en-GB"/>
              </w:rPr>
            </w:pPr>
          </w:p>
          <w:p w14:paraId="5F9EFB30" w14:textId="5DBE1848" w:rsidR="37F674D1" w:rsidRDefault="37F674D1" w:rsidP="204DEE5A">
            <w:pPr>
              <w:shd w:val="clear" w:color="auto" w:fill="FFFFFF" w:themeFill="background1"/>
              <w:rPr>
                <w:rFonts w:ascii="Arial" w:hAnsi="Arial" w:cs="Arial"/>
                <w:lang w:val="en-GB"/>
              </w:rPr>
            </w:pPr>
            <w:r w:rsidRPr="204DEE5A">
              <w:rPr>
                <w:rFonts w:ascii="Arial" w:hAnsi="Arial" w:cs="Arial"/>
                <w:lang w:val="en-GB"/>
              </w:rPr>
              <w:t xml:space="preserve">(11) </w:t>
            </w:r>
            <w:r w:rsidR="00166D87">
              <w:rPr>
                <w:rFonts w:ascii="Arial" w:hAnsi="Arial" w:cs="Arial"/>
                <w:lang w:val="en-GB"/>
              </w:rPr>
              <w:t>D</w:t>
            </w:r>
            <w:r w:rsidR="427A6B7A" w:rsidRPr="204DEE5A">
              <w:rPr>
                <w:rFonts w:ascii="Arial" w:hAnsi="Arial" w:cs="Arial"/>
                <w:lang w:val="en-GB"/>
              </w:rPr>
              <w:t xml:space="preserve">iversification is available within the </w:t>
            </w:r>
            <w:r w:rsidR="00166D87">
              <w:rPr>
                <w:rFonts w:ascii="Arial" w:hAnsi="Arial" w:cs="Arial"/>
                <w:lang w:val="en-GB"/>
              </w:rPr>
              <w:t xml:space="preserve">Insurance </w:t>
            </w:r>
            <w:r w:rsidR="427A6B7A" w:rsidRPr="204DEE5A">
              <w:rPr>
                <w:rFonts w:ascii="Arial" w:hAnsi="Arial" w:cs="Arial"/>
                <w:lang w:val="en-GB"/>
              </w:rPr>
              <w:t>L</w:t>
            </w:r>
            <w:r w:rsidR="00166D87">
              <w:rPr>
                <w:rFonts w:ascii="Arial" w:hAnsi="Arial" w:cs="Arial"/>
                <w:lang w:val="en-GB"/>
              </w:rPr>
              <w:t xml:space="preserve">inked </w:t>
            </w:r>
            <w:r w:rsidR="427A6B7A" w:rsidRPr="204DEE5A">
              <w:rPr>
                <w:rFonts w:ascii="Arial" w:hAnsi="Arial" w:cs="Arial"/>
                <w:lang w:val="en-GB"/>
              </w:rPr>
              <w:t>S</w:t>
            </w:r>
            <w:r w:rsidR="00166D87">
              <w:rPr>
                <w:rFonts w:ascii="Arial" w:hAnsi="Arial" w:cs="Arial"/>
                <w:lang w:val="en-GB"/>
              </w:rPr>
              <w:t>ecurities</w:t>
            </w:r>
            <w:r w:rsidR="427A6B7A" w:rsidRPr="204DEE5A">
              <w:rPr>
                <w:rFonts w:ascii="Arial" w:hAnsi="Arial" w:cs="Arial"/>
                <w:lang w:val="en-GB"/>
              </w:rPr>
              <w:t xml:space="preserve"> </w:t>
            </w:r>
            <w:r w:rsidR="427A6B7A" w:rsidRPr="204DEE5A">
              <w:rPr>
                <w:rFonts w:ascii="Arial" w:hAnsi="Arial" w:cs="Arial"/>
                <w:lang w:val="en-GB"/>
              </w:rPr>
              <w:lastRenderedPageBreak/>
              <w:t>market itself to suit UCITS requirements</w:t>
            </w:r>
          </w:p>
          <w:p w14:paraId="5F45BF23" w14:textId="255913F0" w:rsidR="204DEE5A" w:rsidRDefault="204DEE5A" w:rsidP="204DEE5A">
            <w:pPr>
              <w:shd w:val="clear" w:color="auto" w:fill="FFFFFF" w:themeFill="background1"/>
              <w:rPr>
                <w:rFonts w:ascii="Arial" w:hAnsi="Arial" w:cs="Arial"/>
                <w:lang w:val="en-GB"/>
              </w:rPr>
            </w:pPr>
          </w:p>
          <w:p w14:paraId="15547449" w14:textId="0A08B98F" w:rsidR="427A6B7A" w:rsidRDefault="427A6B7A" w:rsidP="204DEE5A">
            <w:pPr>
              <w:shd w:val="clear" w:color="auto" w:fill="FFFFFF" w:themeFill="background1"/>
              <w:rPr>
                <w:rFonts w:ascii="Arial" w:hAnsi="Arial" w:cs="Arial"/>
                <w:lang w:val="en-GB"/>
              </w:rPr>
            </w:pPr>
            <w:r w:rsidRPr="204DEE5A">
              <w:rPr>
                <w:rFonts w:ascii="Arial" w:hAnsi="Arial" w:cs="Arial"/>
                <w:lang w:val="en-GB"/>
              </w:rPr>
              <w:t xml:space="preserve">(12) </w:t>
            </w:r>
            <w:r w:rsidR="002A747A">
              <w:rPr>
                <w:rFonts w:ascii="Arial" w:hAnsi="Arial" w:cs="Arial"/>
                <w:lang w:val="en-GB"/>
              </w:rPr>
              <w:t xml:space="preserve">The </w:t>
            </w:r>
            <w:r w:rsidRPr="204DEE5A">
              <w:rPr>
                <w:rFonts w:ascii="Arial" w:hAnsi="Arial" w:cs="Arial"/>
                <w:lang w:val="en-GB"/>
              </w:rPr>
              <w:t>availability of third-party models</w:t>
            </w:r>
          </w:p>
          <w:p w14:paraId="6A05A809" w14:textId="77777777" w:rsidR="00B33432" w:rsidRPr="00EE098A" w:rsidRDefault="00B33432" w:rsidP="00B33432">
            <w:pPr>
              <w:spacing w:after="250" w:line="276" w:lineRule="auto"/>
              <w:jc w:val="both"/>
              <w:rPr>
                <w:rFonts w:ascii="Arial" w:hAnsi="Arial" w:cs="Arial"/>
                <w:lang w:val="en-GB"/>
              </w:rPr>
            </w:pPr>
          </w:p>
        </w:tc>
        <w:tc>
          <w:tcPr>
            <w:tcW w:w="2835" w:type="dxa"/>
          </w:tcPr>
          <w:p w14:paraId="4FB4A593" w14:textId="444E57A7" w:rsidR="005769B1" w:rsidRDefault="0072717C" w:rsidP="00B33432">
            <w:pPr>
              <w:spacing w:after="250" w:line="276" w:lineRule="auto"/>
              <w:jc w:val="both"/>
              <w:rPr>
                <w:rFonts w:ascii="Arial" w:hAnsi="Arial" w:cs="Arial"/>
                <w:color w:val="181818"/>
                <w:lang w:val="en-GB"/>
              </w:rPr>
            </w:pPr>
            <w:r>
              <w:rPr>
                <w:rFonts w:ascii="Arial" w:hAnsi="Arial" w:cs="Arial"/>
                <w:color w:val="181818"/>
                <w:lang w:val="en-GB"/>
              </w:rPr>
              <w:lastRenderedPageBreak/>
              <w:t xml:space="preserve">Cat </w:t>
            </w:r>
            <w:r w:rsidR="00A04E6C">
              <w:rPr>
                <w:rFonts w:ascii="Arial" w:hAnsi="Arial" w:cs="Arial"/>
                <w:color w:val="181818"/>
                <w:lang w:val="en-GB"/>
              </w:rPr>
              <w:t>b</w:t>
            </w:r>
            <w:r>
              <w:rPr>
                <w:rFonts w:ascii="Arial" w:hAnsi="Arial" w:cs="Arial"/>
                <w:color w:val="181818"/>
                <w:lang w:val="en-GB"/>
              </w:rPr>
              <w:t>ond funds could</w:t>
            </w:r>
            <w:r w:rsidR="00964315">
              <w:rPr>
                <w:rFonts w:ascii="Arial" w:hAnsi="Arial" w:cs="Arial"/>
                <w:color w:val="181818"/>
                <w:lang w:val="en-GB"/>
              </w:rPr>
              <w:t xml:space="preserve"> provide additional risk reduction in other fund of fund structures</w:t>
            </w:r>
            <w:r w:rsidR="005769B1">
              <w:rPr>
                <w:rFonts w:ascii="Arial" w:hAnsi="Arial" w:cs="Arial"/>
                <w:color w:val="181818"/>
                <w:lang w:val="en-GB"/>
              </w:rPr>
              <w:t>.</w:t>
            </w:r>
          </w:p>
          <w:p w14:paraId="5A39BBE3" w14:textId="3D1AED14" w:rsidR="00B33432" w:rsidRPr="002C5DA4" w:rsidRDefault="005769B1" w:rsidP="00B33432">
            <w:pPr>
              <w:spacing w:after="250" w:line="276" w:lineRule="auto"/>
              <w:jc w:val="both"/>
              <w:rPr>
                <w:rFonts w:ascii="Arial" w:hAnsi="Arial" w:cs="Arial"/>
                <w:color w:val="181818"/>
                <w:lang w:val="en-GB"/>
              </w:rPr>
            </w:pPr>
            <w:r w:rsidRPr="64829760">
              <w:rPr>
                <w:rFonts w:ascii="Arial" w:hAnsi="Arial" w:cs="Arial"/>
                <w:color w:val="181818"/>
                <w:lang w:val="en-GB"/>
              </w:rPr>
              <w:t xml:space="preserve">Currently exposure to </w:t>
            </w:r>
            <w:r w:rsidR="15BFCC38" w:rsidRPr="64829760">
              <w:rPr>
                <w:rFonts w:ascii="Arial" w:hAnsi="Arial" w:cs="Arial"/>
                <w:color w:val="181818"/>
                <w:lang w:val="en-GB"/>
              </w:rPr>
              <w:t>c</w:t>
            </w:r>
            <w:r w:rsidRPr="64829760">
              <w:rPr>
                <w:rFonts w:ascii="Arial" w:hAnsi="Arial" w:cs="Arial"/>
                <w:color w:val="181818"/>
                <w:lang w:val="en-GB"/>
              </w:rPr>
              <w:t xml:space="preserve">at </w:t>
            </w:r>
            <w:r w:rsidR="04C6BC06" w:rsidRPr="64829760">
              <w:rPr>
                <w:rFonts w:ascii="Arial" w:hAnsi="Arial" w:cs="Arial"/>
                <w:color w:val="181818"/>
                <w:lang w:val="en-GB"/>
              </w:rPr>
              <w:t>b</w:t>
            </w:r>
            <w:r w:rsidRPr="64829760">
              <w:rPr>
                <w:rFonts w:ascii="Arial" w:hAnsi="Arial" w:cs="Arial"/>
                <w:color w:val="181818"/>
                <w:lang w:val="en-GB"/>
              </w:rPr>
              <w:t>onds via index derivatives is not possibl</w:t>
            </w:r>
            <w:r w:rsidR="005C1061" w:rsidRPr="64829760">
              <w:rPr>
                <w:rFonts w:ascii="Arial" w:hAnsi="Arial" w:cs="Arial"/>
                <w:color w:val="181818"/>
                <w:lang w:val="en-GB"/>
              </w:rPr>
              <w:t>e</w:t>
            </w:r>
            <w:r w:rsidR="00A04E6C" w:rsidRPr="64829760">
              <w:rPr>
                <w:rFonts w:ascii="Arial" w:hAnsi="Arial" w:cs="Arial"/>
                <w:color w:val="181818"/>
                <w:lang w:val="en-GB"/>
              </w:rPr>
              <w:t>.</w:t>
            </w:r>
            <w:r w:rsidR="005C1061" w:rsidRPr="64829760">
              <w:rPr>
                <w:rFonts w:ascii="Arial" w:hAnsi="Arial" w:cs="Arial"/>
                <w:color w:val="181818"/>
                <w:lang w:val="en-GB"/>
              </w:rPr>
              <w:t xml:space="preserve"> </w:t>
            </w:r>
          </w:p>
        </w:tc>
        <w:tc>
          <w:tcPr>
            <w:tcW w:w="2551" w:type="dxa"/>
          </w:tcPr>
          <w:p w14:paraId="1A31B5E3" w14:textId="538050BE" w:rsidR="008164D0" w:rsidRDefault="003B1728" w:rsidP="00D416B3">
            <w:pPr>
              <w:spacing w:line="276" w:lineRule="auto"/>
              <w:jc w:val="both"/>
              <w:rPr>
                <w:rFonts w:ascii="Arial" w:hAnsi="Arial" w:cs="Arial"/>
                <w:color w:val="181818"/>
                <w:lang w:val="en-GB"/>
              </w:rPr>
            </w:pPr>
            <w:r>
              <w:rPr>
                <w:rFonts w:ascii="Arial" w:hAnsi="Arial" w:cs="Arial"/>
                <w:color w:val="181818"/>
                <w:lang w:val="en-GB"/>
              </w:rPr>
              <w:t>Schroders d</w:t>
            </w:r>
            <w:r w:rsidR="00964315" w:rsidRPr="64829760">
              <w:rPr>
                <w:rFonts w:ascii="Arial" w:hAnsi="Arial" w:cs="Arial"/>
                <w:color w:val="181818"/>
                <w:lang w:val="en-GB"/>
              </w:rPr>
              <w:t>irect exposure</w:t>
            </w:r>
            <w:r w:rsidR="0038520A" w:rsidRPr="64829760">
              <w:rPr>
                <w:rFonts w:ascii="Arial" w:hAnsi="Arial" w:cs="Arial"/>
                <w:color w:val="181818"/>
                <w:lang w:val="en-GB"/>
              </w:rPr>
              <w:t xml:space="preserve"> is provided </w:t>
            </w:r>
            <w:r w:rsidR="00964315" w:rsidRPr="64829760">
              <w:rPr>
                <w:rFonts w:ascii="Arial" w:hAnsi="Arial" w:cs="Arial"/>
                <w:color w:val="181818"/>
                <w:lang w:val="en-GB"/>
              </w:rPr>
              <w:t>via</w:t>
            </w:r>
            <w:r w:rsidR="0038520A" w:rsidRPr="64829760">
              <w:rPr>
                <w:rFonts w:ascii="Arial" w:hAnsi="Arial" w:cs="Arial"/>
                <w:color w:val="181818"/>
                <w:lang w:val="en-GB"/>
              </w:rPr>
              <w:t xml:space="preserve"> a </w:t>
            </w:r>
            <w:r w:rsidR="00F32B09" w:rsidRPr="64829760">
              <w:rPr>
                <w:rFonts w:ascii="Arial" w:hAnsi="Arial" w:cs="Arial"/>
                <w:color w:val="181818"/>
                <w:lang w:val="en-GB"/>
              </w:rPr>
              <w:t xml:space="preserve">dedicated </w:t>
            </w:r>
            <w:r w:rsidR="65771538" w:rsidRPr="64829760">
              <w:rPr>
                <w:rFonts w:ascii="Arial" w:hAnsi="Arial" w:cs="Arial"/>
                <w:color w:val="181818"/>
                <w:lang w:val="en-GB"/>
              </w:rPr>
              <w:t>c</w:t>
            </w:r>
            <w:r w:rsidR="00F32B09" w:rsidRPr="64829760">
              <w:rPr>
                <w:rFonts w:ascii="Arial" w:hAnsi="Arial" w:cs="Arial"/>
                <w:color w:val="181818"/>
                <w:lang w:val="en-GB"/>
              </w:rPr>
              <w:t xml:space="preserve">at </w:t>
            </w:r>
            <w:r w:rsidR="4E5417B9" w:rsidRPr="64829760">
              <w:rPr>
                <w:rFonts w:ascii="Arial" w:hAnsi="Arial" w:cs="Arial"/>
                <w:color w:val="181818"/>
                <w:lang w:val="en-GB"/>
              </w:rPr>
              <w:t>b</w:t>
            </w:r>
            <w:r w:rsidR="00F32B09" w:rsidRPr="64829760">
              <w:rPr>
                <w:rFonts w:ascii="Arial" w:hAnsi="Arial" w:cs="Arial"/>
                <w:color w:val="181818"/>
                <w:lang w:val="en-GB"/>
              </w:rPr>
              <w:t>ond fund.</w:t>
            </w:r>
            <w:r w:rsidR="58FD0285" w:rsidRPr="64829760">
              <w:rPr>
                <w:rFonts w:ascii="Arial" w:hAnsi="Arial" w:cs="Arial"/>
                <w:color w:val="181818"/>
                <w:lang w:val="en-GB"/>
              </w:rPr>
              <w:t xml:space="preserve">  The AUM of the fund </w:t>
            </w:r>
            <w:r w:rsidR="007379AF">
              <w:rPr>
                <w:rFonts w:ascii="Arial" w:hAnsi="Arial" w:cs="Arial"/>
                <w:color w:val="181818"/>
                <w:lang w:val="en-GB"/>
              </w:rPr>
              <w:t>was US</w:t>
            </w:r>
            <w:r w:rsidR="00B46E5F">
              <w:rPr>
                <w:rFonts w:ascii="Arial" w:hAnsi="Arial" w:cs="Arial"/>
                <w:color w:val="181818"/>
                <w:lang w:val="en-GB"/>
              </w:rPr>
              <w:t>$</w:t>
            </w:r>
            <w:r w:rsidR="007379AF">
              <w:rPr>
                <w:rFonts w:ascii="Arial" w:hAnsi="Arial" w:cs="Arial"/>
                <w:color w:val="181818"/>
                <w:lang w:val="en-GB"/>
              </w:rPr>
              <w:t xml:space="preserve">3.3 billion as </w:t>
            </w:r>
            <w:proofErr w:type="gramStart"/>
            <w:r w:rsidR="007379AF">
              <w:rPr>
                <w:rFonts w:ascii="Arial" w:hAnsi="Arial" w:cs="Arial"/>
                <w:color w:val="181818"/>
                <w:lang w:val="en-GB"/>
              </w:rPr>
              <w:t>at</w:t>
            </w:r>
            <w:proofErr w:type="gramEnd"/>
            <w:r w:rsidR="007379AF">
              <w:rPr>
                <w:rFonts w:ascii="Arial" w:hAnsi="Arial" w:cs="Arial"/>
                <w:color w:val="181818"/>
                <w:lang w:val="en-GB"/>
              </w:rPr>
              <w:t xml:space="preserve"> 30 June 2024.</w:t>
            </w:r>
          </w:p>
          <w:p w14:paraId="387A2D0B" w14:textId="77777777" w:rsidR="008164D0" w:rsidRDefault="008164D0" w:rsidP="00D416B3">
            <w:pPr>
              <w:spacing w:line="276" w:lineRule="auto"/>
              <w:jc w:val="both"/>
              <w:rPr>
                <w:rFonts w:ascii="Arial" w:hAnsi="Arial" w:cs="Arial"/>
                <w:color w:val="181818"/>
                <w:lang w:val="en-GB"/>
              </w:rPr>
            </w:pPr>
          </w:p>
          <w:p w14:paraId="033F9057" w14:textId="6EFA190D" w:rsidR="008164D0" w:rsidRDefault="008164D0" w:rsidP="00D416B3">
            <w:pPr>
              <w:spacing w:line="276" w:lineRule="auto"/>
              <w:jc w:val="both"/>
              <w:rPr>
                <w:rFonts w:ascii="Arial" w:hAnsi="Arial" w:cs="Arial"/>
                <w:color w:val="181818"/>
                <w:lang w:val="en-GB"/>
              </w:rPr>
            </w:pPr>
            <w:r>
              <w:rPr>
                <w:rFonts w:ascii="Arial" w:hAnsi="Arial" w:cs="Arial"/>
                <w:color w:val="181818"/>
                <w:lang w:val="en-GB"/>
              </w:rPr>
              <w:t xml:space="preserve">Of this figure </w:t>
            </w:r>
            <w:r w:rsidR="00706885">
              <w:rPr>
                <w:rFonts w:ascii="Arial" w:hAnsi="Arial" w:cs="Arial"/>
                <w:color w:val="181818"/>
                <w:lang w:val="en-GB"/>
              </w:rPr>
              <w:t>US</w:t>
            </w:r>
            <w:r w:rsidR="00FB3C47">
              <w:rPr>
                <w:rFonts w:ascii="Arial" w:hAnsi="Arial" w:cs="Arial"/>
                <w:color w:val="181818"/>
                <w:lang w:val="en-GB"/>
              </w:rPr>
              <w:t>$</w:t>
            </w:r>
            <w:r w:rsidR="00B46E5F">
              <w:rPr>
                <w:rFonts w:ascii="Arial" w:hAnsi="Arial" w:cs="Arial"/>
                <w:color w:val="181818"/>
                <w:lang w:val="en-GB"/>
              </w:rPr>
              <w:t>4</w:t>
            </w:r>
            <w:r w:rsidR="00706885">
              <w:rPr>
                <w:rFonts w:ascii="Arial" w:hAnsi="Arial" w:cs="Arial"/>
                <w:color w:val="181818"/>
                <w:lang w:val="en-GB"/>
              </w:rPr>
              <w:t xml:space="preserve">27 million </w:t>
            </w:r>
            <w:r w:rsidR="00B665F7">
              <w:rPr>
                <w:rFonts w:ascii="Arial" w:hAnsi="Arial" w:cs="Arial"/>
                <w:color w:val="181818"/>
                <w:lang w:val="en-GB"/>
              </w:rPr>
              <w:t>are invested in</w:t>
            </w:r>
            <w:r w:rsidR="002A4D7E">
              <w:rPr>
                <w:rFonts w:ascii="Arial" w:hAnsi="Arial" w:cs="Arial"/>
                <w:color w:val="181818"/>
                <w:lang w:val="en-GB"/>
              </w:rPr>
              <w:t xml:space="preserve"> the fund by other UCITS funds.</w:t>
            </w:r>
          </w:p>
          <w:p w14:paraId="41C8F396" w14:textId="47CE3DC3" w:rsidR="0052613F" w:rsidRPr="002C5DA4" w:rsidRDefault="0052613F" w:rsidP="00D416B3">
            <w:pPr>
              <w:spacing w:line="276" w:lineRule="auto"/>
              <w:jc w:val="both"/>
              <w:rPr>
                <w:rFonts w:ascii="Arial" w:hAnsi="Arial" w:cs="Arial"/>
                <w:color w:val="181818"/>
                <w:lang w:val="en-GB"/>
              </w:rPr>
            </w:pPr>
          </w:p>
        </w:tc>
        <w:tc>
          <w:tcPr>
            <w:tcW w:w="3686" w:type="dxa"/>
          </w:tcPr>
          <w:p w14:paraId="38474585" w14:textId="1F083C8B" w:rsidR="00041B6C" w:rsidRDefault="00041B6C" w:rsidP="00D416B3">
            <w:pPr>
              <w:shd w:val="clear" w:color="auto" w:fill="FFFFFF"/>
              <w:rPr>
                <w:rFonts w:ascii="Arial" w:eastAsia="Times New Roman" w:hAnsi="Arial" w:cs="Arial"/>
                <w:color w:val="444444"/>
                <w:lang w:val="en-GB"/>
              </w:rPr>
            </w:pPr>
            <w:r w:rsidRPr="00DF0CE1">
              <w:rPr>
                <w:rFonts w:ascii="Arial" w:eastAsia="Times New Roman" w:hAnsi="Arial" w:cs="Arial"/>
                <w:color w:val="444444"/>
                <w:lang w:val="en-GB"/>
              </w:rPr>
              <w:t>Trading volume of cat bonds amounts just under 15% of outstanding cat bonds in 2024</w:t>
            </w:r>
            <w:r>
              <w:rPr>
                <w:rFonts w:ascii="Arial" w:eastAsia="Times New Roman" w:hAnsi="Arial" w:cs="Arial"/>
                <w:color w:val="444444"/>
                <w:lang w:val="en-GB"/>
              </w:rPr>
              <w:t>.</w:t>
            </w:r>
            <w:r w:rsidR="003412CE">
              <w:rPr>
                <w:rFonts w:ascii="Arial" w:eastAsia="Times New Roman" w:hAnsi="Arial" w:cs="Arial"/>
                <w:color w:val="444444"/>
                <w:lang w:val="en-GB"/>
              </w:rPr>
              <w:t xml:space="preserve">  When </w:t>
            </w:r>
            <w:proofErr w:type="gramStart"/>
            <w:r w:rsidR="003412CE">
              <w:rPr>
                <w:rFonts w:ascii="Arial" w:eastAsia="Times New Roman" w:hAnsi="Arial" w:cs="Arial"/>
                <w:color w:val="444444"/>
                <w:lang w:val="en-GB"/>
              </w:rPr>
              <w:t>taking into account</w:t>
            </w:r>
            <w:proofErr w:type="gramEnd"/>
            <w:r w:rsidR="003412CE">
              <w:rPr>
                <w:rFonts w:ascii="Arial" w:eastAsia="Times New Roman" w:hAnsi="Arial" w:cs="Arial"/>
                <w:color w:val="444444"/>
                <w:lang w:val="en-GB"/>
              </w:rPr>
              <w:t xml:space="preserve"> the maturities of </w:t>
            </w:r>
            <w:r w:rsidR="00B91FF4">
              <w:rPr>
                <w:rFonts w:ascii="Arial" w:eastAsia="Times New Roman" w:hAnsi="Arial" w:cs="Arial"/>
                <w:color w:val="444444"/>
                <w:lang w:val="en-GB"/>
              </w:rPr>
              <w:t>bonds, which amounts to about a third of the total outstanding, that means that almost half of the market</w:t>
            </w:r>
            <w:r w:rsidR="00BD1B94">
              <w:rPr>
                <w:rFonts w:ascii="Arial" w:eastAsia="Times New Roman" w:hAnsi="Arial" w:cs="Arial"/>
                <w:color w:val="444444"/>
                <w:lang w:val="en-GB"/>
              </w:rPr>
              <w:t xml:space="preserve"> turns over</w:t>
            </w:r>
            <w:r w:rsidR="00214226">
              <w:rPr>
                <w:rFonts w:ascii="Arial" w:eastAsia="Times New Roman" w:hAnsi="Arial" w:cs="Arial"/>
                <w:color w:val="444444"/>
                <w:lang w:val="en-GB"/>
              </w:rPr>
              <w:t xml:space="preserve"> each year</w:t>
            </w:r>
            <w:r w:rsidR="00BD1B94">
              <w:rPr>
                <w:rFonts w:ascii="Arial" w:eastAsia="Times New Roman" w:hAnsi="Arial" w:cs="Arial"/>
                <w:color w:val="444444"/>
                <w:lang w:val="en-GB"/>
              </w:rPr>
              <w:t>.</w:t>
            </w:r>
          </w:p>
          <w:p w14:paraId="004C401F" w14:textId="77777777" w:rsidR="00041B6C" w:rsidRPr="00DF0CE1" w:rsidRDefault="00041B6C" w:rsidP="00D416B3">
            <w:pPr>
              <w:shd w:val="clear" w:color="auto" w:fill="FFFFFF"/>
              <w:rPr>
                <w:rFonts w:ascii="Arial" w:eastAsia="Times New Roman" w:hAnsi="Arial" w:cs="Arial"/>
                <w:color w:val="444444"/>
                <w:lang w:val="en-GB"/>
              </w:rPr>
            </w:pPr>
          </w:p>
          <w:p w14:paraId="2142CA52" w14:textId="66FA1D96" w:rsidR="00041B6C" w:rsidRPr="00DF0CE1" w:rsidRDefault="00041B6C" w:rsidP="00D416B3">
            <w:pPr>
              <w:shd w:val="clear" w:color="auto" w:fill="FFFFFF"/>
              <w:rPr>
                <w:rFonts w:ascii="Arial" w:eastAsia="Times New Roman" w:hAnsi="Arial" w:cs="Arial"/>
                <w:color w:val="444444"/>
                <w:lang w:val="en-GB"/>
              </w:rPr>
            </w:pPr>
            <w:r w:rsidRPr="00DF0CE1">
              <w:rPr>
                <w:rFonts w:ascii="Arial" w:eastAsia="Times New Roman" w:hAnsi="Arial" w:cs="Arial"/>
                <w:color w:val="444444"/>
                <w:lang w:val="en-GB"/>
              </w:rPr>
              <w:t>I</w:t>
            </w:r>
            <w:r w:rsidRPr="00041B6C">
              <w:rPr>
                <w:rFonts w:ascii="Arial" w:eastAsia="Times New Roman" w:hAnsi="Arial" w:cs="Arial"/>
                <w:color w:val="444444"/>
                <w:lang w:val="en-GB"/>
              </w:rPr>
              <w:t xml:space="preserve">nsurance -linked securities (ILS) </w:t>
            </w:r>
            <w:r w:rsidRPr="00DF0CE1">
              <w:rPr>
                <w:rFonts w:ascii="Arial" w:eastAsia="Times New Roman" w:hAnsi="Arial" w:cs="Arial"/>
                <w:color w:val="444444"/>
                <w:lang w:val="en-GB"/>
              </w:rPr>
              <w:t>in general and cat bonds more specifically have become an indispensable risk management tool for primary insurers, reinsurers</w:t>
            </w:r>
            <w:r w:rsidRPr="00273DED">
              <w:rPr>
                <w:rFonts w:ascii="Arial" w:eastAsia="Times New Roman" w:hAnsi="Arial" w:cs="Arial"/>
                <w:color w:val="444444"/>
                <w:lang w:val="en-GB"/>
              </w:rPr>
              <w:t>,</w:t>
            </w:r>
            <w:r w:rsidRPr="00DF0CE1">
              <w:rPr>
                <w:rFonts w:ascii="Arial" w:eastAsia="Times New Roman" w:hAnsi="Arial" w:cs="Arial"/>
                <w:color w:val="444444"/>
                <w:lang w:val="en-GB"/>
              </w:rPr>
              <w:t xml:space="preserve"> and insurers of last resort. As per the end of the first quarter of 2024, Aon, one of the leading brokers, estimates the total global reinsurance capital has reached US$695 billion. Thereof, US$110 billion or 16% are offered in</w:t>
            </w:r>
            <w:r w:rsidR="002777B1">
              <w:rPr>
                <w:rFonts w:ascii="Arial" w:eastAsia="Times New Roman" w:hAnsi="Arial" w:cs="Arial"/>
                <w:color w:val="444444"/>
                <w:lang w:val="en-GB"/>
              </w:rPr>
              <w:t xml:space="preserve"> the</w:t>
            </w:r>
            <w:r w:rsidRPr="00DF0CE1">
              <w:rPr>
                <w:rFonts w:ascii="Arial" w:eastAsia="Times New Roman" w:hAnsi="Arial" w:cs="Arial"/>
                <w:color w:val="444444"/>
                <w:lang w:val="en-GB"/>
              </w:rPr>
              <w:t xml:space="preserve"> form of ILS, including cat bonds. Of the US$110 billion, the volume of total outstanding cat bonds amounted to $45 billion or 40%. UCITS funded investing into cat bonds contributed over $11 billion or almost 25% of total cat bonds outstanding as per end of the first quarter. It therefore needs to be noted if UCITS-eligibility would be </w:t>
            </w:r>
            <w:r w:rsidRPr="00DF0CE1">
              <w:rPr>
                <w:rFonts w:ascii="Arial" w:eastAsia="Times New Roman" w:hAnsi="Arial" w:cs="Arial"/>
                <w:color w:val="444444"/>
                <w:lang w:val="en-GB"/>
              </w:rPr>
              <w:lastRenderedPageBreak/>
              <w:t>denied, the systemic risk of market failure increases significantly</w:t>
            </w:r>
            <w:r w:rsidRPr="00041B6C">
              <w:rPr>
                <w:rFonts w:ascii="Arial" w:eastAsia="Times New Roman" w:hAnsi="Arial" w:cs="Arial"/>
                <w:color w:val="444444"/>
                <w:lang w:val="en-GB"/>
              </w:rPr>
              <w:t>.</w:t>
            </w:r>
          </w:p>
          <w:p w14:paraId="1A587ED0" w14:textId="77777777" w:rsidR="00041B6C" w:rsidRPr="00041B6C" w:rsidRDefault="00041B6C" w:rsidP="00D416B3">
            <w:pPr>
              <w:shd w:val="clear" w:color="auto" w:fill="FFFFFF"/>
              <w:rPr>
                <w:rFonts w:ascii="Arial" w:eastAsia="Times New Roman" w:hAnsi="Arial" w:cs="Arial"/>
                <w:color w:val="444444"/>
                <w:lang w:val="en-GB"/>
              </w:rPr>
            </w:pPr>
          </w:p>
          <w:p w14:paraId="0C077907" w14:textId="77777777" w:rsidR="00B33432" w:rsidRDefault="00041B6C" w:rsidP="00D416B3">
            <w:pPr>
              <w:spacing w:line="276" w:lineRule="auto"/>
              <w:jc w:val="both"/>
              <w:rPr>
                <w:rFonts w:ascii="Arial" w:eastAsia="Times New Roman" w:hAnsi="Arial" w:cs="Arial"/>
                <w:color w:val="444444"/>
                <w:lang w:val="en-GB"/>
              </w:rPr>
            </w:pPr>
            <w:r w:rsidRPr="00DF0CE1">
              <w:rPr>
                <w:rFonts w:ascii="Arial" w:eastAsia="Times New Roman" w:hAnsi="Arial" w:cs="Arial"/>
                <w:color w:val="444444"/>
                <w:lang w:val="en-GB"/>
              </w:rPr>
              <w:t>In addition, the treatment of cat bonds, i.e., the insurance securitization via SPVs, in the Solvency II calculation of the sponsor is accepted</w:t>
            </w:r>
            <w:r w:rsidR="00391862">
              <w:rPr>
                <w:rFonts w:ascii="Arial" w:eastAsia="Times New Roman" w:hAnsi="Arial" w:cs="Arial"/>
                <w:color w:val="444444"/>
                <w:lang w:val="en-GB"/>
              </w:rPr>
              <w:t>,</w:t>
            </w:r>
            <w:r w:rsidRPr="00DF0CE1">
              <w:rPr>
                <w:rFonts w:ascii="Arial" w:eastAsia="Times New Roman" w:hAnsi="Arial" w:cs="Arial"/>
                <w:color w:val="444444"/>
                <w:lang w:val="en-GB"/>
              </w:rPr>
              <w:t xml:space="preserve"> as per the Commis</w:t>
            </w:r>
            <w:r w:rsidRPr="00041B6C">
              <w:rPr>
                <w:rFonts w:ascii="Arial" w:eastAsia="Times New Roman" w:hAnsi="Arial" w:cs="Arial"/>
                <w:color w:val="444444"/>
                <w:lang w:val="en-GB"/>
              </w:rPr>
              <w:t>s</w:t>
            </w:r>
            <w:r w:rsidRPr="00DF0CE1">
              <w:rPr>
                <w:rFonts w:ascii="Arial" w:eastAsia="Times New Roman" w:hAnsi="Arial" w:cs="Arial"/>
                <w:color w:val="444444"/>
                <w:lang w:val="en-GB"/>
              </w:rPr>
              <w:t>ion Delegated Regulation (EU) 2015/35 (the "Regulation")</w:t>
            </w:r>
            <w:r w:rsidRPr="00041B6C">
              <w:rPr>
                <w:rFonts w:ascii="Arial" w:eastAsia="Times New Roman" w:hAnsi="Arial" w:cs="Arial"/>
                <w:color w:val="444444"/>
                <w:lang w:val="en-GB"/>
              </w:rPr>
              <w:t xml:space="preserve">. </w:t>
            </w:r>
            <w:proofErr w:type="gramStart"/>
            <w:r w:rsidRPr="00041B6C">
              <w:rPr>
                <w:rFonts w:ascii="Arial" w:eastAsia="Times New Roman" w:hAnsi="Arial" w:cs="Arial"/>
                <w:color w:val="444444"/>
                <w:lang w:val="en-GB"/>
              </w:rPr>
              <w:t>In particular see</w:t>
            </w:r>
            <w:proofErr w:type="gramEnd"/>
            <w:r w:rsidRPr="00041B6C">
              <w:rPr>
                <w:rFonts w:ascii="Arial" w:eastAsia="Times New Roman" w:hAnsi="Arial" w:cs="Arial"/>
                <w:color w:val="444444"/>
                <w:lang w:val="en-GB"/>
              </w:rPr>
              <w:t xml:space="preserve"> </w:t>
            </w:r>
            <w:r w:rsidRPr="00DF0CE1">
              <w:rPr>
                <w:rFonts w:ascii="Arial" w:eastAsia="Times New Roman" w:hAnsi="Arial" w:cs="Arial"/>
                <w:color w:val="444444"/>
                <w:lang w:val="en-GB"/>
              </w:rPr>
              <w:t>Articles 41</w:t>
            </w:r>
            <w:r w:rsidRPr="00041B6C">
              <w:rPr>
                <w:rFonts w:ascii="Arial" w:eastAsia="Times New Roman" w:hAnsi="Arial" w:cs="Arial"/>
                <w:color w:val="444444"/>
                <w:lang w:val="en-GB"/>
              </w:rPr>
              <w:t>, paragraphs 1. And 2.</w:t>
            </w:r>
            <w:r w:rsidRPr="00DF0CE1">
              <w:rPr>
                <w:rFonts w:ascii="Arial" w:eastAsia="Times New Roman" w:hAnsi="Arial" w:cs="Arial"/>
                <w:color w:val="444444"/>
                <w:lang w:val="en-GB"/>
              </w:rPr>
              <w:t xml:space="preserve"> and </w:t>
            </w:r>
            <w:r w:rsidRPr="00041B6C">
              <w:rPr>
                <w:rFonts w:ascii="Arial" w:eastAsia="Times New Roman" w:hAnsi="Arial" w:cs="Arial"/>
                <w:color w:val="444444"/>
                <w:lang w:val="en-GB"/>
              </w:rPr>
              <w:t xml:space="preserve">Article </w:t>
            </w:r>
            <w:r w:rsidRPr="00DF0CE1">
              <w:rPr>
                <w:rFonts w:ascii="Arial" w:eastAsia="Times New Roman" w:hAnsi="Arial" w:cs="Arial"/>
                <w:color w:val="444444"/>
                <w:lang w:val="en-GB"/>
              </w:rPr>
              <w:t>42</w:t>
            </w:r>
            <w:r w:rsidRPr="00041B6C">
              <w:rPr>
                <w:rFonts w:ascii="Arial" w:eastAsia="Times New Roman" w:hAnsi="Arial" w:cs="Arial"/>
                <w:color w:val="444444"/>
                <w:lang w:val="en-GB"/>
              </w:rPr>
              <w:t>, paragraph 5.</w:t>
            </w:r>
            <w:r w:rsidRPr="00DF0CE1">
              <w:rPr>
                <w:rFonts w:ascii="Arial" w:eastAsia="Times New Roman" w:hAnsi="Arial" w:cs="Arial"/>
                <w:color w:val="444444"/>
                <w:lang w:val="en-GB"/>
              </w:rPr>
              <w:t xml:space="preserve"> of the Regulation,</w:t>
            </w:r>
          </w:p>
          <w:p w14:paraId="64C063D1" w14:textId="77777777" w:rsidR="00F74766" w:rsidRDefault="00F74766" w:rsidP="00D416B3">
            <w:pPr>
              <w:spacing w:line="276" w:lineRule="auto"/>
              <w:jc w:val="both"/>
              <w:rPr>
                <w:rFonts w:ascii="Arial" w:hAnsi="Arial" w:cs="Arial"/>
                <w:color w:val="181818"/>
                <w:lang w:val="en-GB"/>
              </w:rPr>
            </w:pPr>
          </w:p>
          <w:p w14:paraId="3B6B4BF1" w14:textId="77777777" w:rsidR="00273DED" w:rsidRDefault="00273DED" w:rsidP="00D416B3">
            <w:pPr>
              <w:spacing w:line="276" w:lineRule="auto"/>
              <w:jc w:val="both"/>
              <w:rPr>
                <w:rFonts w:ascii="Arial" w:hAnsi="Arial" w:cs="Arial"/>
                <w:color w:val="181818"/>
                <w:lang w:val="en-GB"/>
              </w:rPr>
            </w:pPr>
          </w:p>
          <w:p w14:paraId="15FADCD0" w14:textId="77777777" w:rsidR="00F74766" w:rsidRDefault="00F74766" w:rsidP="00D416B3">
            <w:pPr>
              <w:spacing w:line="276" w:lineRule="auto"/>
              <w:jc w:val="both"/>
              <w:rPr>
                <w:rFonts w:ascii="Arial" w:hAnsi="Arial" w:cs="Arial"/>
                <w:color w:val="181818"/>
                <w:lang w:val="en-GB"/>
              </w:rPr>
            </w:pPr>
            <w:r>
              <w:rPr>
                <w:rFonts w:ascii="Arial" w:hAnsi="Arial" w:cs="Arial"/>
                <w:color w:val="181818"/>
                <w:lang w:val="en-GB"/>
              </w:rPr>
              <w:t>See our answer to Q.11 with regard</w:t>
            </w:r>
            <w:r w:rsidR="008A66A3">
              <w:rPr>
                <w:rFonts w:ascii="Arial" w:hAnsi="Arial" w:cs="Arial"/>
                <w:color w:val="181818"/>
                <w:lang w:val="en-GB"/>
              </w:rPr>
              <w:t xml:space="preserve"> market liquidity, valuation and other matters.</w:t>
            </w:r>
          </w:p>
          <w:p w14:paraId="72A3D3EC" w14:textId="09B5F46B" w:rsidR="00D0004A" w:rsidRPr="00041B6C" w:rsidRDefault="00D0004A" w:rsidP="00D416B3">
            <w:pPr>
              <w:spacing w:line="276" w:lineRule="auto"/>
              <w:jc w:val="both"/>
              <w:rPr>
                <w:rFonts w:ascii="Arial" w:hAnsi="Arial" w:cs="Arial"/>
                <w:color w:val="181818"/>
                <w:lang w:val="en-GB"/>
              </w:rPr>
            </w:pPr>
          </w:p>
        </w:tc>
      </w:tr>
      <w:tr w:rsidR="00B33432" w:rsidRPr="00B33432" w14:paraId="756B6A0E" w14:textId="77777777" w:rsidTr="09FED478">
        <w:tc>
          <w:tcPr>
            <w:tcW w:w="2085" w:type="dxa"/>
          </w:tcPr>
          <w:p w14:paraId="2C56CC88" w14:textId="77777777" w:rsidR="00B33432" w:rsidRPr="00B208AA" w:rsidRDefault="00B33432" w:rsidP="00B33432">
            <w:pPr>
              <w:spacing w:after="250" w:line="276" w:lineRule="auto"/>
              <w:rPr>
                <w:rFonts w:ascii="Arial" w:hAnsi="Arial" w:cs="Arial"/>
                <w:color w:val="181818"/>
                <w:lang w:val="en-GB"/>
              </w:rPr>
            </w:pPr>
            <w:r w:rsidRPr="00B208AA">
              <w:rPr>
                <w:rFonts w:ascii="Arial" w:hAnsi="Arial" w:cs="Arial"/>
                <w:lang w:val="en-GB"/>
              </w:rPr>
              <w:lastRenderedPageBreak/>
              <w:t>3. Contingent Convertible bonds (‘</w:t>
            </w:r>
            <w:proofErr w:type="spellStart"/>
            <w:r w:rsidRPr="00B208AA">
              <w:rPr>
                <w:rFonts w:ascii="Arial" w:hAnsi="Arial" w:cs="Arial"/>
                <w:lang w:val="en-GB"/>
              </w:rPr>
              <w:t>CoCo</w:t>
            </w:r>
            <w:proofErr w:type="spellEnd"/>
            <w:r w:rsidRPr="00B208AA">
              <w:rPr>
                <w:rFonts w:ascii="Arial" w:hAnsi="Arial" w:cs="Arial"/>
                <w:lang w:val="en-GB"/>
              </w:rPr>
              <w:t xml:space="preserve"> bonds’)</w:t>
            </w:r>
          </w:p>
        </w:tc>
        <w:tc>
          <w:tcPr>
            <w:tcW w:w="2730" w:type="dxa"/>
          </w:tcPr>
          <w:p w14:paraId="6611DEC7" w14:textId="77777777" w:rsidR="00DE52E3" w:rsidRPr="00044EB1" w:rsidRDefault="00DE52E3" w:rsidP="00DE52E3">
            <w:pPr>
              <w:spacing w:after="160" w:line="278" w:lineRule="auto"/>
              <w:rPr>
                <w:rFonts w:ascii="Arial" w:hAnsi="Arial" w:cs="Arial"/>
                <w:lang w:val="en-GB"/>
              </w:rPr>
            </w:pPr>
            <w:r w:rsidRPr="00044EB1">
              <w:rPr>
                <w:rFonts w:ascii="Arial" w:hAnsi="Arial" w:cs="Arial"/>
                <w:b/>
                <w:bCs/>
                <w:lang w:val="en-GB"/>
              </w:rPr>
              <w:t>Higher Yields</w:t>
            </w:r>
            <w:r w:rsidRPr="00044EB1">
              <w:rPr>
                <w:rFonts w:ascii="Arial" w:hAnsi="Arial" w:cs="Arial"/>
                <w:lang w:val="en-GB"/>
              </w:rPr>
              <w:t>: CoCos often provide higher yields compared to traditional bonds. This is partly due to their higher risk profile.</w:t>
            </w:r>
          </w:p>
          <w:p w14:paraId="569C6AEF" w14:textId="77777777" w:rsidR="00DE52E3" w:rsidRPr="00044EB1" w:rsidRDefault="00DE52E3" w:rsidP="00DE52E3">
            <w:pPr>
              <w:spacing w:after="160" w:line="278" w:lineRule="auto"/>
              <w:rPr>
                <w:rFonts w:ascii="Arial" w:hAnsi="Arial" w:cs="Arial"/>
                <w:lang w:val="en-GB"/>
              </w:rPr>
            </w:pPr>
            <w:r w:rsidRPr="00044EB1">
              <w:rPr>
                <w:rFonts w:ascii="Arial" w:hAnsi="Arial" w:cs="Arial"/>
                <w:b/>
                <w:bCs/>
                <w:lang w:val="en-GB"/>
              </w:rPr>
              <w:t>Diverse Investment</w:t>
            </w:r>
            <w:r w:rsidRPr="00044EB1">
              <w:rPr>
                <w:rFonts w:ascii="Arial" w:hAnsi="Arial" w:cs="Arial"/>
                <w:lang w:val="en-GB"/>
              </w:rPr>
              <w:t>: They offer diversification within fixed income portfolios. CoCos behave differently from other fixed income assets due to their unique conversion features tied to the issuer's financial health.</w:t>
            </w:r>
          </w:p>
          <w:p w14:paraId="6AB86493" w14:textId="5C58F7A8" w:rsidR="00DE52E3" w:rsidRPr="00DE52E3" w:rsidRDefault="00DE52E3" w:rsidP="00AB7065">
            <w:pPr>
              <w:spacing w:after="160" w:line="278" w:lineRule="auto"/>
              <w:rPr>
                <w:rFonts w:ascii="Arial" w:hAnsi="Arial" w:cs="Arial"/>
                <w:color w:val="181818"/>
                <w:lang w:val="en-GB"/>
              </w:rPr>
            </w:pPr>
            <w:r w:rsidRPr="00044EB1">
              <w:rPr>
                <w:rFonts w:ascii="Arial" w:hAnsi="Arial" w:cs="Arial"/>
                <w:b/>
                <w:bCs/>
                <w:lang w:val="en-GB"/>
              </w:rPr>
              <w:t>Potential for Capital Appreciation</w:t>
            </w:r>
            <w:r w:rsidRPr="00044EB1">
              <w:rPr>
                <w:rFonts w:ascii="Arial" w:hAnsi="Arial" w:cs="Arial"/>
                <w:lang w:val="en-GB"/>
              </w:rPr>
              <w:t>: If a financial institution’s health improves and the conversion of these bonds to equity becomes unlikely, the value of CoCos might appreciate.</w:t>
            </w:r>
          </w:p>
          <w:p w14:paraId="0D0B940D" w14:textId="19617708" w:rsidR="00B208AA" w:rsidRPr="00DE52E3" w:rsidRDefault="00B208AA" w:rsidP="00DD4358">
            <w:pPr>
              <w:spacing w:after="250" w:line="276" w:lineRule="auto"/>
              <w:jc w:val="both"/>
              <w:rPr>
                <w:rFonts w:ascii="Arial" w:hAnsi="Arial" w:cs="Arial"/>
                <w:color w:val="181818"/>
                <w:lang w:val="en-GB"/>
              </w:rPr>
            </w:pPr>
          </w:p>
        </w:tc>
        <w:tc>
          <w:tcPr>
            <w:tcW w:w="2835" w:type="dxa"/>
          </w:tcPr>
          <w:p w14:paraId="0E27B00A" w14:textId="34265B34" w:rsidR="00AF1F64" w:rsidRPr="00850119" w:rsidRDefault="00AF1F64" w:rsidP="00B33432">
            <w:pPr>
              <w:spacing w:after="250" w:line="276" w:lineRule="auto"/>
              <w:jc w:val="both"/>
              <w:rPr>
                <w:rFonts w:ascii="Arial" w:hAnsi="Arial" w:cs="Arial"/>
                <w:color w:val="181818"/>
                <w:highlight w:val="cyan"/>
                <w:lang w:val="en-GB"/>
              </w:rPr>
            </w:pPr>
          </w:p>
        </w:tc>
        <w:tc>
          <w:tcPr>
            <w:tcW w:w="2551" w:type="dxa"/>
          </w:tcPr>
          <w:p w14:paraId="60061E4C" w14:textId="4E35900C" w:rsidR="00B33432" w:rsidRPr="002C5DA4" w:rsidRDefault="001B7557" w:rsidP="00B33432">
            <w:pPr>
              <w:spacing w:after="250" w:line="276" w:lineRule="auto"/>
              <w:jc w:val="both"/>
              <w:rPr>
                <w:rFonts w:ascii="Arial" w:hAnsi="Arial" w:cs="Arial"/>
                <w:color w:val="181818"/>
                <w:lang w:val="en-GB"/>
              </w:rPr>
            </w:pPr>
            <w:r w:rsidRPr="001B7557">
              <w:rPr>
                <w:rFonts w:ascii="Arial" w:eastAsia="Times New Roman" w:hAnsi="Arial" w:cs="Arial"/>
                <w:color w:val="444444"/>
                <w:lang w:val="en-GB"/>
              </w:rPr>
              <w:t xml:space="preserve">Our default limit is 5% unless </w:t>
            </w:r>
            <w:r w:rsidR="0085584F">
              <w:rPr>
                <w:rFonts w:ascii="Arial" w:eastAsia="Times New Roman" w:hAnsi="Arial" w:cs="Arial"/>
                <w:color w:val="444444"/>
                <w:lang w:val="en-GB"/>
              </w:rPr>
              <w:t xml:space="preserve">specifically referred to </w:t>
            </w:r>
            <w:r w:rsidRPr="001B7557">
              <w:rPr>
                <w:rFonts w:ascii="Arial" w:eastAsia="Times New Roman" w:hAnsi="Arial" w:cs="Arial"/>
                <w:color w:val="444444"/>
                <w:lang w:val="en-GB"/>
              </w:rPr>
              <w:t>in</w:t>
            </w:r>
            <w:r w:rsidR="0085584F">
              <w:rPr>
                <w:rFonts w:ascii="Arial" w:eastAsia="Times New Roman" w:hAnsi="Arial" w:cs="Arial"/>
                <w:color w:val="444444"/>
                <w:lang w:val="en-GB"/>
              </w:rPr>
              <w:t xml:space="preserve"> the fund’s i</w:t>
            </w:r>
            <w:r w:rsidRPr="001B7557">
              <w:rPr>
                <w:rFonts w:ascii="Arial" w:eastAsia="Times New Roman" w:hAnsi="Arial" w:cs="Arial"/>
                <w:color w:val="444444"/>
                <w:lang w:val="en-GB"/>
              </w:rPr>
              <w:t xml:space="preserve">nvestment policy. For some FI funds we have more than 10% limit allowance. </w:t>
            </w:r>
          </w:p>
        </w:tc>
        <w:tc>
          <w:tcPr>
            <w:tcW w:w="3686" w:type="dxa"/>
          </w:tcPr>
          <w:p w14:paraId="44EAFD9C" w14:textId="77777777" w:rsidR="00B33432" w:rsidRPr="002C5DA4" w:rsidRDefault="00B33432" w:rsidP="00B33432">
            <w:pPr>
              <w:spacing w:after="250" w:line="276" w:lineRule="auto"/>
              <w:jc w:val="both"/>
              <w:rPr>
                <w:rFonts w:ascii="Arial" w:hAnsi="Arial" w:cs="Arial"/>
                <w:color w:val="181818"/>
                <w:lang w:val="en-GB"/>
              </w:rPr>
            </w:pPr>
          </w:p>
        </w:tc>
      </w:tr>
      <w:tr w:rsidR="00B33432" w:rsidRPr="00B33432" w14:paraId="02325B0B" w14:textId="77777777" w:rsidTr="09FED478">
        <w:tc>
          <w:tcPr>
            <w:tcW w:w="2085" w:type="dxa"/>
          </w:tcPr>
          <w:p w14:paraId="4EA5968E" w14:textId="77777777" w:rsidR="00B33432" w:rsidRPr="00B33432" w:rsidRDefault="00B33432" w:rsidP="00B33432">
            <w:pPr>
              <w:spacing w:after="250" w:line="276" w:lineRule="auto"/>
              <w:rPr>
                <w:rFonts w:ascii="Arial" w:hAnsi="Arial" w:cs="Arial"/>
                <w:color w:val="181818"/>
              </w:rPr>
            </w:pPr>
            <w:r w:rsidRPr="00B33432">
              <w:rPr>
                <w:rFonts w:ascii="Arial" w:hAnsi="Arial" w:cs="Arial"/>
              </w:rPr>
              <w:lastRenderedPageBreak/>
              <w:t xml:space="preserve">4. </w:t>
            </w:r>
            <w:proofErr w:type="spellStart"/>
            <w:r w:rsidRPr="00B33432">
              <w:rPr>
                <w:rFonts w:ascii="Arial" w:hAnsi="Arial" w:cs="Arial"/>
              </w:rPr>
              <w:t>Unrated</w:t>
            </w:r>
            <w:proofErr w:type="spellEnd"/>
            <w:r w:rsidRPr="00B33432">
              <w:rPr>
                <w:rFonts w:ascii="Arial" w:hAnsi="Arial" w:cs="Arial"/>
              </w:rPr>
              <w:t xml:space="preserve"> </w:t>
            </w:r>
            <w:proofErr w:type="spellStart"/>
            <w:r w:rsidRPr="00B33432">
              <w:rPr>
                <w:rFonts w:ascii="Arial" w:hAnsi="Arial" w:cs="Arial"/>
              </w:rPr>
              <w:t>bonds</w:t>
            </w:r>
            <w:proofErr w:type="spellEnd"/>
          </w:p>
        </w:tc>
        <w:tc>
          <w:tcPr>
            <w:tcW w:w="2730" w:type="dxa"/>
          </w:tcPr>
          <w:p w14:paraId="4B94D5A5" w14:textId="17D1332B" w:rsidR="00B33432" w:rsidRPr="0088243D" w:rsidRDefault="00C13318" w:rsidP="00B33432">
            <w:pPr>
              <w:spacing w:after="250" w:line="276" w:lineRule="auto"/>
              <w:jc w:val="both"/>
              <w:rPr>
                <w:rFonts w:ascii="Arial" w:hAnsi="Arial" w:cs="Arial"/>
                <w:color w:val="181818"/>
                <w:highlight w:val="cyan"/>
                <w:lang w:val="en-GB"/>
              </w:rPr>
            </w:pPr>
            <w:r w:rsidRPr="00C13318">
              <w:rPr>
                <w:rFonts w:ascii="Arial" w:hAnsi="Arial" w:cs="Arial"/>
                <w:color w:val="181818"/>
                <w:lang w:val="en-GB"/>
              </w:rPr>
              <w:t>Please see the EFAMA response</w:t>
            </w:r>
          </w:p>
        </w:tc>
        <w:tc>
          <w:tcPr>
            <w:tcW w:w="2835" w:type="dxa"/>
          </w:tcPr>
          <w:p w14:paraId="3DEEC669" w14:textId="70FEFEF5" w:rsidR="00B33432" w:rsidRPr="009E247D" w:rsidRDefault="00C13318" w:rsidP="00B33432">
            <w:pPr>
              <w:spacing w:after="250" w:line="276" w:lineRule="auto"/>
              <w:jc w:val="both"/>
              <w:rPr>
                <w:rFonts w:ascii="Arial" w:hAnsi="Arial" w:cs="Arial"/>
                <w:color w:val="181818"/>
                <w:highlight w:val="cyan"/>
                <w:lang w:val="en-GB"/>
              </w:rPr>
            </w:pPr>
            <w:r w:rsidRPr="00C13318">
              <w:rPr>
                <w:rFonts w:ascii="Arial" w:hAnsi="Arial" w:cs="Arial"/>
                <w:color w:val="181818"/>
                <w:lang w:val="en-GB"/>
              </w:rPr>
              <w:t>Please see the EFAMA response</w:t>
            </w:r>
          </w:p>
        </w:tc>
        <w:tc>
          <w:tcPr>
            <w:tcW w:w="2551" w:type="dxa"/>
          </w:tcPr>
          <w:p w14:paraId="3656B9AB" w14:textId="3D452158" w:rsidR="006D7F06" w:rsidRPr="002C5DA4" w:rsidRDefault="00401701" w:rsidP="00B33432">
            <w:pPr>
              <w:spacing w:after="250" w:line="276" w:lineRule="auto"/>
              <w:jc w:val="both"/>
              <w:rPr>
                <w:rFonts w:ascii="Arial" w:hAnsi="Arial" w:cs="Arial"/>
                <w:color w:val="181818"/>
                <w:lang w:val="en-GB"/>
              </w:rPr>
            </w:pPr>
            <w:r>
              <w:rPr>
                <w:rFonts w:ascii="Arial" w:hAnsi="Arial" w:cs="Arial"/>
                <w:color w:val="181818"/>
                <w:lang w:val="en-GB"/>
              </w:rPr>
              <w:t>Direct exposure is permitted up to the UCITS Directive limit.</w:t>
            </w:r>
          </w:p>
        </w:tc>
        <w:tc>
          <w:tcPr>
            <w:tcW w:w="3686" w:type="dxa"/>
          </w:tcPr>
          <w:p w14:paraId="6A4ED38E" w14:textId="08CED322" w:rsidR="007A1009" w:rsidRPr="007A1009" w:rsidRDefault="007A1009" w:rsidP="007A1009">
            <w:pPr>
              <w:rPr>
                <w:lang w:val="en-GB"/>
              </w:rPr>
            </w:pPr>
            <w:r>
              <w:rPr>
                <w:rFonts w:ascii="Arial" w:hAnsi="Arial" w:cs="Arial"/>
                <w:lang w:val="en-GB"/>
              </w:rPr>
              <w:t>Funda</w:t>
            </w:r>
            <w:r w:rsidRPr="000B0564">
              <w:rPr>
                <w:rFonts w:ascii="Arial" w:hAnsi="Arial" w:cs="Arial"/>
                <w:lang w:val="en-GB"/>
              </w:rPr>
              <w:t>mentally driven active credit fund management involves managers making their own assessment of an issuer’s creditworthiness making public ratings less relevant and sometimes unhelpful.</w:t>
            </w:r>
          </w:p>
          <w:p w14:paraId="45FB0818" w14:textId="77777777" w:rsidR="00B33432" w:rsidRPr="002C5DA4" w:rsidRDefault="00B33432" w:rsidP="00B33432">
            <w:pPr>
              <w:spacing w:after="250" w:line="276" w:lineRule="auto"/>
              <w:jc w:val="both"/>
              <w:rPr>
                <w:rFonts w:ascii="Arial" w:hAnsi="Arial" w:cs="Arial"/>
                <w:color w:val="181818"/>
                <w:lang w:val="en-GB"/>
              </w:rPr>
            </w:pPr>
          </w:p>
        </w:tc>
      </w:tr>
      <w:tr w:rsidR="00B33432" w:rsidRPr="00B33432" w14:paraId="68D99D9D" w14:textId="77777777" w:rsidTr="09FED478">
        <w:tc>
          <w:tcPr>
            <w:tcW w:w="2085" w:type="dxa"/>
          </w:tcPr>
          <w:p w14:paraId="17D8B71D" w14:textId="77777777" w:rsidR="00B33432" w:rsidRPr="00B33432" w:rsidRDefault="00B33432" w:rsidP="00B33432">
            <w:pPr>
              <w:spacing w:after="250" w:line="276" w:lineRule="auto"/>
              <w:rPr>
                <w:rFonts w:ascii="Arial" w:hAnsi="Arial" w:cs="Arial"/>
                <w:color w:val="181818"/>
              </w:rPr>
            </w:pPr>
            <w:r w:rsidRPr="00B33432">
              <w:rPr>
                <w:rFonts w:ascii="Arial" w:hAnsi="Arial" w:cs="Arial"/>
              </w:rPr>
              <w:t xml:space="preserve">5. </w:t>
            </w:r>
            <w:proofErr w:type="spellStart"/>
            <w:r w:rsidRPr="00B33432">
              <w:rPr>
                <w:rFonts w:ascii="Arial" w:hAnsi="Arial" w:cs="Arial"/>
              </w:rPr>
              <w:t>Distressed</w:t>
            </w:r>
            <w:proofErr w:type="spellEnd"/>
            <w:r w:rsidRPr="00B33432">
              <w:rPr>
                <w:rFonts w:ascii="Arial" w:hAnsi="Arial" w:cs="Arial"/>
              </w:rPr>
              <w:t xml:space="preserve"> </w:t>
            </w:r>
            <w:proofErr w:type="spellStart"/>
            <w:r w:rsidRPr="00B33432">
              <w:rPr>
                <w:rFonts w:ascii="Arial" w:hAnsi="Arial" w:cs="Arial"/>
              </w:rPr>
              <w:t>securities</w:t>
            </w:r>
            <w:proofErr w:type="spellEnd"/>
          </w:p>
        </w:tc>
        <w:tc>
          <w:tcPr>
            <w:tcW w:w="2730" w:type="dxa"/>
          </w:tcPr>
          <w:p w14:paraId="049F31CB" w14:textId="158B16DF" w:rsidR="00B33432" w:rsidRPr="00BC005A" w:rsidRDefault="008A3EB8" w:rsidP="00BC005A">
            <w:pPr>
              <w:spacing w:after="250" w:line="276" w:lineRule="auto"/>
              <w:jc w:val="both"/>
              <w:rPr>
                <w:rFonts w:ascii="Arial" w:hAnsi="Arial" w:cs="Arial"/>
                <w:color w:val="181818"/>
                <w:highlight w:val="cyan"/>
                <w:lang w:val="en-GB"/>
              </w:rPr>
            </w:pPr>
            <w:r w:rsidRPr="00C13318">
              <w:rPr>
                <w:rFonts w:ascii="Arial" w:hAnsi="Arial" w:cs="Arial"/>
                <w:color w:val="181818"/>
                <w:lang w:val="en-GB"/>
              </w:rPr>
              <w:t>Please see the EFAMA response</w:t>
            </w:r>
          </w:p>
        </w:tc>
        <w:tc>
          <w:tcPr>
            <w:tcW w:w="2835" w:type="dxa"/>
          </w:tcPr>
          <w:p w14:paraId="53128261" w14:textId="13F91B84" w:rsidR="00B33432" w:rsidRPr="002C5DA4" w:rsidRDefault="008A3EB8" w:rsidP="00B33432">
            <w:pPr>
              <w:spacing w:after="250" w:line="276" w:lineRule="auto"/>
              <w:jc w:val="both"/>
              <w:rPr>
                <w:rFonts w:ascii="Arial" w:hAnsi="Arial" w:cs="Arial"/>
                <w:color w:val="181818"/>
                <w:lang w:val="en-GB"/>
              </w:rPr>
            </w:pPr>
            <w:r w:rsidRPr="00C13318">
              <w:rPr>
                <w:rFonts w:ascii="Arial" w:hAnsi="Arial" w:cs="Arial"/>
                <w:color w:val="181818"/>
                <w:lang w:val="en-GB"/>
              </w:rPr>
              <w:t>Please see the EFAMA response</w:t>
            </w:r>
          </w:p>
        </w:tc>
        <w:tc>
          <w:tcPr>
            <w:tcW w:w="2551" w:type="dxa"/>
          </w:tcPr>
          <w:p w14:paraId="62486C05" w14:textId="29DFE60E" w:rsidR="00B33432" w:rsidRPr="00005477" w:rsidRDefault="005A5B3C" w:rsidP="00B33432">
            <w:pPr>
              <w:spacing w:after="250" w:line="276" w:lineRule="auto"/>
              <w:jc w:val="both"/>
              <w:rPr>
                <w:rFonts w:ascii="Arial" w:hAnsi="Arial" w:cs="Arial"/>
                <w:color w:val="181818"/>
                <w:lang w:val="en-GB"/>
              </w:rPr>
            </w:pPr>
            <w:r w:rsidRPr="00AD6049">
              <w:rPr>
                <w:rFonts w:ascii="Arial" w:hAnsi="Arial" w:cs="Arial"/>
                <w:color w:val="181818"/>
                <w:lang w:val="en-GB"/>
              </w:rPr>
              <w:t>Ou</w:t>
            </w:r>
            <w:r w:rsidR="00005477" w:rsidRPr="00AD6049">
              <w:rPr>
                <w:rFonts w:ascii="Arial" w:hAnsi="Arial" w:cs="Arial"/>
                <w:color w:val="181818"/>
                <w:lang w:val="en-GB"/>
              </w:rPr>
              <w:t>r</w:t>
            </w:r>
            <w:r w:rsidRPr="00AD6049">
              <w:rPr>
                <w:rFonts w:ascii="Arial" w:hAnsi="Arial" w:cs="Arial"/>
                <w:color w:val="181818"/>
                <w:lang w:val="en-GB"/>
              </w:rPr>
              <w:t xml:space="preserve"> default limit is 5% of fund value unle</w:t>
            </w:r>
            <w:r w:rsidR="00005477" w:rsidRPr="00AD6049">
              <w:rPr>
                <w:rFonts w:ascii="Arial" w:hAnsi="Arial" w:cs="Arial"/>
                <w:color w:val="181818"/>
                <w:lang w:val="en-GB"/>
              </w:rPr>
              <w:t xml:space="preserve">ss included </w:t>
            </w:r>
            <w:r w:rsidRPr="00AD6049">
              <w:rPr>
                <w:rFonts w:ascii="Arial" w:hAnsi="Arial" w:cs="Arial"/>
                <w:color w:val="181818"/>
                <w:lang w:val="en-GB"/>
              </w:rPr>
              <w:t xml:space="preserve">in Investment policy. For some </w:t>
            </w:r>
            <w:r w:rsidR="00005477" w:rsidRPr="00AD6049">
              <w:rPr>
                <w:rFonts w:ascii="Arial" w:hAnsi="Arial" w:cs="Arial"/>
                <w:color w:val="181818"/>
                <w:lang w:val="en-GB"/>
              </w:rPr>
              <w:t>fixed income</w:t>
            </w:r>
            <w:r w:rsidRPr="00AD6049">
              <w:rPr>
                <w:rFonts w:ascii="Arial" w:hAnsi="Arial" w:cs="Arial"/>
                <w:color w:val="181818"/>
                <w:lang w:val="en-GB"/>
              </w:rPr>
              <w:t xml:space="preserve"> </w:t>
            </w:r>
            <w:proofErr w:type="gramStart"/>
            <w:r w:rsidRPr="00AD6049">
              <w:rPr>
                <w:rFonts w:ascii="Arial" w:hAnsi="Arial" w:cs="Arial"/>
                <w:color w:val="181818"/>
                <w:lang w:val="en-GB"/>
              </w:rPr>
              <w:t>funds</w:t>
            </w:r>
            <w:proofErr w:type="gramEnd"/>
            <w:r w:rsidRPr="00AD6049">
              <w:rPr>
                <w:rFonts w:ascii="Arial" w:hAnsi="Arial" w:cs="Arial"/>
                <w:color w:val="181818"/>
                <w:lang w:val="en-GB"/>
              </w:rPr>
              <w:t xml:space="preserve"> we have more than 10%. </w:t>
            </w:r>
          </w:p>
        </w:tc>
        <w:tc>
          <w:tcPr>
            <w:tcW w:w="3686" w:type="dxa"/>
          </w:tcPr>
          <w:p w14:paraId="4101652C" w14:textId="77777777" w:rsidR="00B33432" w:rsidRPr="002C5DA4" w:rsidRDefault="00B33432" w:rsidP="00B33432">
            <w:pPr>
              <w:spacing w:after="250" w:line="276" w:lineRule="auto"/>
              <w:jc w:val="both"/>
              <w:rPr>
                <w:rFonts w:ascii="Arial" w:hAnsi="Arial" w:cs="Arial"/>
                <w:color w:val="181818"/>
                <w:lang w:val="en-GB"/>
              </w:rPr>
            </w:pPr>
          </w:p>
        </w:tc>
      </w:tr>
      <w:tr w:rsidR="00B33432" w:rsidRPr="00B33432" w14:paraId="2B493676" w14:textId="77777777" w:rsidTr="09FED478">
        <w:tc>
          <w:tcPr>
            <w:tcW w:w="2085" w:type="dxa"/>
          </w:tcPr>
          <w:p w14:paraId="45E99430" w14:textId="77777777" w:rsidR="00B33432" w:rsidRPr="00B33432" w:rsidRDefault="00B33432" w:rsidP="00B33432">
            <w:pPr>
              <w:spacing w:after="250" w:line="276" w:lineRule="auto"/>
              <w:rPr>
                <w:rFonts w:ascii="Arial" w:hAnsi="Arial" w:cs="Arial"/>
              </w:rPr>
            </w:pPr>
            <w:r w:rsidRPr="00B33432">
              <w:rPr>
                <w:rFonts w:ascii="Arial" w:hAnsi="Arial" w:cs="Arial"/>
              </w:rPr>
              <w:t xml:space="preserve">6. </w:t>
            </w:r>
            <w:proofErr w:type="spellStart"/>
            <w:r w:rsidRPr="00B33432">
              <w:rPr>
                <w:rFonts w:ascii="Arial" w:hAnsi="Arial" w:cs="Arial"/>
              </w:rPr>
              <w:t>Unlisted</w:t>
            </w:r>
            <w:proofErr w:type="spellEnd"/>
            <w:r w:rsidRPr="00B33432">
              <w:rPr>
                <w:rFonts w:ascii="Arial" w:hAnsi="Arial" w:cs="Arial"/>
              </w:rPr>
              <w:t xml:space="preserve"> </w:t>
            </w:r>
            <w:proofErr w:type="spellStart"/>
            <w:r w:rsidRPr="00B33432">
              <w:rPr>
                <w:rFonts w:ascii="Arial" w:hAnsi="Arial" w:cs="Arial"/>
              </w:rPr>
              <w:t>equities</w:t>
            </w:r>
            <w:proofErr w:type="spellEnd"/>
            <w:r w:rsidRPr="00B33432">
              <w:rPr>
                <w:rFonts w:ascii="Arial" w:hAnsi="Arial" w:cs="Arial"/>
                <w:sz w:val="16"/>
                <w:vertAlign w:val="superscript"/>
              </w:rPr>
              <w:footnoteReference w:id="7"/>
            </w:r>
          </w:p>
        </w:tc>
        <w:tc>
          <w:tcPr>
            <w:tcW w:w="2730" w:type="dxa"/>
          </w:tcPr>
          <w:p w14:paraId="13A4279C" w14:textId="77777777" w:rsidR="00B33432" w:rsidRDefault="00144748" w:rsidP="00B33432">
            <w:pPr>
              <w:spacing w:after="250" w:line="276" w:lineRule="auto"/>
              <w:jc w:val="both"/>
              <w:rPr>
                <w:rFonts w:ascii="Arial" w:hAnsi="Arial" w:cs="Arial"/>
                <w:color w:val="181818"/>
                <w:lang w:val="en-GB"/>
              </w:rPr>
            </w:pPr>
            <w:r>
              <w:rPr>
                <w:rFonts w:ascii="Arial" w:hAnsi="Arial" w:cs="Arial"/>
                <w:color w:val="181818"/>
                <w:lang w:val="en-GB"/>
              </w:rPr>
              <w:t xml:space="preserve">Allows additional </w:t>
            </w:r>
            <w:r w:rsidR="0031415D">
              <w:rPr>
                <w:rFonts w:ascii="Arial" w:hAnsi="Arial" w:cs="Arial"/>
                <w:color w:val="181818"/>
                <w:lang w:val="en-GB"/>
              </w:rPr>
              <w:t>investment in companies at an early stage in their development of</w:t>
            </w:r>
            <w:r w:rsidR="00970FBD">
              <w:rPr>
                <w:rFonts w:ascii="Arial" w:hAnsi="Arial" w:cs="Arial"/>
                <w:color w:val="181818"/>
                <w:lang w:val="en-GB"/>
              </w:rPr>
              <w:t>fering the benefits of early investment returns.</w:t>
            </w:r>
          </w:p>
          <w:p w14:paraId="1E5F5E95" w14:textId="77777777" w:rsidR="00AC2F41" w:rsidRDefault="00AC2F41" w:rsidP="00B33432">
            <w:pPr>
              <w:spacing w:after="250" w:line="276" w:lineRule="auto"/>
              <w:jc w:val="both"/>
              <w:rPr>
                <w:rFonts w:ascii="Arial" w:hAnsi="Arial" w:cs="Arial"/>
                <w:color w:val="181818"/>
                <w:lang w:val="en-GB"/>
              </w:rPr>
            </w:pPr>
            <w:r>
              <w:rPr>
                <w:rFonts w:ascii="Arial" w:hAnsi="Arial" w:cs="Arial"/>
                <w:color w:val="181818"/>
                <w:lang w:val="en-GB"/>
              </w:rPr>
              <w:t>Avoids forced selling in the event of a delisting.</w:t>
            </w:r>
          </w:p>
          <w:p w14:paraId="53431BE7" w14:textId="41FE566C" w:rsidR="00490995" w:rsidRPr="00490995" w:rsidRDefault="00490995" w:rsidP="00490995">
            <w:pPr>
              <w:rPr>
                <w:lang w:val="en-GB"/>
              </w:rPr>
            </w:pPr>
            <w:r>
              <w:rPr>
                <w:rFonts w:ascii="Arial" w:hAnsi="Arial" w:cs="Arial"/>
                <w:color w:val="181818"/>
                <w:lang w:val="en-GB"/>
              </w:rPr>
              <w:t xml:space="preserve">It is sometimes necessary to be able to accept unlisted equity as part of a financial restructuring. The inability to accept such equity has the potential to leave </w:t>
            </w:r>
            <w:r w:rsidR="008C5794">
              <w:rPr>
                <w:rFonts w:ascii="Arial" w:hAnsi="Arial" w:cs="Arial"/>
                <w:color w:val="181818"/>
                <w:lang w:val="en-GB"/>
              </w:rPr>
              <w:t xml:space="preserve">UCITS </w:t>
            </w:r>
            <w:r w:rsidR="008C5794">
              <w:rPr>
                <w:rFonts w:ascii="Arial" w:hAnsi="Arial" w:cs="Arial"/>
                <w:color w:val="181818"/>
                <w:lang w:val="en-GB"/>
              </w:rPr>
              <w:lastRenderedPageBreak/>
              <w:t xml:space="preserve">funds at a </w:t>
            </w:r>
            <w:r>
              <w:rPr>
                <w:rFonts w:ascii="Arial" w:hAnsi="Arial" w:cs="Arial"/>
                <w:color w:val="181818"/>
                <w:lang w:val="en-GB"/>
              </w:rPr>
              <w:t xml:space="preserve">disadvantaged vs other market </w:t>
            </w:r>
            <w:proofErr w:type="gramStart"/>
            <w:r>
              <w:rPr>
                <w:rFonts w:ascii="Arial" w:hAnsi="Arial" w:cs="Arial"/>
                <w:color w:val="181818"/>
                <w:lang w:val="en-GB"/>
              </w:rPr>
              <w:t>participants</w:t>
            </w:r>
            <w:proofErr w:type="gramEnd"/>
            <w:r>
              <w:rPr>
                <w:rFonts w:ascii="Arial" w:hAnsi="Arial" w:cs="Arial"/>
                <w:color w:val="181818"/>
                <w:lang w:val="en-GB"/>
              </w:rPr>
              <w:t>.</w:t>
            </w:r>
          </w:p>
          <w:p w14:paraId="1F7E81B7" w14:textId="77777777" w:rsidR="00490995" w:rsidRDefault="00490995" w:rsidP="00B33432">
            <w:pPr>
              <w:spacing w:after="250" w:line="276" w:lineRule="auto"/>
              <w:jc w:val="both"/>
              <w:rPr>
                <w:rFonts w:ascii="Arial" w:hAnsi="Arial" w:cs="Arial"/>
                <w:color w:val="181818"/>
                <w:lang w:val="en-GB"/>
              </w:rPr>
            </w:pPr>
          </w:p>
          <w:p w14:paraId="4B99056E" w14:textId="5A34FB59" w:rsidR="0036248A" w:rsidRPr="002C5DA4" w:rsidRDefault="0036248A" w:rsidP="00B33432">
            <w:pPr>
              <w:spacing w:after="250" w:line="276" w:lineRule="auto"/>
              <w:jc w:val="both"/>
              <w:rPr>
                <w:rFonts w:ascii="Arial" w:hAnsi="Arial" w:cs="Arial"/>
                <w:color w:val="181818"/>
                <w:lang w:val="en-GB"/>
              </w:rPr>
            </w:pPr>
          </w:p>
        </w:tc>
        <w:tc>
          <w:tcPr>
            <w:tcW w:w="2835" w:type="dxa"/>
          </w:tcPr>
          <w:p w14:paraId="1299C43A" w14:textId="2DC7FF4E" w:rsidR="00B33432" w:rsidRPr="002C5DA4" w:rsidRDefault="00FD6245" w:rsidP="00B33432">
            <w:pPr>
              <w:spacing w:after="250" w:line="276" w:lineRule="auto"/>
              <w:jc w:val="both"/>
              <w:rPr>
                <w:rFonts w:ascii="Arial" w:hAnsi="Arial" w:cs="Arial"/>
                <w:color w:val="181818"/>
                <w:lang w:val="en-GB"/>
              </w:rPr>
            </w:pPr>
            <w:r>
              <w:rPr>
                <w:rFonts w:ascii="Arial" w:hAnsi="Arial" w:cs="Arial"/>
                <w:color w:val="181818"/>
                <w:lang w:val="en-GB"/>
              </w:rPr>
              <w:lastRenderedPageBreak/>
              <w:t xml:space="preserve">Indirect exposure could be made via investment </w:t>
            </w:r>
            <w:proofErr w:type="gramStart"/>
            <w:r>
              <w:rPr>
                <w:rFonts w:ascii="Arial" w:hAnsi="Arial" w:cs="Arial"/>
                <w:color w:val="181818"/>
                <w:lang w:val="en-GB"/>
              </w:rPr>
              <w:t>in  funds</w:t>
            </w:r>
            <w:proofErr w:type="gramEnd"/>
            <w:r>
              <w:rPr>
                <w:rFonts w:ascii="Arial" w:hAnsi="Arial" w:cs="Arial"/>
                <w:color w:val="181818"/>
                <w:lang w:val="en-GB"/>
              </w:rPr>
              <w:t xml:space="preserve"> that themselves have exposure to unlisted equities</w:t>
            </w:r>
          </w:p>
        </w:tc>
        <w:tc>
          <w:tcPr>
            <w:tcW w:w="2551" w:type="dxa"/>
          </w:tcPr>
          <w:p w14:paraId="4DDBEF00" w14:textId="7864B0B4" w:rsidR="00B33432" w:rsidRPr="002C5DA4" w:rsidRDefault="00FD6245" w:rsidP="00B33432">
            <w:pPr>
              <w:spacing w:after="250" w:line="276" w:lineRule="auto"/>
              <w:jc w:val="both"/>
              <w:rPr>
                <w:rFonts w:ascii="Arial" w:hAnsi="Arial" w:cs="Arial"/>
                <w:color w:val="181818"/>
                <w:lang w:val="en-GB"/>
              </w:rPr>
            </w:pPr>
            <w:r>
              <w:rPr>
                <w:rFonts w:ascii="Arial" w:hAnsi="Arial" w:cs="Arial"/>
                <w:color w:val="181818"/>
                <w:lang w:val="en-GB"/>
              </w:rPr>
              <w:t>Current exposures are limited but maybe u</w:t>
            </w:r>
            <w:r w:rsidR="00970FBD">
              <w:rPr>
                <w:rFonts w:ascii="Arial" w:hAnsi="Arial" w:cs="Arial"/>
                <w:color w:val="181818"/>
                <w:lang w:val="en-GB"/>
              </w:rPr>
              <w:t>p to 10% as per</w:t>
            </w:r>
            <w:r w:rsidR="00AD6049">
              <w:rPr>
                <w:rFonts w:ascii="Arial" w:hAnsi="Arial" w:cs="Arial"/>
                <w:color w:val="181818"/>
                <w:lang w:val="en-GB"/>
              </w:rPr>
              <w:t xml:space="preserve"> the</w:t>
            </w:r>
            <w:r w:rsidR="00970FBD">
              <w:rPr>
                <w:rFonts w:ascii="Arial" w:hAnsi="Arial" w:cs="Arial"/>
                <w:color w:val="181818"/>
                <w:lang w:val="en-GB"/>
              </w:rPr>
              <w:t xml:space="preserve"> UCITS Directive</w:t>
            </w:r>
            <w:r>
              <w:rPr>
                <w:rFonts w:ascii="Arial" w:hAnsi="Arial" w:cs="Arial"/>
                <w:color w:val="181818"/>
                <w:lang w:val="en-GB"/>
              </w:rPr>
              <w:t xml:space="preserve"> (direct)</w:t>
            </w:r>
            <w:r w:rsidR="00AD6049">
              <w:rPr>
                <w:rFonts w:ascii="Arial" w:hAnsi="Arial" w:cs="Arial"/>
                <w:color w:val="181818"/>
                <w:lang w:val="en-GB"/>
              </w:rPr>
              <w:t>.</w:t>
            </w:r>
          </w:p>
        </w:tc>
        <w:tc>
          <w:tcPr>
            <w:tcW w:w="3686" w:type="dxa"/>
          </w:tcPr>
          <w:p w14:paraId="3461D779" w14:textId="77777777" w:rsidR="00B33432" w:rsidRPr="002C5DA4" w:rsidRDefault="00B33432" w:rsidP="00B33432">
            <w:pPr>
              <w:spacing w:after="250" w:line="276" w:lineRule="auto"/>
              <w:jc w:val="both"/>
              <w:rPr>
                <w:rFonts w:ascii="Arial" w:hAnsi="Arial" w:cs="Arial"/>
                <w:color w:val="181818"/>
                <w:lang w:val="en-GB"/>
              </w:rPr>
            </w:pPr>
          </w:p>
        </w:tc>
      </w:tr>
      <w:tr w:rsidR="00B33432" w:rsidRPr="00B33432" w14:paraId="5539B04B" w14:textId="77777777" w:rsidTr="09FED478">
        <w:tc>
          <w:tcPr>
            <w:tcW w:w="2085" w:type="dxa"/>
          </w:tcPr>
          <w:p w14:paraId="378D969D" w14:textId="77777777" w:rsidR="00B33432" w:rsidRPr="00B33432" w:rsidRDefault="00B33432" w:rsidP="00B33432">
            <w:pPr>
              <w:spacing w:after="250" w:line="276" w:lineRule="auto"/>
              <w:rPr>
                <w:rFonts w:ascii="Arial" w:hAnsi="Arial" w:cs="Arial"/>
              </w:rPr>
            </w:pPr>
            <w:r w:rsidRPr="00B33432">
              <w:rPr>
                <w:rFonts w:ascii="Arial" w:hAnsi="Arial" w:cs="Arial"/>
              </w:rPr>
              <w:t>7. Crypto assets</w:t>
            </w:r>
            <w:r w:rsidRPr="00B33432">
              <w:rPr>
                <w:rFonts w:ascii="Arial" w:hAnsi="Arial" w:cs="Arial"/>
                <w:vertAlign w:val="superscript"/>
              </w:rPr>
              <w:footnoteReference w:id="8"/>
            </w:r>
          </w:p>
        </w:tc>
        <w:tc>
          <w:tcPr>
            <w:tcW w:w="2730" w:type="dxa"/>
          </w:tcPr>
          <w:p w14:paraId="3CF2D8B6" w14:textId="115D164C" w:rsidR="006922CF" w:rsidRPr="002C5DA4" w:rsidRDefault="00CB6955" w:rsidP="00B33432">
            <w:pPr>
              <w:spacing w:after="250" w:line="276" w:lineRule="auto"/>
              <w:jc w:val="both"/>
              <w:rPr>
                <w:rFonts w:ascii="Arial" w:hAnsi="Arial" w:cs="Arial"/>
                <w:color w:val="181818"/>
                <w:lang w:val="en-GB"/>
              </w:rPr>
            </w:pPr>
            <w:r>
              <w:rPr>
                <w:rFonts w:ascii="Arial" w:hAnsi="Arial" w:cs="Arial"/>
                <w:color w:val="181818"/>
                <w:lang w:val="en-GB"/>
              </w:rPr>
              <w:t xml:space="preserve">We currently do not favour direct holding in </w:t>
            </w:r>
            <w:proofErr w:type="spellStart"/>
            <w:r>
              <w:rPr>
                <w:rFonts w:ascii="Arial" w:hAnsi="Arial" w:cs="Arial"/>
                <w:color w:val="181818"/>
                <w:lang w:val="en-GB"/>
              </w:rPr>
              <w:t>c</w:t>
            </w:r>
            <w:r w:rsidR="006922CF">
              <w:rPr>
                <w:rFonts w:ascii="Arial" w:hAnsi="Arial" w:cs="Arial"/>
                <w:color w:val="181818"/>
                <w:lang w:val="en-GB"/>
              </w:rPr>
              <w:t>ryptoassets</w:t>
            </w:r>
            <w:proofErr w:type="spellEnd"/>
            <w:r w:rsidR="006922CF">
              <w:rPr>
                <w:rFonts w:ascii="Arial" w:hAnsi="Arial" w:cs="Arial"/>
                <w:color w:val="181818"/>
                <w:lang w:val="en-GB"/>
              </w:rPr>
              <w:t xml:space="preserve"> at the present time.</w:t>
            </w:r>
          </w:p>
        </w:tc>
        <w:tc>
          <w:tcPr>
            <w:tcW w:w="2835" w:type="dxa"/>
          </w:tcPr>
          <w:p w14:paraId="0FB78278" w14:textId="42006C78" w:rsidR="00B33432" w:rsidRPr="002C5DA4" w:rsidRDefault="00031EFE" w:rsidP="00B33432">
            <w:pPr>
              <w:spacing w:after="250" w:line="276" w:lineRule="auto"/>
              <w:jc w:val="both"/>
              <w:rPr>
                <w:rFonts w:ascii="Arial" w:hAnsi="Arial" w:cs="Arial"/>
                <w:color w:val="181818"/>
                <w:lang w:val="en-GB"/>
              </w:rPr>
            </w:pPr>
            <w:r>
              <w:rPr>
                <w:rFonts w:ascii="Arial" w:hAnsi="Arial" w:cs="Arial"/>
                <w:color w:val="181818"/>
                <w:lang w:val="en-GB"/>
              </w:rPr>
              <w:t xml:space="preserve">We currently do not favour indirect </w:t>
            </w:r>
            <w:r w:rsidR="009C0031">
              <w:rPr>
                <w:rFonts w:ascii="Arial" w:hAnsi="Arial" w:cs="Arial"/>
                <w:color w:val="181818"/>
                <w:lang w:val="en-GB"/>
              </w:rPr>
              <w:t xml:space="preserve">holdings in </w:t>
            </w:r>
            <w:proofErr w:type="spellStart"/>
            <w:r w:rsidR="009C0031">
              <w:rPr>
                <w:rFonts w:ascii="Arial" w:hAnsi="Arial" w:cs="Arial"/>
                <w:color w:val="181818"/>
                <w:lang w:val="en-GB"/>
              </w:rPr>
              <w:t>cryptoassets</w:t>
            </w:r>
            <w:proofErr w:type="spellEnd"/>
            <w:r w:rsidR="009C0031">
              <w:rPr>
                <w:rFonts w:ascii="Arial" w:hAnsi="Arial" w:cs="Arial"/>
                <w:color w:val="181818"/>
                <w:lang w:val="en-GB"/>
              </w:rPr>
              <w:t xml:space="preserve"> at the present time.  However, investment may be made in companies that may be involved in the </w:t>
            </w:r>
            <w:proofErr w:type="spellStart"/>
            <w:r w:rsidR="009C0031">
              <w:rPr>
                <w:rFonts w:ascii="Arial" w:hAnsi="Arial" w:cs="Arial"/>
                <w:color w:val="181818"/>
                <w:lang w:val="en-GB"/>
              </w:rPr>
              <w:t>cryptoasset</w:t>
            </w:r>
            <w:proofErr w:type="spellEnd"/>
            <w:r w:rsidR="0066156F">
              <w:rPr>
                <w:rFonts w:ascii="Arial" w:hAnsi="Arial" w:cs="Arial"/>
                <w:color w:val="181818"/>
                <w:lang w:val="en-GB"/>
              </w:rPr>
              <w:t xml:space="preserve"> business.</w:t>
            </w:r>
            <w:r w:rsidR="009C0031">
              <w:rPr>
                <w:rFonts w:ascii="Arial" w:hAnsi="Arial" w:cs="Arial"/>
                <w:color w:val="181818"/>
                <w:lang w:val="en-GB"/>
              </w:rPr>
              <w:t xml:space="preserve"> </w:t>
            </w:r>
          </w:p>
        </w:tc>
        <w:tc>
          <w:tcPr>
            <w:tcW w:w="2551" w:type="dxa"/>
          </w:tcPr>
          <w:p w14:paraId="1FC39945" w14:textId="64642A73" w:rsidR="00B33432" w:rsidRPr="002C5DA4" w:rsidRDefault="0066156F" w:rsidP="00B33432">
            <w:pPr>
              <w:spacing w:after="250" w:line="276" w:lineRule="auto"/>
              <w:jc w:val="both"/>
              <w:rPr>
                <w:rFonts w:ascii="Arial" w:hAnsi="Arial" w:cs="Arial"/>
                <w:color w:val="181818"/>
                <w:lang w:val="en-GB"/>
              </w:rPr>
            </w:pPr>
            <w:r>
              <w:rPr>
                <w:rFonts w:ascii="Arial" w:hAnsi="Arial" w:cs="Arial"/>
                <w:color w:val="181818"/>
                <w:lang w:val="en-GB"/>
              </w:rPr>
              <w:t>N</w:t>
            </w:r>
            <w:r w:rsidR="003D4771">
              <w:rPr>
                <w:rFonts w:ascii="Arial" w:hAnsi="Arial" w:cs="Arial"/>
                <w:color w:val="181818"/>
                <w:lang w:val="en-GB"/>
              </w:rPr>
              <w:t>/a</w:t>
            </w:r>
          </w:p>
        </w:tc>
        <w:tc>
          <w:tcPr>
            <w:tcW w:w="3686" w:type="dxa"/>
          </w:tcPr>
          <w:p w14:paraId="0562CB0E" w14:textId="77777777" w:rsidR="00B33432" w:rsidRPr="002C5DA4" w:rsidRDefault="00B33432" w:rsidP="00B33432">
            <w:pPr>
              <w:spacing w:after="250" w:line="276" w:lineRule="auto"/>
              <w:jc w:val="both"/>
              <w:rPr>
                <w:rFonts w:ascii="Arial" w:hAnsi="Arial" w:cs="Arial"/>
                <w:color w:val="181818"/>
                <w:lang w:val="en-GB"/>
              </w:rPr>
            </w:pPr>
          </w:p>
        </w:tc>
      </w:tr>
      <w:tr w:rsidR="00B33432" w:rsidRPr="00B33432" w14:paraId="6582FE19" w14:textId="77777777" w:rsidTr="09FED478">
        <w:tc>
          <w:tcPr>
            <w:tcW w:w="2085" w:type="dxa"/>
          </w:tcPr>
          <w:p w14:paraId="73AF3CD4" w14:textId="77777777" w:rsidR="00B33432" w:rsidRPr="00656A8E" w:rsidRDefault="00B33432" w:rsidP="00B33432">
            <w:pPr>
              <w:spacing w:after="250" w:line="276" w:lineRule="auto"/>
              <w:rPr>
                <w:rFonts w:ascii="Arial" w:hAnsi="Arial" w:cs="Arial"/>
                <w:lang w:val="en-GB"/>
              </w:rPr>
            </w:pPr>
            <w:r w:rsidRPr="00656A8E">
              <w:rPr>
                <w:rFonts w:ascii="Arial" w:hAnsi="Arial" w:cs="Arial"/>
                <w:lang w:val="en-GB"/>
              </w:rPr>
              <w:t>8. Commodities and precious metals</w:t>
            </w:r>
            <w:r w:rsidRPr="00656A8E">
              <w:rPr>
                <w:rFonts w:ascii="Arial" w:hAnsi="Arial" w:cs="Arial"/>
                <w:sz w:val="16"/>
                <w:vertAlign w:val="superscript"/>
                <w:lang w:val="en-GB"/>
              </w:rPr>
              <w:footnoteReference w:id="9"/>
            </w:r>
          </w:p>
        </w:tc>
        <w:tc>
          <w:tcPr>
            <w:tcW w:w="2730" w:type="dxa"/>
          </w:tcPr>
          <w:p w14:paraId="34CE0A41" w14:textId="6DA58B12" w:rsidR="00B33432" w:rsidRPr="002C5DA4" w:rsidRDefault="00B33432" w:rsidP="00B33432">
            <w:pPr>
              <w:spacing w:after="250" w:line="276" w:lineRule="auto"/>
              <w:jc w:val="both"/>
              <w:rPr>
                <w:rFonts w:ascii="Arial" w:hAnsi="Arial" w:cs="Arial"/>
                <w:color w:val="181818"/>
                <w:lang w:val="en-GB"/>
              </w:rPr>
            </w:pPr>
          </w:p>
        </w:tc>
        <w:tc>
          <w:tcPr>
            <w:tcW w:w="2835" w:type="dxa"/>
          </w:tcPr>
          <w:p w14:paraId="62EBF3C5" w14:textId="7233E981" w:rsidR="00500EB5" w:rsidRPr="00500EB5" w:rsidRDefault="00CD3533" w:rsidP="00CD3533">
            <w:pPr>
              <w:spacing w:after="250" w:line="276" w:lineRule="auto"/>
              <w:jc w:val="both"/>
              <w:rPr>
                <w:rFonts w:ascii="Arial" w:hAnsi="Arial" w:cs="Arial"/>
                <w:color w:val="181818"/>
                <w:highlight w:val="cyan"/>
                <w:lang w:val="en-GB"/>
              </w:rPr>
            </w:pPr>
            <w:r w:rsidRPr="00C13318">
              <w:rPr>
                <w:rFonts w:ascii="Arial" w:hAnsi="Arial" w:cs="Arial"/>
                <w:color w:val="181818"/>
                <w:lang w:val="en-GB"/>
              </w:rPr>
              <w:t>Please see the EFAMA response</w:t>
            </w:r>
          </w:p>
        </w:tc>
        <w:tc>
          <w:tcPr>
            <w:tcW w:w="2551" w:type="dxa"/>
          </w:tcPr>
          <w:p w14:paraId="3624C948" w14:textId="72749A1E" w:rsidR="00B33432" w:rsidRDefault="00CD3533" w:rsidP="00B33432">
            <w:pPr>
              <w:spacing w:after="250" w:line="276" w:lineRule="auto"/>
              <w:jc w:val="both"/>
              <w:rPr>
                <w:rFonts w:ascii="Arial" w:hAnsi="Arial" w:cs="Arial"/>
                <w:color w:val="181818"/>
                <w:lang w:val="en-GB"/>
              </w:rPr>
            </w:pPr>
            <w:r>
              <w:rPr>
                <w:rFonts w:ascii="Arial" w:hAnsi="Arial" w:cs="Arial"/>
                <w:color w:val="181818"/>
                <w:lang w:val="en-GB"/>
              </w:rPr>
              <w:t>We have n</w:t>
            </w:r>
            <w:r w:rsidR="00BE25C1">
              <w:rPr>
                <w:rFonts w:ascii="Arial" w:hAnsi="Arial" w:cs="Arial"/>
                <w:color w:val="181818"/>
                <w:lang w:val="en-GB"/>
              </w:rPr>
              <w:t>o direct holdings</w:t>
            </w:r>
            <w:r>
              <w:rPr>
                <w:rFonts w:ascii="Arial" w:hAnsi="Arial" w:cs="Arial"/>
                <w:color w:val="181818"/>
                <w:lang w:val="en-GB"/>
              </w:rPr>
              <w:t xml:space="preserve"> in our UCITS funds</w:t>
            </w:r>
          </w:p>
          <w:p w14:paraId="5C9D3239" w14:textId="5D17FF8D" w:rsidR="00BE25C1" w:rsidRDefault="00BE25C1" w:rsidP="00B33432">
            <w:pPr>
              <w:spacing w:after="250" w:line="276" w:lineRule="auto"/>
              <w:jc w:val="both"/>
              <w:rPr>
                <w:rFonts w:ascii="Arial" w:hAnsi="Arial" w:cs="Arial"/>
                <w:color w:val="181818"/>
                <w:lang w:val="en-GB"/>
              </w:rPr>
            </w:pPr>
            <w:r>
              <w:rPr>
                <w:rFonts w:ascii="Arial" w:hAnsi="Arial" w:cs="Arial"/>
                <w:color w:val="181818"/>
                <w:lang w:val="en-GB"/>
              </w:rPr>
              <w:t xml:space="preserve">Indirect holdings </w:t>
            </w:r>
            <w:r w:rsidR="00CD3533">
              <w:rPr>
                <w:rFonts w:ascii="Arial" w:hAnsi="Arial" w:cs="Arial"/>
                <w:color w:val="181818"/>
                <w:lang w:val="en-GB"/>
              </w:rPr>
              <w:t xml:space="preserve">are </w:t>
            </w:r>
            <w:r>
              <w:rPr>
                <w:rFonts w:ascii="Arial" w:hAnsi="Arial" w:cs="Arial"/>
                <w:color w:val="181818"/>
                <w:lang w:val="en-GB"/>
              </w:rPr>
              <w:t>held via the use of</w:t>
            </w:r>
            <w:r w:rsidR="009C54E4">
              <w:rPr>
                <w:rFonts w:ascii="Arial" w:hAnsi="Arial" w:cs="Arial"/>
                <w:color w:val="181818"/>
                <w:lang w:val="en-GB"/>
              </w:rPr>
              <w:t xml:space="preserve"> commodities indices</w:t>
            </w:r>
            <w:r w:rsidR="00D564B7">
              <w:rPr>
                <w:rFonts w:ascii="Arial" w:hAnsi="Arial" w:cs="Arial"/>
                <w:color w:val="181818"/>
                <w:lang w:val="en-GB"/>
              </w:rPr>
              <w:t xml:space="preserve"> and delta-one notes.</w:t>
            </w:r>
            <w:r w:rsidR="00B51676">
              <w:rPr>
                <w:rFonts w:ascii="Arial" w:hAnsi="Arial" w:cs="Arial"/>
                <w:color w:val="181818"/>
                <w:lang w:val="en-GB"/>
              </w:rPr>
              <w:t xml:space="preserve"> Fund limits per issuer is determined by the nature of the indirect exposure as per UCITS </w:t>
            </w:r>
            <w:r w:rsidR="00B51676">
              <w:rPr>
                <w:rFonts w:ascii="Arial" w:hAnsi="Arial" w:cs="Arial"/>
                <w:color w:val="181818"/>
                <w:lang w:val="en-GB"/>
              </w:rPr>
              <w:lastRenderedPageBreak/>
              <w:t xml:space="preserve">EAD rules relating to </w:t>
            </w:r>
            <w:r w:rsidR="008D7113">
              <w:rPr>
                <w:rFonts w:ascii="Arial" w:hAnsi="Arial" w:cs="Arial"/>
                <w:color w:val="181818"/>
                <w:lang w:val="en-GB"/>
              </w:rPr>
              <w:t>investment in derivatives on indices and transferable securities.</w:t>
            </w:r>
          </w:p>
          <w:p w14:paraId="2B17AEC1" w14:textId="7988EA0F" w:rsidR="00BE187B" w:rsidRDefault="00BE187B" w:rsidP="00B33432">
            <w:pPr>
              <w:spacing w:after="250" w:line="276" w:lineRule="auto"/>
              <w:jc w:val="both"/>
              <w:rPr>
                <w:rFonts w:ascii="Arial" w:hAnsi="Arial" w:cs="Arial"/>
                <w:color w:val="181818"/>
                <w:lang w:val="en-GB"/>
              </w:rPr>
            </w:pPr>
            <w:r>
              <w:rPr>
                <w:rFonts w:ascii="Arial" w:hAnsi="Arial" w:cs="Arial"/>
                <w:color w:val="181818"/>
                <w:lang w:val="en-GB"/>
              </w:rPr>
              <w:t>In our multi asset UCITS funds the exposure is usually up to 10%</w:t>
            </w:r>
            <w:r w:rsidR="003A65BF">
              <w:rPr>
                <w:rFonts w:ascii="Arial" w:hAnsi="Arial" w:cs="Arial"/>
                <w:color w:val="181818"/>
                <w:lang w:val="en-GB"/>
              </w:rPr>
              <w:t xml:space="preserve"> thought this can vary dependent on investment </w:t>
            </w:r>
            <w:r w:rsidR="00C53E42">
              <w:rPr>
                <w:rFonts w:ascii="Arial" w:hAnsi="Arial" w:cs="Arial"/>
                <w:color w:val="181818"/>
                <w:lang w:val="en-GB"/>
              </w:rPr>
              <w:t>views.</w:t>
            </w:r>
          </w:p>
          <w:p w14:paraId="7BB69CF2" w14:textId="77777777" w:rsidR="00022B50" w:rsidRDefault="00022B50" w:rsidP="00B33432">
            <w:pPr>
              <w:spacing w:after="250" w:line="276" w:lineRule="auto"/>
              <w:jc w:val="both"/>
              <w:rPr>
                <w:rFonts w:ascii="Arial" w:hAnsi="Arial" w:cs="Arial"/>
                <w:color w:val="181818"/>
                <w:lang w:val="en-GB"/>
              </w:rPr>
            </w:pPr>
          </w:p>
          <w:p w14:paraId="6D98A12B" w14:textId="7EA55342" w:rsidR="000676A2" w:rsidRPr="002C5DA4" w:rsidRDefault="000676A2" w:rsidP="00B33432">
            <w:pPr>
              <w:spacing w:after="250" w:line="276" w:lineRule="auto"/>
              <w:jc w:val="both"/>
              <w:rPr>
                <w:rFonts w:ascii="Arial" w:hAnsi="Arial" w:cs="Arial"/>
                <w:color w:val="181818"/>
                <w:lang w:val="en-GB"/>
              </w:rPr>
            </w:pPr>
          </w:p>
        </w:tc>
        <w:tc>
          <w:tcPr>
            <w:tcW w:w="3686" w:type="dxa"/>
          </w:tcPr>
          <w:p w14:paraId="2946DB82" w14:textId="77777777" w:rsidR="00B33432" w:rsidRPr="002C5DA4" w:rsidRDefault="00B33432" w:rsidP="00B33432">
            <w:pPr>
              <w:spacing w:after="250" w:line="276" w:lineRule="auto"/>
              <w:jc w:val="both"/>
              <w:rPr>
                <w:rFonts w:ascii="Arial" w:hAnsi="Arial" w:cs="Arial"/>
                <w:color w:val="181818"/>
                <w:lang w:val="en-GB"/>
              </w:rPr>
            </w:pPr>
          </w:p>
        </w:tc>
      </w:tr>
      <w:tr w:rsidR="00B33432" w:rsidRPr="00B33432" w14:paraId="1D06A7CA" w14:textId="77777777" w:rsidTr="09FED478">
        <w:tc>
          <w:tcPr>
            <w:tcW w:w="2085" w:type="dxa"/>
          </w:tcPr>
          <w:p w14:paraId="695108F8" w14:textId="77777777" w:rsidR="00B33432" w:rsidRPr="00F5631E" w:rsidRDefault="00B33432" w:rsidP="00B33432">
            <w:pPr>
              <w:spacing w:after="250" w:line="276" w:lineRule="auto"/>
              <w:rPr>
                <w:rFonts w:ascii="Arial" w:hAnsi="Arial" w:cs="Arial"/>
                <w:lang w:val="en-GB"/>
              </w:rPr>
            </w:pPr>
            <w:r w:rsidRPr="00F5631E">
              <w:rPr>
                <w:rFonts w:ascii="Arial" w:hAnsi="Arial" w:cs="Arial"/>
                <w:lang w:val="en-GB"/>
              </w:rPr>
              <w:t>9. Exchange-traded commodities (‘ETCs’)</w:t>
            </w:r>
          </w:p>
        </w:tc>
        <w:tc>
          <w:tcPr>
            <w:tcW w:w="2730" w:type="dxa"/>
          </w:tcPr>
          <w:p w14:paraId="5997CC1D" w14:textId="441B3581" w:rsidR="00F5631E" w:rsidRPr="00676EDC" w:rsidRDefault="003457C9" w:rsidP="00F5631E">
            <w:pPr>
              <w:spacing w:after="250" w:line="276" w:lineRule="auto"/>
              <w:jc w:val="both"/>
              <w:rPr>
                <w:rFonts w:ascii="Arial" w:hAnsi="Arial" w:cs="Arial"/>
                <w:color w:val="181818"/>
                <w:highlight w:val="cyan"/>
                <w:lang w:val="en-GB"/>
              </w:rPr>
            </w:pPr>
            <w:r w:rsidRPr="003457C9">
              <w:rPr>
                <w:rFonts w:ascii="Arial" w:hAnsi="Arial" w:cs="Arial"/>
                <w:color w:val="181818"/>
                <w:lang w:val="en-GB"/>
              </w:rPr>
              <w:t>Please see EFAMA’s response</w:t>
            </w:r>
          </w:p>
        </w:tc>
        <w:tc>
          <w:tcPr>
            <w:tcW w:w="2835" w:type="dxa"/>
          </w:tcPr>
          <w:p w14:paraId="110FFD37" w14:textId="6E7B3267" w:rsidR="00B33432" w:rsidRPr="002C5DA4" w:rsidRDefault="003457C9" w:rsidP="00B33432">
            <w:pPr>
              <w:spacing w:after="250" w:line="276" w:lineRule="auto"/>
              <w:jc w:val="both"/>
              <w:rPr>
                <w:rFonts w:ascii="Arial" w:hAnsi="Arial" w:cs="Arial"/>
                <w:color w:val="181818"/>
                <w:lang w:val="en-GB"/>
              </w:rPr>
            </w:pPr>
            <w:r>
              <w:rPr>
                <w:rFonts w:ascii="Arial" w:hAnsi="Arial" w:cs="Arial"/>
                <w:color w:val="181818"/>
                <w:lang w:val="en-GB"/>
              </w:rPr>
              <w:t>N/A</w:t>
            </w:r>
          </w:p>
        </w:tc>
        <w:tc>
          <w:tcPr>
            <w:tcW w:w="2551" w:type="dxa"/>
          </w:tcPr>
          <w:p w14:paraId="14DFCAA4" w14:textId="4D8CD914" w:rsidR="00B33432" w:rsidRDefault="00A5301D" w:rsidP="00B33432">
            <w:pPr>
              <w:spacing w:after="250" w:line="276" w:lineRule="auto"/>
              <w:jc w:val="both"/>
              <w:rPr>
                <w:rFonts w:ascii="Arial" w:hAnsi="Arial" w:cs="Arial"/>
                <w:color w:val="444444"/>
                <w:shd w:val="clear" w:color="auto" w:fill="FFFFFF"/>
                <w:lang w:val="en-GB"/>
              </w:rPr>
            </w:pPr>
            <w:r w:rsidRPr="002C618F">
              <w:rPr>
                <w:rFonts w:ascii="Arial" w:hAnsi="Arial" w:cs="Arial"/>
                <w:color w:val="444444"/>
                <w:shd w:val="clear" w:color="auto" w:fill="FFFFFF"/>
                <w:lang w:val="en-GB"/>
              </w:rPr>
              <w:t xml:space="preserve">We permit holdings of </w:t>
            </w:r>
            <w:r w:rsidR="00195C86" w:rsidRPr="002C618F">
              <w:rPr>
                <w:rFonts w:ascii="Arial" w:hAnsi="Arial" w:cs="Arial"/>
                <w:color w:val="444444"/>
                <w:shd w:val="clear" w:color="auto" w:fill="FFFFFF"/>
                <w:lang w:val="en-GB"/>
              </w:rPr>
              <w:t>up to 10% per issuer allowance</w:t>
            </w:r>
            <w:r w:rsidR="002C618F" w:rsidRPr="002C618F">
              <w:rPr>
                <w:rFonts w:ascii="Arial" w:hAnsi="Arial" w:cs="Arial"/>
                <w:color w:val="444444"/>
                <w:shd w:val="clear" w:color="auto" w:fill="FFFFFF"/>
                <w:lang w:val="en-GB"/>
              </w:rPr>
              <w:t>.</w:t>
            </w:r>
            <w:r w:rsidR="00195C86" w:rsidRPr="002C618F">
              <w:rPr>
                <w:rFonts w:ascii="Arial" w:hAnsi="Arial" w:cs="Arial"/>
                <w:color w:val="444444"/>
                <w:shd w:val="clear" w:color="auto" w:fill="FFFFFF"/>
                <w:lang w:val="en-GB"/>
              </w:rPr>
              <w:t xml:space="preserve"> </w:t>
            </w:r>
            <w:r w:rsidR="002C618F" w:rsidRPr="002C618F">
              <w:rPr>
                <w:rFonts w:ascii="Arial" w:hAnsi="Arial" w:cs="Arial"/>
                <w:color w:val="444444"/>
                <w:shd w:val="clear" w:color="auto" w:fill="FFFFFF"/>
                <w:lang w:val="en-GB"/>
              </w:rPr>
              <w:t>I</w:t>
            </w:r>
            <w:r w:rsidR="00195C86" w:rsidRPr="002C618F">
              <w:rPr>
                <w:rFonts w:ascii="Arial" w:hAnsi="Arial" w:cs="Arial"/>
                <w:color w:val="444444"/>
                <w:shd w:val="clear" w:color="auto" w:fill="FFFFFF"/>
                <w:lang w:val="en-GB"/>
              </w:rPr>
              <w:t xml:space="preserve">n aggregate </w:t>
            </w:r>
            <w:r w:rsidR="002C618F" w:rsidRPr="002C618F">
              <w:rPr>
                <w:rFonts w:ascii="Arial" w:hAnsi="Arial" w:cs="Arial"/>
                <w:color w:val="444444"/>
                <w:shd w:val="clear" w:color="auto" w:fill="FFFFFF"/>
                <w:lang w:val="en-GB"/>
              </w:rPr>
              <w:t xml:space="preserve">this </w:t>
            </w:r>
            <w:r w:rsidR="00195C86" w:rsidRPr="002C618F">
              <w:rPr>
                <w:rFonts w:ascii="Arial" w:hAnsi="Arial" w:cs="Arial"/>
                <w:color w:val="444444"/>
                <w:shd w:val="clear" w:color="auto" w:fill="FFFFFF"/>
                <w:lang w:val="en-GB"/>
              </w:rPr>
              <w:t>may be above 10% for commodity focussed funds</w:t>
            </w:r>
            <w:r w:rsidR="0007600B">
              <w:rPr>
                <w:rFonts w:ascii="Arial" w:hAnsi="Arial" w:cs="Arial"/>
                <w:color w:val="444444"/>
                <w:shd w:val="clear" w:color="auto" w:fill="FFFFFF"/>
                <w:lang w:val="en-GB"/>
              </w:rPr>
              <w:t>.</w:t>
            </w:r>
          </w:p>
          <w:p w14:paraId="6B699379" w14:textId="7C947084" w:rsidR="00195C86" w:rsidRPr="00195C86" w:rsidRDefault="00195C86" w:rsidP="00B33432">
            <w:pPr>
              <w:spacing w:after="250" w:line="276" w:lineRule="auto"/>
              <w:jc w:val="both"/>
              <w:rPr>
                <w:rFonts w:ascii="Arial" w:hAnsi="Arial" w:cs="Arial"/>
                <w:color w:val="181818"/>
                <w:lang w:val="en-GB"/>
              </w:rPr>
            </w:pPr>
          </w:p>
        </w:tc>
        <w:tc>
          <w:tcPr>
            <w:tcW w:w="3686" w:type="dxa"/>
          </w:tcPr>
          <w:p w14:paraId="3FE9F23F" w14:textId="77777777" w:rsidR="00B33432" w:rsidRPr="002C5DA4" w:rsidRDefault="00B33432" w:rsidP="00B33432">
            <w:pPr>
              <w:spacing w:after="250" w:line="276" w:lineRule="auto"/>
              <w:jc w:val="both"/>
              <w:rPr>
                <w:rFonts w:ascii="Arial" w:hAnsi="Arial" w:cs="Arial"/>
                <w:color w:val="181818"/>
                <w:lang w:val="en-GB"/>
              </w:rPr>
            </w:pPr>
          </w:p>
        </w:tc>
      </w:tr>
      <w:tr w:rsidR="00B33432" w:rsidRPr="00B33432" w14:paraId="241FBBEE" w14:textId="77777777" w:rsidTr="09FED478">
        <w:tc>
          <w:tcPr>
            <w:tcW w:w="2085" w:type="dxa"/>
          </w:tcPr>
          <w:p w14:paraId="168EC9A2" w14:textId="7B70AC0E" w:rsidR="00B33432" w:rsidRPr="00B33432" w:rsidRDefault="00B33432" w:rsidP="00B33432">
            <w:pPr>
              <w:spacing w:after="250" w:line="276" w:lineRule="auto"/>
              <w:rPr>
                <w:rFonts w:ascii="Arial" w:hAnsi="Arial" w:cs="Arial"/>
              </w:rPr>
            </w:pPr>
            <w:r w:rsidRPr="00181B10">
              <w:rPr>
                <w:rFonts w:ascii="Arial" w:hAnsi="Arial" w:cs="Arial"/>
              </w:rPr>
              <w:t>10</w:t>
            </w:r>
            <w:r w:rsidRPr="00B33432">
              <w:rPr>
                <w:rFonts w:ascii="Arial" w:hAnsi="Arial" w:cs="Arial"/>
              </w:rPr>
              <w:t xml:space="preserve">. Real </w:t>
            </w:r>
            <w:proofErr w:type="spellStart"/>
            <w:r w:rsidR="00C44A9D">
              <w:rPr>
                <w:rFonts w:ascii="Arial" w:hAnsi="Arial" w:cs="Arial"/>
              </w:rPr>
              <w:t>E</w:t>
            </w:r>
            <w:r w:rsidRPr="00B33432">
              <w:rPr>
                <w:rFonts w:ascii="Arial" w:hAnsi="Arial" w:cs="Arial"/>
              </w:rPr>
              <w:t>state</w:t>
            </w:r>
            <w:proofErr w:type="spellEnd"/>
          </w:p>
        </w:tc>
        <w:tc>
          <w:tcPr>
            <w:tcW w:w="2730" w:type="dxa"/>
          </w:tcPr>
          <w:p w14:paraId="65FF79B1" w14:textId="77777777" w:rsidR="00181B10" w:rsidRPr="00181B10" w:rsidRDefault="00181B10" w:rsidP="00181B10">
            <w:pPr>
              <w:shd w:val="clear" w:color="auto" w:fill="FFFFFF"/>
              <w:spacing w:before="100" w:beforeAutospacing="1" w:after="100" w:afterAutospacing="1"/>
              <w:rPr>
                <w:rFonts w:ascii="Arial" w:eastAsia="Times New Roman" w:hAnsi="Arial" w:cs="Arial"/>
                <w:color w:val="000000"/>
                <w:lang w:val="en-GB" w:eastAsia="zh-CN"/>
              </w:rPr>
            </w:pPr>
            <w:r w:rsidRPr="0007600B">
              <w:rPr>
                <w:rFonts w:ascii="Arial" w:eastAsia="Times New Roman" w:hAnsi="Arial" w:cs="Arial"/>
                <w:b/>
                <w:bCs/>
                <w:color w:val="000000"/>
                <w:lang w:val="en-GB" w:eastAsia="zh-CN"/>
              </w:rPr>
              <w:t>Potential for Income Generation</w:t>
            </w:r>
            <w:r w:rsidRPr="00181B10">
              <w:rPr>
                <w:rFonts w:ascii="Arial" w:eastAsia="Times New Roman" w:hAnsi="Arial" w:cs="Arial"/>
                <w:color w:val="000000"/>
                <w:lang w:val="en-GB" w:eastAsia="zh-CN"/>
              </w:rPr>
              <w:t>: Direct ownership of real estate can generate rental income, providing a steady cash flow.</w:t>
            </w:r>
          </w:p>
          <w:p w14:paraId="14EC7390" w14:textId="30D09C10" w:rsidR="00181B10" w:rsidRPr="00181B10" w:rsidRDefault="0004030F" w:rsidP="00181B10">
            <w:pPr>
              <w:shd w:val="clear" w:color="auto" w:fill="FFFFFF"/>
              <w:spacing w:before="100" w:beforeAutospacing="1" w:after="100" w:afterAutospacing="1"/>
              <w:rPr>
                <w:rFonts w:ascii="Arial" w:eastAsia="Times New Roman" w:hAnsi="Arial" w:cs="Arial"/>
                <w:color w:val="000000"/>
                <w:lang w:val="en-GB" w:eastAsia="zh-CN"/>
              </w:rPr>
            </w:pPr>
            <w:r>
              <w:rPr>
                <w:rFonts w:ascii="Arial" w:eastAsia="Times New Roman" w:hAnsi="Arial" w:cs="Arial"/>
                <w:b/>
                <w:bCs/>
                <w:color w:val="000000"/>
                <w:lang w:val="en-GB" w:eastAsia="zh-CN"/>
              </w:rPr>
              <w:lastRenderedPageBreak/>
              <w:t>Capital a</w:t>
            </w:r>
            <w:r w:rsidR="00181B10" w:rsidRPr="0007600B">
              <w:rPr>
                <w:rFonts w:ascii="Arial" w:eastAsia="Times New Roman" w:hAnsi="Arial" w:cs="Arial"/>
                <w:b/>
                <w:bCs/>
                <w:color w:val="000000"/>
                <w:lang w:val="en-GB" w:eastAsia="zh-CN"/>
              </w:rPr>
              <w:t>ppreciation</w:t>
            </w:r>
            <w:r w:rsidR="00181B10" w:rsidRPr="00181B10">
              <w:rPr>
                <w:rFonts w:ascii="Arial" w:eastAsia="Times New Roman" w:hAnsi="Arial" w:cs="Arial"/>
                <w:color w:val="000000"/>
                <w:lang w:val="en-GB" w:eastAsia="zh-CN"/>
              </w:rPr>
              <w:t xml:space="preserve">: Real estate </w:t>
            </w:r>
            <w:r>
              <w:rPr>
                <w:rFonts w:ascii="Arial" w:eastAsia="Times New Roman" w:hAnsi="Arial" w:cs="Arial"/>
                <w:color w:val="000000"/>
                <w:lang w:val="en-GB" w:eastAsia="zh-CN"/>
              </w:rPr>
              <w:t>assets have historically been shown to</w:t>
            </w:r>
            <w:r w:rsidR="00181B10" w:rsidRPr="00181B10">
              <w:rPr>
                <w:rFonts w:ascii="Arial" w:eastAsia="Times New Roman" w:hAnsi="Arial" w:cs="Arial"/>
                <w:color w:val="000000"/>
                <w:lang w:val="en-GB" w:eastAsia="zh-CN"/>
              </w:rPr>
              <w:t xml:space="preserve"> </w:t>
            </w:r>
            <w:proofErr w:type="gramStart"/>
            <w:r w:rsidR="00181B10" w:rsidRPr="00181B10">
              <w:rPr>
                <w:rFonts w:ascii="Arial" w:eastAsia="Times New Roman" w:hAnsi="Arial" w:cs="Arial"/>
                <w:color w:val="000000"/>
                <w:lang w:val="en-GB" w:eastAsia="zh-CN"/>
              </w:rPr>
              <w:t>appreciate in value</w:t>
            </w:r>
            <w:proofErr w:type="gramEnd"/>
            <w:r w:rsidR="00181B10" w:rsidRPr="00181B10">
              <w:rPr>
                <w:rFonts w:ascii="Arial" w:eastAsia="Times New Roman" w:hAnsi="Arial" w:cs="Arial"/>
                <w:color w:val="000000"/>
                <w:lang w:val="en-GB" w:eastAsia="zh-CN"/>
              </w:rPr>
              <w:t xml:space="preserve"> over time, potentially leading to significant capital gains upon sale</w:t>
            </w:r>
            <w:r>
              <w:rPr>
                <w:rFonts w:ascii="Arial" w:eastAsia="Times New Roman" w:hAnsi="Arial" w:cs="Arial"/>
                <w:color w:val="000000"/>
                <w:lang w:val="en-GB" w:eastAsia="zh-CN"/>
              </w:rPr>
              <w:t xml:space="preserve"> especially when appropriately leveraged</w:t>
            </w:r>
            <w:r w:rsidR="00181B10" w:rsidRPr="00181B10">
              <w:rPr>
                <w:rFonts w:ascii="Arial" w:eastAsia="Times New Roman" w:hAnsi="Arial" w:cs="Arial"/>
                <w:color w:val="000000"/>
                <w:lang w:val="en-GB" w:eastAsia="zh-CN"/>
              </w:rPr>
              <w:t>.</w:t>
            </w:r>
          </w:p>
          <w:p w14:paraId="5BC6E9BF" w14:textId="55F75120" w:rsidR="00181B10" w:rsidRPr="00181B10" w:rsidRDefault="00181B10" w:rsidP="00181B10">
            <w:pPr>
              <w:shd w:val="clear" w:color="auto" w:fill="FFFFFF"/>
              <w:spacing w:before="100" w:beforeAutospacing="1" w:after="100" w:afterAutospacing="1"/>
              <w:rPr>
                <w:rFonts w:ascii="Arial" w:eastAsia="Times New Roman" w:hAnsi="Arial" w:cs="Arial"/>
                <w:color w:val="000000"/>
                <w:lang w:val="en-GB" w:eastAsia="zh-CN"/>
              </w:rPr>
            </w:pPr>
            <w:r w:rsidRPr="0007600B">
              <w:rPr>
                <w:rFonts w:ascii="Arial" w:eastAsia="Times New Roman" w:hAnsi="Arial" w:cs="Arial"/>
                <w:b/>
                <w:bCs/>
                <w:color w:val="000000"/>
                <w:lang w:val="en-GB" w:eastAsia="zh-CN"/>
              </w:rPr>
              <w:t>Inflation Hedge</w:t>
            </w:r>
            <w:r w:rsidRPr="00181B10">
              <w:rPr>
                <w:rFonts w:ascii="Arial" w:eastAsia="Times New Roman" w:hAnsi="Arial" w:cs="Arial"/>
                <w:color w:val="000000"/>
                <w:lang w:val="en-GB" w:eastAsia="zh-CN"/>
              </w:rPr>
              <w:t>:</w:t>
            </w:r>
            <w:r w:rsidR="0004030F">
              <w:rPr>
                <w:rFonts w:ascii="Arial" w:eastAsia="Times New Roman" w:hAnsi="Arial" w:cs="Arial"/>
                <w:color w:val="000000"/>
                <w:lang w:val="en-GB" w:eastAsia="zh-CN"/>
              </w:rPr>
              <w:t xml:space="preserve"> Asset</w:t>
            </w:r>
            <w:r w:rsidRPr="00181B10">
              <w:rPr>
                <w:rFonts w:ascii="Arial" w:eastAsia="Times New Roman" w:hAnsi="Arial" w:cs="Arial"/>
                <w:color w:val="000000"/>
                <w:lang w:val="en-GB" w:eastAsia="zh-CN"/>
              </w:rPr>
              <w:t xml:space="preserve"> values and rents </w:t>
            </w:r>
            <w:r w:rsidR="0004030F">
              <w:rPr>
                <w:rFonts w:ascii="Arial" w:eastAsia="Times New Roman" w:hAnsi="Arial" w:cs="Arial"/>
                <w:color w:val="000000"/>
                <w:lang w:val="en-GB" w:eastAsia="zh-CN"/>
              </w:rPr>
              <w:t xml:space="preserve">have historically </w:t>
            </w:r>
            <w:r w:rsidRPr="00181B10">
              <w:rPr>
                <w:rFonts w:ascii="Arial" w:eastAsia="Times New Roman" w:hAnsi="Arial" w:cs="Arial"/>
                <w:color w:val="000000"/>
                <w:lang w:val="en-GB" w:eastAsia="zh-CN"/>
              </w:rPr>
              <w:t>tend</w:t>
            </w:r>
            <w:r w:rsidR="0004030F">
              <w:rPr>
                <w:rFonts w:ascii="Arial" w:eastAsia="Times New Roman" w:hAnsi="Arial" w:cs="Arial"/>
                <w:color w:val="000000"/>
                <w:lang w:val="en-GB" w:eastAsia="zh-CN"/>
              </w:rPr>
              <w:t>ed</w:t>
            </w:r>
            <w:r w:rsidRPr="00181B10">
              <w:rPr>
                <w:rFonts w:ascii="Arial" w:eastAsia="Times New Roman" w:hAnsi="Arial" w:cs="Arial"/>
                <w:color w:val="000000"/>
                <w:lang w:val="en-GB" w:eastAsia="zh-CN"/>
              </w:rPr>
              <w:t xml:space="preserve"> to rise with inflation, providing a hedge against a loss of purchasing power.</w:t>
            </w:r>
          </w:p>
          <w:p w14:paraId="651CDCE6" w14:textId="77777777" w:rsidR="00181B10" w:rsidRPr="00181B10" w:rsidRDefault="00181B10" w:rsidP="00E04BA9">
            <w:pPr>
              <w:shd w:val="clear" w:color="auto" w:fill="FFFFFF"/>
              <w:spacing w:before="100" w:beforeAutospacing="1" w:after="100" w:afterAutospacing="1"/>
              <w:rPr>
                <w:rFonts w:ascii="Arial" w:eastAsia="Times New Roman" w:hAnsi="Arial" w:cs="Arial"/>
                <w:color w:val="000000"/>
                <w:lang w:val="en-GB" w:eastAsia="zh-CN"/>
              </w:rPr>
            </w:pPr>
            <w:r w:rsidRPr="0007600B">
              <w:rPr>
                <w:rFonts w:ascii="Arial" w:eastAsia="Times New Roman" w:hAnsi="Arial" w:cs="Arial"/>
                <w:b/>
                <w:bCs/>
                <w:color w:val="000000"/>
                <w:lang w:val="en-GB" w:eastAsia="zh-CN"/>
              </w:rPr>
              <w:t>Diversification:</w:t>
            </w:r>
            <w:r w:rsidRPr="00181B10">
              <w:rPr>
                <w:rFonts w:ascii="Arial" w:eastAsia="Times New Roman" w:hAnsi="Arial" w:cs="Arial"/>
                <w:color w:val="000000"/>
                <w:lang w:val="en-GB" w:eastAsia="zh-CN"/>
              </w:rPr>
              <w:t xml:space="preserve"> Including real estate in an investment portfolio can diversify asset exposure, potentially reducing overall portfolio risk.</w:t>
            </w:r>
          </w:p>
          <w:p w14:paraId="1F53536D" w14:textId="77777777" w:rsidR="00181B10" w:rsidRDefault="00181B10" w:rsidP="00E04BA9">
            <w:pPr>
              <w:shd w:val="clear" w:color="auto" w:fill="FFFFFF"/>
              <w:spacing w:before="100" w:beforeAutospacing="1" w:after="100" w:afterAutospacing="1"/>
              <w:rPr>
                <w:rFonts w:ascii="Arial" w:eastAsia="Times New Roman" w:hAnsi="Arial" w:cs="Arial"/>
                <w:color w:val="000000"/>
                <w:lang w:val="en-GB" w:eastAsia="zh-CN"/>
              </w:rPr>
            </w:pPr>
            <w:r w:rsidRPr="0007600B">
              <w:rPr>
                <w:rFonts w:ascii="Arial" w:eastAsia="Times New Roman" w:hAnsi="Arial" w:cs="Arial"/>
                <w:b/>
                <w:bCs/>
                <w:color w:val="000000"/>
                <w:lang w:val="en-GB" w:eastAsia="zh-CN"/>
              </w:rPr>
              <w:t>Leverage:</w:t>
            </w:r>
            <w:r w:rsidRPr="00181B10">
              <w:rPr>
                <w:rFonts w:ascii="Arial" w:eastAsia="Times New Roman" w:hAnsi="Arial" w:cs="Arial"/>
                <w:color w:val="000000"/>
                <w:lang w:val="en-GB" w:eastAsia="zh-CN"/>
              </w:rPr>
              <w:t xml:space="preserve"> Investors can use financing to purchase real estate, which can amplify returns.</w:t>
            </w:r>
          </w:p>
          <w:p w14:paraId="6E3091AF" w14:textId="4BF6940A" w:rsidR="0004030F" w:rsidRPr="00181B10" w:rsidRDefault="0004030F" w:rsidP="00E04BA9">
            <w:pPr>
              <w:shd w:val="clear" w:color="auto" w:fill="FFFFFF"/>
              <w:spacing w:before="100" w:beforeAutospacing="1" w:after="100" w:afterAutospacing="1"/>
              <w:rPr>
                <w:rFonts w:ascii="Arial" w:eastAsia="Times New Roman" w:hAnsi="Arial" w:cs="Arial"/>
                <w:color w:val="000000"/>
                <w:lang w:val="en-GB" w:eastAsia="zh-CN"/>
              </w:rPr>
            </w:pPr>
            <w:r>
              <w:rPr>
                <w:rFonts w:ascii="Arial" w:eastAsia="Times New Roman" w:hAnsi="Arial" w:cs="Arial"/>
                <w:color w:val="000000"/>
                <w:lang w:val="en-GB" w:eastAsia="zh-CN"/>
              </w:rPr>
              <w:t xml:space="preserve">Control: Investors have direct control over the management, leasing and sale of the property, allowing them to make </w:t>
            </w:r>
            <w:r>
              <w:rPr>
                <w:rFonts w:ascii="Arial" w:eastAsia="Times New Roman" w:hAnsi="Arial" w:cs="Arial"/>
                <w:color w:val="000000"/>
                <w:lang w:val="en-GB" w:eastAsia="zh-CN"/>
              </w:rPr>
              <w:lastRenderedPageBreak/>
              <w:t>decisions that can enhance the investment’s value.</w:t>
            </w:r>
          </w:p>
          <w:p w14:paraId="11F00A30" w14:textId="77777777" w:rsidR="00B33432" w:rsidRDefault="00E04BA9" w:rsidP="0007600B">
            <w:pPr>
              <w:shd w:val="clear" w:color="auto" w:fill="FFFFFF"/>
              <w:spacing w:before="100" w:beforeAutospacing="1" w:after="100" w:afterAutospacing="1"/>
              <w:rPr>
                <w:rFonts w:ascii="Arial" w:eastAsia="Times New Roman" w:hAnsi="Arial" w:cs="Arial"/>
                <w:color w:val="000000"/>
                <w:lang w:val="en-GB" w:eastAsia="zh-CN"/>
              </w:rPr>
            </w:pPr>
            <w:r w:rsidRPr="0007600B">
              <w:rPr>
                <w:rFonts w:ascii="Arial" w:eastAsia="Times New Roman" w:hAnsi="Arial" w:cs="Arial"/>
                <w:b/>
                <w:bCs/>
                <w:color w:val="000000"/>
                <w:lang w:val="en-GB" w:eastAsia="zh-CN"/>
              </w:rPr>
              <w:t>T</w:t>
            </w:r>
            <w:r w:rsidR="00181B10" w:rsidRPr="0007600B">
              <w:rPr>
                <w:rFonts w:ascii="Arial" w:eastAsia="Times New Roman" w:hAnsi="Arial" w:cs="Arial"/>
                <w:b/>
                <w:bCs/>
                <w:color w:val="000000"/>
                <w:lang w:val="en-GB" w:eastAsia="zh-CN"/>
              </w:rPr>
              <w:t>angible Asset:</w:t>
            </w:r>
            <w:r w:rsidR="00181B10" w:rsidRPr="00181B10">
              <w:rPr>
                <w:rFonts w:ascii="Arial" w:eastAsia="Times New Roman" w:hAnsi="Arial" w:cs="Arial"/>
                <w:color w:val="000000"/>
                <w:lang w:val="en-GB" w:eastAsia="zh-CN"/>
              </w:rPr>
              <w:t xml:space="preserve"> Real estate is a physical asset that provides security against investment loss compared to more volatile assets like stocks.</w:t>
            </w:r>
          </w:p>
          <w:p w14:paraId="1F72F646" w14:textId="40519B7D" w:rsidR="0004030F" w:rsidRPr="0007600B" w:rsidRDefault="0004030F" w:rsidP="0007600B">
            <w:pPr>
              <w:shd w:val="clear" w:color="auto" w:fill="FFFFFF"/>
              <w:spacing w:before="100" w:beforeAutospacing="1" w:after="100" w:afterAutospacing="1"/>
              <w:rPr>
                <w:rFonts w:ascii="Arial" w:eastAsia="Times New Roman" w:hAnsi="Arial" w:cs="Arial"/>
                <w:color w:val="000000"/>
                <w:lang w:val="en-GB" w:eastAsia="zh-CN"/>
              </w:rPr>
            </w:pPr>
            <w:r w:rsidRPr="0004030F">
              <w:rPr>
                <w:rFonts w:ascii="Arial" w:eastAsia="Times New Roman" w:hAnsi="Arial" w:cs="Arial"/>
                <w:b/>
                <w:bCs/>
                <w:color w:val="000000"/>
                <w:lang w:val="en-GB" w:eastAsia="zh-CN"/>
              </w:rPr>
              <w:t>Transferability</w:t>
            </w:r>
            <w:r>
              <w:rPr>
                <w:rFonts w:ascii="Arial" w:eastAsia="Times New Roman" w:hAnsi="Arial" w:cs="Arial"/>
                <w:color w:val="000000"/>
                <w:lang w:val="en-GB" w:eastAsia="zh-CN"/>
              </w:rPr>
              <w:t xml:space="preserve">:  Whilst assets may be relatively illiquid, real estate markets </w:t>
            </w:r>
            <w:proofErr w:type="gramStart"/>
            <w:r>
              <w:rPr>
                <w:rFonts w:ascii="Arial" w:eastAsia="Times New Roman" w:hAnsi="Arial" w:cs="Arial"/>
                <w:color w:val="000000"/>
                <w:lang w:val="en-GB" w:eastAsia="zh-CN"/>
              </w:rPr>
              <w:t>are considered to be</w:t>
            </w:r>
            <w:proofErr w:type="gramEnd"/>
            <w:r>
              <w:rPr>
                <w:rFonts w:ascii="Arial" w:eastAsia="Times New Roman" w:hAnsi="Arial" w:cs="Arial"/>
                <w:color w:val="000000"/>
                <w:lang w:val="en-GB" w:eastAsia="zh-CN"/>
              </w:rPr>
              <w:t xml:space="preserve"> mature and functioning markets with many participants.</w:t>
            </w:r>
          </w:p>
        </w:tc>
        <w:tc>
          <w:tcPr>
            <w:tcW w:w="2835" w:type="dxa"/>
          </w:tcPr>
          <w:p w14:paraId="1D3AAFB2" w14:textId="77777777" w:rsidR="007270EE" w:rsidRDefault="006D1785" w:rsidP="00B33432">
            <w:pPr>
              <w:spacing w:after="250" w:line="276" w:lineRule="auto"/>
              <w:jc w:val="both"/>
              <w:rPr>
                <w:rFonts w:ascii="Arial" w:hAnsi="Arial" w:cs="Arial"/>
                <w:color w:val="181818"/>
                <w:lang w:val="en-GB"/>
              </w:rPr>
            </w:pPr>
            <w:r>
              <w:rPr>
                <w:rFonts w:ascii="Arial" w:hAnsi="Arial" w:cs="Arial"/>
                <w:color w:val="181818"/>
                <w:lang w:val="en-GB"/>
              </w:rPr>
              <w:lastRenderedPageBreak/>
              <w:t>Indirect exposure may be through property securities (</w:t>
            </w:r>
            <w:r w:rsidR="00CF7786">
              <w:rPr>
                <w:rFonts w:ascii="Arial" w:hAnsi="Arial" w:cs="Arial"/>
                <w:color w:val="181818"/>
                <w:lang w:val="en-GB"/>
              </w:rPr>
              <w:t>i.e.</w:t>
            </w:r>
            <w:r>
              <w:rPr>
                <w:rFonts w:ascii="Arial" w:hAnsi="Arial" w:cs="Arial"/>
                <w:color w:val="181818"/>
                <w:lang w:val="en-GB"/>
              </w:rPr>
              <w:t xml:space="preserve"> </w:t>
            </w:r>
            <w:r w:rsidR="00CF7786">
              <w:rPr>
                <w:rFonts w:ascii="Arial" w:hAnsi="Arial" w:cs="Arial"/>
                <w:color w:val="181818"/>
                <w:lang w:val="en-GB"/>
              </w:rPr>
              <w:t xml:space="preserve">property </w:t>
            </w:r>
            <w:r>
              <w:rPr>
                <w:rFonts w:ascii="Arial" w:hAnsi="Arial" w:cs="Arial"/>
                <w:color w:val="181818"/>
                <w:lang w:val="en-GB"/>
              </w:rPr>
              <w:t xml:space="preserve">companies listed on a regulated market) as well as through </w:t>
            </w:r>
            <w:r w:rsidR="00944367">
              <w:rPr>
                <w:rFonts w:ascii="Arial" w:hAnsi="Arial" w:cs="Arial"/>
                <w:color w:val="181818"/>
                <w:lang w:val="en-GB"/>
              </w:rPr>
              <w:t xml:space="preserve">collective </w:t>
            </w:r>
            <w:r w:rsidR="00944367">
              <w:rPr>
                <w:rFonts w:ascii="Arial" w:hAnsi="Arial" w:cs="Arial"/>
                <w:color w:val="181818"/>
                <w:lang w:val="en-GB"/>
              </w:rPr>
              <w:lastRenderedPageBreak/>
              <w:t>investment vehicles and REITs.</w:t>
            </w:r>
          </w:p>
          <w:p w14:paraId="5D1D2D91" w14:textId="7FD13844" w:rsidR="0004030F" w:rsidRDefault="0004030F" w:rsidP="00B33432">
            <w:pPr>
              <w:spacing w:after="250" w:line="276" w:lineRule="auto"/>
              <w:jc w:val="both"/>
              <w:rPr>
                <w:rFonts w:ascii="Arial" w:hAnsi="Arial" w:cs="Arial"/>
                <w:color w:val="181818"/>
                <w:lang w:val="en-GB"/>
              </w:rPr>
            </w:pPr>
            <w:r>
              <w:rPr>
                <w:rFonts w:ascii="Arial" w:hAnsi="Arial" w:cs="Arial"/>
                <w:color w:val="181818"/>
                <w:lang w:val="en-GB"/>
              </w:rPr>
              <w:t>Indirect exposure would provide exposure to a variety of assets and therefore could reduce the risk associated with the liquidity of the asset.  It would also reduce the complexities and costs of direct ownership.</w:t>
            </w:r>
          </w:p>
          <w:p w14:paraId="08CE6F91" w14:textId="0DCF8C3C" w:rsidR="003F6389" w:rsidRPr="002C5DA4" w:rsidRDefault="00D35309" w:rsidP="00B33432">
            <w:pPr>
              <w:spacing w:after="250" w:line="276" w:lineRule="auto"/>
              <w:jc w:val="both"/>
              <w:rPr>
                <w:rFonts w:ascii="Arial" w:hAnsi="Arial" w:cs="Arial"/>
                <w:color w:val="181818"/>
                <w:lang w:val="en-GB"/>
              </w:rPr>
            </w:pPr>
            <w:r>
              <w:rPr>
                <w:rFonts w:ascii="Arial" w:hAnsi="Arial" w:cs="Arial"/>
                <w:color w:val="181818"/>
                <w:lang w:val="en-GB"/>
              </w:rPr>
              <w:t>.</w:t>
            </w:r>
          </w:p>
        </w:tc>
        <w:tc>
          <w:tcPr>
            <w:tcW w:w="2551" w:type="dxa"/>
          </w:tcPr>
          <w:p w14:paraId="61CDCEAD" w14:textId="3F8C62A8" w:rsidR="00B33432" w:rsidRPr="002C5DA4" w:rsidRDefault="000B43D3" w:rsidP="00B33432">
            <w:pPr>
              <w:spacing w:after="250" w:line="276" w:lineRule="auto"/>
              <w:jc w:val="both"/>
              <w:rPr>
                <w:rFonts w:ascii="Arial" w:hAnsi="Arial" w:cs="Arial"/>
                <w:color w:val="181818"/>
                <w:lang w:val="en-GB"/>
              </w:rPr>
            </w:pPr>
            <w:r>
              <w:rPr>
                <w:rFonts w:ascii="Arial" w:hAnsi="Arial" w:cs="Arial"/>
                <w:color w:val="181818"/>
                <w:lang w:val="en-GB"/>
              </w:rPr>
              <w:lastRenderedPageBreak/>
              <w:t>Not permitted</w:t>
            </w:r>
          </w:p>
        </w:tc>
        <w:tc>
          <w:tcPr>
            <w:tcW w:w="3686" w:type="dxa"/>
          </w:tcPr>
          <w:p w14:paraId="6BB9E253" w14:textId="77777777" w:rsidR="00B33432" w:rsidRPr="002C5DA4" w:rsidRDefault="00B33432" w:rsidP="00B33432">
            <w:pPr>
              <w:spacing w:after="250" w:line="276" w:lineRule="auto"/>
              <w:jc w:val="both"/>
              <w:rPr>
                <w:rFonts w:ascii="Arial" w:hAnsi="Arial" w:cs="Arial"/>
                <w:color w:val="181818"/>
                <w:lang w:val="en-GB"/>
              </w:rPr>
            </w:pPr>
          </w:p>
        </w:tc>
      </w:tr>
      <w:tr w:rsidR="00B33432" w:rsidRPr="00B33432" w14:paraId="7FD6362C" w14:textId="77777777" w:rsidTr="09FED478">
        <w:tc>
          <w:tcPr>
            <w:tcW w:w="2085" w:type="dxa"/>
          </w:tcPr>
          <w:p w14:paraId="146B0B65" w14:textId="77777777" w:rsidR="00B33432" w:rsidRPr="008A310D" w:rsidRDefault="00B33432" w:rsidP="00B33432">
            <w:pPr>
              <w:spacing w:after="250" w:line="276" w:lineRule="auto"/>
              <w:rPr>
                <w:rFonts w:ascii="Arial" w:hAnsi="Arial" w:cs="Arial"/>
                <w:lang w:val="en-GB"/>
              </w:rPr>
            </w:pPr>
            <w:r w:rsidRPr="008A310D">
              <w:rPr>
                <w:rFonts w:ascii="Arial" w:hAnsi="Arial" w:cs="Arial"/>
                <w:lang w:val="en-GB"/>
              </w:rPr>
              <w:lastRenderedPageBreak/>
              <w:t>11. Real Estate Investment Trusts (‘REITs’)</w:t>
            </w:r>
          </w:p>
        </w:tc>
        <w:tc>
          <w:tcPr>
            <w:tcW w:w="2730" w:type="dxa"/>
          </w:tcPr>
          <w:p w14:paraId="23DE523C" w14:textId="3EAB4506" w:rsidR="00DC559D" w:rsidRPr="00DF2899" w:rsidRDefault="00DF2899" w:rsidP="00B33432">
            <w:pPr>
              <w:spacing w:after="250" w:line="276" w:lineRule="auto"/>
              <w:jc w:val="both"/>
              <w:rPr>
                <w:rFonts w:ascii="Arial" w:hAnsi="Arial" w:cs="Arial"/>
                <w:color w:val="181818"/>
                <w:lang w:val="en-GB"/>
              </w:rPr>
            </w:pPr>
            <w:r>
              <w:rPr>
                <w:rFonts w:ascii="Arial" w:hAnsi="Arial" w:cs="Arial"/>
                <w:color w:val="181818"/>
                <w:lang w:val="en-GB"/>
              </w:rPr>
              <w:t>Please see EFAMA’s comments</w:t>
            </w:r>
          </w:p>
        </w:tc>
        <w:tc>
          <w:tcPr>
            <w:tcW w:w="2835" w:type="dxa"/>
          </w:tcPr>
          <w:p w14:paraId="52E56223" w14:textId="4B83C076" w:rsidR="00B33432" w:rsidRPr="002C5DA4" w:rsidRDefault="00B82DF1" w:rsidP="00B33432">
            <w:pPr>
              <w:spacing w:after="250" w:line="276" w:lineRule="auto"/>
              <w:jc w:val="both"/>
              <w:rPr>
                <w:rFonts w:ascii="Arial" w:hAnsi="Arial" w:cs="Arial"/>
                <w:color w:val="181818"/>
                <w:lang w:val="en-GB"/>
              </w:rPr>
            </w:pPr>
            <w:r>
              <w:rPr>
                <w:rFonts w:ascii="Arial" w:hAnsi="Arial" w:cs="Arial"/>
                <w:color w:val="181818"/>
                <w:lang w:val="en-GB"/>
              </w:rPr>
              <w:t xml:space="preserve">Unlikely to </w:t>
            </w:r>
            <w:r w:rsidR="00592F67">
              <w:rPr>
                <w:rFonts w:ascii="Arial" w:hAnsi="Arial" w:cs="Arial"/>
                <w:color w:val="181818"/>
                <w:lang w:val="en-GB"/>
              </w:rPr>
              <w:t>get</w:t>
            </w:r>
            <w:r>
              <w:rPr>
                <w:rFonts w:ascii="Arial" w:hAnsi="Arial" w:cs="Arial"/>
                <w:color w:val="181818"/>
                <w:lang w:val="en-GB"/>
              </w:rPr>
              <w:t xml:space="preserve"> indirect exposure to REITs</w:t>
            </w:r>
            <w:r w:rsidR="00592F67">
              <w:rPr>
                <w:rFonts w:ascii="Arial" w:hAnsi="Arial" w:cs="Arial"/>
                <w:color w:val="181818"/>
                <w:lang w:val="en-GB"/>
              </w:rPr>
              <w:t xml:space="preserve"> as they are considered transferable securities.</w:t>
            </w:r>
          </w:p>
        </w:tc>
        <w:tc>
          <w:tcPr>
            <w:tcW w:w="2551" w:type="dxa"/>
          </w:tcPr>
          <w:p w14:paraId="07547A01" w14:textId="4C5F2E21" w:rsidR="00B33432" w:rsidRPr="002C5DA4" w:rsidRDefault="00592F67" w:rsidP="00B33432">
            <w:pPr>
              <w:spacing w:after="250" w:line="276" w:lineRule="auto"/>
              <w:jc w:val="both"/>
              <w:rPr>
                <w:rFonts w:ascii="Arial" w:hAnsi="Arial" w:cs="Arial"/>
                <w:color w:val="181818"/>
                <w:lang w:val="en-GB"/>
              </w:rPr>
            </w:pPr>
            <w:proofErr w:type="gramStart"/>
            <w:r>
              <w:rPr>
                <w:rFonts w:ascii="Arial" w:hAnsi="Arial" w:cs="Arial"/>
                <w:color w:val="181818"/>
                <w:lang w:val="en-GB"/>
              </w:rPr>
              <w:t>Generally</w:t>
            </w:r>
            <w:proofErr w:type="gramEnd"/>
            <w:r>
              <w:rPr>
                <w:rFonts w:ascii="Arial" w:hAnsi="Arial" w:cs="Arial"/>
                <w:color w:val="181818"/>
                <w:lang w:val="en-GB"/>
              </w:rPr>
              <w:t xml:space="preserve"> less than 10% of fund value</w:t>
            </w:r>
            <w:r w:rsidR="00AA528A">
              <w:rPr>
                <w:rFonts w:ascii="Arial" w:hAnsi="Arial" w:cs="Arial"/>
                <w:color w:val="181818"/>
                <w:lang w:val="en-GB"/>
              </w:rPr>
              <w:t>.</w:t>
            </w:r>
          </w:p>
        </w:tc>
        <w:tc>
          <w:tcPr>
            <w:tcW w:w="3686" w:type="dxa"/>
          </w:tcPr>
          <w:p w14:paraId="5043CB0F" w14:textId="77777777" w:rsidR="00B33432" w:rsidRPr="002C5DA4" w:rsidRDefault="00B33432" w:rsidP="00B33432">
            <w:pPr>
              <w:spacing w:after="250" w:line="276" w:lineRule="auto"/>
              <w:jc w:val="both"/>
              <w:rPr>
                <w:rFonts w:ascii="Arial" w:hAnsi="Arial" w:cs="Arial"/>
                <w:color w:val="181818"/>
                <w:lang w:val="en-GB"/>
              </w:rPr>
            </w:pPr>
          </w:p>
        </w:tc>
      </w:tr>
      <w:tr w:rsidR="00B33432" w:rsidRPr="00B33432" w14:paraId="585437CF" w14:textId="77777777" w:rsidTr="09FED478">
        <w:tc>
          <w:tcPr>
            <w:tcW w:w="2085" w:type="dxa"/>
          </w:tcPr>
          <w:p w14:paraId="17F5DE1B" w14:textId="77777777" w:rsidR="00B33432" w:rsidRPr="00CF0887" w:rsidRDefault="00B33432" w:rsidP="00B33432">
            <w:pPr>
              <w:spacing w:after="250" w:line="276" w:lineRule="auto"/>
              <w:rPr>
                <w:rFonts w:ascii="Arial" w:hAnsi="Arial" w:cs="Arial"/>
                <w:lang w:val="en-GB"/>
              </w:rPr>
            </w:pPr>
            <w:r w:rsidRPr="00CF0887">
              <w:rPr>
                <w:rFonts w:ascii="Arial" w:hAnsi="Arial" w:cs="Arial"/>
                <w:lang w:val="en-GB"/>
              </w:rPr>
              <w:t>12. Special Purpose Acquisition Companies (‘SPACs’)</w:t>
            </w:r>
          </w:p>
        </w:tc>
        <w:tc>
          <w:tcPr>
            <w:tcW w:w="2730" w:type="dxa"/>
          </w:tcPr>
          <w:p w14:paraId="1F0FC3DC" w14:textId="77777777" w:rsidR="00B33432" w:rsidRPr="00CF0887" w:rsidRDefault="00FF6214" w:rsidP="00B33432">
            <w:pPr>
              <w:spacing w:after="250" w:line="276" w:lineRule="auto"/>
              <w:jc w:val="both"/>
              <w:rPr>
                <w:rFonts w:ascii="Arial" w:eastAsia="Times New Roman" w:hAnsi="Arial" w:cs="Arial"/>
                <w:color w:val="000000"/>
                <w:lang w:val="en-GB"/>
              </w:rPr>
            </w:pPr>
            <w:r w:rsidRPr="00F44202">
              <w:rPr>
                <w:rFonts w:ascii="Arial" w:eastAsia="Times New Roman" w:hAnsi="Arial" w:cs="Arial"/>
                <w:color w:val="000000"/>
                <w:lang w:val="en-GB"/>
              </w:rPr>
              <w:t>Access to Private Equity-Like Opportunities:</w:t>
            </w:r>
            <w:r w:rsidRPr="00CF0887">
              <w:rPr>
                <w:rFonts w:ascii="Arial" w:eastAsia="Times New Roman" w:hAnsi="Arial" w:cs="Arial"/>
                <w:color w:val="000000"/>
                <w:lang w:val="en-GB"/>
              </w:rPr>
              <w:t xml:space="preserve"> </w:t>
            </w:r>
            <w:r w:rsidRPr="00F44202">
              <w:rPr>
                <w:rFonts w:ascii="Arial" w:eastAsia="Times New Roman" w:hAnsi="Arial" w:cs="Arial"/>
                <w:color w:val="000000"/>
                <w:lang w:val="en-GB"/>
              </w:rPr>
              <w:t xml:space="preserve">SPACs provide investors with the opportunity to invest in private companies that are typically the domain of private equity investors. By investing in a SPAC, investors can gain exposure to potentially high-growth private companies once the </w:t>
            </w:r>
            <w:r w:rsidRPr="00F44202">
              <w:rPr>
                <w:rFonts w:ascii="Arial" w:eastAsia="Times New Roman" w:hAnsi="Arial" w:cs="Arial"/>
                <w:color w:val="000000"/>
                <w:lang w:val="en-GB"/>
              </w:rPr>
              <w:lastRenderedPageBreak/>
              <w:t>SPAC identifies and merges with a target.</w:t>
            </w:r>
            <w:r w:rsidRPr="00CF0887">
              <w:rPr>
                <w:rFonts w:ascii="Arial" w:eastAsia="Times New Roman" w:hAnsi="Arial" w:cs="Arial"/>
                <w:color w:val="000000"/>
                <w:lang w:val="en-GB"/>
              </w:rPr>
              <w:t xml:space="preserve"> </w:t>
            </w:r>
            <w:r w:rsidRPr="00F44202">
              <w:rPr>
                <w:rFonts w:ascii="Arial" w:eastAsia="Times New Roman" w:hAnsi="Arial" w:cs="Arial"/>
                <w:color w:val="000000"/>
                <w:lang w:val="en-GB"/>
              </w:rPr>
              <w:t>Investors in SPACs can potentially benefit from the upside of a company's transition from private to public, often at an earlier stage than traditional IPO inves</w:t>
            </w:r>
            <w:r w:rsidRPr="00CF0887">
              <w:rPr>
                <w:rFonts w:ascii="Arial" w:eastAsia="Times New Roman" w:hAnsi="Arial" w:cs="Arial"/>
                <w:color w:val="000000"/>
                <w:lang w:val="en-GB"/>
              </w:rPr>
              <w:t>tors.</w:t>
            </w:r>
          </w:p>
          <w:p w14:paraId="3A41C822" w14:textId="77777777" w:rsidR="00FF6214" w:rsidRPr="00CF0887" w:rsidRDefault="006A6583" w:rsidP="00B33432">
            <w:pPr>
              <w:spacing w:after="250" w:line="276" w:lineRule="auto"/>
              <w:jc w:val="both"/>
              <w:rPr>
                <w:rFonts w:ascii="Arial" w:eastAsia="Times New Roman" w:hAnsi="Arial" w:cs="Arial"/>
                <w:color w:val="000000"/>
                <w:lang w:val="en-GB"/>
              </w:rPr>
            </w:pPr>
            <w:r w:rsidRPr="00F44202">
              <w:rPr>
                <w:rFonts w:ascii="Arial" w:eastAsia="Times New Roman" w:hAnsi="Arial" w:cs="Arial"/>
                <w:color w:val="000000"/>
                <w:lang w:val="en-GB"/>
              </w:rPr>
              <w:t>Capital Preservation</w:t>
            </w:r>
            <w:r w:rsidRPr="00CF0887">
              <w:rPr>
                <w:rFonts w:ascii="Arial" w:eastAsia="Times New Roman" w:hAnsi="Arial" w:cs="Arial"/>
                <w:color w:val="000000"/>
                <w:lang w:val="en-GB"/>
              </w:rPr>
              <w:t xml:space="preserve">: </w:t>
            </w:r>
            <w:r w:rsidRPr="00F44202">
              <w:rPr>
                <w:rFonts w:ascii="Arial" w:eastAsia="Times New Roman" w:hAnsi="Arial" w:cs="Arial"/>
                <w:color w:val="000000"/>
                <w:lang w:val="en-GB"/>
              </w:rPr>
              <w:t xml:space="preserve">The capital raised in a SPAC's IPO is held in a trust account and is invested in short-term, interest-bearing securities or held as cash. This provides a degree of capital preservation, as investors have a relatively secure claim on their investment until a suitable acquisition is identified. Prior to the completion of the acquisition, SPAC shareholders typically have the right to redeem their shares and get back their investment along with accrued interest, offering downside protection if they </w:t>
            </w:r>
            <w:r w:rsidRPr="00F44202">
              <w:rPr>
                <w:rFonts w:ascii="Arial" w:eastAsia="Times New Roman" w:hAnsi="Arial" w:cs="Arial"/>
                <w:color w:val="000000"/>
                <w:lang w:val="en-GB"/>
              </w:rPr>
              <w:lastRenderedPageBreak/>
              <w:t>do not agree with the proposed</w:t>
            </w:r>
            <w:r w:rsidRPr="00CF0887">
              <w:rPr>
                <w:rFonts w:ascii="Arial" w:eastAsia="Times New Roman" w:hAnsi="Arial" w:cs="Arial"/>
                <w:color w:val="000000"/>
                <w:lang w:val="en-GB"/>
              </w:rPr>
              <w:t xml:space="preserve"> merger.</w:t>
            </w:r>
          </w:p>
          <w:p w14:paraId="07459315" w14:textId="219BE867" w:rsidR="00537666" w:rsidRPr="00CF0887" w:rsidRDefault="00CF0887" w:rsidP="00B33432">
            <w:pPr>
              <w:spacing w:after="250" w:line="276" w:lineRule="auto"/>
              <w:jc w:val="both"/>
              <w:rPr>
                <w:rFonts w:ascii="Arial" w:hAnsi="Arial" w:cs="Arial"/>
                <w:color w:val="181818"/>
                <w:lang w:val="en-GB"/>
              </w:rPr>
            </w:pPr>
            <w:r w:rsidRPr="00F44202">
              <w:rPr>
                <w:rFonts w:ascii="Arial" w:eastAsia="Times New Roman" w:hAnsi="Arial" w:cs="Arial"/>
                <w:color w:val="000000"/>
                <w:lang w:val="en-GB"/>
              </w:rPr>
              <w:t>Potential for Attractive Returns: Many SPAC IPOs come with warrants or rights that entitle investors to purchase additional shares at a fixed price in the future. These can provide significant upside potential if the merged entity performs well.</w:t>
            </w:r>
            <w:r w:rsidRPr="00CF0887">
              <w:rPr>
                <w:rFonts w:ascii="Arial" w:eastAsia="Times New Roman" w:hAnsi="Arial" w:cs="Arial"/>
                <w:color w:val="000000"/>
                <w:lang w:val="en-GB"/>
              </w:rPr>
              <w:t xml:space="preserve"> </w:t>
            </w:r>
            <w:r w:rsidRPr="00F44202">
              <w:rPr>
                <w:rFonts w:ascii="Arial" w:eastAsia="Times New Roman" w:hAnsi="Arial" w:cs="Arial"/>
                <w:color w:val="000000"/>
                <w:lang w:val="en-GB"/>
              </w:rPr>
              <w:t>If the management team of the SPAC is experienced and able to identify high-quality acquisition targets, the merged entity can potentially deliver strong returns to</w:t>
            </w:r>
            <w:r w:rsidRPr="00CF0887">
              <w:rPr>
                <w:rFonts w:ascii="Arial" w:eastAsia="Times New Roman" w:hAnsi="Arial" w:cs="Arial"/>
                <w:color w:val="000000"/>
                <w:lang w:val="en-GB"/>
              </w:rPr>
              <w:t xml:space="preserve"> investors.</w:t>
            </w:r>
          </w:p>
        </w:tc>
        <w:tc>
          <w:tcPr>
            <w:tcW w:w="2835" w:type="dxa"/>
          </w:tcPr>
          <w:p w14:paraId="6537F28F" w14:textId="560159F4" w:rsidR="00B33432" w:rsidRPr="002C5DA4" w:rsidRDefault="0004030F" w:rsidP="00B33432">
            <w:pPr>
              <w:spacing w:after="250" w:line="276" w:lineRule="auto"/>
              <w:jc w:val="both"/>
              <w:rPr>
                <w:rFonts w:ascii="Arial" w:hAnsi="Arial" w:cs="Arial"/>
                <w:color w:val="181818"/>
                <w:lang w:val="en-GB"/>
              </w:rPr>
            </w:pPr>
            <w:r>
              <w:rPr>
                <w:rFonts w:ascii="Arial" w:hAnsi="Arial" w:cs="Arial"/>
                <w:color w:val="181818"/>
                <w:lang w:val="en-GB"/>
              </w:rPr>
              <w:lastRenderedPageBreak/>
              <w:t xml:space="preserve">Indirect exposure may be made available from specialised </w:t>
            </w:r>
            <w:r w:rsidR="003F5FA8">
              <w:rPr>
                <w:rFonts w:ascii="Arial" w:hAnsi="Arial" w:cs="Arial"/>
                <w:color w:val="181818"/>
                <w:lang w:val="en-GB"/>
              </w:rPr>
              <w:t>ETFs. Exposure will bring the benefits of diversification but may dilute the benefits of direct SPAC ownership.</w:t>
            </w:r>
          </w:p>
        </w:tc>
        <w:tc>
          <w:tcPr>
            <w:tcW w:w="2551" w:type="dxa"/>
          </w:tcPr>
          <w:p w14:paraId="6DFB9E20" w14:textId="4B7A643A" w:rsidR="00B33432" w:rsidRPr="002C5DA4" w:rsidRDefault="00227D63" w:rsidP="00B33432">
            <w:pPr>
              <w:spacing w:after="250" w:line="276" w:lineRule="auto"/>
              <w:jc w:val="both"/>
              <w:rPr>
                <w:rFonts w:ascii="Arial" w:hAnsi="Arial" w:cs="Arial"/>
                <w:color w:val="181818"/>
                <w:lang w:val="en-GB"/>
              </w:rPr>
            </w:pPr>
            <w:r>
              <w:rPr>
                <w:rFonts w:ascii="Arial" w:hAnsi="Arial" w:cs="Arial"/>
                <w:color w:val="181818"/>
                <w:lang w:val="en-GB"/>
              </w:rPr>
              <w:t>We operate a default limit of 5% within funds</w:t>
            </w:r>
            <w:r w:rsidR="000B692C">
              <w:rPr>
                <w:rFonts w:ascii="Arial" w:hAnsi="Arial" w:cs="Arial"/>
                <w:color w:val="181818"/>
                <w:lang w:val="en-GB"/>
              </w:rPr>
              <w:t xml:space="preserve"> given the nature of the asset.</w:t>
            </w:r>
          </w:p>
        </w:tc>
        <w:tc>
          <w:tcPr>
            <w:tcW w:w="3686" w:type="dxa"/>
          </w:tcPr>
          <w:p w14:paraId="70DF9E56" w14:textId="77777777" w:rsidR="00B33432" w:rsidRPr="002C5DA4" w:rsidRDefault="00B33432" w:rsidP="00B33432">
            <w:pPr>
              <w:spacing w:after="250" w:line="276" w:lineRule="auto"/>
              <w:jc w:val="both"/>
              <w:rPr>
                <w:rFonts w:ascii="Arial" w:hAnsi="Arial" w:cs="Arial"/>
                <w:color w:val="181818"/>
                <w:lang w:val="en-GB"/>
              </w:rPr>
            </w:pPr>
          </w:p>
        </w:tc>
      </w:tr>
      <w:tr w:rsidR="00B33432" w:rsidRPr="00B33432" w14:paraId="72D194A9" w14:textId="77777777" w:rsidTr="09FED478">
        <w:tc>
          <w:tcPr>
            <w:tcW w:w="2085" w:type="dxa"/>
          </w:tcPr>
          <w:p w14:paraId="31158681" w14:textId="77777777" w:rsidR="00B33432" w:rsidRPr="00C61C32" w:rsidRDefault="00B33432" w:rsidP="00B33432">
            <w:pPr>
              <w:spacing w:after="250" w:line="276" w:lineRule="auto"/>
              <w:rPr>
                <w:rFonts w:ascii="Arial" w:hAnsi="Arial" w:cs="Arial"/>
                <w:lang w:val="en-GB"/>
              </w:rPr>
            </w:pPr>
            <w:r w:rsidRPr="00C61C32">
              <w:rPr>
                <w:rFonts w:ascii="Arial" w:hAnsi="Arial" w:cs="Arial"/>
                <w:lang w:val="en-GB"/>
              </w:rPr>
              <w:lastRenderedPageBreak/>
              <w:t>13. EU AIFs</w:t>
            </w:r>
            <w:r w:rsidRPr="00C61C32">
              <w:rPr>
                <w:rFonts w:ascii="Arial" w:hAnsi="Arial" w:cs="Arial"/>
                <w:sz w:val="16"/>
                <w:vertAlign w:val="superscript"/>
                <w:lang w:val="en-GB"/>
              </w:rPr>
              <w:footnoteReference w:id="10"/>
            </w:r>
          </w:p>
        </w:tc>
        <w:tc>
          <w:tcPr>
            <w:tcW w:w="2730" w:type="dxa"/>
          </w:tcPr>
          <w:p w14:paraId="1ECD69D4" w14:textId="11E27DBB" w:rsidR="00C61C32" w:rsidRPr="00433D1F" w:rsidRDefault="00C61C32" w:rsidP="00C61C32">
            <w:pPr>
              <w:shd w:val="clear" w:color="auto" w:fill="FFFFFF"/>
              <w:spacing w:before="100" w:beforeAutospacing="1" w:after="100" w:afterAutospacing="1"/>
              <w:rPr>
                <w:rFonts w:ascii="Arial" w:eastAsia="Times New Roman" w:hAnsi="Arial" w:cs="Arial"/>
                <w:color w:val="000000"/>
                <w:lang w:val="en-GB"/>
              </w:rPr>
            </w:pPr>
            <w:r w:rsidRPr="00433D1F">
              <w:rPr>
                <w:rFonts w:ascii="Arial" w:eastAsia="Times New Roman" w:hAnsi="Arial" w:cs="Arial"/>
                <w:color w:val="000000"/>
                <w:lang w:val="en-GB"/>
              </w:rPr>
              <w:t xml:space="preserve">Diversification: By enabling UCITS funds to invest in AIFs, fund managers can access a wider range of asset classes and investment strategies, such as private equity, real </w:t>
            </w:r>
            <w:r w:rsidRPr="00433D1F">
              <w:rPr>
                <w:rFonts w:ascii="Arial" w:eastAsia="Times New Roman" w:hAnsi="Arial" w:cs="Arial"/>
                <w:color w:val="000000"/>
                <w:lang w:val="en-GB"/>
              </w:rPr>
              <w:lastRenderedPageBreak/>
              <w:t>estate, hedge funds, and other alternative investments. This can enhance portfolio diversification and potentially reduce risk through exposure to assets that may have low correlation with traditional equities and bonds.</w:t>
            </w:r>
            <w:r w:rsidRPr="00C61C32">
              <w:rPr>
                <w:rFonts w:ascii="Arial" w:eastAsia="Times New Roman" w:hAnsi="Arial" w:cs="Arial"/>
                <w:color w:val="000000"/>
                <w:lang w:val="en-GB"/>
              </w:rPr>
              <w:t xml:space="preserve"> </w:t>
            </w:r>
            <w:r w:rsidRPr="00433D1F">
              <w:rPr>
                <w:rFonts w:ascii="Arial" w:eastAsia="Times New Roman" w:hAnsi="Arial" w:cs="Arial"/>
                <w:color w:val="000000"/>
                <w:lang w:val="en-GB"/>
              </w:rPr>
              <w:t>Diversification across different asset classes can help mitigate specific risks associated with market volatility, economic cycles, and other factors that affect traditional investment categories.</w:t>
            </w:r>
          </w:p>
          <w:p w14:paraId="4961BFBC" w14:textId="77777777" w:rsidR="00C61C32" w:rsidRPr="00433D1F" w:rsidRDefault="00C61C32" w:rsidP="00C61C32">
            <w:pPr>
              <w:shd w:val="clear" w:color="auto" w:fill="FFFFFF"/>
              <w:spacing w:before="100" w:beforeAutospacing="1" w:after="100" w:afterAutospacing="1"/>
              <w:rPr>
                <w:rFonts w:ascii="Arial" w:eastAsia="Times New Roman" w:hAnsi="Arial" w:cs="Arial"/>
                <w:color w:val="000000"/>
                <w:lang w:val="en-GB"/>
              </w:rPr>
            </w:pPr>
            <w:r w:rsidRPr="00433D1F">
              <w:rPr>
                <w:rFonts w:ascii="Arial" w:eastAsia="Times New Roman" w:hAnsi="Arial" w:cs="Arial"/>
                <w:color w:val="000000"/>
                <w:lang w:val="en-GB"/>
              </w:rPr>
              <w:t>Potential for Higher Returns: AIFs often employ unique and sophisticated investment strategies that can offer higher return potentials. By investing in AIFs, UCITS funds can tap into these strategies and potentially enhance overall portfolio performance</w:t>
            </w:r>
            <w:r w:rsidRPr="00C61C32">
              <w:rPr>
                <w:rFonts w:ascii="Arial" w:eastAsia="Times New Roman" w:hAnsi="Arial" w:cs="Arial"/>
                <w:color w:val="000000"/>
                <w:lang w:val="en-GB"/>
              </w:rPr>
              <w:t xml:space="preserve">. </w:t>
            </w:r>
            <w:r w:rsidRPr="00433D1F">
              <w:rPr>
                <w:rFonts w:ascii="Arial" w:eastAsia="Times New Roman" w:hAnsi="Arial" w:cs="Arial"/>
                <w:color w:val="000000"/>
                <w:lang w:val="en-GB"/>
              </w:rPr>
              <w:t xml:space="preserve">Alternative investments managed by experienced professionals can provide opportunities for alpha generation (returns above </w:t>
            </w:r>
            <w:r w:rsidRPr="00433D1F">
              <w:rPr>
                <w:rFonts w:ascii="Arial" w:eastAsia="Times New Roman" w:hAnsi="Arial" w:cs="Arial"/>
                <w:color w:val="000000"/>
                <w:lang w:val="en-GB"/>
              </w:rPr>
              <w:lastRenderedPageBreak/>
              <w:t>the market benchmark) that are not typically available through standard UCITS investments.</w:t>
            </w:r>
          </w:p>
          <w:p w14:paraId="44E871BC" w14:textId="68EB9D62" w:rsidR="00B33432" w:rsidRPr="00C61C32" w:rsidRDefault="00C61C32" w:rsidP="00C61C32">
            <w:pPr>
              <w:spacing w:after="250" w:line="276" w:lineRule="auto"/>
              <w:jc w:val="both"/>
              <w:rPr>
                <w:rFonts w:ascii="Arial" w:hAnsi="Arial" w:cs="Arial"/>
                <w:color w:val="181818"/>
                <w:lang w:val="en-GB"/>
              </w:rPr>
            </w:pPr>
            <w:r w:rsidRPr="00433D1F">
              <w:rPr>
                <w:rFonts w:ascii="Arial" w:eastAsia="Times New Roman" w:hAnsi="Arial" w:cs="Arial"/>
                <w:color w:val="000000"/>
                <w:lang w:val="en-GB"/>
              </w:rPr>
              <w:t>Increased Flexibility and Innovation: Allowing investments in AIFs can provide fund managers with greater flexibility to pursue diverse opportunities and innovatively structure portfolios to meet specific investment objectives and risk appetites.</w:t>
            </w:r>
            <w:r w:rsidRPr="00C61C32">
              <w:rPr>
                <w:rFonts w:ascii="Arial" w:eastAsia="Times New Roman" w:hAnsi="Arial" w:cs="Arial"/>
                <w:color w:val="000000"/>
                <w:lang w:val="en-GB"/>
              </w:rPr>
              <w:t xml:space="preserve"> </w:t>
            </w:r>
            <w:r w:rsidRPr="00433D1F">
              <w:rPr>
                <w:rFonts w:ascii="Arial" w:eastAsia="Times New Roman" w:hAnsi="Arial" w:cs="Arial"/>
                <w:color w:val="000000"/>
                <w:lang w:val="en-GB"/>
              </w:rPr>
              <w:t>This integration could lead to new hybrid fund structures and product offerings that combine the regulatory advantages and investor protections of UCITS with the performance potential of alternative investments, appealing to a broader range of investor preferences and</w:t>
            </w:r>
            <w:r w:rsidRPr="00C61C32">
              <w:rPr>
                <w:rFonts w:ascii="Arial" w:eastAsia="Times New Roman" w:hAnsi="Arial" w:cs="Arial"/>
                <w:color w:val="000000"/>
                <w:lang w:val="en-GB"/>
              </w:rPr>
              <w:t xml:space="preserve"> needs.</w:t>
            </w:r>
          </w:p>
        </w:tc>
        <w:tc>
          <w:tcPr>
            <w:tcW w:w="2835" w:type="dxa"/>
          </w:tcPr>
          <w:p w14:paraId="144A5D23" w14:textId="77777777" w:rsidR="00B33432" w:rsidRPr="002C5DA4" w:rsidRDefault="00B33432" w:rsidP="00B33432">
            <w:pPr>
              <w:spacing w:after="250" w:line="276" w:lineRule="auto"/>
              <w:jc w:val="both"/>
              <w:rPr>
                <w:rFonts w:ascii="Arial" w:hAnsi="Arial" w:cs="Arial"/>
                <w:color w:val="181818"/>
                <w:lang w:val="en-GB"/>
              </w:rPr>
            </w:pPr>
          </w:p>
        </w:tc>
        <w:tc>
          <w:tcPr>
            <w:tcW w:w="2551" w:type="dxa"/>
          </w:tcPr>
          <w:p w14:paraId="738610EB" w14:textId="7A6A2B29" w:rsidR="00B33432" w:rsidRPr="009A0E4B" w:rsidRDefault="003D4771" w:rsidP="0031141B">
            <w:pPr>
              <w:spacing w:after="250" w:line="276" w:lineRule="auto"/>
              <w:jc w:val="both"/>
              <w:rPr>
                <w:rFonts w:ascii="Arial" w:hAnsi="Arial" w:cs="Arial"/>
                <w:color w:val="444444"/>
                <w:shd w:val="clear" w:color="auto" w:fill="FFFFFF"/>
                <w:lang w:val="en-GB"/>
              </w:rPr>
            </w:pPr>
            <w:r>
              <w:rPr>
                <w:rFonts w:ascii="Arial" w:hAnsi="Arial" w:cs="Arial"/>
                <w:color w:val="444444"/>
                <w:shd w:val="clear" w:color="auto" w:fill="FFFFFF"/>
                <w:lang w:val="en-GB"/>
              </w:rPr>
              <w:t>Our d</w:t>
            </w:r>
            <w:r w:rsidR="0031141B" w:rsidRPr="00015C5B">
              <w:rPr>
                <w:rFonts w:ascii="Arial" w:hAnsi="Arial" w:cs="Arial"/>
                <w:color w:val="444444"/>
                <w:shd w:val="clear" w:color="auto" w:fill="FFFFFF"/>
                <w:lang w:val="en-GB"/>
              </w:rPr>
              <w:t>efault limit is 10%</w:t>
            </w:r>
            <w:r>
              <w:rPr>
                <w:rFonts w:ascii="Arial" w:hAnsi="Arial" w:cs="Arial"/>
                <w:color w:val="444444"/>
                <w:shd w:val="clear" w:color="auto" w:fill="FFFFFF"/>
                <w:lang w:val="en-GB"/>
              </w:rPr>
              <w:t xml:space="preserve"> for open-ended AIFs.</w:t>
            </w:r>
            <w:r w:rsidR="0031141B" w:rsidRPr="00015C5B">
              <w:rPr>
                <w:rFonts w:ascii="Arial" w:hAnsi="Arial" w:cs="Arial"/>
                <w:color w:val="444444"/>
                <w:shd w:val="clear" w:color="auto" w:fill="FFFFFF"/>
                <w:lang w:val="en-GB"/>
              </w:rPr>
              <w:t xml:space="preserve"> </w:t>
            </w:r>
          </w:p>
        </w:tc>
        <w:tc>
          <w:tcPr>
            <w:tcW w:w="3686" w:type="dxa"/>
          </w:tcPr>
          <w:p w14:paraId="637805D2" w14:textId="2D722FD3" w:rsidR="00B33432" w:rsidRPr="002C5DA4" w:rsidRDefault="003F5FA8" w:rsidP="00B33432">
            <w:pPr>
              <w:spacing w:after="250" w:line="276" w:lineRule="auto"/>
              <w:jc w:val="both"/>
              <w:rPr>
                <w:rFonts w:ascii="Arial" w:hAnsi="Arial" w:cs="Arial"/>
                <w:color w:val="181818"/>
                <w:lang w:val="en-GB"/>
              </w:rPr>
            </w:pPr>
            <w:r>
              <w:rPr>
                <w:rFonts w:ascii="Arial" w:hAnsi="Arial" w:cs="Arial"/>
                <w:color w:val="181818"/>
                <w:lang w:val="en-GB"/>
              </w:rPr>
              <w:t xml:space="preserve">Please see our answers to Q9 and Q.14.  AIFs covers both open-ended funds and closed-ended </w:t>
            </w:r>
            <w:proofErr w:type="gramStart"/>
            <w:r>
              <w:rPr>
                <w:rFonts w:ascii="Arial" w:hAnsi="Arial" w:cs="Arial"/>
                <w:color w:val="181818"/>
                <w:lang w:val="en-GB"/>
              </w:rPr>
              <w:t>funds</w:t>
            </w:r>
            <w:proofErr w:type="gramEnd"/>
            <w:r>
              <w:rPr>
                <w:rFonts w:ascii="Arial" w:hAnsi="Arial" w:cs="Arial"/>
                <w:color w:val="181818"/>
                <w:lang w:val="en-GB"/>
              </w:rPr>
              <w:t xml:space="preserve"> and the treatment is therefore dependent on the type of AIF.</w:t>
            </w:r>
          </w:p>
        </w:tc>
      </w:tr>
      <w:tr w:rsidR="00B33432" w:rsidRPr="00B33432" w14:paraId="50B47933" w14:textId="77777777" w:rsidTr="09FED478">
        <w:tc>
          <w:tcPr>
            <w:tcW w:w="2085" w:type="dxa"/>
          </w:tcPr>
          <w:p w14:paraId="5B21E6DB" w14:textId="77777777" w:rsidR="00B33432" w:rsidRPr="00B33432" w:rsidRDefault="00B33432" w:rsidP="00B33432">
            <w:pPr>
              <w:spacing w:after="250" w:line="276" w:lineRule="auto"/>
              <w:rPr>
                <w:rFonts w:ascii="Arial" w:hAnsi="Arial" w:cs="Arial"/>
              </w:rPr>
            </w:pPr>
            <w:r w:rsidRPr="00B33432">
              <w:rPr>
                <w:rFonts w:ascii="Arial" w:hAnsi="Arial" w:cs="Arial"/>
              </w:rPr>
              <w:lastRenderedPageBreak/>
              <w:t xml:space="preserve">14. Non-EU </w:t>
            </w:r>
            <w:proofErr w:type="spellStart"/>
            <w:r w:rsidRPr="00B33432">
              <w:rPr>
                <w:rFonts w:ascii="Arial" w:hAnsi="Arial" w:cs="Arial"/>
              </w:rPr>
              <w:t>AIFs</w:t>
            </w:r>
            <w:proofErr w:type="spellEnd"/>
          </w:p>
        </w:tc>
        <w:tc>
          <w:tcPr>
            <w:tcW w:w="2730" w:type="dxa"/>
          </w:tcPr>
          <w:p w14:paraId="463F29E8" w14:textId="1C30E9BF" w:rsidR="00B33432" w:rsidRPr="002C5DA4" w:rsidRDefault="00015C5B" w:rsidP="00B33432">
            <w:pPr>
              <w:spacing w:after="250" w:line="276" w:lineRule="auto"/>
              <w:jc w:val="both"/>
              <w:rPr>
                <w:rFonts w:ascii="Arial" w:hAnsi="Arial" w:cs="Arial"/>
                <w:color w:val="181818"/>
                <w:lang w:val="en-GB"/>
              </w:rPr>
            </w:pPr>
            <w:r>
              <w:rPr>
                <w:rFonts w:ascii="Arial" w:hAnsi="Arial" w:cs="Arial"/>
                <w:color w:val="181818"/>
                <w:lang w:val="en-GB"/>
              </w:rPr>
              <w:t>See 13. above</w:t>
            </w:r>
          </w:p>
        </w:tc>
        <w:tc>
          <w:tcPr>
            <w:tcW w:w="2835" w:type="dxa"/>
          </w:tcPr>
          <w:p w14:paraId="3B7B4B86" w14:textId="77777777" w:rsidR="00B33432" w:rsidRPr="002C5DA4" w:rsidRDefault="00B33432" w:rsidP="00B33432">
            <w:pPr>
              <w:spacing w:after="250" w:line="276" w:lineRule="auto"/>
              <w:jc w:val="both"/>
              <w:rPr>
                <w:rFonts w:ascii="Arial" w:hAnsi="Arial" w:cs="Arial"/>
                <w:color w:val="181818"/>
                <w:lang w:val="en-GB"/>
              </w:rPr>
            </w:pPr>
          </w:p>
        </w:tc>
        <w:tc>
          <w:tcPr>
            <w:tcW w:w="2551" w:type="dxa"/>
          </w:tcPr>
          <w:p w14:paraId="0592AE92" w14:textId="7D4B0854" w:rsidR="006E72E6" w:rsidRDefault="006E72E6" w:rsidP="00B33432">
            <w:pPr>
              <w:spacing w:after="250" w:line="276" w:lineRule="auto"/>
              <w:jc w:val="both"/>
              <w:rPr>
                <w:rFonts w:ascii="Arial" w:hAnsi="Arial" w:cs="Arial"/>
                <w:color w:val="444444"/>
                <w:shd w:val="clear" w:color="auto" w:fill="FFFFFF"/>
                <w:lang w:val="en-GB"/>
              </w:rPr>
            </w:pPr>
            <w:r w:rsidRPr="00CF133F">
              <w:rPr>
                <w:rFonts w:ascii="Arial" w:hAnsi="Arial" w:cs="Arial"/>
                <w:color w:val="444444"/>
                <w:shd w:val="clear" w:color="auto" w:fill="FFFFFF"/>
                <w:lang w:val="en-GB"/>
              </w:rPr>
              <w:t xml:space="preserve">Default limit is 10% </w:t>
            </w:r>
          </w:p>
          <w:p w14:paraId="3A0FF5F2" w14:textId="243C5BBF" w:rsidR="007F4454" w:rsidRPr="007F4454" w:rsidRDefault="007F4454" w:rsidP="00B33432">
            <w:pPr>
              <w:spacing w:after="250" w:line="276" w:lineRule="auto"/>
              <w:jc w:val="both"/>
              <w:rPr>
                <w:rFonts w:ascii="Arial" w:hAnsi="Arial" w:cs="Arial"/>
                <w:color w:val="444444"/>
                <w:shd w:val="clear" w:color="auto" w:fill="FFFFFF"/>
                <w:lang w:val="en-GB"/>
              </w:rPr>
            </w:pPr>
          </w:p>
        </w:tc>
        <w:tc>
          <w:tcPr>
            <w:tcW w:w="3686" w:type="dxa"/>
          </w:tcPr>
          <w:p w14:paraId="5630AD66" w14:textId="49B2F0AD" w:rsidR="00B33432" w:rsidRPr="002C5DA4" w:rsidRDefault="003F5FA8" w:rsidP="00B33432">
            <w:pPr>
              <w:spacing w:after="250" w:line="276" w:lineRule="auto"/>
              <w:jc w:val="both"/>
              <w:rPr>
                <w:rFonts w:ascii="Arial" w:hAnsi="Arial" w:cs="Arial"/>
                <w:color w:val="181818"/>
                <w:lang w:val="en-GB"/>
              </w:rPr>
            </w:pPr>
            <w:r>
              <w:rPr>
                <w:rFonts w:ascii="Arial" w:hAnsi="Arial" w:cs="Arial"/>
                <w:color w:val="181818"/>
                <w:lang w:val="en-GB"/>
              </w:rPr>
              <w:lastRenderedPageBreak/>
              <w:t>See 13. above</w:t>
            </w:r>
          </w:p>
        </w:tc>
      </w:tr>
      <w:tr w:rsidR="00907B42" w:rsidRPr="00B33432" w14:paraId="5A25875C" w14:textId="77777777" w:rsidTr="09FED478">
        <w:tc>
          <w:tcPr>
            <w:tcW w:w="2085" w:type="dxa"/>
          </w:tcPr>
          <w:p w14:paraId="0BD070FC" w14:textId="77777777" w:rsidR="00907B42" w:rsidRPr="007C0CA4" w:rsidRDefault="00907B42" w:rsidP="00907B42">
            <w:pPr>
              <w:spacing w:after="250" w:line="276" w:lineRule="auto"/>
              <w:rPr>
                <w:rFonts w:ascii="Arial" w:hAnsi="Arial" w:cs="Arial"/>
                <w:lang w:val="en-GB"/>
              </w:rPr>
            </w:pPr>
            <w:r w:rsidRPr="007C0CA4">
              <w:rPr>
                <w:rFonts w:ascii="Arial" w:hAnsi="Arial" w:cs="Arial"/>
                <w:lang w:val="en-GB"/>
              </w:rPr>
              <w:t>15. Emission allowances</w:t>
            </w:r>
          </w:p>
        </w:tc>
        <w:tc>
          <w:tcPr>
            <w:tcW w:w="2730" w:type="dxa"/>
          </w:tcPr>
          <w:p w14:paraId="61829076" w14:textId="2F0DC6E9" w:rsidR="00907B42" w:rsidRPr="007C0CA4" w:rsidRDefault="00907B42" w:rsidP="00907B42">
            <w:pPr>
              <w:spacing w:after="250" w:line="276" w:lineRule="auto"/>
              <w:jc w:val="both"/>
              <w:rPr>
                <w:rFonts w:ascii="Arial" w:hAnsi="Arial" w:cs="Arial"/>
                <w:color w:val="181818"/>
                <w:highlight w:val="cyan"/>
                <w:lang w:val="en-GB"/>
              </w:rPr>
            </w:pPr>
            <w:r w:rsidRPr="00C13318">
              <w:rPr>
                <w:rFonts w:ascii="Arial" w:hAnsi="Arial" w:cs="Arial"/>
                <w:color w:val="181818"/>
                <w:lang w:val="en-GB"/>
              </w:rPr>
              <w:t>Please see the EFAMA response</w:t>
            </w:r>
          </w:p>
        </w:tc>
        <w:tc>
          <w:tcPr>
            <w:tcW w:w="2835" w:type="dxa"/>
          </w:tcPr>
          <w:p w14:paraId="2BA226A1" w14:textId="0B29F8AB" w:rsidR="00907B42" w:rsidRPr="002C5DA4" w:rsidRDefault="00EA72E6" w:rsidP="00907B42">
            <w:pPr>
              <w:spacing w:after="250" w:line="276" w:lineRule="auto"/>
              <w:jc w:val="both"/>
              <w:rPr>
                <w:rFonts w:ascii="Arial" w:hAnsi="Arial" w:cs="Arial"/>
                <w:color w:val="181818"/>
                <w:lang w:val="en-GB"/>
              </w:rPr>
            </w:pPr>
            <w:r>
              <w:rPr>
                <w:rFonts w:ascii="Arial" w:hAnsi="Arial" w:cs="Arial"/>
                <w:color w:val="181818"/>
                <w:lang w:val="en-GB"/>
              </w:rPr>
              <w:t>Indirect exposures can b</w:t>
            </w:r>
            <w:r w:rsidR="00D542DA">
              <w:rPr>
                <w:rFonts w:ascii="Arial" w:hAnsi="Arial" w:cs="Arial"/>
                <w:color w:val="181818"/>
                <w:lang w:val="en-GB"/>
              </w:rPr>
              <w:t>e provided t</w:t>
            </w:r>
            <w:r w:rsidR="00907B42">
              <w:rPr>
                <w:rFonts w:ascii="Arial" w:hAnsi="Arial" w:cs="Arial"/>
                <w:color w:val="181818"/>
                <w:lang w:val="en-GB"/>
              </w:rPr>
              <w:t xml:space="preserve">hrough </w:t>
            </w:r>
            <w:r w:rsidR="00D542DA">
              <w:rPr>
                <w:rFonts w:ascii="Arial" w:hAnsi="Arial" w:cs="Arial"/>
                <w:color w:val="181818"/>
                <w:lang w:val="en-GB"/>
              </w:rPr>
              <w:t xml:space="preserve">futures and </w:t>
            </w:r>
            <w:r w:rsidR="00907B42">
              <w:rPr>
                <w:rFonts w:ascii="Arial" w:hAnsi="Arial" w:cs="Arial"/>
                <w:color w:val="181818"/>
                <w:lang w:val="en-GB"/>
              </w:rPr>
              <w:t>ETCs.</w:t>
            </w:r>
          </w:p>
        </w:tc>
        <w:tc>
          <w:tcPr>
            <w:tcW w:w="2551" w:type="dxa"/>
          </w:tcPr>
          <w:p w14:paraId="2B43CAF4" w14:textId="77777777" w:rsidR="00907B42" w:rsidRPr="006F6C87" w:rsidRDefault="00304D33" w:rsidP="00907B42">
            <w:pPr>
              <w:spacing w:after="250" w:line="276" w:lineRule="auto"/>
              <w:jc w:val="both"/>
              <w:rPr>
                <w:rFonts w:ascii="Arial" w:hAnsi="Arial" w:cs="Arial"/>
                <w:color w:val="181818"/>
                <w:lang w:val="en-GB"/>
              </w:rPr>
            </w:pPr>
            <w:r w:rsidRPr="00304D33">
              <w:rPr>
                <w:rFonts w:ascii="Arial" w:hAnsi="Arial" w:cs="Arial"/>
                <w:color w:val="181818"/>
                <w:lang w:val="en-GB"/>
              </w:rPr>
              <w:t>We</w:t>
            </w:r>
            <w:r>
              <w:rPr>
                <w:rFonts w:ascii="Arial" w:hAnsi="Arial" w:cs="Arial"/>
                <w:color w:val="181818"/>
                <w:lang w:val="en-GB"/>
              </w:rPr>
              <w:t xml:space="preserve"> </w:t>
            </w:r>
            <w:r w:rsidR="00D612E8">
              <w:rPr>
                <w:rFonts w:ascii="Arial" w:hAnsi="Arial" w:cs="Arial"/>
                <w:color w:val="181818"/>
                <w:lang w:val="en-GB"/>
              </w:rPr>
              <w:t xml:space="preserve">currently </w:t>
            </w:r>
            <w:r>
              <w:rPr>
                <w:rFonts w:ascii="Arial" w:hAnsi="Arial" w:cs="Arial"/>
                <w:color w:val="181818"/>
                <w:lang w:val="en-GB"/>
              </w:rPr>
              <w:t xml:space="preserve">have no exposure either direct or indirect in our UCITS </w:t>
            </w:r>
            <w:r w:rsidRPr="006F6C87">
              <w:rPr>
                <w:rFonts w:ascii="Arial" w:hAnsi="Arial" w:cs="Arial"/>
                <w:color w:val="181818"/>
                <w:lang w:val="en-GB"/>
              </w:rPr>
              <w:t>funds.</w:t>
            </w:r>
          </w:p>
          <w:p w14:paraId="17AD93B2" w14:textId="227FF97F" w:rsidR="00D612E8" w:rsidRPr="007A7A5F" w:rsidRDefault="00D612E8" w:rsidP="00907B42">
            <w:pPr>
              <w:spacing w:after="250" w:line="276" w:lineRule="auto"/>
              <w:jc w:val="both"/>
              <w:rPr>
                <w:rFonts w:ascii="Arial" w:hAnsi="Arial" w:cs="Arial"/>
                <w:color w:val="181818"/>
                <w:highlight w:val="yellow"/>
                <w:lang w:val="en-GB"/>
              </w:rPr>
            </w:pPr>
            <w:r w:rsidRPr="006F6C87">
              <w:rPr>
                <w:rFonts w:ascii="Arial" w:hAnsi="Arial" w:cs="Arial"/>
                <w:color w:val="181818"/>
                <w:lang w:val="en-GB"/>
              </w:rPr>
              <w:t xml:space="preserve">We may consider indirect exposure </w:t>
            </w:r>
            <w:r w:rsidR="006F6C87" w:rsidRPr="006F6C87">
              <w:rPr>
                <w:rFonts w:ascii="Arial" w:hAnsi="Arial" w:cs="Arial"/>
                <w:color w:val="181818"/>
                <w:lang w:val="en-GB"/>
              </w:rPr>
              <w:t>in the future through UCITS-eligible ETCs.</w:t>
            </w:r>
          </w:p>
        </w:tc>
        <w:tc>
          <w:tcPr>
            <w:tcW w:w="3686" w:type="dxa"/>
          </w:tcPr>
          <w:p w14:paraId="0DE4B5B7" w14:textId="77777777" w:rsidR="00907B42" w:rsidRPr="002C5DA4" w:rsidRDefault="00907B42" w:rsidP="00907B42">
            <w:pPr>
              <w:spacing w:after="250" w:line="276" w:lineRule="auto"/>
              <w:jc w:val="both"/>
              <w:rPr>
                <w:rFonts w:ascii="Arial" w:hAnsi="Arial" w:cs="Arial"/>
                <w:color w:val="181818"/>
                <w:lang w:val="en-GB"/>
              </w:rPr>
            </w:pPr>
          </w:p>
        </w:tc>
      </w:tr>
      <w:tr w:rsidR="00907B42" w:rsidRPr="00B33432" w14:paraId="4663360E" w14:textId="77777777" w:rsidTr="09FED478">
        <w:tc>
          <w:tcPr>
            <w:tcW w:w="2085" w:type="dxa"/>
          </w:tcPr>
          <w:p w14:paraId="556F47DB" w14:textId="77777777" w:rsidR="00907B42" w:rsidRPr="007345C9" w:rsidRDefault="00907B42" w:rsidP="00907B42">
            <w:pPr>
              <w:spacing w:after="250" w:line="276" w:lineRule="auto"/>
              <w:rPr>
                <w:rFonts w:ascii="Arial" w:hAnsi="Arial" w:cs="Arial"/>
                <w:lang w:val="en-GB"/>
              </w:rPr>
            </w:pPr>
            <w:r w:rsidRPr="007345C9">
              <w:rPr>
                <w:rFonts w:ascii="Arial" w:hAnsi="Arial" w:cs="Arial"/>
                <w:lang w:val="en-GB"/>
              </w:rPr>
              <w:t>16. Delta-one instruments</w:t>
            </w:r>
          </w:p>
        </w:tc>
        <w:tc>
          <w:tcPr>
            <w:tcW w:w="2730" w:type="dxa"/>
          </w:tcPr>
          <w:p w14:paraId="223C9CDB" w14:textId="77777777" w:rsidR="00907B42" w:rsidRPr="00B31B8E" w:rsidRDefault="00907B42" w:rsidP="00907B42">
            <w:pPr>
              <w:shd w:val="clear" w:color="auto" w:fill="FFFFFF"/>
              <w:spacing w:before="100" w:beforeAutospacing="1" w:after="100" w:afterAutospacing="1"/>
              <w:rPr>
                <w:rFonts w:ascii="Arial" w:eastAsia="Times New Roman" w:hAnsi="Arial" w:cs="Arial"/>
                <w:color w:val="000000"/>
                <w:lang w:val="en-GB"/>
              </w:rPr>
            </w:pPr>
            <w:r w:rsidRPr="00B31B8E">
              <w:rPr>
                <w:rFonts w:ascii="Arial" w:eastAsia="Times New Roman" w:hAnsi="Arial" w:cs="Arial"/>
                <w:color w:val="000000"/>
                <w:lang w:val="en-GB"/>
              </w:rPr>
              <w:t>Enhanced Investment Opportu</w:t>
            </w:r>
            <w:r w:rsidRPr="007345C9">
              <w:rPr>
                <w:rFonts w:ascii="Arial" w:eastAsia="Times New Roman" w:hAnsi="Arial" w:cs="Arial"/>
                <w:color w:val="000000"/>
                <w:lang w:val="en-GB"/>
              </w:rPr>
              <w:t xml:space="preserve">nities: </w:t>
            </w:r>
            <w:r w:rsidRPr="00B31B8E">
              <w:rPr>
                <w:rFonts w:ascii="Arial" w:eastAsia="Times New Roman" w:hAnsi="Arial" w:cs="Arial"/>
                <w:color w:val="000000"/>
                <w:lang w:val="en-GB"/>
              </w:rPr>
              <w:t>Delta-one notes can provide exposure to asset classes that may not be directly accessible to UCITS funds, such as certain commodities, proprietary indices, or foreign equities. This broadens the spectrum of investment opportunities available to fund managers.</w:t>
            </w:r>
            <w:r w:rsidRPr="007345C9">
              <w:rPr>
                <w:rFonts w:ascii="Arial" w:eastAsia="Times New Roman" w:hAnsi="Arial" w:cs="Arial"/>
                <w:color w:val="000000"/>
                <w:lang w:val="en-GB"/>
              </w:rPr>
              <w:t xml:space="preserve">  </w:t>
            </w:r>
            <w:r w:rsidRPr="00B31B8E">
              <w:rPr>
                <w:rFonts w:ascii="Arial" w:eastAsia="Times New Roman" w:hAnsi="Arial" w:cs="Arial"/>
                <w:color w:val="000000"/>
                <w:lang w:val="en-GB"/>
              </w:rPr>
              <w:t xml:space="preserve">These instruments enable fund managers to gain streamlined and efficient market exposure, often through derivatives that are cost-effective compared to </w:t>
            </w:r>
            <w:r w:rsidRPr="00B31B8E">
              <w:rPr>
                <w:rFonts w:ascii="Arial" w:eastAsia="Times New Roman" w:hAnsi="Arial" w:cs="Arial"/>
                <w:color w:val="000000"/>
                <w:lang w:val="en-GB"/>
              </w:rPr>
              <w:lastRenderedPageBreak/>
              <w:t>directly holding the underlying assets.</w:t>
            </w:r>
          </w:p>
          <w:p w14:paraId="0A5A4C89" w14:textId="77777777" w:rsidR="00907B42" w:rsidRPr="00B31B8E" w:rsidRDefault="00907B42" w:rsidP="00907B42">
            <w:pPr>
              <w:shd w:val="clear" w:color="auto" w:fill="FFFFFF"/>
              <w:spacing w:before="100" w:beforeAutospacing="1" w:after="100" w:afterAutospacing="1"/>
              <w:rPr>
                <w:rFonts w:ascii="Arial" w:eastAsia="Times New Roman" w:hAnsi="Arial" w:cs="Arial"/>
                <w:color w:val="000000"/>
                <w:lang w:val="en-GB"/>
              </w:rPr>
            </w:pPr>
            <w:r w:rsidRPr="00B31B8E">
              <w:rPr>
                <w:rFonts w:ascii="Arial" w:eastAsia="Times New Roman" w:hAnsi="Arial" w:cs="Arial"/>
                <w:color w:val="000000"/>
                <w:lang w:val="en-GB"/>
              </w:rPr>
              <w:t>Improved Portfolio Management: Delta-one notes can be used for hedging purposes, allowing fund managers to mitigate specific risks in the portfolio, such as currency risk, interest rate risk, or market risk</w:t>
            </w:r>
            <w:r w:rsidRPr="007345C9">
              <w:rPr>
                <w:rFonts w:ascii="Arial" w:eastAsia="Times New Roman" w:hAnsi="Arial" w:cs="Arial"/>
                <w:color w:val="000000"/>
                <w:lang w:val="en-GB"/>
              </w:rPr>
              <w:t xml:space="preserve">.  </w:t>
            </w:r>
            <w:r w:rsidRPr="00B31B8E">
              <w:rPr>
                <w:rFonts w:ascii="Arial" w:eastAsia="Times New Roman" w:hAnsi="Arial" w:cs="Arial"/>
                <w:color w:val="000000"/>
                <w:lang w:val="en-GB"/>
              </w:rPr>
              <w:t> By using delta-one notes, UCITS funds can better manage liquidity, as these instruments can be more liquid than certain underlying assets, enabling easier adjustments to portfolio positions.</w:t>
            </w:r>
          </w:p>
          <w:p w14:paraId="66204FF1" w14:textId="1E6D9FDC" w:rsidR="00907B42" w:rsidRPr="007345C9" w:rsidRDefault="00907B42" w:rsidP="00907B42">
            <w:pPr>
              <w:spacing w:after="250" w:line="276" w:lineRule="auto"/>
              <w:jc w:val="both"/>
              <w:rPr>
                <w:rFonts w:ascii="Arial" w:hAnsi="Arial" w:cs="Arial"/>
                <w:color w:val="181818"/>
                <w:lang w:val="en-GB"/>
              </w:rPr>
            </w:pPr>
            <w:r w:rsidRPr="00B31B8E">
              <w:rPr>
                <w:rFonts w:ascii="Arial" w:eastAsia="Times New Roman" w:hAnsi="Arial" w:cs="Arial"/>
                <w:color w:val="000000"/>
                <w:lang w:val="en-GB"/>
              </w:rPr>
              <w:t>Transparency and Cost Efficiency: Delta-one products often come with lower transaction costs and management fees compared to physical replication of the underlying asset. This can lead to cost savings for the fund and ultimately benefit investors.</w:t>
            </w:r>
            <w:r w:rsidRPr="007345C9">
              <w:rPr>
                <w:rFonts w:ascii="Arial" w:eastAsia="Times New Roman" w:hAnsi="Arial" w:cs="Arial"/>
                <w:color w:val="000000"/>
                <w:lang w:val="en-GB"/>
              </w:rPr>
              <w:t xml:space="preserve"> </w:t>
            </w:r>
            <w:r w:rsidRPr="00B31B8E">
              <w:rPr>
                <w:rFonts w:ascii="Arial" w:eastAsia="Times New Roman" w:hAnsi="Arial" w:cs="Arial"/>
                <w:color w:val="000000"/>
                <w:lang w:val="en-GB"/>
              </w:rPr>
              <w:t xml:space="preserve">Since delta-one notes track the performance of the </w:t>
            </w:r>
            <w:r w:rsidRPr="00B31B8E">
              <w:rPr>
                <w:rFonts w:ascii="Arial" w:eastAsia="Times New Roman" w:hAnsi="Arial" w:cs="Arial"/>
                <w:color w:val="000000"/>
                <w:lang w:val="en-GB"/>
              </w:rPr>
              <w:lastRenderedPageBreak/>
              <w:t>underlying asset closely, they offer a transparent and predictable way of replicating asset performance. Investors can benefit from the transparency of knowing exactly how the instrument will behave relative to the underlying</w:t>
            </w:r>
            <w:r w:rsidRPr="007345C9">
              <w:rPr>
                <w:rFonts w:ascii="Arial" w:eastAsia="Times New Roman" w:hAnsi="Arial" w:cs="Arial"/>
                <w:color w:val="000000"/>
                <w:lang w:val="en-GB"/>
              </w:rPr>
              <w:t xml:space="preserve"> asset.</w:t>
            </w:r>
          </w:p>
        </w:tc>
        <w:tc>
          <w:tcPr>
            <w:tcW w:w="2835" w:type="dxa"/>
          </w:tcPr>
          <w:p w14:paraId="2DBF0D7D" w14:textId="34FFDDEF" w:rsidR="00907B42" w:rsidRPr="00B33432" w:rsidRDefault="00907B42" w:rsidP="00907B42">
            <w:pPr>
              <w:spacing w:after="250" w:line="276" w:lineRule="auto"/>
              <w:jc w:val="both"/>
              <w:rPr>
                <w:rFonts w:ascii="Arial" w:hAnsi="Arial" w:cs="Arial"/>
                <w:color w:val="181818"/>
              </w:rPr>
            </w:pPr>
            <w:r>
              <w:rPr>
                <w:rFonts w:ascii="Arial" w:hAnsi="Arial" w:cs="Arial"/>
                <w:color w:val="181818"/>
              </w:rPr>
              <w:lastRenderedPageBreak/>
              <w:t>N/A</w:t>
            </w:r>
          </w:p>
        </w:tc>
        <w:tc>
          <w:tcPr>
            <w:tcW w:w="2551" w:type="dxa"/>
          </w:tcPr>
          <w:p w14:paraId="6B62F1B3" w14:textId="618463E4" w:rsidR="00907B42" w:rsidRPr="00C47A32" w:rsidRDefault="00C47A32" w:rsidP="00907B42">
            <w:pPr>
              <w:spacing w:after="250" w:line="276" w:lineRule="auto"/>
              <w:jc w:val="both"/>
              <w:rPr>
                <w:rFonts w:ascii="Arial" w:hAnsi="Arial" w:cs="Arial"/>
                <w:color w:val="181818"/>
                <w:lang w:val="en-GB"/>
              </w:rPr>
            </w:pPr>
            <w:r w:rsidRPr="00C47A32">
              <w:rPr>
                <w:rFonts w:ascii="Arial" w:hAnsi="Arial" w:cs="Arial"/>
                <w:color w:val="181818"/>
                <w:lang w:val="en-GB"/>
              </w:rPr>
              <w:t>Up to 10% in funds t</w:t>
            </w:r>
            <w:r>
              <w:rPr>
                <w:rFonts w:ascii="Arial" w:hAnsi="Arial" w:cs="Arial"/>
                <w:color w:val="181818"/>
                <w:lang w:val="en-GB"/>
              </w:rPr>
              <w:t>hat include Delta-one securities in their investment policies.</w:t>
            </w:r>
          </w:p>
        </w:tc>
        <w:tc>
          <w:tcPr>
            <w:tcW w:w="3686" w:type="dxa"/>
          </w:tcPr>
          <w:p w14:paraId="02F2C34E" w14:textId="77777777" w:rsidR="00907B42" w:rsidRPr="00C47A32" w:rsidRDefault="00907B42" w:rsidP="00907B42">
            <w:pPr>
              <w:spacing w:after="250" w:line="276" w:lineRule="auto"/>
              <w:jc w:val="both"/>
              <w:rPr>
                <w:rFonts w:ascii="Arial" w:hAnsi="Arial" w:cs="Arial"/>
                <w:color w:val="181818"/>
                <w:lang w:val="en-GB"/>
              </w:rPr>
            </w:pPr>
          </w:p>
        </w:tc>
      </w:tr>
      <w:tr w:rsidR="00907B42" w:rsidRPr="00B33432" w14:paraId="6004F4E8" w14:textId="77777777" w:rsidTr="09FED478">
        <w:tc>
          <w:tcPr>
            <w:tcW w:w="2085" w:type="dxa"/>
          </w:tcPr>
          <w:p w14:paraId="73D5771C" w14:textId="77777777" w:rsidR="00907B42" w:rsidRPr="00BB6692" w:rsidRDefault="00907B42" w:rsidP="00907B42">
            <w:pPr>
              <w:spacing w:after="250" w:line="276" w:lineRule="auto"/>
              <w:rPr>
                <w:rFonts w:ascii="Arial" w:hAnsi="Arial" w:cs="Arial"/>
                <w:lang w:val="en-GB"/>
              </w:rPr>
            </w:pPr>
            <w:r w:rsidRPr="00BB6692">
              <w:rPr>
                <w:rFonts w:ascii="Arial" w:hAnsi="Arial" w:cs="Arial"/>
                <w:lang w:val="en-GB"/>
              </w:rPr>
              <w:lastRenderedPageBreak/>
              <w:t>17. Exchange-traded notes (‘ETNs’)</w:t>
            </w:r>
          </w:p>
        </w:tc>
        <w:tc>
          <w:tcPr>
            <w:tcW w:w="2730" w:type="dxa"/>
          </w:tcPr>
          <w:p w14:paraId="28166A71" w14:textId="77777777" w:rsidR="00907B42" w:rsidRPr="00B31B8E" w:rsidRDefault="00907B42" w:rsidP="00907B42">
            <w:pPr>
              <w:shd w:val="clear" w:color="auto" w:fill="FFFFFF"/>
              <w:spacing w:before="100" w:beforeAutospacing="1" w:after="100" w:afterAutospacing="1"/>
              <w:rPr>
                <w:rFonts w:ascii="Arial" w:eastAsia="Times New Roman" w:hAnsi="Arial" w:cs="Arial"/>
                <w:color w:val="000000"/>
                <w:lang w:val="en-GB"/>
              </w:rPr>
            </w:pPr>
            <w:r w:rsidRPr="00B31B8E">
              <w:rPr>
                <w:rFonts w:ascii="Arial" w:eastAsia="Times New Roman" w:hAnsi="Arial" w:cs="Arial"/>
                <w:color w:val="000000"/>
                <w:lang w:val="en-GB"/>
              </w:rPr>
              <w:t>Diversification and Access to Niche Marke</w:t>
            </w:r>
            <w:r w:rsidRPr="00BB6692">
              <w:rPr>
                <w:rFonts w:ascii="Arial" w:eastAsia="Times New Roman" w:hAnsi="Arial" w:cs="Arial"/>
                <w:color w:val="000000"/>
                <w:lang w:val="en-GB"/>
              </w:rPr>
              <w:t xml:space="preserve">ts: </w:t>
            </w:r>
            <w:r w:rsidRPr="00B31B8E">
              <w:rPr>
                <w:rFonts w:ascii="Arial" w:eastAsia="Times New Roman" w:hAnsi="Arial" w:cs="Arial"/>
                <w:color w:val="000000"/>
                <w:lang w:val="en-GB"/>
              </w:rPr>
              <w:t> ETNs can provide exposure to asset classes and markets that may be difficult to access directly through traditional investment methods. This includes commodities, emerging markets, and specific sectors or investment strategies</w:t>
            </w:r>
            <w:r w:rsidRPr="00BB6692">
              <w:rPr>
                <w:rFonts w:ascii="Arial" w:eastAsia="Times New Roman" w:hAnsi="Arial" w:cs="Arial"/>
                <w:color w:val="000000"/>
                <w:lang w:val="en-GB"/>
              </w:rPr>
              <w:t xml:space="preserve">.  </w:t>
            </w:r>
            <w:r w:rsidRPr="00B31B8E">
              <w:rPr>
                <w:rFonts w:ascii="Arial" w:eastAsia="Times New Roman" w:hAnsi="Arial" w:cs="Arial"/>
                <w:color w:val="000000"/>
                <w:lang w:val="en-GB"/>
              </w:rPr>
              <w:t>By adding ETNs to the portfolio, a UCITS fund can achieve greater diversification, which helps in spreading risk across different asset classes and geographies, potentially reducing the overall risk of the portfolio.</w:t>
            </w:r>
          </w:p>
          <w:p w14:paraId="7EFE2F8A" w14:textId="77777777" w:rsidR="00907B42" w:rsidRPr="00B31B8E" w:rsidRDefault="00907B42" w:rsidP="00907B42">
            <w:pPr>
              <w:shd w:val="clear" w:color="auto" w:fill="FFFFFF"/>
              <w:spacing w:before="100" w:beforeAutospacing="1" w:after="100" w:afterAutospacing="1"/>
              <w:rPr>
                <w:rFonts w:ascii="Arial" w:eastAsia="Times New Roman" w:hAnsi="Arial" w:cs="Arial"/>
                <w:color w:val="000000"/>
                <w:lang w:val="en-GB"/>
              </w:rPr>
            </w:pPr>
            <w:r w:rsidRPr="00B31B8E">
              <w:rPr>
                <w:rFonts w:ascii="Arial" w:eastAsia="Times New Roman" w:hAnsi="Arial" w:cs="Arial"/>
                <w:color w:val="000000"/>
                <w:lang w:val="en-GB"/>
              </w:rPr>
              <w:lastRenderedPageBreak/>
              <w:t>Efficiency and Flexibility: ETNs tend to have lower transaction costs compared to other investment vehicles like mutual funds, making them a cost-effective way to gain exposure to various asset classes.</w:t>
            </w:r>
            <w:r w:rsidRPr="00BB6692">
              <w:rPr>
                <w:rFonts w:ascii="Arial" w:eastAsia="Times New Roman" w:hAnsi="Arial" w:cs="Arial"/>
                <w:color w:val="000000"/>
                <w:lang w:val="en-GB"/>
              </w:rPr>
              <w:t xml:space="preserve"> They</w:t>
            </w:r>
            <w:r w:rsidRPr="00B31B8E">
              <w:rPr>
                <w:rFonts w:ascii="Arial" w:eastAsia="Times New Roman" w:hAnsi="Arial" w:cs="Arial"/>
                <w:color w:val="000000"/>
                <w:lang w:val="en-GB"/>
              </w:rPr>
              <w:t xml:space="preserve"> can be traded on exchanges just like stocks, offering intraday liquidity and flexibility in managing the portfolio. This allows fund managers to quickly and efficiently adjust their positions in response to market conditions.</w:t>
            </w:r>
          </w:p>
          <w:p w14:paraId="680A4E5D" w14:textId="53212D66" w:rsidR="00907B42" w:rsidRPr="00BB6692" w:rsidRDefault="00907B42" w:rsidP="00907B42">
            <w:pPr>
              <w:spacing w:after="250" w:line="276" w:lineRule="auto"/>
              <w:jc w:val="both"/>
              <w:rPr>
                <w:rFonts w:ascii="Arial" w:hAnsi="Arial" w:cs="Arial"/>
                <w:color w:val="181818"/>
                <w:lang w:val="en-GB"/>
              </w:rPr>
            </w:pPr>
            <w:r w:rsidRPr="00B31B8E">
              <w:rPr>
                <w:rFonts w:ascii="Arial" w:eastAsia="Times New Roman" w:hAnsi="Arial" w:cs="Arial"/>
                <w:color w:val="000000"/>
                <w:lang w:val="en-GB"/>
              </w:rPr>
              <w:t>Transparency and Performance Tracking:</w:t>
            </w:r>
            <w:r w:rsidRPr="00BB6692">
              <w:rPr>
                <w:rFonts w:ascii="Arial" w:eastAsia="Times New Roman" w:hAnsi="Arial" w:cs="Arial"/>
                <w:color w:val="000000"/>
                <w:lang w:val="en-GB"/>
              </w:rPr>
              <w:t xml:space="preserve"> </w:t>
            </w:r>
            <w:r w:rsidRPr="00B31B8E">
              <w:rPr>
                <w:rFonts w:ascii="Arial" w:eastAsia="Times New Roman" w:hAnsi="Arial" w:cs="Arial"/>
                <w:color w:val="000000"/>
                <w:lang w:val="en-GB"/>
              </w:rPr>
              <w:t> ETNs are traded on exchanges, providing transparent pricing and ease of valuation. Investors can see real-time prices, which enhances the ability to make informed investment decisions</w:t>
            </w:r>
            <w:r w:rsidRPr="00BB6692">
              <w:rPr>
                <w:rFonts w:ascii="Arial" w:eastAsia="Times New Roman" w:hAnsi="Arial" w:cs="Arial"/>
                <w:color w:val="000000"/>
                <w:lang w:val="en-GB"/>
              </w:rPr>
              <w:t>. They</w:t>
            </w:r>
            <w:r w:rsidRPr="00B31B8E">
              <w:rPr>
                <w:rFonts w:ascii="Arial" w:eastAsia="Times New Roman" w:hAnsi="Arial" w:cs="Arial"/>
                <w:color w:val="000000"/>
                <w:lang w:val="en-GB"/>
              </w:rPr>
              <w:t xml:space="preserve"> typically track an underlying index or benchmark closely, providing direct exposure to the desired performance of </w:t>
            </w:r>
            <w:r w:rsidRPr="00B31B8E">
              <w:rPr>
                <w:rFonts w:ascii="Arial" w:eastAsia="Times New Roman" w:hAnsi="Arial" w:cs="Arial"/>
                <w:color w:val="000000"/>
                <w:lang w:val="en-GB"/>
              </w:rPr>
              <w:lastRenderedPageBreak/>
              <w:t>that index. This can offer investors a clear understanding of what their investment is tracking and how it should perform relative to the underlying</w:t>
            </w:r>
            <w:r w:rsidRPr="00BB6692">
              <w:rPr>
                <w:rFonts w:ascii="Arial" w:eastAsia="Times New Roman" w:hAnsi="Arial" w:cs="Arial"/>
                <w:color w:val="000000"/>
                <w:lang w:val="en-GB"/>
              </w:rPr>
              <w:t xml:space="preserve"> benchmark.</w:t>
            </w:r>
          </w:p>
        </w:tc>
        <w:tc>
          <w:tcPr>
            <w:tcW w:w="2835" w:type="dxa"/>
          </w:tcPr>
          <w:p w14:paraId="19219836" w14:textId="77777777" w:rsidR="00907B42" w:rsidRPr="00273DED" w:rsidRDefault="00907B42" w:rsidP="00907B42">
            <w:pPr>
              <w:spacing w:after="250" w:line="276" w:lineRule="auto"/>
              <w:jc w:val="both"/>
              <w:rPr>
                <w:rFonts w:ascii="Arial" w:hAnsi="Arial" w:cs="Arial"/>
                <w:color w:val="181818"/>
                <w:lang w:val="en-GB"/>
              </w:rPr>
            </w:pPr>
          </w:p>
        </w:tc>
        <w:tc>
          <w:tcPr>
            <w:tcW w:w="2551" w:type="dxa"/>
          </w:tcPr>
          <w:p w14:paraId="296FEF7D" w14:textId="269B4934" w:rsidR="00907B42" w:rsidRPr="00401701" w:rsidRDefault="00907B42" w:rsidP="00907B42">
            <w:pPr>
              <w:spacing w:after="250" w:line="276" w:lineRule="auto"/>
              <w:jc w:val="both"/>
              <w:rPr>
                <w:rFonts w:ascii="Arial" w:hAnsi="Arial" w:cs="Arial"/>
                <w:color w:val="181818"/>
                <w:lang w:val="en-GB"/>
              </w:rPr>
            </w:pPr>
          </w:p>
        </w:tc>
        <w:tc>
          <w:tcPr>
            <w:tcW w:w="3686" w:type="dxa"/>
          </w:tcPr>
          <w:p w14:paraId="7194DBDC" w14:textId="77777777" w:rsidR="00907B42" w:rsidRPr="00401701" w:rsidRDefault="00907B42" w:rsidP="00907B42">
            <w:pPr>
              <w:spacing w:after="250" w:line="276" w:lineRule="auto"/>
              <w:jc w:val="both"/>
              <w:rPr>
                <w:rFonts w:ascii="Arial" w:hAnsi="Arial" w:cs="Arial"/>
                <w:color w:val="181818"/>
                <w:lang w:val="en-GB"/>
              </w:rPr>
            </w:pPr>
          </w:p>
        </w:tc>
      </w:tr>
      <w:tr w:rsidR="00907B42" w:rsidRPr="00B33432" w14:paraId="66BB473F" w14:textId="77777777" w:rsidTr="09FED478">
        <w:tc>
          <w:tcPr>
            <w:tcW w:w="2085" w:type="dxa"/>
          </w:tcPr>
          <w:p w14:paraId="08FCC5EB" w14:textId="77777777" w:rsidR="00907B42" w:rsidRPr="00AD1A16" w:rsidRDefault="00907B42" w:rsidP="09FED478">
            <w:pPr>
              <w:spacing w:after="250" w:line="276" w:lineRule="auto"/>
              <w:rPr>
                <w:rFonts w:eastAsiaTheme="minorEastAsia"/>
                <w:color w:val="000000" w:themeColor="text1"/>
                <w:sz w:val="22"/>
                <w:szCs w:val="22"/>
                <w:lang w:val="en-GB"/>
              </w:rPr>
            </w:pPr>
            <w:r w:rsidRPr="09FED478">
              <w:rPr>
                <w:rFonts w:eastAsiaTheme="minorEastAsia"/>
                <w:color w:val="000000" w:themeColor="text1"/>
                <w:sz w:val="22"/>
                <w:szCs w:val="22"/>
                <w:lang w:val="en-GB"/>
              </w:rPr>
              <w:lastRenderedPageBreak/>
              <w:t>18. Asset-backed securities (‘ABS’) including mortgage-backed securities (‘MBS’)</w:t>
            </w:r>
          </w:p>
        </w:tc>
        <w:tc>
          <w:tcPr>
            <w:tcW w:w="2730" w:type="dxa"/>
          </w:tcPr>
          <w:p w14:paraId="19358A78" w14:textId="21754AEB" w:rsidR="00907B42" w:rsidRPr="003F5FA8" w:rsidRDefault="180DB925" w:rsidP="09FED478">
            <w:pPr>
              <w:spacing w:before="120" w:after="120" w:line="276" w:lineRule="auto"/>
              <w:rPr>
                <w:rFonts w:ascii="Arial" w:eastAsia="Times New Roman" w:hAnsi="Arial" w:cs="Arial"/>
                <w:color w:val="000000"/>
                <w:lang w:val="en-GB"/>
              </w:rPr>
            </w:pPr>
            <w:r w:rsidRPr="003F5FA8">
              <w:rPr>
                <w:rFonts w:ascii="Arial" w:eastAsia="Times New Roman" w:hAnsi="Arial" w:cs="Arial"/>
                <w:color w:val="000000"/>
                <w:lang w:val="en-GB"/>
              </w:rPr>
              <w:t>Current</w:t>
            </w:r>
            <w:r w:rsidR="602CB490" w:rsidRPr="003F5FA8">
              <w:rPr>
                <w:rFonts w:ascii="Arial" w:eastAsia="Times New Roman" w:hAnsi="Arial" w:cs="Arial"/>
                <w:color w:val="000000"/>
                <w:lang w:val="en-GB"/>
              </w:rPr>
              <w:t xml:space="preserve"> market conditions offer </w:t>
            </w:r>
            <w:r w:rsidR="2CB287EF" w:rsidRPr="003F5FA8">
              <w:rPr>
                <w:rFonts w:ascii="Arial" w:eastAsia="Times New Roman" w:hAnsi="Arial" w:cs="Arial"/>
                <w:color w:val="000000"/>
                <w:lang w:val="en-GB"/>
              </w:rPr>
              <w:t xml:space="preserve">opportunities for safe, measured participation through ABS and MBS that are unavailable elsewhere: </w:t>
            </w:r>
          </w:p>
          <w:p w14:paraId="5B2B7435" w14:textId="34F7F44B" w:rsidR="00907B42" w:rsidRPr="003F5FA8" w:rsidRDefault="0969C4FF" w:rsidP="09FED478">
            <w:pPr>
              <w:spacing w:before="120" w:after="120" w:line="276" w:lineRule="auto"/>
              <w:rPr>
                <w:rFonts w:ascii="Arial" w:eastAsia="Times New Roman" w:hAnsi="Arial" w:cs="Arial"/>
                <w:color w:val="000000"/>
                <w:lang w:val="en-GB"/>
              </w:rPr>
            </w:pPr>
            <w:r w:rsidRPr="003F5FA8">
              <w:rPr>
                <w:rFonts w:ascii="Arial" w:eastAsia="Times New Roman" w:hAnsi="Arial" w:cs="Arial"/>
                <w:color w:val="000000"/>
                <w:lang w:val="en-GB"/>
              </w:rPr>
              <w:t>Strong opportunity</w:t>
            </w:r>
            <w:r w:rsidR="3E476654" w:rsidRPr="003F5FA8">
              <w:rPr>
                <w:rFonts w:ascii="Arial" w:eastAsia="Times New Roman" w:hAnsi="Arial" w:cs="Arial"/>
                <w:color w:val="000000"/>
                <w:lang w:val="en-GB"/>
              </w:rPr>
              <w:t xml:space="preserve"> to improve</w:t>
            </w:r>
            <w:r w:rsidRPr="003F5FA8">
              <w:rPr>
                <w:rFonts w:ascii="Arial" w:eastAsia="Times New Roman" w:hAnsi="Arial" w:cs="Arial"/>
                <w:color w:val="000000"/>
                <w:lang w:val="en-GB"/>
              </w:rPr>
              <w:t xml:space="preserve"> return</w:t>
            </w:r>
            <w:r w:rsidR="7F139A96" w:rsidRPr="003F5FA8">
              <w:rPr>
                <w:rFonts w:ascii="Arial" w:eastAsia="Times New Roman" w:hAnsi="Arial" w:cs="Arial"/>
                <w:color w:val="000000"/>
                <w:lang w:val="en-GB"/>
              </w:rPr>
              <w:t>s</w:t>
            </w:r>
            <w:r w:rsidRPr="003F5FA8">
              <w:rPr>
                <w:rFonts w:ascii="Arial" w:eastAsia="Times New Roman" w:hAnsi="Arial" w:cs="Arial"/>
                <w:color w:val="000000"/>
                <w:lang w:val="en-GB"/>
              </w:rPr>
              <w:t xml:space="preserve"> by stepping into the void left by banks </w:t>
            </w:r>
            <w:r w:rsidR="3C560C2B" w:rsidRPr="003F5FA8">
              <w:rPr>
                <w:rFonts w:ascii="Arial" w:eastAsia="Times New Roman" w:hAnsi="Arial" w:cs="Arial"/>
                <w:color w:val="000000"/>
                <w:lang w:val="en-GB"/>
              </w:rPr>
              <w:t>facing capital constraints</w:t>
            </w:r>
            <w:r w:rsidRPr="003F5FA8">
              <w:rPr>
                <w:rFonts w:ascii="Arial" w:eastAsia="Times New Roman" w:hAnsi="Arial" w:cs="Arial"/>
                <w:color w:val="000000"/>
                <w:lang w:val="en-GB"/>
              </w:rPr>
              <w:t>.</w:t>
            </w:r>
            <w:r w:rsidR="2CC9B20D" w:rsidRPr="003F5FA8">
              <w:rPr>
                <w:rFonts w:ascii="Arial" w:eastAsia="Times New Roman" w:hAnsi="Arial" w:cs="Arial"/>
                <w:color w:val="000000"/>
                <w:lang w:val="en-GB"/>
              </w:rPr>
              <w:t xml:space="preserve"> </w:t>
            </w:r>
            <w:proofErr w:type="gramStart"/>
            <w:r w:rsidR="2CC9B20D" w:rsidRPr="003F5FA8">
              <w:rPr>
                <w:rFonts w:ascii="Arial" w:eastAsia="Times New Roman" w:hAnsi="Arial" w:cs="Arial"/>
                <w:color w:val="000000"/>
                <w:lang w:val="en-GB"/>
              </w:rPr>
              <w:t xml:space="preserve">In particular, </w:t>
            </w:r>
            <w:r w:rsidRPr="003F5FA8">
              <w:rPr>
                <w:rFonts w:ascii="Arial" w:eastAsia="Times New Roman" w:hAnsi="Arial" w:cs="Arial"/>
                <w:color w:val="000000"/>
                <w:lang w:val="en-GB"/>
              </w:rPr>
              <w:t>Agency MBS</w:t>
            </w:r>
            <w:proofErr w:type="gramEnd"/>
            <w:r w:rsidRPr="003F5FA8">
              <w:rPr>
                <w:rFonts w:ascii="Arial" w:eastAsia="Times New Roman" w:hAnsi="Arial" w:cs="Arial"/>
                <w:color w:val="000000"/>
                <w:lang w:val="en-GB"/>
              </w:rPr>
              <w:t xml:space="preserve">, AAA CLO and other shorter tenor ABS </w:t>
            </w:r>
            <w:r w:rsidR="0D1F5C3E" w:rsidRPr="003F5FA8">
              <w:rPr>
                <w:rFonts w:ascii="Arial" w:eastAsia="Times New Roman" w:hAnsi="Arial" w:cs="Arial"/>
                <w:color w:val="000000"/>
                <w:lang w:val="en-GB"/>
              </w:rPr>
              <w:t>and</w:t>
            </w:r>
            <w:r w:rsidRPr="003F5FA8">
              <w:rPr>
                <w:rFonts w:ascii="Arial" w:eastAsia="Times New Roman" w:hAnsi="Arial" w:cs="Arial"/>
                <w:color w:val="000000"/>
                <w:lang w:val="en-GB"/>
              </w:rPr>
              <w:t xml:space="preserve"> MBS debt is where banks have played a role.</w:t>
            </w:r>
          </w:p>
          <w:p w14:paraId="7239E05F" w14:textId="6F59E4E3" w:rsidR="00907B42" w:rsidRPr="003F5FA8" w:rsidRDefault="0969C4FF" w:rsidP="09FED478">
            <w:pPr>
              <w:spacing w:before="120" w:after="120" w:line="276" w:lineRule="auto"/>
              <w:rPr>
                <w:rFonts w:ascii="Arial" w:eastAsia="Times New Roman" w:hAnsi="Arial" w:cs="Arial"/>
                <w:color w:val="000000"/>
                <w:lang w:val="en-GB"/>
              </w:rPr>
            </w:pPr>
            <w:r w:rsidRPr="003F5FA8">
              <w:rPr>
                <w:rFonts w:ascii="Arial" w:eastAsia="Times New Roman" w:hAnsi="Arial" w:cs="Arial"/>
                <w:color w:val="000000"/>
                <w:lang w:val="en-GB"/>
              </w:rPr>
              <w:t>A</w:t>
            </w:r>
            <w:r w:rsidR="6A979126" w:rsidRPr="003F5FA8">
              <w:rPr>
                <w:rFonts w:ascii="Arial" w:eastAsia="Times New Roman" w:hAnsi="Arial" w:cs="Arial"/>
                <w:color w:val="000000"/>
                <w:lang w:val="en-GB"/>
              </w:rPr>
              <w:t>BS/MBS offer an a</w:t>
            </w:r>
            <w:r w:rsidRPr="003F5FA8">
              <w:rPr>
                <w:rFonts w:ascii="Arial" w:eastAsia="Times New Roman" w:hAnsi="Arial" w:cs="Arial"/>
                <w:color w:val="000000"/>
                <w:lang w:val="en-GB"/>
              </w:rPr>
              <w:t xml:space="preserve">mortizing debt </w:t>
            </w:r>
            <w:r w:rsidR="2B766F43" w:rsidRPr="003F5FA8">
              <w:rPr>
                <w:rFonts w:ascii="Arial" w:eastAsia="Times New Roman" w:hAnsi="Arial" w:cs="Arial"/>
                <w:color w:val="000000"/>
                <w:lang w:val="en-GB"/>
              </w:rPr>
              <w:t xml:space="preserve">structure, which </w:t>
            </w:r>
            <w:r w:rsidRPr="003F5FA8">
              <w:rPr>
                <w:rFonts w:ascii="Arial" w:eastAsia="Times New Roman" w:hAnsi="Arial" w:cs="Arial"/>
                <w:color w:val="000000"/>
                <w:lang w:val="en-GB"/>
              </w:rPr>
              <w:t>affords</w:t>
            </w:r>
            <w:r w:rsidR="34722B63" w:rsidRPr="003F5FA8">
              <w:rPr>
                <w:rFonts w:ascii="Arial" w:eastAsia="Times New Roman" w:hAnsi="Arial" w:cs="Arial"/>
                <w:color w:val="000000"/>
                <w:lang w:val="en-GB"/>
              </w:rPr>
              <w:t xml:space="preserve"> </w:t>
            </w:r>
            <w:r w:rsidRPr="003F5FA8">
              <w:rPr>
                <w:rFonts w:ascii="Arial" w:eastAsia="Times New Roman" w:hAnsi="Arial" w:cs="Arial"/>
                <w:color w:val="000000"/>
                <w:lang w:val="en-GB"/>
              </w:rPr>
              <w:t xml:space="preserve">liquidity, de-leverages exposure, </w:t>
            </w:r>
            <w:r w:rsidR="43EC88C4" w:rsidRPr="003F5FA8">
              <w:rPr>
                <w:rFonts w:ascii="Arial" w:eastAsia="Times New Roman" w:hAnsi="Arial" w:cs="Arial"/>
                <w:color w:val="000000"/>
                <w:lang w:val="en-GB"/>
              </w:rPr>
              <w:t>thereby</w:t>
            </w:r>
            <w:r w:rsidRPr="003F5FA8">
              <w:rPr>
                <w:rFonts w:ascii="Arial" w:eastAsia="Times New Roman" w:hAnsi="Arial" w:cs="Arial"/>
                <w:color w:val="000000"/>
                <w:lang w:val="en-GB"/>
              </w:rPr>
              <w:t xml:space="preserve"> reduc</w:t>
            </w:r>
            <w:r w:rsidR="117843A4" w:rsidRPr="003F5FA8">
              <w:rPr>
                <w:rFonts w:ascii="Arial" w:eastAsia="Times New Roman" w:hAnsi="Arial" w:cs="Arial"/>
                <w:color w:val="000000"/>
                <w:lang w:val="en-GB"/>
              </w:rPr>
              <w:t>ing</w:t>
            </w:r>
            <w:r w:rsidRPr="003F5FA8">
              <w:rPr>
                <w:rFonts w:ascii="Arial" w:eastAsia="Times New Roman" w:hAnsi="Arial" w:cs="Arial"/>
                <w:color w:val="000000"/>
                <w:lang w:val="en-GB"/>
              </w:rPr>
              <w:t xml:space="preserve"> maturity risk.</w:t>
            </w:r>
          </w:p>
          <w:p w14:paraId="2EB76F8B" w14:textId="02A341A1" w:rsidR="00907B42" w:rsidRPr="003F5FA8" w:rsidRDefault="0969C4FF" w:rsidP="09FED478">
            <w:pPr>
              <w:spacing w:before="120" w:after="120" w:line="276" w:lineRule="auto"/>
              <w:rPr>
                <w:rFonts w:ascii="Arial" w:eastAsia="Times New Roman" w:hAnsi="Arial" w:cs="Arial"/>
                <w:color w:val="000000"/>
                <w:lang w:val="en-GB"/>
              </w:rPr>
            </w:pPr>
            <w:r w:rsidRPr="003F5FA8">
              <w:rPr>
                <w:rFonts w:ascii="Arial" w:eastAsia="Times New Roman" w:hAnsi="Arial" w:cs="Arial"/>
                <w:color w:val="000000"/>
                <w:lang w:val="en-GB"/>
              </w:rPr>
              <w:lastRenderedPageBreak/>
              <w:t xml:space="preserve">Pools of </w:t>
            </w:r>
            <w:r w:rsidR="204F7BC4" w:rsidRPr="003F5FA8">
              <w:rPr>
                <w:rFonts w:ascii="Arial" w:eastAsia="Times New Roman" w:hAnsi="Arial" w:cs="Arial"/>
                <w:color w:val="000000"/>
                <w:lang w:val="en-GB"/>
              </w:rPr>
              <w:t>loans offer diversification,</w:t>
            </w:r>
            <w:r w:rsidRPr="003F5FA8">
              <w:rPr>
                <w:rFonts w:ascii="Arial" w:eastAsia="Times New Roman" w:hAnsi="Arial" w:cs="Arial"/>
                <w:color w:val="000000"/>
                <w:lang w:val="en-GB"/>
              </w:rPr>
              <w:t xml:space="preserve"> insulat</w:t>
            </w:r>
            <w:r w:rsidR="75C266B2" w:rsidRPr="003F5FA8">
              <w:rPr>
                <w:rFonts w:ascii="Arial" w:eastAsia="Times New Roman" w:hAnsi="Arial" w:cs="Arial"/>
                <w:color w:val="000000"/>
                <w:lang w:val="en-GB"/>
              </w:rPr>
              <w:t>ing</w:t>
            </w:r>
            <w:r w:rsidRPr="003F5FA8">
              <w:rPr>
                <w:rFonts w:ascii="Arial" w:eastAsia="Times New Roman" w:hAnsi="Arial" w:cs="Arial"/>
                <w:color w:val="000000"/>
                <w:lang w:val="en-GB"/>
              </w:rPr>
              <w:t xml:space="preserve"> from idiosyncratic risk</w:t>
            </w:r>
            <w:r w:rsidR="2E2ABC76" w:rsidRPr="003F5FA8">
              <w:rPr>
                <w:rFonts w:ascii="Arial" w:eastAsia="Times New Roman" w:hAnsi="Arial" w:cs="Arial"/>
                <w:color w:val="000000"/>
                <w:lang w:val="en-GB"/>
              </w:rPr>
              <w:t>:  a</w:t>
            </w:r>
            <w:r w:rsidR="52AB3FF1" w:rsidRPr="003F5FA8">
              <w:rPr>
                <w:rFonts w:ascii="Arial" w:eastAsia="Times New Roman" w:hAnsi="Arial" w:cs="Arial"/>
                <w:color w:val="000000"/>
                <w:lang w:val="en-GB"/>
              </w:rPr>
              <w:t>ccess to a wide range of underlying asset types means that i</w:t>
            </w:r>
            <w:r w:rsidR="2C740892" w:rsidRPr="003F5FA8">
              <w:rPr>
                <w:rFonts w:ascii="Arial" w:eastAsia="Times New Roman" w:hAnsi="Arial" w:cs="Arial"/>
                <w:color w:val="000000"/>
                <w:lang w:val="en-GB"/>
              </w:rPr>
              <w:t>t is possible to select investment based on analysis of</w:t>
            </w:r>
            <w:r w:rsidR="78564AED" w:rsidRPr="003F5FA8">
              <w:rPr>
                <w:rFonts w:ascii="Arial" w:eastAsia="Times New Roman" w:hAnsi="Arial" w:cs="Arial"/>
                <w:color w:val="000000"/>
                <w:lang w:val="en-GB"/>
              </w:rPr>
              <w:t xml:space="preserve"> </w:t>
            </w:r>
            <w:r w:rsidR="2D5D3235" w:rsidRPr="003F5FA8">
              <w:rPr>
                <w:rFonts w:ascii="Arial" w:eastAsia="Times New Roman" w:hAnsi="Arial" w:cs="Arial"/>
                <w:color w:val="000000"/>
                <w:lang w:val="en-GB"/>
              </w:rPr>
              <w:t xml:space="preserve">credit </w:t>
            </w:r>
            <w:r w:rsidR="78564AED" w:rsidRPr="003F5FA8">
              <w:rPr>
                <w:rFonts w:ascii="Arial" w:eastAsia="Times New Roman" w:hAnsi="Arial" w:cs="Arial"/>
                <w:color w:val="000000"/>
                <w:lang w:val="en-GB"/>
              </w:rPr>
              <w:t>fundamentals</w:t>
            </w:r>
            <w:r w:rsidR="0CE5F2E3" w:rsidRPr="003F5FA8">
              <w:rPr>
                <w:rFonts w:ascii="Arial" w:eastAsia="Times New Roman" w:hAnsi="Arial" w:cs="Arial"/>
                <w:color w:val="000000"/>
                <w:lang w:val="en-GB"/>
              </w:rPr>
              <w:t xml:space="preserve">, including </w:t>
            </w:r>
            <w:r w:rsidR="0B37A128" w:rsidRPr="003F5FA8">
              <w:rPr>
                <w:rFonts w:ascii="Arial" w:eastAsia="Times New Roman" w:hAnsi="Arial" w:cs="Arial"/>
                <w:color w:val="000000"/>
                <w:lang w:val="en-GB"/>
              </w:rPr>
              <w:t>borrower and collateral types</w:t>
            </w:r>
            <w:r w:rsidR="0AD31160" w:rsidRPr="003F5FA8">
              <w:rPr>
                <w:rFonts w:ascii="Arial" w:eastAsia="Times New Roman" w:hAnsi="Arial" w:cs="Arial"/>
                <w:color w:val="000000"/>
                <w:lang w:val="en-GB"/>
              </w:rPr>
              <w:t xml:space="preserve"> (geography, sector).</w:t>
            </w:r>
            <w:r w:rsidR="0B37A128" w:rsidRPr="003F5FA8">
              <w:rPr>
                <w:rFonts w:ascii="Arial" w:eastAsia="Times New Roman" w:hAnsi="Arial" w:cs="Arial"/>
                <w:color w:val="000000"/>
                <w:lang w:val="en-GB"/>
              </w:rPr>
              <w:t xml:space="preserve"> </w:t>
            </w:r>
            <w:r w:rsidR="3EDA3D62" w:rsidRPr="003F5FA8">
              <w:rPr>
                <w:rFonts w:ascii="Arial" w:eastAsia="Times New Roman" w:hAnsi="Arial" w:cs="Arial"/>
                <w:color w:val="000000"/>
                <w:lang w:val="en-GB"/>
              </w:rPr>
              <w:t>This enables</w:t>
            </w:r>
            <w:r w:rsidR="0B37A128" w:rsidRPr="003F5FA8">
              <w:rPr>
                <w:rFonts w:ascii="Arial" w:eastAsia="Times New Roman" w:hAnsi="Arial" w:cs="Arial"/>
                <w:color w:val="000000"/>
                <w:lang w:val="en-GB"/>
              </w:rPr>
              <w:t xml:space="preserve"> the investment manager </w:t>
            </w:r>
            <w:r w:rsidR="5EF548C4" w:rsidRPr="003F5FA8">
              <w:rPr>
                <w:rFonts w:ascii="Arial" w:eastAsia="Times New Roman" w:hAnsi="Arial" w:cs="Arial"/>
                <w:color w:val="000000"/>
                <w:lang w:val="en-GB"/>
              </w:rPr>
              <w:t xml:space="preserve">to </w:t>
            </w:r>
            <w:r w:rsidR="78564AED" w:rsidRPr="003F5FA8">
              <w:rPr>
                <w:rFonts w:ascii="Arial" w:eastAsia="Times New Roman" w:hAnsi="Arial" w:cs="Arial"/>
                <w:color w:val="000000"/>
                <w:lang w:val="en-GB"/>
              </w:rPr>
              <w:t>c</w:t>
            </w:r>
            <w:r w:rsidRPr="003F5FA8">
              <w:rPr>
                <w:rFonts w:ascii="Arial" w:eastAsia="Times New Roman" w:hAnsi="Arial" w:cs="Arial"/>
                <w:color w:val="000000"/>
                <w:lang w:val="en-GB"/>
              </w:rPr>
              <w:t>ustomiz</w:t>
            </w:r>
            <w:r w:rsidR="6F9E38A0" w:rsidRPr="003F5FA8">
              <w:rPr>
                <w:rFonts w:ascii="Arial" w:eastAsia="Times New Roman" w:hAnsi="Arial" w:cs="Arial"/>
                <w:color w:val="000000"/>
                <w:lang w:val="en-GB"/>
              </w:rPr>
              <w:t>e</w:t>
            </w:r>
            <w:r w:rsidR="45A4122B" w:rsidRPr="003F5FA8">
              <w:rPr>
                <w:rFonts w:ascii="Arial" w:eastAsia="Times New Roman" w:hAnsi="Arial" w:cs="Arial"/>
                <w:color w:val="000000"/>
                <w:lang w:val="en-GB"/>
              </w:rPr>
              <w:t xml:space="preserve"> investment</w:t>
            </w:r>
            <w:r w:rsidRPr="003F5FA8">
              <w:rPr>
                <w:rFonts w:ascii="Arial" w:eastAsia="Times New Roman" w:hAnsi="Arial" w:cs="Arial"/>
                <w:color w:val="000000"/>
                <w:lang w:val="en-GB"/>
              </w:rPr>
              <w:t xml:space="preserve"> exposure based on volatility, liquidity and credit</w:t>
            </w:r>
            <w:r w:rsidR="01F581D0" w:rsidRPr="003F5FA8">
              <w:rPr>
                <w:rFonts w:ascii="Arial" w:eastAsia="Times New Roman" w:hAnsi="Arial" w:cs="Arial"/>
                <w:color w:val="000000"/>
                <w:lang w:val="en-GB"/>
              </w:rPr>
              <w:t>.</w:t>
            </w:r>
          </w:p>
          <w:p w14:paraId="10959847" w14:textId="742C8F3B" w:rsidR="00907B42" w:rsidRPr="003F5FA8" w:rsidRDefault="0969C4FF" w:rsidP="09FED478">
            <w:pPr>
              <w:spacing w:before="120" w:after="120" w:line="276" w:lineRule="auto"/>
              <w:rPr>
                <w:rFonts w:ascii="Arial" w:eastAsia="Times New Roman" w:hAnsi="Arial" w:cs="Arial"/>
                <w:color w:val="000000"/>
                <w:lang w:val="en-GB"/>
              </w:rPr>
            </w:pPr>
            <w:r w:rsidRPr="003F5FA8">
              <w:rPr>
                <w:rFonts w:ascii="Arial" w:eastAsia="Times New Roman" w:hAnsi="Arial" w:cs="Arial"/>
                <w:color w:val="000000"/>
                <w:lang w:val="en-GB"/>
              </w:rPr>
              <w:t xml:space="preserve">A wide range of notes issued across ratings allows for customization of risk exposure: </w:t>
            </w:r>
            <w:r w:rsidR="46465C36" w:rsidRPr="003F5FA8">
              <w:rPr>
                <w:rFonts w:ascii="Arial" w:eastAsia="Times New Roman" w:hAnsi="Arial" w:cs="Arial"/>
                <w:color w:val="000000"/>
                <w:lang w:val="en-GB"/>
              </w:rPr>
              <w:t>this enables a choice of</w:t>
            </w:r>
            <w:r w:rsidRPr="003F5FA8">
              <w:rPr>
                <w:rFonts w:ascii="Arial" w:eastAsia="Times New Roman" w:hAnsi="Arial" w:cs="Arial"/>
                <w:color w:val="000000"/>
                <w:lang w:val="en-GB"/>
              </w:rPr>
              <w:t xml:space="preserve"> structural protection</w:t>
            </w:r>
            <w:r w:rsidR="72164E55" w:rsidRPr="003F5FA8">
              <w:rPr>
                <w:rFonts w:ascii="Arial" w:eastAsia="Times New Roman" w:hAnsi="Arial" w:cs="Arial"/>
                <w:color w:val="000000"/>
                <w:lang w:val="en-GB"/>
              </w:rPr>
              <w:t>.</w:t>
            </w:r>
            <w:r w:rsidR="45D92A05" w:rsidRPr="003F5FA8">
              <w:rPr>
                <w:rFonts w:ascii="Arial" w:eastAsia="Times New Roman" w:hAnsi="Arial" w:cs="Arial"/>
                <w:color w:val="000000"/>
                <w:lang w:val="en-GB"/>
              </w:rPr>
              <w:t xml:space="preserve"> By selecting higher-rated tranches, UCITS funds can balance the pursuit of yield with acceptable levels of risk.</w:t>
            </w:r>
          </w:p>
          <w:p w14:paraId="59E30F0C" w14:textId="4624423F" w:rsidR="00907B42" w:rsidRPr="003F5FA8" w:rsidRDefault="0969C4FF" w:rsidP="09FED478">
            <w:pPr>
              <w:spacing w:before="120" w:after="120" w:line="259" w:lineRule="auto"/>
              <w:rPr>
                <w:rFonts w:ascii="Arial" w:eastAsia="Times New Roman" w:hAnsi="Arial" w:cs="Arial"/>
                <w:color w:val="000000"/>
                <w:lang w:val="en-GB"/>
              </w:rPr>
            </w:pPr>
            <w:r w:rsidRPr="003F5FA8">
              <w:rPr>
                <w:rFonts w:ascii="Arial" w:eastAsia="Times New Roman" w:hAnsi="Arial" w:cs="Arial"/>
                <w:color w:val="000000"/>
                <w:lang w:val="en-GB"/>
              </w:rPr>
              <w:t xml:space="preserve">Secondary markets trading at a discount allow for an investor to customize return </w:t>
            </w:r>
            <w:r w:rsidRPr="003F5FA8">
              <w:rPr>
                <w:rFonts w:ascii="Arial" w:eastAsia="Times New Roman" w:hAnsi="Arial" w:cs="Arial"/>
                <w:color w:val="000000"/>
                <w:lang w:val="en-GB"/>
              </w:rPr>
              <w:lastRenderedPageBreak/>
              <w:t xml:space="preserve">profile, mitigate call risk: </w:t>
            </w:r>
            <w:r w:rsidR="73B7F440" w:rsidRPr="003F5FA8">
              <w:rPr>
                <w:rFonts w:ascii="Arial" w:eastAsia="Times New Roman" w:hAnsi="Arial" w:cs="Arial"/>
                <w:color w:val="000000"/>
                <w:lang w:val="en-GB"/>
              </w:rPr>
              <w:t xml:space="preserve">liquidity in </w:t>
            </w:r>
            <w:r w:rsidR="00B7133E" w:rsidRPr="003F5FA8">
              <w:rPr>
                <w:rFonts w:ascii="Arial" w:eastAsia="Times New Roman" w:hAnsi="Arial" w:cs="Arial"/>
                <w:color w:val="000000"/>
                <w:lang w:val="en-GB"/>
              </w:rPr>
              <w:t>highly rated</w:t>
            </w:r>
            <w:r w:rsidR="73B7F440" w:rsidRPr="003F5FA8">
              <w:rPr>
                <w:rFonts w:ascii="Arial" w:eastAsia="Times New Roman" w:hAnsi="Arial" w:cs="Arial"/>
                <w:color w:val="000000"/>
                <w:lang w:val="en-GB"/>
              </w:rPr>
              <w:t xml:space="preserve"> </w:t>
            </w:r>
            <w:r w:rsidR="3456B1F2" w:rsidRPr="003F5FA8">
              <w:rPr>
                <w:rFonts w:ascii="Arial" w:eastAsia="Times New Roman" w:hAnsi="Arial" w:cs="Arial"/>
                <w:color w:val="000000"/>
                <w:lang w:val="en-GB"/>
              </w:rPr>
              <w:t xml:space="preserve">ABS/MBS enables investment managers to </w:t>
            </w:r>
            <w:r w:rsidR="24F55620" w:rsidRPr="003F5FA8">
              <w:rPr>
                <w:rFonts w:ascii="Arial" w:eastAsia="Times New Roman" w:hAnsi="Arial" w:cs="Arial"/>
                <w:color w:val="000000"/>
                <w:lang w:val="en-GB"/>
              </w:rPr>
              <w:t xml:space="preserve">actively </w:t>
            </w:r>
            <w:r w:rsidR="3456B1F2" w:rsidRPr="003F5FA8">
              <w:rPr>
                <w:rFonts w:ascii="Arial" w:eastAsia="Times New Roman" w:hAnsi="Arial" w:cs="Arial"/>
                <w:color w:val="000000"/>
                <w:lang w:val="en-GB"/>
              </w:rPr>
              <w:t>c</w:t>
            </w:r>
            <w:r w:rsidRPr="003F5FA8">
              <w:rPr>
                <w:rFonts w:ascii="Arial" w:eastAsia="Times New Roman" w:hAnsi="Arial" w:cs="Arial"/>
                <w:color w:val="000000"/>
                <w:lang w:val="en-GB"/>
              </w:rPr>
              <w:t>hoose valuation protection.</w:t>
            </w:r>
          </w:p>
          <w:p w14:paraId="769D0D3C" w14:textId="03E314AB" w:rsidR="00907B42" w:rsidRPr="003F5FA8" w:rsidRDefault="0969C4FF" w:rsidP="09FED478">
            <w:pPr>
              <w:spacing w:before="120" w:after="120" w:line="259" w:lineRule="auto"/>
              <w:rPr>
                <w:rFonts w:ascii="Arial" w:eastAsia="Times New Roman" w:hAnsi="Arial" w:cs="Arial"/>
                <w:color w:val="000000"/>
                <w:lang w:val="en-GB"/>
              </w:rPr>
            </w:pPr>
            <w:r w:rsidRPr="003F5FA8">
              <w:rPr>
                <w:rFonts w:ascii="Arial" w:eastAsia="Times New Roman" w:hAnsi="Arial" w:cs="Arial"/>
                <w:color w:val="000000"/>
                <w:lang w:val="en-GB"/>
              </w:rPr>
              <w:t>Attractive and diversifying alternative, at all points in the cycle, to intermediate corporate securities</w:t>
            </w:r>
            <w:r w:rsidR="49B4F777" w:rsidRPr="003F5FA8">
              <w:rPr>
                <w:rFonts w:ascii="Arial" w:eastAsia="Times New Roman" w:hAnsi="Arial" w:cs="Arial"/>
                <w:color w:val="000000"/>
                <w:lang w:val="en-GB"/>
              </w:rPr>
              <w:t xml:space="preserve">; </w:t>
            </w:r>
            <w:r w:rsidR="4643A241" w:rsidRPr="003F5FA8">
              <w:rPr>
                <w:rFonts w:ascii="Arial" w:eastAsia="Times New Roman" w:hAnsi="Arial" w:cs="Arial"/>
                <w:color w:val="000000"/>
                <w:lang w:val="en-GB"/>
              </w:rPr>
              <w:t>offer</w:t>
            </w:r>
            <w:r w:rsidR="49B4F777" w:rsidRPr="003F5FA8">
              <w:rPr>
                <w:rFonts w:ascii="Arial" w:eastAsia="Times New Roman" w:hAnsi="Arial" w:cs="Arial"/>
                <w:color w:val="000000"/>
                <w:lang w:val="en-GB"/>
              </w:rPr>
              <w:t xml:space="preserve"> the ability to </w:t>
            </w:r>
            <w:r w:rsidR="180B4D04" w:rsidRPr="003F5FA8">
              <w:rPr>
                <w:rFonts w:ascii="Arial" w:eastAsia="Times New Roman" w:hAnsi="Arial" w:cs="Arial"/>
                <w:color w:val="000000"/>
                <w:lang w:val="en-GB"/>
              </w:rPr>
              <w:t>choose investments that match</w:t>
            </w:r>
            <w:r w:rsidR="00F5D07C" w:rsidRPr="003F5FA8">
              <w:rPr>
                <w:rFonts w:ascii="Arial" w:eastAsia="Times New Roman" w:hAnsi="Arial" w:cs="Arial"/>
                <w:color w:val="000000"/>
                <w:lang w:val="en-GB"/>
              </w:rPr>
              <w:t xml:space="preserve"> UCITS</w:t>
            </w:r>
            <w:r w:rsidR="180B4D04" w:rsidRPr="003F5FA8">
              <w:rPr>
                <w:rFonts w:ascii="Arial" w:eastAsia="Times New Roman" w:hAnsi="Arial" w:cs="Arial"/>
                <w:color w:val="000000"/>
                <w:lang w:val="en-GB"/>
              </w:rPr>
              <w:t xml:space="preserve"> risk tolerance and return objectives. </w:t>
            </w:r>
          </w:p>
        </w:tc>
        <w:tc>
          <w:tcPr>
            <w:tcW w:w="2835" w:type="dxa"/>
          </w:tcPr>
          <w:p w14:paraId="54CD245A" w14:textId="191AB49F" w:rsidR="00907B42" w:rsidRPr="003778F9" w:rsidRDefault="09D4A586" w:rsidP="00907B42">
            <w:pPr>
              <w:spacing w:after="250" w:line="276" w:lineRule="auto"/>
              <w:jc w:val="both"/>
              <w:rPr>
                <w:rFonts w:ascii="Arial" w:hAnsi="Arial" w:cs="Arial"/>
                <w:color w:val="181818"/>
                <w:lang w:val="en-GB"/>
              </w:rPr>
            </w:pPr>
            <w:r w:rsidRPr="7E0E28D6">
              <w:rPr>
                <w:rFonts w:ascii="Arial" w:hAnsi="Arial" w:cs="Arial"/>
                <w:color w:val="181818"/>
                <w:lang w:val="en-GB"/>
              </w:rPr>
              <w:lastRenderedPageBreak/>
              <w:t>n/a</w:t>
            </w:r>
          </w:p>
        </w:tc>
        <w:tc>
          <w:tcPr>
            <w:tcW w:w="2551" w:type="dxa"/>
          </w:tcPr>
          <w:p w14:paraId="1231BE67" w14:textId="6F054CCD" w:rsidR="00907B42" w:rsidRPr="004F55BF" w:rsidRDefault="7C1F006C" w:rsidP="09FED478">
            <w:pPr>
              <w:spacing w:after="250" w:line="276" w:lineRule="auto"/>
              <w:jc w:val="both"/>
              <w:rPr>
                <w:rFonts w:ascii="Arial" w:hAnsi="Arial" w:cs="Arial"/>
                <w:color w:val="444444"/>
                <w:lang w:val="en-GB"/>
              </w:rPr>
            </w:pPr>
            <w:r w:rsidRPr="004F55BF">
              <w:rPr>
                <w:rFonts w:ascii="Arial" w:hAnsi="Arial" w:cs="Arial"/>
                <w:color w:val="444444"/>
                <w:shd w:val="clear" w:color="auto" w:fill="FFFFFF"/>
                <w:lang w:val="en-GB"/>
              </w:rPr>
              <w:t xml:space="preserve">Exposure through securitisation strategies in accordance with disclosed </w:t>
            </w:r>
            <w:r w:rsidR="77943DAB" w:rsidRPr="004F55BF">
              <w:rPr>
                <w:rFonts w:ascii="Arial" w:hAnsi="Arial" w:cs="Arial"/>
                <w:color w:val="444444"/>
                <w:shd w:val="clear" w:color="auto" w:fill="FFFFFF"/>
                <w:lang w:val="en-GB"/>
              </w:rPr>
              <w:t xml:space="preserve">parameters. </w:t>
            </w:r>
            <w:r w:rsidR="00907B42" w:rsidRPr="004F55BF">
              <w:rPr>
                <w:rFonts w:ascii="Arial" w:hAnsi="Arial" w:cs="Arial"/>
                <w:color w:val="444444"/>
                <w:shd w:val="clear" w:color="auto" w:fill="FFFFFF"/>
                <w:lang w:val="en-GB"/>
              </w:rPr>
              <w:t>O</w:t>
            </w:r>
            <w:r w:rsidR="221C2A6A" w:rsidRPr="004F55BF">
              <w:rPr>
                <w:rFonts w:ascii="Arial" w:hAnsi="Arial" w:cs="Arial"/>
                <w:color w:val="444444"/>
                <w:shd w:val="clear" w:color="auto" w:fill="FFFFFF"/>
                <w:lang w:val="en-GB"/>
              </w:rPr>
              <w:t>therwise, o</w:t>
            </w:r>
            <w:r w:rsidR="00907B42" w:rsidRPr="004F55BF">
              <w:rPr>
                <w:rFonts w:ascii="Arial" w:hAnsi="Arial" w:cs="Arial"/>
                <w:color w:val="444444"/>
                <w:shd w:val="clear" w:color="auto" w:fill="FFFFFF"/>
                <w:lang w:val="en-GB"/>
              </w:rPr>
              <w:t>ur default limit is 5% unless called out in Investment policy. For some FI funds we have more than 10% limit allowance</w:t>
            </w:r>
            <w:r w:rsidR="3F48A060" w:rsidRPr="004F55BF">
              <w:rPr>
                <w:rFonts w:ascii="Arial" w:hAnsi="Arial" w:cs="Arial"/>
                <w:color w:val="444444"/>
                <w:shd w:val="clear" w:color="auto" w:fill="FFFFFF"/>
                <w:lang w:val="en-GB"/>
              </w:rPr>
              <w:t>.</w:t>
            </w:r>
          </w:p>
        </w:tc>
        <w:tc>
          <w:tcPr>
            <w:tcW w:w="3686" w:type="dxa"/>
          </w:tcPr>
          <w:p w14:paraId="36FEB5B0" w14:textId="1B1EBDEA" w:rsidR="00907B42" w:rsidRPr="00BE68F0" w:rsidRDefault="00907B42" w:rsidP="00907B42">
            <w:pPr>
              <w:spacing w:after="250" w:line="276" w:lineRule="auto"/>
              <w:jc w:val="both"/>
              <w:rPr>
                <w:rFonts w:ascii="Arial" w:hAnsi="Arial" w:cs="Arial"/>
                <w:color w:val="181818"/>
                <w:lang w:val="en-GB"/>
              </w:rPr>
            </w:pPr>
            <w:r w:rsidRPr="00BE68F0">
              <w:rPr>
                <w:rFonts w:ascii="Arial" w:hAnsi="Arial" w:cs="Arial"/>
                <w:color w:val="181818"/>
                <w:lang w:val="en-GB"/>
              </w:rPr>
              <w:t>Please see our response to Q.23</w:t>
            </w:r>
          </w:p>
        </w:tc>
      </w:tr>
      <w:tr w:rsidR="00907B42" w:rsidRPr="00B33432" w14:paraId="16623728" w14:textId="77777777" w:rsidTr="09FED478">
        <w:tc>
          <w:tcPr>
            <w:tcW w:w="2085" w:type="dxa"/>
          </w:tcPr>
          <w:p w14:paraId="2D5FBB9B" w14:textId="77777777" w:rsidR="00907B42" w:rsidRPr="00AD1A16" w:rsidRDefault="00907B42" w:rsidP="00907B42">
            <w:pPr>
              <w:spacing w:after="250" w:line="276" w:lineRule="auto"/>
              <w:rPr>
                <w:rFonts w:ascii="Arial" w:hAnsi="Arial" w:cs="Arial"/>
                <w:lang w:val="en-GB"/>
              </w:rPr>
            </w:pPr>
            <w:r w:rsidRPr="00AD1A16">
              <w:rPr>
                <w:rFonts w:ascii="Arial" w:hAnsi="Arial" w:cs="Arial"/>
                <w:lang w:val="en-GB"/>
              </w:rPr>
              <w:lastRenderedPageBreak/>
              <w:t>19. Other relevant asset classes (please specify)</w:t>
            </w:r>
          </w:p>
        </w:tc>
        <w:tc>
          <w:tcPr>
            <w:tcW w:w="2730" w:type="dxa"/>
          </w:tcPr>
          <w:p w14:paraId="30D7AA69" w14:textId="77777777" w:rsidR="00907B42" w:rsidRPr="00AD1A16" w:rsidRDefault="00907B42" w:rsidP="00907B42">
            <w:pPr>
              <w:spacing w:after="250" w:line="276" w:lineRule="auto"/>
              <w:jc w:val="both"/>
              <w:rPr>
                <w:rFonts w:ascii="Arial" w:hAnsi="Arial" w:cs="Arial"/>
                <w:color w:val="181818"/>
                <w:lang w:val="en-GB"/>
              </w:rPr>
            </w:pPr>
          </w:p>
        </w:tc>
        <w:tc>
          <w:tcPr>
            <w:tcW w:w="2835" w:type="dxa"/>
          </w:tcPr>
          <w:p w14:paraId="7196D064" w14:textId="77777777" w:rsidR="00907B42" w:rsidRPr="00273DED" w:rsidRDefault="00907B42" w:rsidP="00907B42">
            <w:pPr>
              <w:spacing w:after="250" w:line="276" w:lineRule="auto"/>
              <w:jc w:val="both"/>
              <w:rPr>
                <w:rFonts w:ascii="Arial" w:hAnsi="Arial" w:cs="Arial"/>
                <w:color w:val="181818"/>
                <w:lang w:val="en-GB"/>
              </w:rPr>
            </w:pPr>
          </w:p>
        </w:tc>
        <w:tc>
          <w:tcPr>
            <w:tcW w:w="2551" w:type="dxa"/>
          </w:tcPr>
          <w:p w14:paraId="34FF1C98" w14:textId="77777777" w:rsidR="00907B42" w:rsidRPr="00273DED" w:rsidRDefault="00907B42" w:rsidP="00907B42">
            <w:pPr>
              <w:spacing w:after="250" w:line="276" w:lineRule="auto"/>
              <w:jc w:val="both"/>
              <w:rPr>
                <w:rFonts w:ascii="Arial" w:hAnsi="Arial" w:cs="Arial"/>
                <w:color w:val="181818"/>
                <w:lang w:val="en-GB"/>
              </w:rPr>
            </w:pPr>
          </w:p>
        </w:tc>
        <w:tc>
          <w:tcPr>
            <w:tcW w:w="3686" w:type="dxa"/>
          </w:tcPr>
          <w:p w14:paraId="6D072C0D" w14:textId="77777777" w:rsidR="00907B42" w:rsidRPr="00273DED" w:rsidRDefault="00907B42" w:rsidP="00907B42">
            <w:pPr>
              <w:spacing w:after="250" w:line="276" w:lineRule="auto"/>
              <w:jc w:val="both"/>
              <w:rPr>
                <w:rFonts w:ascii="Arial" w:hAnsi="Arial" w:cs="Arial"/>
                <w:color w:val="181818"/>
                <w:lang w:val="en-GB"/>
              </w:rPr>
            </w:pPr>
          </w:p>
        </w:tc>
      </w:tr>
    </w:tbl>
    <w:p w14:paraId="48A21919" w14:textId="77777777" w:rsidR="00B33432" w:rsidRPr="00B33432" w:rsidRDefault="00B33432" w:rsidP="00B33432">
      <w:pPr>
        <w:spacing w:after="120" w:line="276" w:lineRule="auto"/>
        <w:jc w:val="both"/>
        <w:rPr>
          <w:rFonts w:ascii="Arial" w:eastAsia="MS PGothic" w:hAnsi="Arial" w:cs="Arial"/>
          <w:color w:val="181818"/>
          <w:szCs w:val="20"/>
        </w:rPr>
      </w:pPr>
    </w:p>
    <w:p w14:paraId="6BD18F9B" w14:textId="77777777" w:rsidR="004C269D" w:rsidRDefault="004C269D"/>
    <w:sectPr w:rsidR="004C269D" w:rsidSect="005C3C0F">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6FC7F" w14:textId="77777777" w:rsidR="0086723C" w:rsidRDefault="0086723C" w:rsidP="00B33432">
      <w:pPr>
        <w:spacing w:after="0" w:line="240" w:lineRule="auto"/>
      </w:pPr>
      <w:r>
        <w:separator/>
      </w:r>
    </w:p>
  </w:endnote>
  <w:endnote w:type="continuationSeparator" w:id="0">
    <w:p w14:paraId="45A9323F" w14:textId="77777777" w:rsidR="0086723C" w:rsidRDefault="0086723C" w:rsidP="00B33432">
      <w:pPr>
        <w:spacing w:after="0" w:line="240" w:lineRule="auto"/>
      </w:pPr>
      <w:r>
        <w:continuationSeparator/>
      </w:r>
    </w:p>
  </w:endnote>
  <w:endnote w:type="continuationNotice" w:id="1">
    <w:p w14:paraId="2DCB950B" w14:textId="77777777" w:rsidR="0086723C" w:rsidRDefault="008672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3E599" w14:textId="77777777" w:rsidR="0086723C" w:rsidRDefault="0086723C" w:rsidP="00B33432">
      <w:pPr>
        <w:spacing w:after="0" w:line="240" w:lineRule="auto"/>
      </w:pPr>
      <w:r>
        <w:separator/>
      </w:r>
    </w:p>
  </w:footnote>
  <w:footnote w:type="continuationSeparator" w:id="0">
    <w:p w14:paraId="72B9A0AA" w14:textId="77777777" w:rsidR="0086723C" w:rsidRDefault="0086723C" w:rsidP="00B33432">
      <w:pPr>
        <w:spacing w:after="0" w:line="240" w:lineRule="auto"/>
      </w:pPr>
      <w:r>
        <w:continuationSeparator/>
      </w:r>
    </w:p>
  </w:footnote>
  <w:footnote w:type="continuationNotice" w:id="1">
    <w:p w14:paraId="29BEA99F" w14:textId="77777777" w:rsidR="0086723C" w:rsidRDefault="0086723C">
      <w:pPr>
        <w:spacing w:after="0" w:line="240" w:lineRule="auto"/>
      </w:pPr>
    </w:p>
  </w:footnote>
  <w:footnote w:id="2">
    <w:p w14:paraId="53A506E4" w14:textId="77777777" w:rsidR="00B33432" w:rsidRPr="00797C74" w:rsidRDefault="00B33432" w:rsidP="00332B8C">
      <w:pPr>
        <w:pStyle w:val="FootnoteText"/>
        <w:jc w:val="both"/>
        <w:rPr>
          <w:rFonts w:ascii="Arial" w:hAnsi="Arial" w:cs="Arial"/>
          <w:sz w:val="16"/>
          <w:szCs w:val="16"/>
        </w:rPr>
      </w:pPr>
      <w:r w:rsidRPr="00797C74">
        <w:rPr>
          <w:rStyle w:val="Ref1"/>
          <w:rFonts w:cs="Arial"/>
          <w:szCs w:val="16"/>
        </w:rPr>
        <w:footnoteRef/>
      </w:r>
      <w:r w:rsidRPr="00797C74">
        <w:rPr>
          <w:rFonts w:ascii="Arial" w:hAnsi="Arial" w:cs="Arial"/>
          <w:sz w:val="16"/>
          <w:szCs w:val="16"/>
        </w:rPr>
        <w:t xml:space="preserve"> ESMA acknowledges that most of the asset classes listed below have not been clearly defined in EU legislation and this might be a source of divergent interpretations and misunderstandings. Where possible, ESMA invites stakeholders to specify their understanding or definition of the relevant asset classes under the “additional comments” box.</w:t>
      </w:r>
    </w:p>
  </w:footnote>
  <w:footnote w:id="3">
    <w:p w14:paraId="5DF96E01" w14:textId="77777777" w:rsidR="00B33432" w:rsidRPr="00797C74" w:rsidRDefault="00B33432" w:rsidP="00332B8C">
      <w:pPr>
        <w:pStyle w:val="FootnoteText"/>
        <w:jc w:val="both"/>
        <w:rPr>
          <w:rFonts w:ascii="Arial" w:hAnsi="Arial" w:cs="Arial"/>
          <w:sz w:val="16"/>
          <w:szCs w:val="16"/>
        </w:rPr>
      </w:pPr>
      <w:r w:rsidRPr="00797C74">
        <w:rPr>
          <w:rStyle w:val="Ref1"/>
          <w:rFonts w:cs="Arial"/>
          <w:szCs w:val="16"/>
        </w:rPr>
        <w:footnoteRef/>
      </w:r>
      <w:r w:rsidRPr="00797C74">
        <w:rPr>
          <w:rFonts w:ascii="Arial" w:hAnsi="Arial" w:cs="Arial"/>
          <w:sz w:val="16"/>
          <w:szCs w:val="16"/>
        </w:rPr>
        <w:t xml:space="preserve"> Where relevant, please distinguish between indirect exposures via instruments such as delta-one instruments, exchange-traded products, derivatives, or AIFs (EU or non-EU). </w:t>
      </w:r>
    </w:p>
  </w:footnote>
  <w:footnote w:id="4">
    <w:p w14:paraId="0C264AC6" w14:textId="77777777" w:rsidR="00B33432" w:rsidRPr="00797C74" w:rsidRDefault="00B33432" w:rsidP="00332B8C">
      <w:pPr>
        <w:pStyle w:val="FootnoteText"/>
        <w:jc w:val="both"/>
        <w:rPr>
          <w:rFonts w:ascii="Arial" w:hAnsi="Arial" w:cs="Arial"/>
          <w:sz w:val="16"/>
          <w:szCs w:val="16"/>
        </w:rPr>
      </w:pPr>
      <w:r w:rsidRPr="00797C74">
        <w:rPr>
          <w:rStyle w:val="Ref1"/>
          <w:rFonts w:cs="Arial"/>
          <w:szCs w:val="16"/>
        </w:rPr>
        <w:footnoteRef/>
      </w:r>
      <w:r w:rsidRPr="00797C74">
        <w:rPr>
          <w:rFonts w:ascii="Arial" w:hAnsi="Arial" w:cs="Arial"/>
          <w:sz w:val="16"/>
          <w:szCs w:val="16"/>
        </w:rPr>
        <w:t xml:space="preserve"> Please share any available data or estimates that help to assess the amount or extent to which there are existing UCITS exposures (distinguishing between direct and indirect, where possible) to these asset classes. Where no reliable data is available, ESMA would appreciate receiving estimates in terms of numbers and/or percentages of UCITS exposed to these asset classes and what is the average proportion in the relevant portfolios. Any additional data and insights on strategies, techniques and instruments used to gain exposure to these asset classes would be also highly appreciated.</w:t>
      </w:r>
    </w:p>
  </w:footnote>
  <w:footnote w:id="5">
    <w:p w14:paraId="5718C342" w14:textId="77777777" w:rsidR="00B33432" w:rsidRPr="00797C74" w:rsidRDefault="00B33432" w:rsidP="00332B8C">
      <w:pPr>
        <w:pStyle w:val="FootnoteText"/>
        <w:jc w:val="both"/>
        <w:rPr>
          <w:rFonts w:ascii="Arial" w:hAnsi="Arial" w:cs="Arial"/>
          <w:sz w:val="16"/>
          <w:szCs w:val="16"/>
        </w:rPr>
      </w:pPr>
      <w:r w:rsidRPr="00797C74">
        <w:rPr>
          <w:rStyle w:val="Ref1"/>
          <w:rFonts w:cs="Arial"/>
          <w:szCs w:val="16"/>
        </w:rPr>
        <w:footnoteRef/>
      </w:r>
      <w:r w:rsidRPr="00797C74">
        <w:rPr>
          <w:rFonts w:ascii="Arial" w:hAnsi="Arial" w:cs="Arial"/>
          <w:sz w:val="16"/>
          <w:szCs w:val="16"/>
        </w:rPr>
        <w:t xml:space="preserve"> Please include under this column any other evidence or views that you would like to share. </w:t>
      </w:r>
    </w:p>
  </w:footnote>
  <w:footnote w:id="6">
    <w:p w14:paraId="34D4CF9B" w14:textId="77777777" w:rsidR="00B33432" w:rsidRPr="00332B8C" w:rsidRDefault="00B33432" w:rsidP="00332B8C">
      <w:pPr>
        <w:pStyle w:val="FootnoteText"/>
        <w:jc w:val="both"/>
        <w:rPr>
          <w:rFonts w:ascii="Arial" w:hAnsi="Arial" w:cs="Arial"/>
        </w:rPr>
      </w:pPr>
      <w:r w:rsidRPr="00797C74">
        <w:rPr>
          <w:rStyle w:val="Ref1"/>
          <w:rFonts w:cs="Arial"/>
          <w:szCs w:val="16"/>
        </w:rPr>
        <w:footnoteRef/>
      </w:r>
      <w:r w:rsidRPr="00797C74">
        <w:rPr>
          <w:rFonts w:ascii="Arial" w:hAnsi="Arial" w:cs="Arial"/>
          <w:sz w:val="16"/>
          <w:szCs w:val="16"/>
        </w:rPr>
        <w:t xml:space="preserve"> Where relevant, please distinguish between leveraged/structured loans, collateralised loan obligations (CLOs) and other types of loans or loan participations (please specify).</w:t>
      </w:r>
    </w:p>
  </w:footnote>
  <w:footnote w:id="7">
    <w:p w14:paraId="48EF4E2A"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Where relevant, please distinguish between equity instruments issued by (1) </w:t>
      </w:r>
      <w:r w:rsidRPr="00332B8C">
        <w:rPr>
          <w:rFonts w:ascii="Arial" w:hAnsi="Arial" w:cs="Arial"/>
          <w:lang w:val="en-US"/>
        </w:rPr>
        <w:t>private companies and (2) shares in public companies that that are not listed.</w:t>
      </w:r>
    </w:p>
  </w:footnote>
  <w:footnote w:id="8">
    <w:p w14:paraId="156E5F12"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Where relevant, please specify what type of crypto assets and whether the implementation of MICA will change anything in terms of your assessment. </w:t>
      </w:r>
      <w:bookmarkStart w:id="0" w:name="_Hlk163456352"/>
      <w:r w:rsidRPr="00332B8C">
        <w:rPr>
          <w:rFonts w:ascii="Arial" w:hAnsi="Arial" w:cs="Arial"/>
        </w:rPr>
        <w:t xml:space="preserve">With respect to indirect exposures, ESMA is particularly interested in stakeholder input on exchange-traded products including ETFs with crypto assets as an underlying. </w:t>
      </w:r>
      <w:bookmarkEnd w:id="0"/>
    </w:p>
  </w:footnote>
  <w:footnote w:id="9">
    <w:p w14:paraId="4A59E86A"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w:t>
      </w:r>
      <w:bookmarkStart w:id="1" w:name="_Hlk163456407"/>
      <w:r w:rsidRPr="00332B8C">
        <w:rPr>
          <w:rFonts w:ascii="Arial" w:hAnsi="Arial" w:cs="Arial"/>
        </w:rPr>
        <w:t>With respect to indirect exposures, ESMA is particularly interested in stakeholder input on ETFs with commodities/precious metals as underlying.</w:t>
      </w:r>
      <w:bookmarkEnd w:id="1"/>
      <w:r w:rsidRPr="00332B8C">
        <w:rPr>
          <w:rFonts w:ascii="Arial" w:hAnsi="Arial" w:cs="Arial"/>
        </w:rPr>
        <w:t xml:space="preserve"> Please note that under the current UCITS rules, precious metals and certificates representing them are not eligible (Article 50(2)(b) of the UCITS Directive).</w:t>
      </w:r>
    </w:p>
  </w:footnote>
  <w:footnote w:id="10">
    <w:p w14:paraId="09998020" w14:textId="77777777" w:rsidR="00B33432" w:rsidRPr="00332B8C" w:rsidRDefault="00B33432" w:rsidP="00332B8C">
      <w:pPr>
        <w:pStyle w:val="FootnoteText"/>
        <w:jc w:val="both"/>
        <w:rPr>
          <w:rFonts w:ascii="Arial" w:hAnsi="Arial" w:cs="Arial"/>
        </w:rPr>
      </w:pPr>
      <w:r w:rsidRPr="00332B8C">
        <w:rPr>
          <w:rStyle w:val="Ref1"/>
          <w:rFonts w:cs="Arial"/>
          <w:sz w:val="20"/>
        </w:rPr>
        <w:footnoteRef/>
      </w:r>
      <w:r w:rsidRPr="00332B8C">
        <w:rPr>
          <w:rFonts w:ascii="Arial" w:hAnsi="Arial" w:cs="Arial"/>
        </w:rPr>
        <w:t xml:space="preserve"> Where relevant, please distinguish between different types of AIFs (e.g. open-ended, closed-ended) and investment strategies (e.g. real estate, private equity, hedge funds).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BB383" w14:textId="77777777" w:rsidR="002D6186" w:rsidRPr="002D6186" w:rsidRDefault="002D6186" w:rsidP="002D6186">
    <w:pPr>
      <w:tabs>
        <w:tab w:val="center" w:pos="4513"/>
        <w:tab w:val="right" w:pos="9026"/>
      </w:tabs>
      <w:spacing w:after="0" w:line="240" w:lineRule="auto"/>
      <w:jc w:val="right"/>
      <w:rPr>
        <w:rFonts w:ascii="Arial" w:eastAsia="MS PGothic" w:hAnsi="Arial" w:cs="Arial"/>
        <w:bCs/>
        <w:caps/>
        <w:color w:val="FF0000"/>
        <w:szCs w:val="20"/>
      </w:rPr>
    </w:pPr>
    <w:r w:rsidRPr="002D6186">
      <w:rPr>
        <w:rFonts w:ascii="Arial" w:eastAsia="MS PGothic" w:hAnsi="Arial" w:cs="Arial"/>
        <w:bCs/>
        <w:caps/>
        <w:noProof/>
        <w:color w:val="FF0000"/>
        <w:szCs w:val="20"/>
      </w:rPr>
      <w:drawing>
        <wp:anchor distT="0" distB="0" distL="114300" distR="114300" simplePos="0" relativeHeight="251658240" behindDoc="0" locked="0" layoutInCell="1" allowOverlap="1" wp14:anchorId="6009BBBF" wp14:editId="70747D81">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Pr="002D6186">
      <w:rPr>
        <w:rFonts w:ascii="Arial" w:eastAsia="MS PGothic" w:hAnsi="Arial" w:cs="Arial"/>
        <w:color w:val="001B4F"/>
        <w:sz w:val="16"/>
        <w:szCs w:val="20"/>
      </w:rPr>
      <w:t>7 May 2024</w:t>
    </w:r>
  </w:p>
  <w:p w14:paraId="3E32722B" w14:textId="5F6683E2" w:rsidR="002D6186" w:rsidRPr="002D6186" w:rsidRDefault="002D6186" w:rsidP="002D6186">
    <w:pPr>
      <w:tabs>
        <w:tab w:val="center" w:pos="4513"/>
        <w:tab w:val="right" w:pos="9026"/>
      </w:tabs>
      <w:spacing w:after="0" w:line="240" w:lineRule="auto"/>
      <w:jc w:val="right"/>
      <w:rPr>
        <w:rFonts w:ascii="Arial" w:eastAsia="MS PGothic" w:hAnsi="Arial" w:cs="Arial"/>
        <w:color w:val="001B4F"/>
        <w:sz w:val="16"/>
        <w:szCs w:val="20"/>
      </w:rPr>
    </w:pPr>
    <w:r w:rsidRPr="002D6186">
      <w:rPr>
        <w:rFonts w:ascii="Arial" w:eastAsia="MS PGothic" w:hAnsi="Arial" w:cs="Arial"/>
        <w:color w:val="001B4F"/>
        <w:sz w:val="16"/>
        <w:szCs w:val="20"/>
      </w:rPr>
      <w:t>ESMA 34-1270380148-10</w:t>
    </w:r>
    <w:r w:rsidR="00AF55C3">
      <w:rPr>
        <w:rFonts w:ascii="Arial" w:eastAsia="MS PGothic" w:hAnsi="Arial" w:cs="Arial"/>
        <w:color w:val="001B4F"/>
        <w:sz w:val="16"/>
        <w:szCs w:val="20"/>
      </w:rPr>
      <w:t>66</w:t>
    </w:r>
  </w:p>
  <w:p w14:paraId="3052C3B3" w14:textId="77777777" w:rsidR="002D6186" w:rsidRPr="002D6186" w:rsidRDefault="002D6186" w:rsidP="002D6186">
    <w:pPr>
      <w:spacing w:after="250" w:line="276" w:lineRule="auto"/>
      <w:jc w:val="both"/>
      <w:rPr>
        <w:rFonts w:ascii="Arial" w:eastAsia="MS PGothic" w:hAnsi="Arial" w:cs="Arial"/>
        <w:color w:val="181818"/>
        <w:szCs w:val="20"/>
      </w:rPr>
    </w:pPr>
  </w:p>
  <w:p w14:paraId="722A68F7" w14:textId="77777777" w:rsidR="002D6186" w:rsidRPr="002D6186" w:rsidRDefault="002D6186" w:rsidP="002D6186">
    <w:pPr>
      <w:spacing w:after="250" w:line="276" w:lineRule="auto"/>
      <w:jc w:val="both"/>
      <w:rPr>
        <w:rFonts w:ascii="Arial" w:eastAsia="MS PGothic" w:hAnsi="Arial" w:cs="Arial"/>
        <w:color w:val="181818"/>
        <w:szCs w:val="20"/>
      </w:rPr>
    </w:pPr>
  </w:p>
  <w:p w14:paraId="74BAAB78" w14:textId="588A28CA" w:rsidR="002D6186" w:rsidRPr="002D6186" w:rsidRDefault="002D6186" w:rsidP="002D61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A1FB6D"/>
    <w:multiLevelType w:val="hybridMultilevel"/>
    <w:tmpl w:val="F1864C4A"/>
    <w:lvl w:ilvl="0" w:tplc="0E3A40D4">
      <w:start w:val="1"/>
      <w:numFmt w:val="bullet"/>
      <w:lvlText w:val=""/>
      <w:lvlJc w:val="left"/>
      <w:pPr>
        <w:ind w:left="720" w:hanging="360"/>
      </w:pPr>
      <w:rPr>
        <w:rFonts w:ascii="Symbol" w:hAnsi="Symbol" w:hint="default"/>
      </w:rPr>
    </w:lvl>
    <w:lvl w:ilvl="1" w:tplc="4FEC78BA">
      <w:start w:val="1"/>
      <w:numFmt w:val="bullet"/>
      <w:lvlText w:val="o"/>
      <w:lvlJc w:val="left"/>
      <w:pPr>
        <w:ind w:left="1440" w:hanging="360"/>
      </w:pPr>
      <w:rPr>
        <w:rFonts w:ascii="Courier New" w:hAnsi="Courier New" w:hint="default"/>
      </w:rPr>
    </w:lvl>
    <w:lvl w:ilvl="2" w:tplc="F3DCD14A">
      <w:start w:val="1"/>
      <w:numFmt w:val="bullet"/>
      <w:lvlText w:val=""/>
      <w:lvlJc w:val="left"/>
      <w:pPr>
        <w:ind w:left="2160" w:hanging="360"/>
      </w:pPr>
      <w:rPr>
        <w:rFonts w:ascii="Wingdings" w:hAnsi="Wingdings" w:hint="default"/>
      </w:rPr>
    </w:lvl>
    <w:lvl w:ilvl="3" w:tplc="BC0A3FBA">
      <w:start w:val="1"/>
      <w:numFmt w:val="bullet"/>
      <w:lvlText w:val=""/>
      <w:lvlJc w:val="left"/>
      <w:pPr>
        <w:ind w:left="2880" w:hanging="360"/>
      </w:pPr>
      <w:rPr>
        <w:rFonts w:ascii="Symbol" w:hAnsi="Symbol" w:hint="default"/>
      </w:rPr>
    </w:lvl>
    <w:lvl w:ilvl="4" w:tplc="24BA4E08">
      <w:start w:val="1"/>
      <w:numFmt w:val="bullet"/>
      <w:lvlText w:val="o"/>
      <w:lvlJc w:val="left"/>
      <w:pPr>
        <w:ind w:left="3600" w:hanging="360"/>
      </w:pPr>
      <w:rPr>
        <w:rFonts w:ascii="Courier New" w:hAnsi="Courier New" w:hint="default"/>
      </w:rPr>
    </w:lvl>
    <w:lvl w:ilvl="5" w:tplc="F16E9140">
      <w:start w:val="1"/>
      <w:numFmt w:val="bullet"/>
      <w:lvlText w:val=""/>
      <w:lvlJc w:val="left"/>
      <w:pPr>
        <w:ind w:left="4320" w:hanging="360"/>
      </w:pPr>
      <w:rPr>
        <w:rFonts w:ascii="Wingdings" w:hAnsi="Wingdings" w:hint="default"/>
      </w:rPr>
    </w:lvl>
    <w:lvl w:ilvl="6" w:tplc="AF4C7F4E">
      <w:start w:val="1"/>
      <w:numFmt w:val="bullet"/>
      <w:lvlText w:val=""/>
      <w:lvlJc w:val="left"/>
      <w:pPr>
        <w:ind w:left="5040" w:hanging="360"/>
      </w:pPr>
      <w:rPr>
        <w:rFonts w:ascii="Symbol" w:hAnsi="Symbol" w:hint="default"/>
      </w:rPr>
    </w:lvl>
    <w:lvl w:ilvl="7" w:tplc="3DF42FB8">
      <w:start w:val="1"/>
      <w:numFmt w:val="bullet"/>
      <w:lvlText w:val="o"/>
      <w:lvlJc w:val="left"/>
      <w:pPr>
        <w:ind w:left="5760" w:hanging="360"/>
      </w:pPr>
      <w:rPr>
        <w:rFonts w:ascii="Courier New" w:hAnsi="Courier New" w:hint="default"/>
      </w:rPr>
    </w:lvl>
    <w:lvl w:ilvl="8" w:tplc="1806F79E">
      <w:start w:val="1"/>
      <w:numFmt w:val="bullet"/>
      <w:lvlText w:val=""/>
      <w:lvlJc w:val="left"/>
      <w:pPr>
        <w:ind w:left="6480" w:hanging="360"/>
      </w:pPr>
      <w:rPr>
        <w:rFonts w:ascii="Wingdings" w:hAnsi="Wingdings" w:hint="default"/>
      </w:rPr>
    </w:lvl>
  </w:abstractNum>
  <w:abstractNum w:abstractNumId="1" w15:restartNumberingAfterBreak="0">
    <w:nsid w:val="48023622"/>
    <w:multiLevelType w:val="multilevel"/>
    <w:tmpl w:val="F5B4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3115785">
    <w:abstractNumId w:val="0"/>
  </w:num>
  <w:num w:numId="2" w16cid:durableId="514615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32"/>
    <w:rsid w:val="00000949"/>
    <w:rsid w:val="00005477"/>
    <w:rsid w:val="00015C5B"/>
    <w:rsid w:val="00022B50"/>
    <w:rsid w:val="00023D31"/>
    <w:rsid w:val="00025A1B"/>
    <w:rsid w:val="00031EFE"/>
    <w:rsid w:val="000369AB"/>
    <w:rsid w:val="0004030F"/>
    <w:rsid w:val="00041B6C"/>
    <w:rsid w:val="00050BF8"/>
    <w:rsid w:val="00065543"/>
    <w:rsid w:val="000676A2"/>
    <w:rsid w:val="00067CE6"/>
    <w:rsid w:val="0007600B"/>
    <w:rsid w:val="000A5D94"/>
    <w:rsid w:val="000B188B"/>
    <w:rsid w:val="000B43D3"/>
    <w:rsid w:val="000B692C"/>
    <w:rsid w:val="000D6E83"/>
    <w:rsid w:val="000D756E"/>
    <w:rsid w:val="000E7E34"/>
    <w:rsid w:val="000F01E8"/>
    <w:rsid w:val="00103EE0"/>
    <w:rsid w:val="00106829"/>
    <w:rsid w:val="00114BA6"/>
    <w:rsid w:val="001301D9"/>
    <w:rsid w:val="00144748"/>
    <w:rsid w:val="001462AD"/>
    <w:rsid w:val="001465E9"/>
    <w:rsid w:val="00150222"/>
    <w:rsid w:val="00152FEF"/>
    <w:rsid w:val="00162CAE"/>
    <w:rsid w:val="00166D87"/>
    <w:rsid w:val="0017743F"/>
    <w:rsid w:val="00181B10"/>
    <w:rsid w:val="00195C86"/>
    <w:rsid w:val="001A53B9"/>
    <w:rsid w:val="001B11A8"/>
    <w:rsid w:val="001B7557"/>
    <w:rsid w:val="001C23AB"/>
    <w:rsid w:val="001C7D7F"/>
    <w:rsid w:val="00203EF5"/>
    <w:rsid w:val="002072B4"/>
    <w:rsid w:val="00211901"/>
    <w:rsid w:val="00214226"/>
    <w:rsid w:val="00221FC5"/>
    <w:rsid w:val="00227D63"/>
    <w:rsid w:val="00243F87"/>
    <w:rsid w:val="00245FBE"/>
    <w:rsid w:val="00246478"/>
    <w:rsid w:val="0025199F"/>
    <w:rsid w:val="00253232"/>
    <w:rsid w:val="0026434D"/>
    <w:rsid w:val="00264F16"/>
    <w:rsid w:val="00266B15"/>
    <w:rsid w:val="00267DE9"/>
    <w:rsid w:val="00273DED"/>
    <w:rsid w:val="002777B1"/>
    <w:rsid w:val="002829AC"/>
    <w:rsid w:val="00282BD2"/>
    <w:rsid w:val="00285CE2"/>
    <w:rsid w:val="00290E24"/>
    <w:rsid w:val="002944BF"/>
    <w:rsid w:val="002947F1"/>
    <w:rsid w:val="002A0612"/>
    <w:rsid w:val="002A0DDC"/>
    <w:rsid w:val="002A1089"/>
    <w:rsid w:val="002A4D7E"/>
    <w:rsid w:val="002A740A"/>
    <w:rsid w:val="002A747A"/>
    <w:rsid w:val="002C11A8"/>
    <w:rsid w:val="002C5DA4"/>
    <w:rsid w:val="002C618F"/>
    <w:rsid w:val="002D58CD"/>
    <w:rsid w:val="002D6186"/>
    <w:rsid w:val="002F468B"/>
    <w:rsid w:val="002F58FB"/>
    <w:rsid w:val="00304D33"/>
    <w:rsid w:val="00304E46"/>
    <w:rsid w:val="0031141B"/>
    <w:rsid w:val="0031415D"/>
    <w:rsid w:val="00326BB3"/>
    <w:rsid w:val="00332B8C"/>
    <w:rsid w:val="003412CE"/>
    <w:rsid w:val="003457C9"/>
    <w:rsid w:val="003506AB"/>
    <w:rsid w:val="0035372F"/>
    <w:rsid w:val="0036248A"/>
    <w:rsid w:val="003778F9"/>
    <w:rsid w:val="003823E3"/>
    <w:rsid w:val="0038520A"/>
    <w:rsid w:val="00391862"/>
    <w:rsid w:val="0039456C"/>
    <w:rsid w:val="00394809"/>
    <w:rsid w:val="003A65BF"/>
    <w:rsid w:val="003A6B50"/>
    <w:rsid w:val="003B1728"/>
    <w:rsid w:val="003C0576"/>
    <w:rsid w:val="003D2C3C"/>
    <w:rsid w:val="003D4771"/>
    <w:rsid w:val="003E5BEE"/>
    <w:rsid w:val="003F2FC2"/>
    <w:rsid w:val="003F5FA8"/>
    <w:rsid w:val="003F6389"/>
    <w:rsid w:val="0040029B"/>
    <w:rsid w:val="00401701"/>
    <w:rsid w:val="00455E5F"/>
    <w:rsid w:val="004664E3"/>
    <w:rsid w:val="00467E5D"/>
    <w:rsid w:val="00470FA5"/>
    <w:rsid w:val="00471AC2"/>
    <w:rsid w:val="0048151A"/>
    <w:rsid w:val="0048196A"/>
    <w:rsid w:val="00482E60"/>
    <w:rsid w:val="00490995"/>
    <w:rsid w:val="004A71C8"/>
    <w:rsid w:val="004C168A"/>
    <w:rsid w:val="004C269D"/>
    <w:rsid w:val="004F280B"/>
    <w:rsid w:val="004F55BF"/>
    <w:rsid w:val="00500C60"/>
    <w:rsid w:val="00500EB5"/>
    <w:rsid w:val="00501AC4"/>
    <w:rsid w:val="0050210B"/>
    <w:rsid w:val="00502D1C"/>
    <w:rsid w:val="00503891"/>
    <w:rsid w:val="0051598D"/>
    <w:rsid w:val="00521478"/>
    <w:rsid w:val="00523239"/>
    <w:rsid w:val="0052613F"/>
    <w:rsid w:val="00530806"/>
    <w:rsid w:val="00537666"/>
    <w:rsid w:val="00537FD1"/>
    <w:rsid w:val="00544A7D"/>
    <w:rsid w:val="00546B72"/>
    <w:rsid w:val="00554F00"/>
    <w:rsid w:val="00556DBB"/>
    <w:rsid w:val="00557028"/>
    <w:rsid w:val="005652BC"/>
    <w:rsid w:val="00571DEB"/>
    <w:rsid w:val="005769B1"/>
    <w:rsid w:val="00580D8A"/>
    <w:rsid w:val="00583436"/>
    <w:rsid w:val="005846C0"/>
    <w:rsid w:val="00592F67"/>
    <w:rsid w:val="00594512"/>
    <w:rsid w:val="005A35D5"/>
    <w:rsid w:val="005A5B3C"/>
    <w:rsid w:val="005A6BF0"/>
    <w:rsid w:val="005B0B0A"/>
    <w:rsid w:val="005C1061"/>
    <w:rsid w:val="005C1551"/>
    <w:rsid w:val="005C347A"/>
    <w:rsid w:val="005C3C0F"/>
    <w:rsid w:val="005C71E9"/>
    <w:rsid w:val="005D3F15"/>
    <w:rsid w:val="005D6227"/>
    <w:rsid w:val="005D78CF"/>
    <w:rsid w:val="005E0910"/>
    <w:rsid w:val="005E0A0B"/>
    <w:rsid w:val="005E31F2"/>
    <w:rsid w:val="005E75CC"/>
    <w:rsid w:val="00604A27"/>
    <w:rsid w:val="00605E0B"/>
    <w:rsid w:val="00611825"/>
    <w:rsid w:val="0061475B"/>
    <w:rsid w:val="00656A8E"/>
    <w:rsid w:val="0066156F"/>
    <w:rsid w:val="00661C2E"/>
    <w:rsid w:val="00662290"/>
    <w:rsid w:val="00674D9A"/>
    <w:rsid w:val="00676EDC"/>
    <w:rsid w:val="00686D73"/>
    <w:rsid w:val="006922CF"/>
    <w:rsid w:val="00695514"/>
    <w:rsid w:val="006A6583"/>
    <w:rsid w:val="006B6977"/>
    <w:rsid w:val="006B7B4A"/>
    <w:rsid w:val="006C2151"/>
    <w:rsid w:val="006C35B5"/>
    <w:rsid w:val="006C47BC"/>
    <w:rsid w:val="006C7811"/>
    <w:rsid w:val="006D1785"/>
    <w:rsid w:val="006D7F06"/>
    <w:rsid w:val="006E5983"/>
    <w:rsid w:val="006E72E6"/>
    <w:rsid w:val="006F0817"/>
    <w:rsid w:val="006F3B83"/>
    <w:rsid w:val="006F425A"/>
    <w:rsid w:val="006F550D"/>
    <w:rsid w:val="006F6C87"/>
    <w:rsid w:val="006F7ED0"/>
    <w:rsid w:val="00706885"/>
    <w:rsid w:val="00712439"/>
    <w:rsid w:val="007270EE"/>
    <w:rsid w:val="0072717C"/>
    <w:rsid w:val="00730CE8"/>
    <w:rsid w:val="007345C9"/>
    <w:rsid w:val="007379AF"/>
    <w:rsid w:val="00744CAE"/>
    <w:rsid w:val="00746476"/>
    <w:rsid w:val="00753DB8"/>
    <w:rsid w:val="0075643E"/>
    <w:rsid w:val="00765B1A"/>
    <w:rsid w:val="00775C2B"/>
    <w:rsid w:val="00784D7C"/>
    <w:rsid w:val="00794019"/>
    <w:rsid w:val="00797C74"/>
    <w:rsid w:val="007A1009"/>
    <w:rsid w:val="007A589D"/>
    <w:rsid w:val="007A7A5F"/>
    <w:rsid w:val="007C0CA4"/>
    <w:rsid w:val="007E4622"/>
    <w:rsid w:val="007F4454"/>
    <w:rsid w:val="007F5DD4"/>
    <w:rsid w:val="008164D0"/>
    <w:rsid w:val="00817444"/>
    <w:rsid w:val="008351CF"/>
    <w:rsid w:val="00847BDD"/>
    <w:rsid w:val="00850119"/>
    <w:rsid w:val="0085584F"/>
    <w:rsid w:val="00866D1D"/>
    <w:rsid w:val="0086723C"/>
    <w:rsid w:val="0087027F"/>
    <w:rsid w:val="0088243D"/>
    <w:rsid w:val="008A2820"/>
    <w:rsid w:val="008A310D"/>
    <w:rsid w:val="008A3EB8"/>
    <w:rsid w:val="008A66A3"/>
    <w:rsid w:val="008A6D6F"/>
    <w:rsid w:val="008B4CE3"/>
    <w:rsid w:val="008B6D19"/>
    <w:rsid w:val="008C4D04"/>
    <w:rsid w:val="008C5794"/>
    <w:rsid w:val="008D1492"/>
    <w:rsid w:val="008D4ED6"/>
    <w:rsid w:val="008D7113"/>
    <w:rsid w:val="008F3DAF"/>
    <w:rsid w:val="008F490C"/>
    <w:rsid w:val="00901098"/>
    <w:rsid w:val="00907B42"/>
    <w:rsid w:val="009122F7"/>
    <w:rsid w:val="00915CEE"/>
    <w:rsid w:val="00920E73"/>
    <w:rsid w:val="009212B4"/>
    <w:rsid w:val="009244B3"/>
    <w:rsid w:val="0092578A"/>
    <w:rsid w:val="009335AF"/>
    <w:rsid w:val="00943DA5"/>
    <w:rsid w:val="00944367"/>
    <w:rsid w:val="0095102E"/>
    <w:rsid w:val="00951595"/>
    <w:rsid w:val="00952EE4"/>
    <w:rsid w:val="009535A7"/>
    <w:rsid w:val="00964315"/>
    <w:rsid w:val="00967D76"/>
    <w:rsid w:val="009704CE"/>
    <w:rsid w:val="00970FBD"/>
    <w:rsid w:val="00971266"/>
    <w:rsid w:val="00986A9F"/>
    <w:rsid w:val="00997493"/>
    <w:rsid w:val="009A0E4B"/>
    <w:rsid w:val="009A3E35"/>
    <w:rsid w:val="009A6D12"/>
    <w:rsid w:val="009C0031"/>
    <w:rsid w:val="009C54E4"/>
    <w:rsid w:val="009D5A16"/>
    <w:rsid w:val="009E1051"/>
    <w:rsid w:val="009E247D"/>
    <w:rsid w:val="009F7052"/>
    <w:rsid w:val="00A04E6C"/>
    <w:rsid w:val="00A06269"/>
    <w:rsid w:val="00A33867"/>
    <w:rsid w:val="00A338CF"/>
    <w:rsid w:val="00A35853"/>
    <w:rsid w:val="00A4711E"/>
    <w:rsid w:val="00A52131"/>
    <w:rsid w:val="00A5301D"/>
    <w:rsid w:val="00A53BC9"/>
    <w:rsid w:val="00A66922"/>
    <w:rsid w:val="00A73913"/>
    <w:rsid w:val="00A85F46"/>
    <w:rsid w:val="00A87C58"/>
    <w:rsid w:val="00A97A39"/>
    <w:rsid w:val="00AA0F10"/>
    <w:rsid w:val="00AA528A"/>
    <w:rsid w:val="00AB098B"/>
    <w:rsid w:val="00AB2C3B"/>
    <w:rsid w:val="00AB7065"/>
    <w:rsid w:val="00AC0EF6"/>
    <w:rsid w:val="00AC2F41"/>
    <w:rsid w:val="00AD1A16"/>
    <w:rsid w:val="00AD6049"/>
    <w:rsid w:val="00AE6FD6"/>
    <w:rsid w:val="00AF1F64"/>
    <w:rsid w:val="00AF3545"/>
    <w:rsid w:val="00AF55C3"/>
    <w:rsid w:val="00B01DB8"/>
    <w:rsid w:val="00B17384"/>
    <w:rsid w:val="00B208AA"/>
    <w:rsid w:val="00B33432"/>
    <w:rsid w:val="00B41AE0"/>
    <w:rsid w:val="00B41B64"/>
    <w:rsid w:val="00B46E5F"/>
    <w:rsid w:val="00B51676"/>
    <w:rsid w:val="00B53F54"/>
    <w:rsid w:val="00B626E5"/>
    <w:rsid w:val="00B62E29"/>
    <w:rsid w:val="00B63B8A"/>
    <w:rsid w:val="00B665F7"/>
    <w:rsid w:val="00B7133E"/>
    <w:rsid w:val="00B82DF1"/>
    <w:rsid w:val="00B91FF4"/>
    <w:rsid w:val="00BA1985"/>
    <w:rsid w:val="00BB49D8"/>
    <w:rsid w:val="00BB6692"/>
    <w:rsid w:val="00BC005A"/>
    <w:rsid w:val="00BC577D"/>
    <w:rsid w:val="00BD1B94"/>
    <w:rsid w:val="00BD4295"/>
    <w:rsid w:val="00BD7454"/>
    <w:rsid w:val="00BE187B"/>
    <w:rsid w:val="00BE25C1"/>
    <w:rsid w:val="00BE68F0"/>
    <w:rsid w:val="00C06FE4"/>
    <w:rsid w:val="00C13318"/>
    <w:rsid w:val="00C151CB"/>
    <w:rsid w:val="00C1598D"/>
    <w:rsid w:val="00C202C8"/>
    <w:rsid w:val="00C242FA"/>
    <w:rsid w:val="00C365B4"/>
    <w:rsid w:val="00C36669"/>
    <w:rsid w:val="00C44A9D"/>
    <w:rsid w:val="00C47A32"/>
    <w:rsid w:val="00C53E42"/>
    <w:rsid w:val="00C61C32"/>
    <w:rsid w:val="00C66DF5"/>
    <w:rsid w:val="00C745C1"/>
    <w:rsid w:val="00C76FC1"/>
    <w:rsid w:val="00C936CD"/>
    <w:rsid w:val="00C95659"/>
    <w:rsid w:val="00CB1B38"/>
    <w:rsid w:val="00CB6955"/>
    <w:rsid w:val="00CC748C"/>
    <w:rsid w:val="00CD3533"/>
    <w:rsid w:val="00CF043C"/>
    <w:rsid w:val="00CF0887"/>
    <w:rsid w:val="00CF0B7A"/>
    <w:rsid w:val="00CF133F"/>
    <w:rsid w:val="00CF7786"/>
    <w:rsid w:val="00CF7A2F"/>
    <w:rsid w:val="00D0004A"/>
    <w:rsid w:val="00D01563"/>
    <w:rsid w:val="00D01FE5"/>
    <w:rsid w:val="00D10784"/>
    <w:rsid w:val="00D11C75"/>
    <w:rsid w:val="00D16F57"/>
    <w:rsid w:val="00D35309"/>
    <w:rsid w:val="00D416B3"/>
    <w:rsid w:val="00D45009"/>
    <w:rsid w:val="00D542DA"/>
    <w:rsid w:val="00D55083"/>
    <w:rsid w:val="00D564B7"/>
    <w:rsid w:val="00D6002F"/>
    <w:rsid w:val="00D612E8"/>
    <w:rsid w:val="00D61E08"/>
    <w:rsid w:val="00D64553"/>
    <w:rsid w:val="00D86E5D"/>
    <w:rsid w:val="00D91CE6"/>
    <w:rsid w:val="00DA0311"/>
    <w:rsid w:val="00DC559D"/>
    <w:rsid w:val="00DD4358"/>
    <w:rsid w:val="00DD67D7"/>
    <w:rsid w:val="00DE3F5A"/>
    <w:rsid w:val="00DE52E3"/>
    <w:rsid w:val="00DF2899"/>
    <w:rsid w:val="00DF78BC"/>
    <w:rsid w:val="00E04BA9"/>
    <w:rsid w:val="00E450CF"/>
    <w:rsid w:val="00E51FCA"/>
    <w:rsid w:val="00E635EE"/>
    <w:rsid w:val="00E771B9"/>
    <w:rsid w:val="00E87C61"/>
    <w:rsid w:val="00E93930"/>
    <w:rsid w:val="00EA72E6"/>
    <w:rsid w:val="00EE098A"/>
    <w:rsid w:val="00EE4C70"/>
    <w:rsid w:val="00EE5B1A"/>
    <w:rsid w:val="00EE7999"/>
    <w:rsid w:val="00EF2185"/>
    <w:rsid w:val="00EF4E50"/>
    <w:rsid w:val="00F03868"/>
    <w:rsid w:val="00F03D56"/>
    <w:rsid w:val="00F042E8"/>
    <w:rsid w:val="00F17687"/>
    <w:rsid w:val="00F278BC"/>
    <w:rsid w:val="00F32B09"/>
    <w:rsid w:val="00F5631E"/>
    <w:rsid w:val="00F5738E"/>
    <w:rsid w:val="00F5D07C"/>
    <w:rsid w:val="00F73AAE"/>
    <w:rsid w:val="00F74766"/>
    <w:rsid w:val="00F92D6A"/>
    <w:rsid w:val="00F949AA"/>
    <w:rsid w:val="00F977CC"/>
    <w:rsid w:val="00FA3A55"/>
    <w:rsid w:val="00FA4F6A"/>
    <w:rsid w:val="00FB3C47"/>
    <w:rsid w:val="00FB3EA8"/>
    <w:rsid w:val="00FC4846"/>
    <w:rsid w:val="00FC754D"/>
    <w:rsid w:val="00FD12FD"/>
    <w:rsid w:val="00FD6245"/>
    <w:rsid w:val="00FE2FE7"/>
    <w:rsid w:val="00FE3148"/>
    <w:rsid w:val="00FE5982"/>
    <w:rsid w:val="00FE6B1B"/>
    <w:rsid w:val="00FF17AE"/>
    <w:rsid w:val="00FF6214"/>
    <w:rsid w:val="01ED3B8A"/>
    <w:rsid w:val="01F581D0"/>
    <w:rsid w:val="02EE5246"/>
    <w:rsid w:val="0341A11F"/>
    <w:rsid w:val="04C6BC06"/>
    <w:rsid w:val="05635A61"/>
    <w:rsid w:val="06C380F5"/>
    <w:rsid w:val="08099A47"/>
    <w:rsid w:val="08BDF1BC"/>
    <w:rsid w:val="095C8AB7"/>
    <w:rsid w:val="0969C4FF"/>
    <w:rsid w:val="09D4A586"/>
    <w:rsid w:val="09FED478"/>
    <w:rsid w:val="0A367031"/>
    <w:rsid w:val="0AD31160"/>
    <w:rsid w:val="0B37A128"/>
    <w:rsid w:val="0C59155D"/>
    <w:rsid w:val="0CAEFC23"/>
    <w:rsid w:val="0CE5F2E3"/>
    <w:rsid w:val="0D1F5C3E"/>
    <w:rsid w:val="0EBCB8B4"/>
    <w:rsid w:val="117843A4"/>
    <w:rsid w:val="142AD0E5"/>
    <w:rsid w:val="1557D552"/>
    <w:rsid w:val="15BFCC38"/>
    <w:rsid w:val="16C29D6D"/>
    <w:rsid w:val="180B4D04"/>
    <w:rsid w:val="180DB925"/>
    <w:rsid w:val="1AFD8AD6"/>
    <w:rsid w:val="1E123BA8"/>
    <w:rsid w:val="1FFF07AC"/>
    <w:rsid w:val="2034A455"/>
    <w:rsid w:val="204DEE5A"/>
    <w:rsid w:val="204F7BC4"/>
    <w:rsid w:val="21393781"/>
    <w:rsid w:val="221C2A6A"/>
    <w:rsid w:val="2249B80E"/>
    <w:rsid w:val="2302C5FF"/>
    <w:rsid w:val="2411F361"/>
    <w:rsid w:val="246DA3EE"/>
    <w:rsid w:val="24F55620"/>
    <w:rsid w:val="262B14A7"/>
    <w:rsid w:val="2828C7D9"/>
    <w:rsid w:val="28CED790"/>
    <w:rsid w:val="28F5269E"/>
    <w:rsid w:val="2A636CE1"/>
    <w:rsid w:val="2AF5E461"/>
    <w:rsid w:val="2B766F43"/>
    <w:rsid w:val="2C08F76F"/>
    <w:rsid w:val="2C740892"/>
    <w:rsid w:val="2CB287EF"/>
    <w:rsid w:val="2CC9B20D"/>
    <w:rsid w:val="2D5D3235"/>
    <w:rsid w:val="2E2ABC76"/>
    <w:rsid w:val="2FD0569C"/>
    <w:rsid w:val="3094EB71"/>
    <w:rsid w:val="30D14073"/>
    <w:rsid w:val="31155F8C"/>
    <w:rsid w:val="3274925F"/>
    <w:rsid w:val="33A6283F"/>
    <w:rsid w:val="3456B1F2"/>
    <w:rsid w:val="34722B63"/>
    <w:rsid w:val="350B11AE"/>
    <w:rsid w:val="3527DA86"/>
    <w:rsid w:val="37CB5C04"/>
    <w:rsid w:val="37F674D1"/>
    <w:rsid w:val="38348483"/>
    <w:rsid w:val="3846BEB8"/>
    <w:rsid w:val="387C349D"/>
    <w:rsid w:val="3968FE94"/>
    <w:rsid w:val="39CCA615"/>
    <w:rsid w:val="3C0DA23F"/>
    <w:rsid w:val="3C560C2B"/>
    <w:rsid w:val="3DB91EF3"/>
    <w:rsid w:val="3E476654"/>
    <w:rsid w:val="3EDA3D62"/>
    <w:rsid w:val="3F48A060"/>
    <w:rsid w:val="3F8B6471"/>
    <w:rsid w:val="3FE99FEE"/>
    <w:rsid w:val="427A6B7A"/>
    <w:rsid w:val="43EC88C4"/>
    <w:rsid w:val="44D49742"/>
    <w:rsid w:val="4535B7EE"/>
    <w:rsid w:val="459E5C79"/>
    <w:rsid w:val="45A4122B"/>
    <w:rsid w:val="45B938A9"/>
    <w:rsid w:val="45D92A05"/>
    <w:rsid w:val="4643A241"/>
    <w:rsid w:val="46465C36"/>
    <w:rsid w:val="469632CC"/>
    <w:rsid w:val="47F6D3D0"/>
    <w:rsid w:val="47FF86B7"/>
    <w:rsid w:val="489EF81A"/>
    <w:rsid w:val="49B4F777"/>
    <w:rsid w:val="4C55241B"/>
    <w:rsid w:val="4DEE77AF"/>
    <w:rsid w:val="4E5417B9"/>
    <w:rsid w:val="4F3680A7"/>
    <w:rsid w:val="5053F6D0"/>
    <w:rsid w:val="50D66E22"/>
    <w:rsid w:val="5116EDCD"/>
    <w:rsid w:val="51B40308"/>
    <w:rsid w:val="52AB3FF1"/>
    <w:rsid w:val="53D130EB"/>
    <w:rsid w:val="541E0341"/>
    <w:rsid w:val="54F2F626"/>
    <w:rsid w:val="56C1A22C"/>
    <w:rsid w:val="58FD0285"/>
    <w:rsid w:val="5CEA4D28"/>
    <w:rsid w:val="5E1C5C8A"/>
    <w:rsid w:val="5EDA18B6"/>
    <w:rsid w:val="5EF548C4"/>
    <w:rsid w:val="602CB490"/>
    <w:rsid w:val="606EC105"/>
    <w:rsid w:val="61E5A4C0"/>
    <w:rsid w:val="61FEF4DF"/>
    <w:rsid w:val="64829760"/>
    <w:rsid w:val="652A385B"/>
    <w:rsid w:val="65771538"/>
    <w:rsid w:val="660BEB85"/>
    <w:rsid w:val="66107C87"/>
    <w:rsid w:val="68832BE5"/>
    <w:rsid w:val="68A6C478"/>
    <w:rsid w:val="696B5B98"/>
    <w:rsid w:val="6A3EBBCA"/>
    <w:rsid w:val="6A979126"/>
    <w:rsid w:val="6E5FD14F"/>
    <w:rsid w:val="6F9E38A0"/>
    <w:rsid w:val="70C85E8D"/>
    <w:rsid w:val="72164E55"/>
    <w:rsid w:val="72C4D699"/>
    <w:rsid w:val="739699BD"/>
    <w:rsid w:val="73B7F440"/>
    <w:rsid w:val="740A101C"/>
    <w:rsid w:val="755D0177"/>
    <w:rsid w:val="7584E551"/>
    <w:rsid w:val="75C266B2"/>
    <w:rsid w:val="77943DAB"/>
    <w:rsid w:val="78564AED"/>
    <w:rsid w:val="79211991"/>
    <w:rsid w:val="796CF7E1"/>
    <w:rsid w:val="7A8DD261"/>
    <w:rsid w:val="7C1F006C"/>
    <w:rsid w:val="7C53680C"/>
    <w:rsid w:val="7CF673FB"/>
    <w:rsid w:val="7D9B8A53"/>
    <w:rsid w:val="7E0E28D6"/>
    <w:rsid w:val="7EAD5C13"/>
    <w:rsid w:val="7F139A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7B325"/>
  <w15:chartTrackingRefBased/>
  <w15:docId w15:val="{C483910E-2B8B-4E08-849C-D48F11A3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334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3432"/>
    <w:rPr>
      <w:sz w:val="20"/>
      <w:szCs w:val="20"/>
    </w:rPr>
  </w:style>
  <w:style w:type="table" w:customStyle="1" w:styleId="Tablenone1">
    <w:name w:val="Table none1"/>
    <w:basedOn w:val="TableNormal"/>
    <w:next w:val="TableGrid"/>
    <w:uiPriority w:val="39"/>
    <w:rsid w:val="00B33432"/>
    <w:pPr>
      <w:spacing w:after="0" w:line="240" w:lineRule="auto"/>
    </w:pPr>
    <w:rPr>
      <w:rFonts w:eastAsia="MS PGothic"/>
      <w:sz w:val="20"/>
      <w:szCs w:val="20"/>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1">
    <w:name w:val="Ref1"/>
    <w:basedOn w:val="DefaultParagraphFont"/>
    <w:link w:val="Superscript6Point"/>
    <w:uiPriority w:val="99"/>
    <w:unhideWhenUsed/>
    <w:qFormat/>
    <w:rsid w:val="00B33432"/>
    <w:rPr>
      <w:rFonts w:ascii="Arial" w:hAnsi="Arial"/>
      <w:sz w:val="16"/>
      <w:vertAlign w:val="superscript"/>
    </w:rPr>
  </w:style>
  <w:style w:type="paragraph" w:customStyle="1" w:styleId="Superscript6Point">
    <w:name w:val="Superscript 6 Point"/>
    <w:aliases w:val="Odwołanie przypisu,de nota al pie,footnote ref,2001+ Fußnotenzeichen, Exposant 3 Point,BVI fnr Знак Знак,BVI fnr Car Car Знак Знак,BVI fnr Car Знак Знак,R,16 Point,number"/>
    <w:basedOn w:val="Normal"/>
    <w:link w:val="Ref1"/>
    <w:uiPriority w:val="99"/>
    <w:rsid w:val="00B33432"/>
    <w:pPr>
      <w:spacing w:before="120" w:line="240" w:lineRule="exact"/>
    </w:pPr>
    <w:rPr>
      <w:rFonts w:ascii="Arial" w:eastAsia="MS PGothic" w:hAnsi="Arial"/>
      <w:sz w:val="16"/>
      <w:szCs w:val="20"/>
      <w:vertAlign w:val="superscript"/>
      <w:lang w:val="nl-BE"/>
    </w:rPr>
  </w:style>
  <w:style w:type="table" w:styleId="TableGrid">
    <w:name w:val="Table Grid"/>
    <w:basedOn w:val="TableNormal"/>
    <w:uiPriority w:val="39"/>
    <w:rsid w:val="00B33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B33432"/>
    <w:rPr>
      <w:vertAlign w:val="superscript"/>
    </w:rPr>
  </w:style>
  <w:style w:type="paragraph" w:styleId="Header">
    <w:name w:val="header"/>
    <w:basedOn w:val="Normal"/>
    <w:link w:val="HeaderChar"/>
    <w:uiPriority w:val="99"/>
    <w:unhideWhenUsed/>
    <w:rsid w:val="00F03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D56"/>
  </w:style>
  <w:style w:type="paragraph" w:styleId="Footer">
    <w:name w:val="footer"/>
    <w:basedOn w:val="Normal"/>
    <w:link w:val="FooterChar"/>
    <w:uiPriority w:val="99"/>
    <w:unhideWhenUsed/>
    <w:rsid w:val="00F03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D56"/>
  </w:style>
  <w:style w:type="paragraph" w:styleId="BalloonText">
    <w:name w:val="Balloon Text"/>
    <w:basedOn w:val="Normal"/>
    <w:link w:val="BalloonTextChar"/>
    <w:uiPriority w:val="99"/>
    <w:semiHidden/>
    <w:unhideWhenUsed/>
    <w:rsid w:val="002D6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186"/>
    <w:rPr>
      <w:rFonts w:ascii="Segoe UI" w:hAnsi="Segoe UI" w:cs="Segoe UI"/>
      <w:sz w:val="18"/>
      <w:szCs w:val="18"/>
    </w:rPr>
  </w:style>
  <w:style w:type="character" w:styleId="Hyperlink">
    <w:name w:val="Hyperlink"/>
    <w:basedOn w:val="DefaultParagraphFont"/>
    <w:uiPriority w:val="99"/>
    <w:unhideWhenUsed/>
    <w:rsid w:val="00901098"/>
    <w:rPr>
      <w:color w:val="0563C1" w:themeColor="hyperlink"/>
      <w:u w:val="single"/>
    </w:rPr>
  </w:style>
  <w:style w:type="character" w:styleId="UnresolvedMention">
    <w:name w:val="Unresolved Mention"/>
    <w:basedOn w:val="DefaultParagraphFont"/>
    <w:uiPriority w:val="99"/>
    <w:semiHidden/>
    <w:unhideWhenUsed/>
    <w:rsid w:val="00901098"/>
    <w:rPr>
      <w:color w:val="605E5C"/>
      <w:shd w:val="clear" w:color="auto" w:fill="E1DFDD"/>
    </w:rPr>
  </w:style>
  <w:style w:type="character" w:styleId="FollowedHyperlink">
    <w:name w:val="FollowedHyperlink"/>
    <w:basedOn w:val="DefaultParagraphFont"/>
    <w:uiPriority w:val="99"/>
    <w:semiHidden/>
    <w:unhideWhenUsed/>
    <w:rsid w:val="00901098"/>
    <w:rPr>
      <w:color w:val="954F72" w:themeColor="followedHyperlink"/>
      <w:u w:val="single"/>
    </w:rPr>
  </w:style>
  <w:style w:type="character" w:styleId="Strong">
    <w:name w:val="Strong"/>
    <w:basedOn w:val="DefaultParagraphFont"/>
    <w:uiPriority w:val="22"/>
    <w:qFormat/>
    <w:rsid w:val="00181B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77754">
      <w:bodyDiv w:val="1"/>
      <w:marLeft w:val="0"/>
      <w:marRight w:val="0"/>
      <w:marTop w:val="0"/>
      <w:marBottom w:val="0"/>
      <w:divBdr>
        <w:top w:val="none" w:sz="0" w:space="0" w:color="auto"/>
        <w:left w:val="none" w:sz="0" w:space="0" w:color="auto"/>
        <w:bottom w:val="none" w:sz="0" w:space="0" w:color="auto"/>
        <w:right w:val="none" w:sz="0" w:space="0" w:color="auto"/>
      </w:divBdr>
      <w:divsChild>
        <w:div w:id="17202428">
          <w:marLeft w:val="0"/>
          <w:marRight w:val="0"/>
          <w:marTop w:val="0"/>
          <w:marBottom w:val="0"/>
          <w:divBdr>
            <w:top w:val="none" w:sz="0" w:space="0" w:color="auto"/>
            <w:left w:val="none" w:sz="0" w:space="0" w:color="auto"/>
            <w:bottom w:val="none" w:sz="0" w:space="0" w:color="auto"/>
            <w:right w:val="none" w:sz="0" w:space="0" w:color="auto"/>
          </w:divBdr>
        </w:div>
        <w:div w:id="222179365">
          <w:marLeft w:val="0"/>
          <w:marRight w:val="0"/>
          <w:marTop w:val="0"/>
          <w:marBottom w:val="0"/>
          <w:divBdr>
            <w:top w:val="none" w:sz="0" w:space="0" w:color="auto"/>
            <w:left w:val="none" w:sz="0" w:space="0" w:color="auto"/>
            <w:bottom w:val="none" w:sz="0" w:space="0" w:color="auto"/>
            <w:right w:val="none" w:sz="0" w:space="0" w:color="auto"/>
          </w:divBdr>
        </w:div>
        <w:div w:id="602423216">
          <w:marLeft w:val="0"/>
          <w:marRight w:val="0"/>
          <w:marTop w:val="0"/>
          <w:marBottom w:val="0"/>
          <w:divBdr>
            <w:top w:val="none" w:sz="0" w:space="0" w:color="auto"/>
            <w:left w:val="none" w:sz="0" w:space="0" w:color="auto"/>
            <w:bottom w:val="none" w:sz="0" w:space="0" w:color="auto"/>
            <w:right w:val="none" w:sz="0" w:space="0" w:color="auto"/>
          </w:divBdr>
        </w:div>
        <w:div w:id="1310524275">
          <w:marLeft w:val="0"/>
          <w:marRight w:val="0"/>
          <w:marTop w:val="0"/>
          <w:marBottom w:val="0"/>
          <w:divBdr>
            <w:top w:val="none" w:sz="0" w:space="0" w:color="auto"/>
            <w:left w:val="none" w:sz="0" w:space="0" w:color="auto"/>
            <w:bottom w:val="none" w:sz="0" w:space="0" w:color="auto"/>
            <w:right w:val="none" w:sz="0" w:space="0" w:color="auto"/>
          </w:divBdr>
        </w:div>
        <w:div w:id="1486512193">
          <w:marLeft w:val="0"/>
          <w:marRight w:val="0"/>
          <w:marTop w:val="0"/>
          <w:marBottom w:val="0"/>
          <w:divBdr>
            <w:top w:val="none" w:sz="0" w:space="0" w:color="auto"/>
            <w:left w:val="none" w:sz="0" w:space="0" w:color="auto"/>
            <w:bottom w:val="none" w:sz="0" w:space="0" w:color="auto"/>
            <w:right w:val="none" w:sz="0" w:space="0" w:color="auto"/>
          </w:divBdr>
        </w:div>
        <w:div w:id="1645814530">
          <w:marLeft w:val="0"/>
          <w:marRight w:val="0"/>
          <w:marTop w:val="0"/>
          <w:marBottom w:val="0"/>
          <w:divBdr>
            <w:top w:val="none" w:sz="0" w:space="0" w:color="auto"/>
            <w:left w:val="none" w:sz="0" w:space="0" w:color="auto"/>
            <w:bottom w:val="none" w:sz="0" w:space="0" w:color="auto"/>
            <w:right w:val="none" w:sz="0" w:space="0" w:color="auto"/>
          </w:divBdr>
        </w:div>
      </w:divsChild>
    </w:div>
    <w:div w:id="177089786">
      <w:bodyDiv w:val="1"/>
      <w:marLeft w:val="0"/>
      <w:marRight w:val="0"/>
      <w:marTop w:val="0"/>
      <w:marBottom w:val="0"/>
      <w:divBdr>
        <w:top w:val="none" w:sz="0" w:space="0" w:color="auto"/>
        <w:left w:val="none" w:sz="0" w:space="0" w:color="auto"/>
        <w:bottom w:val="none" w:sz="0" w:space="0" w:color="auto"/>
        <w:right w:val="none" w:sz="0" w:space="0" w:color="auto"/>
      </w:divBdr>
    </w:div>
    <w:div w:id="245044586">
      <w:bodyDiv w:val="1"/>
      <w:marLeft w:val="0"/>
      <w:marRight w:val="0"/>
      <w:marTop w:val="0"/>
      <w:marBottom w:val="0"/>
      <w:divBdr>
        <w:top w:val="none" w:sz="0" w:space="0" w:color="auto"/>
        <w:left w:val="none" w:sz="0" w:space="0" w:color="auto"/>
        <w:bottom w:val="none" w:sz="0" w:space="0" w:color="auto"/>
        <w:right w:val="none" w:sz="0" w:space="0" w:color="auto"/>
      </w:divBdr>
    </w:div>
    <w:div w:id="335966038">
      <w:bodyDiv w:val="1"/>
      <w:marLeft w:val="0"/>
      <w:marRight w:val="0"/>
      <w:marTop w:val="0"/>
      <w:marBottom w:val="0"/>
      <w:divBdr>
        <w:top w:val="none" w:sz="0" w:space="0" w:color="auto"/>
        <w:left w:val="none" w:sz="0" w:space="0" w:color="auto"/>
        <w:bottom w:val="none" w:sz="0" w:space="0" w:color="auto"/>
        <w:right w:val="none" w:sz="0" w:space="0" w:color="auto"/>
      </w:divBdr>
    </w:div>
    <w:div w:id="631178807">
      <w:bodyDiv w:val="1"/>
      <w:marLeft w:val="0"/>
      <w:marRight w:val="0"/>
      <w:marTop w:val="0"/>
      <w:marBottom w:val="0"/>
      <w:divBdr>
        <w:top w:val="none" w:sz="0" w:space="0" w:color="auto"/>
        <w:left w:val="none" w:sz="0" w:space="0" w:color="auto"/>
        <w:bottom w:val="none" w:sz="0" w:space="0" w:color="auto"/>
        <w:right w:val="none" w:sz="0" w:space="0" w:color="auto"/>
      </w:divBdr>
    </w:div>
    <w:div w:id="686104407">
      <w:bodyDiv w:val="1"/>
      <w:marLeft w:val="0"/>
      <w:marRight w:val="0"/>
      <w:marTop w:val="0"/>
      <w:marBottom w:val="0"/>
      <w:divBdr>
        <w:top w:val="none" w:sz="0" w:space="0" w:color="auto"/>
        <w:left w:val="none" w:sz="0" w:space="0" w:color="auto"/>
        <w:bottom w:val="none" w:sz="0" w:space="0" w:color="auto"/>
        <w:right w:val="none" w:sz="0" w:space="0" w:color="auto"/>
      </w:divBdr>
    </w:div>
    <w:div w:id="836530525">
      <w:bodyDiv w:val="1"/>
      <w:marLeft w:val="0"/>
      <w:marRight w:val="0"/>
      <w:marTop w:val="0"/>
      <w:marBottom w:val="0"/>
      <w:divBdr>
        <w:top w:val="none" w:sz="0" w:space="0" w:color="auto"/>
        <w:left w:val="none" w:sz="0" w:space="0" w:color="auto"/>
        <w:bottom w:val="none" w:sz="0" w:space="0" w:color="auto"/>
        <w:right w:val="none" w:sz="0" w:space="0" w:color="auto"/>
      </w:divBdr>
    </w:div>
    <w:div w:id="950940778">
      <w:bodyDiv w:val="1"/>
      <w:marLeft w:val="0"/>
      <w:marRight w:val="0"/>
      <w:marTop w:val="0"/>
      <w:marBottom w:val="0"/>
      <w:divBdr>
        <w:top w:val="none" w:sz="0" w:space="0" w:color="auto"/>
        <w:left w:val="none" w:sz="0" w:space="0" w:color="auto"/>
        <w:bottom w:val="none" w:sz="0" w:space="0" w:color="auto"/>
        <w:right w:val="none" w:sz="0" w:space="0" w:color="auto"/>
      </w:divBdr>
    </w:div>
    <w:div w:id="1291089147">
      <w:bodyDiv w:val="1"/>
      <w:marLeft w:val="0"/>
      <w:marRight w:val="0"/>
      <w:marTop w:val="0"/>
      <w:marBottom w:val="0"/>
      <w:divBdr>
        <w:top w:val="none" w:sz="0" w:space="0" w:color="auto"/>
        <w:left w:val="none" w:sz="0" w:space="0" w:color="auto"/>
        <w:bottom w:val="none" w:sz="0" w:space="0" w:color="auto"/>
        <w:right w:val="none" w:sz="0" w:space="0" w:color="auto"/>
      </w:divBdr>
    </w:div>
    <w:div w:id="1348823947">
      <w:bodyDiv w:val="1"/>
      <w:marLeft w:val="0"/>
      <w:marRight w:val="0"/>
      <w:marTop w:val="0"/>
      <w:marBottom w:val="0"/>
      <w:divBdr>
        <w:top w:val="none" w:sz="0" w:space="0" w:color="auto"/>
        <w:left w:val="none" w:sz="0" w:space="0" w:color="auto"/>
        <w:bottom w:val="none" w:sz="0" w:space="0" w:color="auto"/>
        <w:right w:val="none" w:sz="0" w:space="0" w:color="auto"/>
      </w:divBdr>
      <w:divsChild>
        <w:div w:id="280771807">
          <w:marLeft w:val="0"/>
          <w:marRight w:val="0"/>
          <w:marTop w:val="0"/>
          <w:marBottom w:val="0"/>
          <w:divBdr>
            <w:top w:val="none" w:sz="0" w:space="0" w:color="auto"/>
            <w:left w:val="none" w:sz="0" w:space="0" w:color="auto"/>
            <w:bottom w:val="none" w:sz="0" w:space="0" w:color="auto"/>
            <w:right w:val="none" w:sz="0" w:space="0" w:color="auto"/>
          </w:divBdr>
        </w:div>
        <w:div w:id="307396107">
          <w:marLeft w:val="0"/>
          <w:marRight w:val="0"/>
          <w:marTop w:val="0"/>
          <w:marBottom w:val="0"/>
          <w:divBdr>
            <w:top w:val="none" w:sz="0" w:space="0" w:color="auto"/>
            <w:left w:val="none" w:sz="0" w:space="0" w:color="auto"/>
            <w:bottom w:val="none" w:sz="0" w:space="0" w:color="auto"/>
            <w:right w:val="none" w:sz="0" w:space="0" w:color="auto"/>
          </w:divBdr>
        </w:div>
        <w:div w:id="691764539">
          <w:marLeft w:val="0"/>
          <w:marRight w:val="0"/>
          <w:marTop w:val="0"/>
          <w:marBottom w:val="0"/>
          <w:divBdr>
            <w:top w:val="none" w:sz="0" w:space="0" w:color="auto"/>
            <w:left w:val="none" w:sz="0" w:space="0" w:color="auto"/>
            <w:bottom w:val="none" w:sz="0" w:space="0" w:color="auto"/>
            <w:right w:val="none" w:sz="0" w:space="0" w:color="auto"/>
          </w:divBdr>
        </w:div>
        <w:div w:id="1423061486">
          <w:marLeft w:val="0"/>
          <w:marRight w:val="0"/>
          <w:marTop w:val="0"/>
          <w:marBottom w:val="0"/>
          <w:divBdr>
            <w:top w:val="none" w:sz="0" w:space="0" w:color="auto"/>
            <w:left w:val="none" w:sz="0" w:space="0" w:color="auto"/>
            <w:bottom w:val="none" w:sz="0" w:space="0" w:color="auto"/>
            <w:right w:val="none" w:sz="0" w:space="0" w:color="auto"/>
          </w:divBdr>
        </w:div>
        <w:div w:id="1669016158">
          <w:marLeft w:val="0"/>
          <w:marRight w:val="0"/>
          <w:marTop w:val="0"/>
          <w:marBottom w:val="0"/>
          <w:divBdr>
            <w:top w:val="none" w:sz="0" w:space="0" w:color="auto"/>
            <w:left w:val="none" w:sz="0" w:space="0" w:color="auto"/>
            <w:bottom w:val="none" w:sz="0" w:space="0" w:color="auto"/>
            <w:right w:val="none" w:sz="0" w:space="0" w:color="auto"/>
          </w:divBdr>
        </w:div>
        <w:div w:id="1853950221">
          <w:marLeft w:val="0"/>
          <w:marRight w:val="0"/>
          <w:marTop w:val="0"/>
          <w:marBottom w:val="0"/>
          <w:divBdr>
            <w:top w:val="none" w:sz="0" w:space="0" w:color="auto"/>
            <w:left w:val="none" w:sz="0" w:space="0" w:color="auto"/>
            <w:bottom w:val="none" w:sz="0" w:space="0" w:color="auto"/>
            <w:right w:val="none" w:sz="0" w:space="0" w:color="auto"/>
          </w:divBdr>
        </w:div>
      </w:divsChild>
    </w:div>
    <w:div w:id="1573345003">
      <w:bodyDiv w:val="1"/>
      <w:marLeft w:val="0"/>
      <w:marRight w:val="0"/>
      <w:marTop w:val="0"/>
      <w:marBottom w:val="0"/>
      <w:divBdr>
        <w:top w:val="none" w:sz="0" w:space="0" w:color="auto"/>
        <w:left w:val="none" w:sz="0" w:space="0" w:color="auto"/>
        <w:bottom w:val="none" w:sz="0" w:space="0" w:color="auto"/>
        <w:right w:val="none" w:sz="0" w:space="0" w:color="auto"/>
      </w:divBdr>
    </w:div>
    <w:div w:id="1579636489">
      <w:bodyDiv w:val="1"/>
      <w:marLeft w:val="0"/>
      <w:marRight w:val="0"/>
      <w:marTop w:val="0"/>
      <w:marBottom w:val="0"/>
      <w:divBdr>
        <w:top w:val="none" w:sz="0" w:space="0" w:color="auto"/>
        <w:left w:val="none" w:sz="0" w:space="0" w:color="auto"/>
        <w:bottom w:val="none" w:sz="0" w:space="0" w:color="auto"/>
        <w:right w:val="none" w:sz="0" w:space="0" w:color="auto"/>
      </w:divBdr>
    </w:div>
    <w:div w:id="201224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ma.europa.eu/press-news/consultations/call-evidence-review-ucits-eligible-assets-directiv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c64bcd-34ab-4642-85e9-38ae70baea3f" xsi:nil="true"/>
    <SharedWithUsers xmlns="0bc64bcd-34ab-4642-85e9-38ae70baea3f">
      <UserInfo>
        <DisplayName>Iris Hude</DisplayName>
        <AccountId>82</AccountId>
        <AccountType/>
      </UserInfo>
    </SharedWithUsers>
    <Date xmlns="d2c88850-2692-4c7d-b69c-2a856f43fdc7">2024-07-19T14:46:22+00:00</Date>
    <lcf76f155ced4ddcb4097134ff3c332f xmlns="d2c88850-2692-4c7d-b69c-2a856f43fdc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3D81F6398A51242B1297CC8360BECC3" ma:contentTypeVersion="18" ma:contentTypeDescription="Create a new document." ma:contentTypeScope="" ma:versionID="e193e7f430003c333f3e10dc8f9d7a0a">
  <xsd:schema xmlns:xsd="http://www.w3.org/2001/XMLSchema" xmlns:xs="http://www.w3.org/2001/XMLSchema" xmlns:p="http://schemas.microsoft.com/office/2006/metadata/properties" xmlns:ns2="d2c88850-2692-4c7d-b69c-2a856f43fdc7" xmlns:ns3="0bc64bcd-34ab-4642-85e9-38ae70baea3f" targetNamespace="http://schemas.microsoft.com/office/2006/metadata/properties" ma:root="true" ma:fieldsID="44eadd1fe7c2234f77da1fd2b95c19e3" ns2:_="" ns3:_="">
    <xsd:import namespace="d2c88850-2692-4c7d-b69c-2a856f43fdc7"/>
    <xsd:import namespace="0bc64bcd-34ab-4642-85e9-38ae70bae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Date"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88850-2692-4c7d-b69c-2a856f43f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18" nillable="true" ma:displayName="Date" ma:default="[today]" ma:format="DateOnly" ma:internalName="Date">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a287bc-b1b6-41d7-8d56-bdab4dbf7783"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c64bcd-34ab-4642-85e9-38ae70baea3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b973eb-98a1-4a6f-8ad9-c1b1aec4b14e}" ma:internalName="TaxCatchAll" ma:showField="CatchAllData" ma:web="0bc64bcd-34ab-4642-85e9-38ae70bae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A697FA-BE24-4878-AFDB-AD64CEE0912C}">
  <ds:schemaRefs>
    <ds:schemaRef ds:uri="http://schemas.microsoft.com/office/2006/metadata/properties"/>
    <ds:schemaRef ds:uri="http://purl.org/dc/terms/"/>
    <ds:schemaRef ds:uri="http://schemas.openxmlformats.org/package/2006/metadata/core-properties"/>
    <ds:schemaRef ds:uri="0bc64bcd-34ab-4642-85e9-38ae70baea3f"/>
    <ds:schemaRef ds:uri="http://schemas.microsoft.com/office/2006/documentManagement/types"/>
    <ds:schemaRef ds:uri="d2c88850-2692-4c7d-b69c-2a856f43fdc7"/>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C08D8DD-0E49-4E64-8E00-4EE78EB94FEB}">
  <ds:schemaRefs>
    <ds:schemaRef ds:uri="http://schemas.openxmlformats.org/officeDocument/2006/bibliography"/>
  </ds:schemaRefs>
</ds:datastoreItem>
</file>

<file path=customXml/itemProps3.xml><?xml version="1.0" encoding="utf-8"?>
<ds:datastoreItem xmlns:ds="http://schemas.openxmlformats.org/officeDocument/2006/customXml" ds:itemID="{D73BD2C0-63B0-4059-849D-6FFF79BFB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c88850-2692-4c7d-b69c-2a856f43fdc7"/>
    <ds:schemaRef ds:uri="0bc64bcd-34ab-4642-85e9-38ae70bae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EC7362-CE0E-45A1-9F25-BE624802C55F}">
  <ds:schemaRefs>
    <ds:schemaRef ds:uri="http://schemas.microsoft.com/sharepoint/v3/contenttype/forms"/>
  </ds:schemaRefs>
</ds:datastoreItem>
</file>

<file path=docMetadata/LabelInfo.xml><?xml version="1.0" encoding="utf-8"?>
<clbl:labelList xmlns:clbl="http://schemas.microsoft.com/office/2020/mipLabelMetadata">
  <clbl:label id="{2f57b6c4-17e4-4965-ac1a-85ccccbe6c4a}" enabled="0" method="" siteId="{2f57b6c4-17e4-4965-ac1a-85ccccbe6c4a}" removed="1"/>
</clbl:labelList>
</file>

<file path=docProps/app.xml><?xml version="1.0" encoding="utf-8"?>
<Properties xmlns="http://schemas.openxmlformats.org/officeDocument/2006/extended-properties" xmlns:vt="http://schemas.openxmlformats.org/officeDocument/2006/docPropsVTypes">
  <Template>Normal</Template>
  <TotalTime>3</TotalTime>
  <Pages>20</Pages>
  <Words>2742</Words>
  <Characters>15632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Arina Costila</dc:creator>
  <cp:keywords/>
  <dc:description/>
  <cp:lastModifiedBy>Vernon, Simon</cp:lastModifiedBy>
  <cp:revision>2</cp:revision>
  <dcterms:created xsi:type="dcterms:W3CDTF">2024-08-07T13:54:00Z</dcterms:created>
  <dcterms:modified xsi:type="dcterms:W3CDTF">2024-08-07T13:54:00Z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0x01010093D81F6398A51242B1297CC8360BECC3</vt:lpwstr>
  </property>
  <property fmtid="{D5CDD505-2E9C-101B-9397-08002B2CF9AE}" pid="3" name="TeamName">
    <vt:lpwstr>5</vt:lpwstr>
  </property>
  <property fmtid="{D5CDD505-2E9C-101B-9397-08002B2CF9AE}" pid="4" name="Topic">
    <vt:lpwstr>254</vt:lpwstr>
  </property>
  <property fmtid="{D5CDD505-2E9C-101B-9397-08002B2CF9AE}" pid="5" name="ConfidentialityLevel">
    <vt:lpwstr>6;#Regular|07f1e362-856b-423d-bea6-a14079762141</vt:lpwstr>
  </property>
  <property fmtid="{D5CDD505-2E9C-101B-9397-08002B2CF9AE}" pid="6" name="TeamTopic">
    <vt:lpwstr>33;#UCITS|a853cb80-aed9-44bd-ac2a-0e80b5a444d7</vt:lpwstr>
  </property>
  <property fmtid="{D5CDD505-2E9C-101B-9397-08002B2CF9AE}" pid="7" name="DocumentType">
    <vt:lpwstr/>
  </property>
  <property fmtid="{D5CDD505-2E9C-101B-9397-08002B2CF9AE}" pid="8" name="EsmaAudience">
    <vt:lpwstr/>
  </property>
  <property fmtid="{D5CDD505-2E9C-101B-9397-08002B2CF9AE}" pid="9" name="_dlc_DocIdItemGuid">
    <vt:lpwstr>1a846c82-0d53-46e2-86e5-7d75005f4a47</vt:lpwstr>
  </property>
  <property fmtid="{D5CDD505-2E9C-101B-9397-08002B2CF9AE}" pid="10" name="MediaServiceImageTags">
    <vt:lpwstr/>
  </property>
</Properties>
</file>