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1" w:type="dxa"/>
        <w:tblLayout w:type="fixed"/>
        <w:tblLook w:val="04A0" w:firstRow="1" w:lastRow="0" w:firstColumn="1" w:lastColumn="0" w:noHBand="0" w:noVBand="1"/>
      </w:tblPr>
      <w:tblGrid>
        <w:gridCol w:w="1452"/>
        <w:gridCol w:w="2512"/>
        <w:gridCol w:w="2694"/>
        <w:gridCol w:w="1279"/>
        <w:gridCol w:w="1384"/>
      </w:tblGrid>
      <w:tr w:rsidR="00B33432" w:rsidRPr="00B33432" w14:paraId="42644C63" w14:textId="77777777" w:rsidTr="00FB50D6">
        <w:tc>
          <w:tcPr>
            <w:tcW w:w="1452" w:type="dxa"/>
          </w:tcPr>
          <w:p w14:paraId="0268D242" w14:textId="77777777" w:rsidR="00B33432" w:rsidRPr="00B33432" w:rsidRDefault="00B33432" w:rsidP="00FB50D6">
            <w:pPr>
              <w:spacing w:after="250" w:line="276" w:lineRule="auto"/>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2512" w:type="dxa"/>
          </w:tcPr>
          <w:p w14:paraId="60F87FED" w14:textId="77777777" w:rsidR="00B33432" w:rsidRPr="00B33432" w:rsidRDefault="00B33432" w:rsidP="00FB50D6">
            <w:pPr>
              <w:spacing w:after="250" w:line="276" w:lineRule="auto"/>
              <w:rPr>
                <w:rFonts w:ascii="Arial" w:hAnsi="Arial" w:cs="Arial"/>
                <w:b/>
                <w:bCs/>
                <w:color w:val="181818"/>
              </w:rPr>
            </w:pPr>
            <w:r w:rsidRPr="00B33432">
              <w:rPr>
                <w:rFonts w:ascii="Arial" w:hAnsi="Arial" w:cs="Arial"/>
                <w:b/>
                <w:bCs/>
                <w:color w:val="181818"/>
              </w:rPr>
              <w:t>Merits of allowing direct UCITS exposures</w:t>
            </w:r>
          </w:p>
        </w:tc>
        <w:tc>
          <w:tcPr>
            <w:tcW w:w="2694" w:type="dxa"/>
          </w:tcPr>
          <w:p w14:paraId="49FEA0C2" w14:textId="77777777" w:rsidR="00B33432" w:rsidRPr="00B33432" w:rsidRDefault="00B33432" w:rsidP="00FB50D6">
            <w:pPr>
              <w:spacing w:after="250" w:line="276" w:lineRule="auto"/>
              <w:rPr>
                <w:rFonts w:ascii="Arial" w:hAnsi="Arial" w:cs="Arial"/>
                <w:b/>
                <w:bCs/>
                <w:color w:val="181818"/>
              </w:rPr>
            </w:pPr>
            <w:r w:rsidRPr="00B33432">
              <w:rPr>
                <w:rFonts w:ascii="Arial" w:hAnsi="Arial" w:cs="Arial"/>
                <w:b/>
                <w:bCs/>
                <w:color w:val="181818"/>
              </w:rPr>
              <w:t xml:space="preserve">Merits of allowing </w:t>
            </w:r>
            <w:r w:rsidRPr="00B33432">
              <w:rPr>
                <w:rFonts w:ascii="Arial" w:hAnsi="Arial" w:cs="Arial"/>
                <w:b/>
                <w:i/>
                <w:color w:val="181818"/>
              </w:rPr>
              <w:t>indirect</w:t>
            </w:r>
            <w:r w:rsidRPr="00B33432">
              <w:rPr>
                <w:rFonts w:ascii="Arial" w:hAnsi="Arial" w:cs="Arial"/>
                <w:b/>
                <w:bCs/>
                <w:color w:val="181818"/>
              </w:rPr>
              <w:t xml:space="preserve"> UCITS exposures</w:t>
            </w:r>
            <w:r w:rsidRPr="00B33432">
              <w:rPr>
                <w:rFonts w:ascii="Arial" w:hAnsi="Arial" w:cs="Arial"/>
                <w:b/>
                <w:bCs/>
                <w:color w:val="181818"/>
                <w:sz w:val="16"/>
                <w:vertAlign w:val="superscript"/>
              </w:rPr>
              <w:footnoteReference w:id="3"/>
            </w:r>
          </w:p>
        </w:tc>
        <w:tc>
          <w:tcPr>
            <w:tcW w:w="1279" w:type="dxa"/>
          </w:tcPr>
          <w:p w14:paraId="5668F975" w14:textId="77777777" w:rsidR="00B33432" w:rsidRPr="00B33432" w:rsidRDefault="00B33432" w:rsidP="00FB50D6">
            <w:pPr>
              <w:spacing w:after="250" w:line="276" w:lineRule="auto"/>
              <w:rPr>
                <w:rFonts w:ascii="Arial" w:hAnsi="Arial" w:cs="Arial"/>
                <w:b/>
                <w:bCs/>
                <w:color w:val="181818"/>
              </w:rPr>
            </w:pPr>
            <w:r w:rsidRPr="00B33432">
              <w:rPr>
                <w:rFonts w:ascii="Arial" w:hAnsi="Arial" w:cs="Arial"/>
                <w:b/>
                <w:bCs/>
                <w:color w:val="181818"/>
              </w:rPr>
              <w:t>Extent/amount of existing UCITS exposures</w:t>
            </w:r>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384" w:type="dxa"/>
          </w:tcPr>
          <w:p w14:paraId="50147042" w14:textId="77777777" w:rsidR="00B33432" w:rsidRPr="00B33432" w:rsidRDefault="00B33432" w:rsidP="00FB50D6">
            <w:pPr>
              <w:spacing w:after="250" w:line="276" w:lineRule="auto"/>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B33432" w:rsidRPr="00B33432" w14:paraId="52801425" w14:textId="77777777" w:rsidTr="00FB50D6">
        <w:tc>
          <w:tcPr>
            <w:tcW w:w="1452" w:type="dxa"/>
          </w:tcPr>
          <w:p w14:paraId="06FDDDF6" w14:textId="77777777" w:rsidR="00B33432" w:rsidRPr="00B33432" w:rsidRDefault="00B33432" w:rsidP="00FB50D6">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2512" w:type="dxa"/>
          </w:tcPr>
          <w:p w14:paraId="672A6659" w14:textId="19C05AE3" w:rsidR="00B33432" w:rsidRPr="00FB50D6" w:rsidRDefault="009F703B" w:rsidP="00FB50D6">
            <w:pPr>
              <w:spacing w:after="250" w:line="276" w:lineRule="auto"/>
              <w:rPr>
                <w:rFonts w:ascii="Arial" w:hAnsi="Arial" w:cs="Arial"/>
                <w:color w:val="181818"/>
              </w:rPr>
            </w:pPr>
            <w:r w:rsidRPr="00FB50D6">
              <w:rPr>
                <w:rFonts w:ascii="Arial" w:hAnsi="Arial" w:cs="Arial"/>
                <w:color w:val="181818"/>
              </w:rPr>
              <w:t>Diversified, multi-sector</w:t>
            </w:r>
            <w:r>
              <w:rPr>
                <w:rFonts w:ascii="Arial" w:hAnsi="Arial" w:cs="Arial"/>
                <w:color w:val="181818"/>
              </w:rPr>
              <w:t>.</w:t>
            </w:r>
            <w:r w:rsidRPr="00FB50D6">
              <w:rPr>
                <w:rFonts w:ascii="Arial" w:hAnsi="Arial" w:cs="Arial"/>
                <w:color w:val="181818"/>
              </w:rPr>
              <w:t xml:space="preserve"> </w:t>
            </w:r>
            <w:r>
              <w:rPr>
                <w:rFonts w:ascii="Arial" w:hAnsi="Arial" w:cs="Arial"/>
                <w:color w:val="181818"/>
              </w:rPr>
              <w:t>O</w:t>
            </w:r>
            <w:r w:rsidRPr="00FB50D6">
              <w:rPr>
                <w:rFonts w:ascii="Arial" w:hAnsi="Arial" w:cs="Arial"/>
                <w:color w:val="181818"/>
              </w:rPr>
              <w:t>pportunity to gain access to floating rate, below investment grade, corporate issued broadly syndicated debt at an attractive spread to money markets and other floating rate debt.</w:t>
            </w:r>
          </w:p>
        </w:tc>
        <w:tc>
          <w:tcPr>
            <w:tcW w:w="2694" w:type="dxa"/>
          </w:tcPr>
          <w:p w14:paraId="0A37501D" w14:textId="77A38A9A"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Corporate CLO's exposure to be further discussed in sections 18 and 19 as securitised debt. However, enhanced rating at the deal level and added diversification across a pool of loans within a coporate CLO offers attractive spread opportunity at the respective credit rating.</w:t>
            </w:r>
          </w:p>
        </w:tc>
        <w:tc>
          <w:tcPr>
            <w:tcW w:w="1279" w:type="dxa"/>
          </w:tcPr>
          <w:p w14:paraId="5DAB6C7B" w14:textId="0E984A8D"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See attached Appendix</w:t>
            </w:r>
            <w:r w:rsidR="00014375">
              <w:rPr>
                <w:rFonts w:ascii="Arial" w:hAnsi="Arial" w:cs="Arial"/>
                <w:color w:val="181818"/>
              </w:rPr>
              <w:t xml:space="preserve"> I.</w:t>
            </w:r>
          </w:p>
        </w:tc>
        <w:tc>
          <w:tcPr>
            <w:tcW w:w="1384" w:type="dxa"/>
          </w:tcPr>
          <w:p w14:paraId="02EB378F" w14:textId="61B4043F"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We have been an investment manager of Irish UCITS for 25 years.  Since inception of each sub-fund, all of our UCITS funds under the regulatory guidance of the CBI have satisfied VaR limits </w:t>
            </w:r>
            <w:r w:rsidRPr="00FB50D6">
              <w:rPr>
                <w:rFonts w:ascii="Arial" w:hAnsi="Arial" w:cs="Arial"/>
                <w:color w:val="181818"/>
              </w:rPr>
              <w:lastRenderedPageBreak/>
              <w:t>and VaR backtesting measures, met liquidity requirements for daily redemption, and remained diversified and in accordance with the specific fund objective, limits, and guidelines with the inclusion of this asset class as part of the investments</w:t>
            </w:r>
            <w:r w:rsidR="00014375">
              <w:rPr>
                <w:rFonts w:ascii="Arial" w:hAnsi="Arial" w:cs="Arial"/>
                <w:color w:val="181818"/>
              </w:rPr>
              <w:t>.</w:t>
            </w:r>
          </w:p>
        </w:tc>
      </w:tr>
      <w:tr w:rsidR="00B33432" w:rsidRPr="00B33432" w14:paraId="131FC414" w14:textId="77777777" w:rsidTr="00FB50D6">
        <w:tc>
          <w:tcPr>
            <w:tcW w:w="1452" w:type="dxa"/>
          </w:tcPr>
          <w:p w14:paraId="55346258" w14:textId="77777777" w:rsidR="00B33432" w:rsidRPr="00B33432" w:rsidRDefault="00B33432" w:rsidP="00FB50D6">
            <w:pPr>
              <w:spacing w:after="250" w:line="276" w:lineRule="auto"/>
              <w:rPr>
                <w:rFonts w:ascii="Arial" w:hAnsi="Arial" w:cs="Arial"/>
              </w:rPr>
            </w:pPr>
            <w:r w:rsidRPr="00B33432">
              <w:rPr>
                <w:rFonts w:ascii="Arial" w:hAnsi="Arial" w:cs="Arial"/>
              </w:rPr>
              <w:lastRenderedPageBreak/>
              <w:t>2. Catastrophe bonds (‘Cat bonds’)</w:t>
            </w:r>
          </w:p>
        </w:tc>
        <w:tc>
          <w:tcPr>
            <w:tcW w:w="2512" w:type="dxa"/>
          </w:tcPr>
          <w:p w14:paraId="6A05A809" w14:textId="482C5625"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5A39BBE3" w14:textId="35E7BD4E"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41C8F396" w14:textId="16562325"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72A3D3EC" w14:textId="018EF2B3"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B33432" w:rsidRPr="00B33432" w14:paraId="756B6A0E" w14:textId="77777777" w:rsidTr="00FB50D6">
        <w:tc>
          <w:tcPr>
            <w:tcW w:w="1452" w:type="dxa"/>
          </w:tcPr>
          <w:p w14:paraId="2C56CC88" w14:textId="77777777" w:rsidR="00B33432" w:rsidRPr="00B33432" w:rsidRDefault="00B33432" w:rsidP="00FB50D6">
            <w:pPr>
              <w:spacing w:after="250" w:line="276" w:lineRule="auto"/>
              <w:rPr>
                <w:rFonts w:ascii="Arial" w:hAnsi="Arial" w:cs="Arial"/>
                <w:color w:val="181818"/>
              </w:rPr>
            </w:pPr>
            <w:r w:rsidRPr="00B33432">
              <w:rPr>
                <w:rFonts w:ascii="Arial" w:hAnsi="Arial" w:cs="Arial"/>
              </w:rPr>
              <w:t>3. Contingent Convertible bonds (‘CoCo bonds’)</w:t>
            </w:r>
          </w:p>
        </w:tc>
        <w:tc>
          <w:tcPr>
            <w:tcW w:w="2512" w:type="dxa"/>
          </w:tcPr>
          <w:p w14:paraId="0D0B940D" w14:textId="7283500B" w:rsidR="00B33432" w:rsidRPr="00FB50D6" w:rsidRDefault="009F703B" w:rsidP="00FB50D6">
            <w:pPr>
              <w:spacing w:after="250" w:line="276" w:lineRule="auto"/>
              <w:rPr>
                <w:rFonts w:ascii="Arial" w:hAnsi="Arial" w:cs="Arial"/>
                <w:color w:val="181818"/>
              </w:rPr>
            </w:pPr>
            <w:r w:rsidRPr="00FB50D6">
              <w:rPr>
                <w:rFonts w:ascii="Arial" w:hAnsi="Arial" w:cs="Arial"/>
                <w:color w:val="181818"/>
              </w:rPr>
              <w:t>Allows for subordinated credit diversified exposure to financials beyond top-ranked, highly capital constrained, yield limited senior financial debt. Deployed in a</w:t>
            </w:r>
            <w:r>
              <w:rPr>
                <w:rFonts w:ascii="Arial" w:hAnsi="Arial" w:cs="Arial"/>
                <w:color w:val="181818"/>
              </w:rPr>
              <w:t>n</w:t>
            </w:r>
            <w:r w:rsidRPr="00FB50D6">
              <w:rPr>
                <w:rFonts w:ascii="Arial" w:hAnsi="Arial" w:cs="Arial"/>
                <w:color w:val="181818"/>
              </w:rPr>
              <w:t xml:space="preserve"> appropriate </w:t>
            </w:r>
            <w:r>
              <w:rPr>
                <w:rFonts w:ascii="Arial" w:hAnsi="Arial" w:cs="Arial"/>
                <w:color w:val="181818"/>
              </w:rPr>
              <w:t xml:space="preserve">size </w:t>
            </w:r>
            <w:r w:rsidRPr="00FB50D6">
              <w:rPr>
                <w:rFonts w:ascii="Arial" w:hAnsi="Arial" w:cs="Arial"/>
                <w:color w:val="181818"/>
              </w:rPr>
              <w:t xml:space="preserve">and </w:t>
            </w:r>
            <w:r>
              <w:rPr>
                <w:rFonts w:ascii="Arial" w:hAnsi="Arial" w:cs="Arial"/>
                <w:color w:val="181818"/>
              </w:rPr>
              <w:t xml:space="preserve">a </w:t>
            </w:r>
            <w:r w:rsidRPr="00FB50D6">
              <w:rPr>
                <w:rFonts w:ascii="Arial" w:hAnsi="Arial" w:cs="Arial"/>
                <w:color w:val="181818"/>
              </w:rPr>
              <w:t>diversified manner.</w:t>
            </w:r>
          </w:p>
        </w:tc>
        <w:tc>
          <w:tcPr>
            <w:tcW w:w="2694" w:type="dxa"/>
          </w:tcPr>
          <w:p w14:paraId="0E27B00A" w14:textId="3AE7A585" w:rsidR="00ED4C89" w:rsidRPr="00FB50D6" w:rsidRDefault="00ED4C89" w:rsidP="00FB50D6">
            <w:pPr>
              <w:rPr>
                <w:rFonts w:ascii="Arial" w:hAnsi="Arial" w:cs="Arial"/>
              </w:rPr>
            </w:pPr>
            <w:r w:rsidRPr="00FB50D6">
              <w:rPr>
                <w:rFonts w:ascii="Arial" w:hAnsi="Arial" w:cs="Arial"/>
              </w:rPr>
              <w:t>Asset class exposure is direct unless held by an underlying fund which itself falls within the eligible asset definition</w:t>
            </w:r>
            <w:r w:rsidR="002D6766">
              <w:rPr>
                <w:rFonts w:ascii="Arial" w:hAnsi="Arial" w:cs="Arial"/>
              </w:rPr>
              <w:t>.</w:t>
            </w:r>
          </w:p>
        </w:tc>
        <w:tc>
          <w:tcPr>
            <w:tcW w:w="1279" w:type="dxa"/>
          </w:tcPr>
          <w:p w14:paraId="60061E4C" w14:textId="75049500" w:rsidR="00B33432" w:rsidRPr="00FB50D6" w:rsidRDefault="00B11CA6" w:rsidP="00FB50D6">
            <w:pPr>
              <w:spacing w:after="250" w:line="276" w:lineRule="auto"/>
              <w:rPr>
                <w:rFonts w:ascii="Arial" w:hAnsi="Arial" w:cs="Arial"/>
                <w:color w:val="181818"/>
              </w:rPr>
            </w:pPr>
            <w:r w:rsidRPr="00FB50D6">
              <w:rPr>
                <w:rFonts w:ascii="Arial" w:hAnsi="Arial" w:cs="Arial"/>
                <w:color w:val="181818"/>
              </w:rPr>
              <w:t>See attached Appendix</w:t>
            </w:r>
            <w:r w:rsidR="00014375">
              <w:rPr>
                <w:rFonts w:ascii="Arial" w:hAnsi="Arial" w:cs="Arial"/>
                <w:color w:val="181818"/>
              </w:rPr>
              <w:t xml:space="preserve"> I.</w:t>
            </w:r>
          </w:p>
        </w:tc>
        <w:tc>
          <w:tcPr>
            <w:tcW w:w="1384" w:type="dxa"/>
          </w:tcPr>
          <w:p w14:paraId="44EAFD9C" w14:textId="43621D9F"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All of our UCITS funds under the regulatory guidance of the CBI have satisfied VaR limits and VaR backtesting measures, met liquidity requirements for daily redemption, and remained diversified and in accordance </w:t>
            </w:r>
            <w:r w:rsidRPr="00FB50D6">
              <w:rPr>
                <w:rFonts w:ascii="Arial" w:hAnsi="Arial" w:cs="Arial"/>
                <w:color w:val="181818"/>
              </w:rPr>
              <w:lastRenderedPageBreak/>
              <w:t>with the specific fund objective, limits, and guidelines with the inclusion of this asset class as part of the investments</w:t>
            </w:r>
            <w:r w:rsidR="00014375">
              <w:rPr>
                <w:rFonts w:ascii="Arial" w:hAnsi="Arial" w:cs="Arial"/>
                <w:color w:val="181818"/>
              </w:rPr>
              <w:t>.</w:t>
            </w:r>
          </w:p>
        </w:tc>
      </w:tr>
      <w:tr w:rsidR="00B33432" w:rsidRPr="00B33432" w14:paraId="02325B0B" w14:textId="77777777" w:rsidTr="00FB50D6">
        <w:tc>
          <w:tcPr>
            <w:tcW w:w="1452" w:type="dxa"/>
          </w:tcPr>
          <w:p w14:paraId="4EA5968E" w14:textId="77777777" w:rsidR="00B33432" w:rsidRPr="00B33432" w:rsidRDefault="00B33432" w:rsidP="00FB50D6">
            <w:pPr>
              <w:spacing w:after="250" w:line="276" w:lineRule="auto"/>
              <w:rPr>
                <w:rFonts w:ascii="Arial" w:hAnsi="Arial" w:cs="Arial"/>
                <w:color w:val="181818"/>
              </w:rPr>
            </w:pPr>
            <w:r w:rsidRPr="00B33432">
              <w:rPr>
                <w:rFonts w:ascii="Arial" w:hAnsi="Arial" w:cs="Arial"/>
              </w:rPr>
              <w:lastRenderedPageBreak/>
              <w:t>4. Unrated bonds</w:t>
            </w:r>
          </w:p>
        </w:tc>
        <w:tc>
          <w:tcPr>
            <w:tcW w:w="2512" w:type="dxa"/>
          </w:tcPr>
          <w:p w14:paraId="4B94D5A5" w14:textId="13802D4C" w:rsidR="00B33432" w:rsidRPr="00FB50D6" w:rsidRDefault="009F703B" w:rsidP="00FB50D6">
            <w:pPr>
              <w:spacing w:after="250" w:line="276" w:lineRule="auto"/>
              <w:rPr>
                <w:rFonts w:ascii="Arial" w:hAnsi="Arial" w:cs="Arial"/>
                <w:color w:val="181818"/>
              </w:rPr>
            </w:pPr>
            <w:r w:rsidRPr="00FB50D6">
              <w:rPr>
                <w:rFonts w:ascii="Arial" w:hAnsi="Arial" w:cs="Arial"/>
                <w:color w:val="181818"/>
              </w:rPr>
              <w:t>Unrated bonds fall into a number of categories: - Without rating but implicitly associated with a rated market proxy</w:t>
            </w:r>
            <w:r>
              <w:rPr>
                <w:rFonts w:ascii="Arial" w:hAnsi="Arial" w:cs="Arial"/>
                <w:color w:val="181818"/>
              </w:rPr>
              <w:t>;</w:t>
            </w:r>
            <w:r w:rsidRPr="00FB50D6">
              <w:rPr>
                <w:rFonts w:ascii="Arial" w:hAnsi="Arial" w:cs="Arial"/>
                <w:color w:val="181818"/>
              </w:rPr>
              <w:t xml:space="preserve"> Without rating due to issuer discretion</w:t>
            </w:r>
            <w:r>
              <w:rPr>
                <w:rFonts w:ascii="Arial" w:hAnsi="Arial" w:cs="Arial"/>
                <w:color w:val="181818"/>
              </w:rPr>
              <w:t>;</w:t>
            </w:r>
            <w:r w:rsidRPr="00FB50D6">
              <w:rPr>
                <w:rFonts w:ascii="Arial" w:hAnsi="Arial" w:cs="Arial"/>
                <w:color w:val="181818"/>
              </w:rPr>
              <w:t>Unrated due to rating agency unable to  provide a rating service for the issue or issuer, due to limited coverage or limited data</w:t>
            </w:r>
            <w:r>
              <w:rPr>
                <w:rFonts w:ascii="Arial" w:hAnsi="Arial" w:cs="Arial"/>
                <w:color w:val="181818"/>
              </w:rPr>
              <w:t>.</w:t>
            </w:r>
            <w:r w:rsidRPr="00FB50D6">
              <w:rPr>
                <w:rFonts w:ascii="Arial" w:hAnsi="Arial" w:cs="Arial"/>
                <w:color w:val="181818"/>
              </w:rPr>
              <w:t xml:space="preserve"> </w:t>
            </w:r>
            <w:r>
              <w:rPr>
                <w:rFonts w:ascii="Arial" w:hAnsi="Arial" w:cs="Arial"/>
                <w:color w:val="181818"/>
              </w:rPr>
              <w:t>W</w:t>
            </w:r>
            <w:r w:rsidRPr="00FB50D6">
              <w:rPr>
                <w:rFonts w:ascii="Arial" w:hAnsi="Arial" w:cs="Arial"/>
                <w:color w:val="181818"/>
              </w:rPr>
              <w:t>ith proper underwriting and additional due dilegence</w:t>
            </w:r>
            <w:r>
              <w:rPr>
                <w:rFonts w:ascii="Arial" w:hAnsi="Arial" w:cs="Arial"/>
                <w:color w:val="181818"/>
              </w:rPr>
              <w:t>, unrated bonds represent a valuable opportunity</w:t>
            </w:r>
            <w:r w:rsidRPr="00FB50D6">
              <w:rPr>
                <w:rFonts w:ascii="Arial" w:hAnsi="Arial" w:cs="Arial"/>
                <w:color w:val="181818"/>
              </w:rPr>
              <w:t xml:space="preserve"> because of their rating status, which may limit other investors</w:t>
            </w:r>
            <w:r>
              <w:rPr>
                <w:rFonts w:ascii="Arial" w:hAnsi="Arial" w:cs="Arial"/>
                <w:color w:val="181818"/>
              </w:rPr>
              <w:t xml:space="preserve"> involvement</w:t>
            </w:r>
            <w:r w:rsidRPr="00FB50D6">
              <w:rPr>
                <w:rFonts w:ascii="Arial" w:hAnsi="Arial" w:cs="Arial"/>
                <w:color w:val="181818"/>
              </w:rPr>
              <w:t xml:space="preserve">. Unrated bonds exist across a variety of asset classes, and can be components of indices which </w:t>
            </w:r>
            <w:r>
              <w:rPr>
                <w:rFonts w:ascii="Arial" w:hAnsi="Arial" w:cs="Arial"/>
                <w:color w:val="181818"/>
              </w:rPr>
              <w:t>a</w:t>
            </w:r>
            <w:r w:rsidRPr="00FB50D6">
              <w:rPr>
                <w:rFonts w:ascii="Arial" w:hAnsi="Arial" w:cs="Arial"/>
                <w:color w:val="181818"/>
              </w:rPr>
              <w:t xml:space="preserve"> fund </w:t>
            </w:r>
            <w:r>
              <w:rPr>
                <w:rFonts w:ascii="Arial" w:hAnsi="Arial" w:cs="Arial"/>
                <w:color w:val="181818"/>
              </w:rPr>
              <w:t>might be</w:t>
            </w:r>
            <w:r w:rsidRPr="00FB50D6">
              <w:rPr>
                <w:rFonts w:ascii="Arial" w:hAnsi="Arial" w:cs="Arial"/>
                <w:color w:val="181818"/>
              </w:rPr>
              <w:t xml:space="preserve"> measured against.</w:t>
            </w:r>
          </w:p>
        </w:tc>
        <w:tc>
          <w:tcPr>
            <w:tcW w:w="2694" w:type="dxa"/>
          </w:tcPr>
          <w:p w14:paraId="3DEEC669" w14:textId="26172478"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Asset class exposure is direct unless held by a AIF or other mutual fund that is held, hedging can be accomplished via single issuer CDS where available</w:t>
            </w:r>
            <w:r w:rsidR="00014375">
              <w:rPr>
                <w:rFonts w:ascii="Arial" w:hAnsi="Arial" w:cs="Arial"/>
                <w:color w:val="181818"/>
              </w:rPr>
              <w:t>.</w:t>
            </w:r>
          </w:p>
        </w:tc>
        <w:tc>
          <w:tcPr>
            <w:tcW w:w="1279" w:type="dxa"/>
          </w:tcPr>
          <w:p w14:paraId="3656B9AB" w14:textId="5E620C81"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See attached Appendix</w:t>
            </w:r>
            <w:r w:rsidR="00014375">
              <w:rPr>
                <w:rFonts w:ascii="Arial" w:hAnsi="Arial" w:cs="Arial"/>
                <w:color w:val="181818"/>
              </w:rPr>
              <w:t xml:space="preserve"> I.</w:t>
            </w:r>
          </w:p>
        </w:tc>
        <w:tc>
          <w:tcPr>
            <w:tcW w:w="1384" w:type="dxa"/>
          </w:tcPr>
          <w:p w14:paraId="45FB0818" w14:textId="5B1B5A4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All of our UCITS funds under the regulatory guidance of 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r w:rsidR="00014375">
              <w:rPr>
                <w:rFonts w:ascii="Arial" w:hAnsi="Arial" w:cs="Arial"/>
                <w:color w:val="181818"/>
              </w:rPr>
              <w:t>.</w:t>
            </w:r>
          </w:p>
        </w:tc>
      </w:tr>
      <w:tr w:rsidR="00B33432" w:rsidRPr="00B33432" w14:paraId="68D99D9D" w14:textId="77777777" w:rsidTr="00FB50D6">
        <w:tc>
          <w:tcPr>
            <w:tcW w:w="1452" w:type="dxa"/>
          </w:tcPr>
          <w:p w14:paraId="17D8B71D" w14:textId="77777777" w:rsidR="00B33432" w:rsidRPr="00B33432" w:rsidRDefault="00B33432" w:rsidP="00FB50D6">
            <w:pPr>
              <w:spacing w:after="250" w:line="276" w:lineRule="auto"/>
              <w:rPr>
                <w:rFonts w:ascii="Arial" w:hAnsi="Arial" w:cs="Arial"/>
                <w:color w:val="181818"/>
              </w:rPr>
            </w:pPr>
            <w:r w:rsidRPr="00B33432">
              <w:rPr>
                <w:rFonts w:ascii="Arial" w:hAnsi="Arial" w:cs="Arial"/>
              </w:rPr>
              <w:t>5. Distressed securities</w:t>
            </w:r>
          </w:p>
        </w:tc>
        <w:tc>
          <w:tcPr>
            <w:tcW w:w="2512" w:type="dxa"/>
          </w:tcPr>
          <w:p w14:paraId="049F31CB" w14:textId="37A21B6E"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Distressed or non-performing securities, possibly in  default or near default for technical or fundamental reasons </w:t>
            </w:r>
            <w:r w:rsidRPr="00FB50D6">
              <w:rPr>
                <w:rFonts w:ascii="Arial" w:hAnsi="Arial" w:cs="Arial"/>
                <w:color w:val="181818"/>
              </w:rPr>
              <w:lastRenderedPageBreak/>
              <w:t>generally exhibit significant price decay from their previous performing status. However, some recovery scenarios represent  a particular opportunity if  market pricing has overshot the severity of distress. Robust underwriting and due diligence may uncover these opportunities and correct sizing of potential downside is paramount. Distressed securities exist across a variety of asset classes, and can be components of indices which the respective fund is measured against, thereby requiring analysis in relation to a zero/underweight/neutral/overweight position in a distressed security.</w:t>
            </w:r>
          </w:p>
        </w:tc>
        <w:tc>
          <w:tcPr>
            <w:tcW w:w="2694" w:type="dxa"/>
          </w:tcPr>
          <w:p w14:paraId="53128261" w14:textId="60DEE2EA"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 xml:space="preserve">Asset class exposure is direct unless held by a AIF or other mutual fund that is held, heding can be accomplished via single </w:t>
            </w:r>
            <w:r w:rsidRPr="00FB50D6">
              <w:rPr>
                <w:rFonts w:ascii="Arial" w:hAnsi="Arial" w:cs="Arial"/>
                <w:color w:val="181818"/>
              </w:rPr>
              <w:lastRenderedPageBreak/>
              <w:t>issuer CDS where available</w:t>
            </w:r>
            <w:r w:rsidR="00014375">
              <w:rPr>
                <w:rFonts w:ascii="Arial" w:hAnsi="Arial" w:cs="Arial"/>
                <w:color w:val="181818"/>
              </w:rPr>
              <w:t>.</w:t>
            </w:r>
          </w:p>
        </w:tc>
        <w:tc>
          <w:tcPr>
            <w:tcW w:w="1279" w:type="dxa"/>
          </w:tcPr>
          <w:p w14:paraId="62486C05" w14:textId="0083DCDD"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See attached Appendix</w:t>
            </w:r>
            <w:r w:rsidR="00014375">
              <w:rPr>
                <w:rFonts w:ascii="Arial" w:hAnsi="Arial" w:cs="Arial"/>
                <w:color w:val="181818"/>
              </w:rPr>
              <w:t xml:space="preserve"> I.</w:t>
            </w:r>
          </w:p>
        </w:tc>
        <w:tc>
          <w:tcPr>
            <w:tcW w:w="1384" w:type="dxa"/>
          </w:tcPr>
          <w:p w14:paraId="4101652C" w14:textId="54A9560D"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All of our UCITS funds under the regulatory guidance of </w:t>
            </w:r>
            <w:r w:rsidRPr="00FB50D6">
              <w:rPr>
                <w:rFonts w:ascii="Arial" w:hAnsi="Arial" w:cs="Arial"/>
                <w:color w:val="181818"/>
              </w:rPr>
              <w:lastRenderedPageBreak/>
              <w:t>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p>
        </w:tc>
      </w:tr>
      <w:tr w:rsidR="00B33432" w:rsidRPr="00B33432" w14:paraId="2B493676" w14:textId="77777777" w:rsidTr="00FB50D6">
        <w:tc>
          <w:tcPr>
            <w:tcW w:w="1452" w:type="dxa"/>
          </w:tcPr>
          <w:p w14:paraId="45E99430" w14:textId="77777777" w:rsidR="00B33432" w:rsidRPr="00B33432" w:rsidRDefault="00B33432" w:rsidP="00FB50D6">
            <w:pPr>
              <w:spacing w:after="250" w:line="276" w:lineRule="auto"/>
              <w:rPr>
                <w:rFonts w:ascii="Arial" w:hAnsi="Arial" w:cs="Arial"/>
              </w:rPr>
            </w:pPr>
            <w:r w:rsidRPr="00B33432">
              <w:rPr>
                <w:rFonts w:ascii="Arial" w:hAnsi="Arial" w:cs="Arial"/>
              </w:rPr>
              <w:lastRenderedPageBreak/>
              <w:t>6. Unlisted equities</w:t>
            </w:r>
            <w:r w:rsidRPr="00B33432">
              <w:rPr>
                <w:rFonts w:ascii="Arial" w:hAnsi="Arial" w:cs="Arial"/>
                <w:sz w:val="16"/>
                <w:vertAlign w:val="superscript"/>
              </w:rPr>
              <w:footnoteReference w:id="7"/>
            </w:r>
          </w:p>
        </w:tc>
        <w:tc>
          <w:tcPr>
            <w:tcW w:w="2512" w:type="dxa"/>
          </w:tcPr>
          <w:p w14:paraId="4B99056E" w14:textId="4D41F268"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1299C43A" w14:textId="602A2515"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4DDBEF00" w14:textId="6922CA5B"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3461D779" w14:textId="31575254"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ED4C89" w:rsidRPr="00B33432" w14:paraId="5539B04B" w14:textId="77777777" w:rsidTr="00FB50D6">
        <w:tc>
          <w:tcPr>
            <w:tcW w:w="1452" w:type="dxa"/>
          </w:tcPr>
          <w:p w14:paraId="378D969D" w14:textId="77777777" w:rsidR="00ED4C89" w:rsidRPr="00B33432" w:rsidRDefault="00ED4C89" w:rsidP="00FB50D6">
            <w:pPr>
              <w:spacing w:after="250" w:line="276" w:lineRule="auto"/>
              <w:rPr>
                <w:rFonts w:ascii="Arial" w:hAnsi="Arial" w:cs="Arial"/>
              </w:rPr>
            </w:pPr>
            <w:r w:rsidRPr="00B33432">
              <w:rPr>
                <w:rFonts w:ascii="Arial" w:hAnsi="Arial" w:cs="Arial"/>
              </w:rPr>
              <w:t>7. Crypto assets</w:t>
            </w:r>
            <w:r w:rsidRPr="00B33432">
              <w:rPr>
                <w:rFonts w:ascii="Arial" w:hAnsi="Arial" w:cs="Arial"/>
                <w:vertAlign w:val="superscript"/>
              </w:rPr>
              <w:footnoteReference w:id="8"/>
            </w:r>
          </w:p>
        </w:tc>
        <w:tc>
          <w:tcPr>
            <w:tcW w:w="2512" w:type="dxa"/>
          </w:tcPr>
          <w:p w14:paraId="3CF2D8B6" w14:textId="5B9F17DA"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0FB78278" w14:textId="0162EB81"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1FC39945" w14:textId="4AF16E28"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0562CB0E" w14:textId="2B1BDA83"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ED4C89" w:rsidRPr="00B33432" w14:paraId="6582FE19" w14:textId="77777777" w:rsidTr="00FB50D6">
        <w:tc>
          <w:tcPr>
            <w:tcW w:w="1452" w:type="dxa"/>
          </w:tcPr>
          <w:p w14:paraId="73AF3CD4" w14:textId="77777777" w:rsidR="00ED4C89" w:rsidRPr="00B33432" w:rsidRDefault="00ED4C89" w:rsidP="00FB50D6">
            <w:pPr>
              <w:spacing w:after="250" w:line="276" w:lineRule="auto"/>
              <w:rPr>
                <w:rFonts w:ascii="Arial" w:hAnsi="Arial" w:cs="Arial"/>
              </w:rPr>
            </w:pPr>
            <w:r w:rsidRPr="00B33432">
              <w:rPr>
                <w:rFonts w:ascii="Arial" w:hAnsi="Arial" w:cs="Arial"/>
              </w:rPr>
              <w:t>8. Commodities and precious metals</w:t>
            </w:r>
            <w:r w:rsidRPr="00B33432">
              <w:rPr>
                <w:rFonts w:ascii="Arial" w:hAnsi="Arial" w:cs="Arial"/>
                <w:sz w:val="16"/>
                <w:vertAlign w:val="superscript"/>
              </w:rPr>
              <w:footnoteReference w:id="9"/>
            </w:r>
          </w:p>
        </w:tc>
        <w:tc>
          <w:tcPr>
            <w:tcW w:w="2512" w:type="dxa"/>
          </w:tcPr>
          <w:p w14:paraId="34CE0A41" w14:textId="5267B810"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62EBF3C5" w14:textId="700D19AC"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6D98A12B" w14:textId="419ECFD9"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2946DB82" w14:textId="0498951F"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ED4C89" w:rsidRPr="00B33432" w14:paraId="1D06A7CA" w14:textId="77777777" w:rsidTr="00FB50D6">
        <w:tc>
          <w:tcPr>
            <w:tcW w:w="1452" w:type="dxa"/>
          </w:tcPr>
          <w:p w14:paraId="695108F8" w14:textId="77777777" w:rsidR="00ED4C89" w:rsidRPr="00B33432" w:rsidRDefault="00ED4C89" w:rsidP="00ED4C89">
            <w:pPr>
              <w:spacing w:after="250" w:line="276" w:lineRule="auto"/>
              <w:rPr>
                <w:rFonts w:ascii="Arial" w:hAnsi="Arial" w:cs="Arial"/>
              </w:rPr>
            </w:pPr>
            <w:r w:rsidRPr="00B33432">
              <w:rPr>
                <w:rFonts w:ascii="Arial" w:hAnsi="Arial" w:cs="Arial"/>
              </w:rPr>
              <w:t xml:space="preserve">9. Exchange-traded </w:t>
            </w:r>
            <w:r w:rsidRPr="00B33432">
              <w:rPr>
                <w:rFonts w:ascii="Arial" w:hAnsi="Arial" w:cs="Arial"/>
              </w:rPr>
              <w:lastRenderedPageBreak/>
              <w:t>commodities (‘ETCs’)</w:t>
            </w:r>
          </w:p>
        </w:tc>
        <w:tc>
          <w:tcPr>
            <w:tcW w:w="2512" w:type="dxa"/>
          </w:tcPr>
          <w:p w14:paraId="5997CC1D" w14:textId="62BE433D"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N/A</w:t>
            </w:r>
          </w:p>
        </w:tc>
        <w:tc>
          <w:tcPr>
            <w:tcW w:w="2694" w:type="dxa"/>
          </w:tcPr>
          <w:p w14:paraId="110FFD37" w14:textId="38266E8D"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6B699379" w14:textId="356BE693"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3FE9F23F" w14:textId="07795698"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ED4C89" w:rsidRPr="00B33432" w14:paraId="241FBBEE" w14:textId="77777777" w:rsidTr="00FB50D6">
        <w:tc>
          <w:tcPr>
            <w:tcW w:w="1452" w:type="dxa"/>
          </w:tcPr>
          <w:p w14:paraId="168EC9A2" w14:textId="77777777" w:rsidR="00ED4C89" w:rsidRPr="00B33432" w:rsidRDefault="00ED4C89" w:rsidP="00ED4C89">
            <w:pPr>
              <w:spacing w:after="250" w:line="276" w:lineRule="auto"/>
              <w:rPr>
                <w:rFonts w:ascii="Arial" w:hAnsi="Arial" w:cs="Arial"/>
              </w:rPr>
            </w:pPr>
            <w:r w:rsidRPr="00B33432">
              <w:rPr>
                <w:rFonts w:ascii="Arial" w:hAnsi="Arial" w:cs="Arial"/>
              </w:rPr>
              <w:t>10. Real estate</w:t>
            </w:r>
          </w:p>
        </w:tc>
        <w:tc>
          <w:tcPr>
            <w:tcW w:w="2512" w:type="dxa"/>
          </w:tcPr>
          <w:p w14:paraId="1F72F646" w14:textId="169C527D"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08CE6F91" w14:textId="061533CB"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61CDCEAD" w14:textId="7670B6EE"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6BB9E253" w14:textId="5D26AD8A" w:rsidR="00ED4C89"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B33432" w:rsidRPr="00B33432" w14:paraId="7FD6362C" w14:textId="77777777" w:rsidTr="00FB50D6">
        <w:tc>
          <w:tcPr>
            <w:tcW w:w="1452" w:type="dxa"/>
          </w:tcPr>
          <w:p w14:paraId="146B0B65" w14:textId="77777777" w:rsidR="00B33432" w:rsidRPr="00B33432" w:rsidRDefault="00B33432" w:rsidP="00B33432">
            <w:pPr>
              <w:spacing w:after="250" w:line="276" w:lineRule="auto"/>
              <w:rPr>
                <w:rFonts w:ascii="Arial" w:hAnsi="Arial" w:cs="Arial"/>
              </w:rPr>
            </w:pPr>
            <w:r w:rsidRPr="00B33432">
              <w:rPr>
                <w:rFonts w:ascii="Arial" w:hAnsi="Arial" w:cs="Arial"/>
              </w:rPr>
              <w:t>11. Real Estate Investment Trusts (‘REITs’)</w:t>
            </w:r>
          </w:p>
        </w:tc>
        <w:tc>
          <w:tcPr>
            <w:tcW w:w="2512" w:type="dxa"/>
          </w:tcPr>
          <w:p w14:paraId="23DE523C" w14:textId="45D64C1D"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Although considered equity securities because of the share of ownership of the underlying properties in the REIT portfolio, the focus of the security is income sourced from rent. REITs provide investors with an opportunity to access a diversified set of attractive income producing properties that would not be attainable on an individual real estate property investment approach. REITs offer investors with higher dividend yields with lower volatility when compared to broad market equities. Appropriate to income focused equity strategies as well as some more permissive fixed income strategies because of the inherent income characteristic.</w:t>
            </w:r>
          </w:p>
        </w:tc>
        <w:tc>
          <w:tcPr>
            <w:tcW w:w="2694" w:type="dxa"/>
          </w:tcPr>
          <w:p w14:paraId="52E56223" w14:textId="5BF55357"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Characteristic of the REIT, is the indirect exposure to the underlying properties in the REIT portfolio as described in the direct exposure merit.</w:t>
            </w:r>
          </w:p>
        </w:tc>
        <w:tc>
          <w:tcPr>
            <w:tcW w:w="1279" w:type="dxa"/>
          </w:tcPr>
          <w:p w14:paraId="07547A01" w14:textId="79B907AB"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See attached Appendix</w:t>
            </w:r>
            <w:r w:rsidR="00014375">
              <w:rPr>
                <w:rFonts w:ascii="Arial" w:hAnsi="Arial" w:cs="Arial"/>
                <w:color w:val="181818"/>
              </w:rPr>
              <w:t xml:space="preserve"> I.</w:t>
            </w:r>
          </w:p>
        </w:tc>
        <w:tc>
          <w:tcPr>
            <w:tcW w:w="1384" w:type="dxa"/>
          </w:tcPr>
          <w:p w14:paraId="5043CB0F" w14:textId="6C44F15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All of our UCITS funds under the regulatory guidance of 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r w:rsidR="00014375">
              <w:rPr>
                <w:rFonts w:ascii="Arial" w:hAnsi="Arial" w:cs="Arial"/>
                <w:color w:val="181818"/>
              </w:rPr>
              <w:t>.</w:t>
            </w:r>
          </w:p>
        </w:tc>
      </w:tr>
      <w:tr w:rsidR="00B33432" w:rsidRPr="00B33432" w14:paraId="585437CF" w14:textId="77777777" w:rsidTr="00FB50D6">
        <w:tc>
          <w:tcPr>
            <w:tcW w:w="1452" w:type="dxa"/>
          </w:tcPr>
          <w:p w14:paraId="17F5DE1B" w14:textId="77777777" w:rsidR="00B33432" w:rsidRPr="00B33432" w:rsidRDefault="00B33432" w:rsidP="00B33432">
            <w:pPr>
              <w:spacing w:after="250" w:line="276" w:lineRule="auto"/>
              <w:rPr>
                <w:rFonts w:ascii="Arial" w:hAnsi="Arial" w:cs="Arial"/>
              </w:rPr>
            </w:pPr>
            <w:r w:rsidRPr="00B33432">
              <w:rPr>
                <w:rFonts w:ascii="Arial" w:hAnsi="Arial" w:cs="Arial"/>
              </w:rPr>
              <w:t>12. Special Purpose Acquisition Companies (‘SPACs’)</w:t>
            </w:r>
          </w:p>
        </w:tc>
        <w:tc>
          <w:tcPr>
            <w:tcW w:w="2512" w:type="dxa"/>
          </w:tcPr>
          <w:p w14:paraId="07459315" w14:textId="23C62F77"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6537F28F" w14:textId="5A4197A3"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6DFB9E20" w14:textId="21633C22"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70DF9E56" w14:textId="770697C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B33432" w:rsidRPr="00B33432" w14:paraId="72D194A9" w14:textId="77777777" w:rsidTr="00FB50D6">
        <w:tc>
          <w:tcPr>
            <w:tcW w:w="1452" w:type="dxa"/>
          </w:tcPr>
          <w:p w14:paraId="31158681" w14:textId="77777777" w:rsidR="00B33432" w:rsidRPr="00B33432" w:rsidRDefault="00B33432" w:rsidP="00B33432">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2512" w:type="dxa"/>
          </w:tcPr>
          <w:p w14:paraId="44E871BC" w14:textId="22BDAF2B"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Diversified vehicles, outside of UCITS </w:t>
            </w:r>
            <w:r w:rsidRPr="00FB50D6">
              <w:rPr>
                <w:rFonts w:ascii="Arial" w:hAnsi="Arial" w:cs="Arial"/>
                <w:color w:val="181818"/>
              </w:rPr>
              <w:lastRenderedPageBreak/>
              <w:t xml:space="preserve">regulations, that may be appropriate to gain diversifed exposure to a particular investment strategy not otherwise available through single securities or derivative instruments in a fund of funds fashion. </w:t>
            </w:r>
            <w:r w:rsidR="009F703B" w:rsidRPr="00FB50D6">
              <w:rPr>
                <w:rFonts w:ascii="Arial" w:hAnsi="Arial" w:cs="Arial"/>
                <w:color w:val="181818"/>
              </w:rPr>
              <w:t>Open-ended AIF funds are a possible holding in our UCITS, but have not been used and would be considered atypical investments. If implemented, sizing and investment strategy would be appropriate to the UCITS fund guideline limits and investment objective of the fund.</w:t>
            </w:r>
          </w:p>
        </w:tc>
        <w:tc>
          <w:tcPr>
            <w:tcW w:w="2694" w:type="dxa"/>
          </w:tcPr>
          <w:p w14:paraId="144A5D23" w14:textId="27C49DF8"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 xml:space="preserve">Diversified vehicles, outside of UCITS regulations, that </w:t>
            </w:r>
            <w:r w:rsidRPr="00FB50D6">
              <w:rPr>
                <w:rFonts w:ascii="Arial" w:hAnsi="Arial" w:cs="Arial"/>
                <w:color w:val="181818"/>
              </w:rPr>
              <w:lastRenderedPageBreak/>
              <w:t>may be appropriate to gain diversifed exposure to a particular investment strategy not otherwise available through single securities or derivative instruments in a fund of funds fashion. Open-end AIF funds are a possible holding in our UCITS, but have not been used or would be considered atypical or unexpected investments. If implemented, sizing and investment strategy would be appropriate to the UCITS fund guideline limits and investment objective of the fund.</w:t>
            </w:r>
          </w:p>
        </w:tc>
        <w:tc>
          <w:tcPr>
            <w:tcW w:w="1279" w:type="dxa"/>
          </w:tcPr>
          <w:p w14:paraId="738610EB" w14:textId="12CC43C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N/A</w:t>
            </w:r>
          </w:p>
        </w:tc>
        <w:tc>
          <w:tcPr>
            <w:tcW w:w="1384" w:type="dxa"/>
          </w:tcPr>
          <w:p w14:paraId="637805D2" w14:textId="2BEA6B19"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All of our UCITS funds </w:t>
            </w:r>
            <w:r w:rsidRPr="00FB50D6">
              <w:rPr>
                <w:rFonts w:ascii="Arial" w:hAnsi="Arial" w:cs="Arial"/>
                <w:color w:val="181818"/>
              </w:rPr>
              <w:lastRenderedPageBreak/>
              <w:t>under the regulatory guidance of 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r w:rsidR="00014375">
              <w:rPr>
                <w:rFonts w:ascii="Arial" w:hAnsi="Arial" w:cs="Arial"/>
                <w:color w:val="181818"/>
              </w:rPr>
              <w:t>.</w:t>
            </w:r>
          </w:p>
        </w:tc>
      </w:tr>
      <w:tr w:rsidR="00B33432" w:rsidRPr="00B33432" w14:paraId="50B47933" w14:textId="77777777" w:rsidTr="00FB50D6">
        <w:tc>
          <w:tcPr>
            <w:tcW w:w="1452" w:type="dxa"/>
          </w:tcPr>
          <w:p w14:paraId="5B21E6DB"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14. Non-EU AIFs</w:t>
            </w:r>
          </w:p>
        </w:tc>
        <w:tc>
          <w:tcPr>
            <w:tcW w:w="2512" w:type="dxa"/>
          </w:tcPr>
          <w:p w14:paraId="463F29E8" w14:textId="1B92CDD2"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Diversified vehicles, outside of UCITS regulations, that may be appropriate to gain diversifed exposure to a particular investment strategy not otherwise available through single securities or derivative instruments in a fund of funds fashion. Open-end AIF funds are a possible holding in our UCITS, but has not been used or is a typical or expected. If implemented, sizing and investment strategy would be appropriate to </w:t>
            </w:r>
            <w:r w:rsidRPr="00FB50D6">
              <w:rPr>
                <w:rFonts w:ascii="Arial" w:hAnsi="Arial" w:cs="Arial"/>
                <w:color w:val="181818"/>
              </w:rPr>
              <w:lastRenderedPageBreak/>
              <w:t>the UCITS fund guideline limits and investment objective of the fund.</w:t>
            </w:r>
          </w:p>
        </w:tc>
        <w:tc>
          <w:tcPr>
            <w:tcW w:w="2694" w:type="dxa"/>
          </w:tcPr>
          <w:p w14:paraId="3B7B4B86" w14:textId="63C5A7B2"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 xml:space="preserve">Diversified vehicles, outside of UCITS regulations, that may be appropriate to gain diversifed exposure to a particular investment strategy not otherwise available through single securities or derivative instruments in a fund of funds fashion. Open-end AIF funds are a possible holding in our UCITS, but has not been used or is a typical or expected. If implemented, sizing and investment strategy would be appropriate to the UCITS fund guideline limits </w:t>
            </w:r>
            <w:r w:rsidRPr="00FB50D6">
              <w:rPr>
                <w:rFonts w:ascii="Arial" w:hAnsi="Arial" w:cs="Arial"/>
                <w:color w:val="181818"/>
              </w:rPr>
              <w:lastRenderedPageBreak/>
              <w:t>and investment objective of the fund</w:t>
            </w:r>
            <w:r w:rsidR="002D6766">
              <w:rPr>
                <w:rFonts w:ascii="Arial" w:hAnsi="Arial" w:cs="Arial"/>
                <w:color w:val="181818"/>
              </w:rPr>
              <w:t>.</w:t>
            </w:r>
          </w:p>
        </w:tc>
        <w:tc>
          <w:tcPr>
            <w:tcW w:w="1279" w:type="dxa"/>
          </w:tcPr>
          <w:p w14:paraId="3A0FF5F2" w14:textId="4140D502"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N/A</w:t>
            </w:r>
          </w:p>
        </w:tc>
        <w:tc>
          <w:tcPr>
            <w:tcW w:w="1384" w:type="dxa"/>
          </w:tcPr>
          <w:p w14:paraId="5630AD66" w14:textId="2BE0DB2C"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All of our UCITS funds under the regulatory guidance of the CBI have satisfied VaR limits and VaR backtesting measures, met liquidity requirements for daily redemption, and remained diversified </w:t>
            </w:r>
            <w:r w:rsidRPr="00FB50D6">
              <w:rPr>
                <w:rFonts w:ascii="Arial" w:hAnsi="Arial" w:cs="Arial"/>
                <w:color w:val="181818"/>
              </w:rPr>
              <w:lastRenderedPageBreak/>
              <w:t>and in accordance with the specific fund objective, limits, and guidelines with the inclusion of this asset class as part of the investments</w:t>
            </w:r>
            <w:r w:rsidR="00014375">
              <w:rPr>
                <w:rFonts w:ascii="Arial" w:hAnsi="Arial" w:cs="Arial"/>
                <w:color w:val="181818"/>
              </w:rPr>
              <w:t>.</w:t>
            </w:r>
          </w:p>
        </w:tc>
      </w:tr>
      <w:tr w:rsidR="00B33432" w:rsidRPr="00B33432" w14:paraId="5A25875C" w14:textId="77777777" w:rsidTr="00FB50D6">
        <w:tc>
          <w:tcPr>
            <w:tcW w:w="1452" w:type="dxa"/>
          </w:tcPr>
          <w:p w14:paraId="0BD070FC"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15. Emission allowances</w:t>
            </w:r>
          </w:p>
        </w:tc>
        <w:tc>
          <w:tcPr>
            <w:tcW w:w="2512" w:type="dxa"/>
          </w:tcPr>
          <w:p w14:paraId="61829076" w14:textId="4048B775"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2694" w:type="dxa"/>
          </w:tcPr>
          <w:p w14:paraId="2BA226A1" w14:textId="40B2E4C3"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279" w:type="dxa"/>
          </w:tcPr>
          <w:p w14:paraId="17AD93B2" w14:textId="29FEDDD7"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c>
          <w:tcPr>
            <w:tcW w:w="1384" w:type="dxa"/>
          </w:tcPr>
          <w:p w14:paraId="0DE4B5B7" w14:textId="31914225"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N/A</w:t>
            </w:r>
          </w:p>
        </w:tc>
      </w:tr>
      <w:tr w:rsidR="00B33432" w:rsidRPr="00B33432" w14:paraId="4663360E" w14:textId="77777777" w:rsidTr="00FB50D6">
        <w:tc>
          <w:tcPr>
            <w:tcW w:w="1452" w:type="dxa"/>
          </w:tcPr>
          <w:p w14:paraId="556F47DB" w14:textId="77777777" w:rsidR="00B33432" w:rsidRPr="00B33432" w:rsidRDefault="00B33432" w:rsidP="00B33432">
            <w:pPr>
              <w:spacing w:after="250" w:line="276" w:lineRule="auto"/>
              <w:rPr>
                <w:rFonts w:ascii="Arial" w:hAnsi="Arial" w:cs="Arial"/>
              </w:rPr>
            </w:pPr>
            <w:r w:rsidRPr="00B33432">
              <w:rPr>
                <w:rFonts w:ascii="Arial" w:hAnsi="Arial" w:cs="Arial"/>
              </w:rPr>
              <w:t>16. Delta-one instruments</w:t>
            </w:r>
          </w:p>
        </w:tc>
        <w:tc>
          <w:tcPr>
            <w:tcW w:w="2512" w:type="dxa"/>
          </w:tcPr>
          <w:p w14:paraId="66204FF1" w14:textId="25FA5D04"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Use of derivatives such as currency forwards, interest rate swaps, credit default index swaps, credit default swaps single issuer, interest rate and currency futures, ETF's and index funds are all effective and efficient manners to hedge and efficietly engineer financial markets not limited to exposure to a particular market segment, issuer, currency, or interest rate curve, etc. Use of Delta-one instruments is frequent and common in the management of our UCITS funds, in line with the investment objective, guidelines and regulations, and as appropriate to the strategy.</w:t>
            </w:r>
          </w:p>
        </w:tc>
        <w:tc>
          <w:tcPr>
            <w:tcW w:w="2694" w:type="dxa"/>
          </w:tcPr>
          <w:p w14:paraId="2DBF0D7D" w14:textId="78E1390F"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Use of derivatives such as currency forwards, interest rate swaps, credit default index swaps, credit default swaps single issuer, interest rate and currency futures, ETF's and index funds are all effective and efficient manners to hedge and efficietly engineer financial markets not limited to exposure to a particular market segment, issuer, currency, or interest rate curve, etc. Use of Delta-one instruments is frequent and common in the management of our UCITS funds, in line with the investment objective, guidelines and regulations, and as appropriate to the strategy.</w:t>
            </w:r>
          </w:p>
        </w:tc>
        <w:tc>
          <w:tcPr>
            <w:tcW w:w="1279" w:type="dxa"/>
          </w:tcPr>
          <w:p w14:paraId="6B62F1B3" w14:textId="64B26BDD"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See attached Appendix</w:t>
            </w:r>
            <w:r w:rsidR="00014375">
              <w:rPr>
                <w:rFonts w:ascii="Arial" w:hAnsi="Arial" w:cs="Arial"/>
                <w:color w:val="181818"/>
              </w:rPr>
              <w:t xml:space="preserve"> I.</w:t>
            </w:r>
          </w:p>
        </w:tc>
        <w:tc>
          <w:tcPr>
            <w:tcW w:w="1384" w:type="dxa"/>
          </w:tcPr>
          <w:p w14:paraId="02F2C34E" w14:textId="051993C8"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All of our UCITS funds under the regulatory guidance of 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p>
        </w:tc>
      </w:tr>
      <w:tr w:rsidR="00B33432" w:rsidRPr="00B33432" w14:paraId="6004F4E8" w14:textId="77777777" w:rsidTr="00FB50D6">
        <w:tc>
          <w:tcPr>
            <w:tcW w:w="1452" w:type="dxa"/>
          </w:tcPr>
          <w:p w14:paraId="73D5771C"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17. Exchange-traded notes (‘ETNs’)</w:t>
            </w:r>
          </w:p>
        </w:tc>
        <w:tc>
          <w:tcPr>
            <w:tcW w:w="2512" w:type="dxa"/>
          </w:tcPr>
          <w:p w14:paraId="680A4E5D" w14:textId="4CF29FB1"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To gain access to certain operationally challenging or restricted markets or securities, the use of exchange-traded notes is necessary. By partnering with an issuer that is able to pass on the performance and cash flows, for a fee or spread, investors can gain access to this market opportunity. UCITS benefit from this type of structure most commonly through the use of Credit -Linked Notes that create the economics of an underlying bond and are additionally subject to the creditworthiness of the issuer of the CLN, such as with certain local denominated emerging market government bonds. The UCITS benefits from the local rate and currency exposure with an investment view for performance or to position relateive to an index exposure.</w:t>
            </w:r>
          </w:p>
        </w:tc>
        <w:tc>
          <w:tcPr>
            <w:tcW w:w="2694" w:type="dxa"/>
          </w:tcPr>
          <w:p w14:paraId="19219836" w14:textId="28EC0132"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To gain access to certain operationally challenging or restricted markets or securities, the use of exchange-traded notes is necessary. By partnering with an issuer that is able to pass on the performance and cash flows, for a fee or spread, investors can gain access to this market opportunity. UCITS benefit from this type of structure most commonly through the use of Credit -Linked Notes that create the economics of an underlying bond and are additionally subject to the creditworthiness of the issuer of the CLN, such as with certain local denominated emerging market government bonds. The UCITS benefits from the local rate and currency exposure with an investment view for performance or to position relateive to an index exposure.</w:t>
            </w:r>
          </w:p>
        </w:tc>
        <w:tc>
          <w:tcPr>
            <w:tcW w:w="1279" w:type="dxa"/>
          </w:tcPr>
          <w:p w14:paraId="296FEF7D" w14:textId="58237ACA"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See attached Appendix</w:t>
            </w:r>
            <w:r w:rsidR="00A61607">
              <w:rPr>
                <w:rFonts w:ascii="Arial" w:hAnsi="Arial" w:cs="Arial"/>
                <w:color w:val="181818"/>
              </w:rPr>
              <w:t xml:space="preserve"> I.</w:t>
            </w:r>
          </w:p>
        </w:tc>
        <w:tc>
          <w:tcPr>
            <w:tcW w:w="1384" w:type="dxa"/>
          </w:tcPr>
          <w:p w14:paraId="7194DBDC" w14:textId="0FA13DC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All of our UCITS funds under the regulatory guidance of the CBI have satisfied VaR limits and VaR backtesting measures, met liquidity requirements for daily redemption, and remained diversified and in accordance with the specific fund objective, limits, and guidelines with the inclusion of this asset class as part of the investments.</w:t>
            </w:r>
          </w:p>
        </w:tc>
      </w:tr>
      <w:tr w:rsidR="00B33432" w:rsidRPr="00B33432" w14:paraId="66BB473F" w14:textId="77777777" w:rsidTr="00FB50D6">
        <w:tc>
          <w:tcPr>
            <w:tcW w:w="1452" w:type="dxa"/>
          </w:tcPr>
          <w:p w14:paraId="08FCC5EB" w14:textId="77777777" w:rsidR="00B33432" w:rsidRPr="00B33432" w:rsidRDefault="00B33432" w:rsidP="00B33432">
            <w:pPr>
              <w:spacing w:after="250" w:line="276" w:lineRule="auto"/>
              <w:rPr>
                <w:rFonts w:ascii="Arial" w:hAnsi="Arial" w:cs="Arial"/>
              </w:rPr>
            </w:pPr>
            <w:r w:rsidRPr="00B33432">
              <w:rPr>
                <w:rFonts w:ascii="Arial" w:hAnsi="Arial" w:cs="Arial"/>
              </w:rPr>
              <w:t>18. Asset-backed securities (‘ABS’) including mortgage-backed securities (‘MBS’)</w:t>
            </w:r>
          </w:p>
        </w:tc>
        <w:tc>
          <w:tcPr>
            <w:tcW w:w="2512" w:type="dxa"/>
          </w:tcPr>
          <w:p w14:paraId="769D0D3C" w14:textId="330970DC"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t xml:space="preserve">Asset-backed securities (“ABS”) are transferable securities being a bond or a note which is collateralised by a pool of assets (such as loans, leases, and other debt not being mortgages). These assets are aggregated and sold by the issuer of the assets to regulated and authorised financial institutions who in turn package those </w:t>
            </w:r>
            <w:r w:rsidRPr="00FB50D6">
              <w:rPr>
                <w:rFonts w:ascii="Arial" w:hAnsi="Arial" w:cs="Arial"/>
                <w:color w:val="181818"/>
              </w:rPr>
              <w:lastRenderedPageBreak/>
              <w:t>assets and issue the ABS.   Principal and interest payments on the bonds are derived by cashflows from the underlying pool of assets. ABS are structured into multiple classes, often referred to as “credit tranches”, with each class bearing its own stated maturity and entitled to a specific schedule for payments of principal and interest, including pre-payments. Agency MBS -Liquid and high-quality securities providing exposures to the US housing market and offering higher yields than US treasury.Non-Agency MBS -Liquid securities providing exposures to the US housing market and offering a broader range of risk and return profiles than Agency MBS and MBS pass-throughs.These are a typical and vast fixed income asset class employed by fixed income investors, and UCITS.</w:t>
            </w:r>
          </w:p>
        </w:tc>
        <w:tc>
          <w:tcPr>
            <w:tcW w:w="2694" w:type="dxa"/>
          </w:tcPr>
          <w:p w14:paraId="54CD245A" w14:textId="25B74DC0" w:rsidR="00B33432" w:rsidRPr="00FB50D6" w:rsidRDefault="00ED4C89" w:rsidP="00FB50D6">
            <w:pPr>
              <w:spacing w:after="250" w:line="276" w:lineRule="auto"/>
              <w:rPr>
                <w:rFonts w:ascii="Arial" w:hAnsi="Arial" w:cs="Arial"/>
                <w:color w:val="181818"/>
              </w:rPr>
            </w:pPr>
            <w:r w:rsidRPr="00FB50D6">
              <w:rPr>
                <w:rFonts w:ascii="Arial" w:hAnsi="Arial" w:cs="Arial"/>
                <w:color w:val="181818"/>
              </w:rPr>
              <w:lastRenderedPageBreak/>
              <w:t xml:space="preserve">Asset-backed securities (“ABS”) are transferable securities being a bond or a note which is collateralised by a pool of assets (such as loans, leases, and other debt not being mortgages). These assets are aggregated and sold by the issuer of the assets to regulated and authorised financial institutions who in turn package those assets and issue the ABS.   </w:t>
            </w:r>
            <w:r w:rsidRPr="00FB50D6">
              <w:rPr>
                <w:rFonts w:ascii="Arial" w:hAnsi="Arial" w:cs="Arial"/>
                <w:color w:val="181818"/>
              </w:rPr>
              <w:lastRenderedPageBreak/>
              <w:t>Principal and interest payments on the bonds are derived by cashflows from the underlying pool of assets. ABS are structured into multiple classes, often referred to as “credit tranches”, with each class bearing its own stated maturity and entitled to a specific schedule for payments of principal and interest, including pre-payments. Agency MBS -Liquid and high-quality securities providing exposures to the US housing market and offering higher yields than US treasury.Non-Agency MBS -Liquid securities providing exposures to the US housing market and offering a broader range of risk and return profiles than Agency MBS and MBS pass-throughs.These are a typical and vast fixed income asset class employed by fixed income investors, and UCITS.</w:t>
            </w:r>
          </w:p>
        </w:tc>
        <w:tc>
          <w:tcPr>
            <w:tcW w:w="1279" w:type="dxa"/>
          </w:tcPr>
          <w:p w14:paraId="1231BE67" w14:textId="218D3EBA" w:rsidR="00B33432" w:rsidRPr="00FB50D6" w:rsidRDefault="00B11CA6" w:rsidP="00FB50D6">
            <w:pPr>
              <w:spacing w:after="250" w:line="276" w:lineRule="auto"/>
              <w:rPr>
                <w:rFonts w:ascii="Arial" w:hAnsi="Arial" w:cs="Arial"/>
                <w:color w:val="181818"/>
              </w:rPr>
            </w:pPr>
            <w:r w:rsidRPr="00FB50D6">
              <w:rPr>
                <w:rFonts w:ascii="Arial" w:hAnsi="Arial" w:cs="Arial"/>
                <w:color w:val="181818"/>
              </w:rPr>
              <w:lastRenderedPageBreak/>
              <w:t>See attached Appendix</w:t>
            </w:r>
            <w:r w:rsidR="00A61607">
              <w:rPr>
                <w:rFonts w:ascii="Arial" w:hAnsi="Arial" w:cs="Arial"/>
                <w:color w:val="181818"/>
              </w:rPr>
              <w:t xml:space="preserve"> I.</w:t>
            </w:r>
          </w:p>
        </w:tc>
        <w:tc>
          <w:tcPr>
            <w:tcW w:w="1384" w:type="dxa"/>
          </w:tcPr>
          <w:p w14:paraId="36FEB5B0" w14:textId="637786EF" w:rsidR="00B33432" w:rsidRPr="00FB50D6" w:rsidRDefault="008C494A" w:rsidP="00FB50D6">
            <w:pPr>
              <w:spacing w:after="250" w:line="276" w:lineRule="auto"/>
              <w:rPr>
                <w:rFonts w:ascii="Arial" w:hAnsi="Arial" w:cs="Arial"/>
                <w:color w:val="181818"/>
              </w:rPr>
            </w:pPr>
            <w:r w:rsidRPr="00FB50D6">
              <w:rPr>
                <w:rFonts w:ascii="Arial" w:hAnsi="Arial" w:cs="Arial"/>
                <w:color w:val="181818"/>
              </w:rPr>
              <w:t xml:space="preserve">All of our UCITS funds under the regulatory guidance of the CBI have satisfied VaR limits and VaR backtesting measures, met liquidity requirements for daily </w:t>
            </w:r>
            <w:r w:rsidRPr="00FB50D6">
              <w:rPr>
                <w:rFonts w:ascii="Arial" w:hAnsi="Arial" w:cs="Arial"/>
                <w:color w:val="181818"/>
              </w:rPr>
              <w:lastRenderedPageBreak/>
              <w:t>redemption, and remained diversified and in accordance with the specific fund objective, limits, and guidelines with the inclusion of this asset class as part of the investments.</w:t>
            </w:r>
          </w:p>
        </w:tc>
      </w:tr>
      <w:tr w:rsidR="00B33432" w:rsidRPr="00B33432" w14:paraId="16623728" w14:textId="77777777" w:rsidTr="00FB50D6">
        <w:tc>
          <w:tcPr>
            <w:tcW w:w="1452" w:type="dxa"/>
          </w:tcPr>
          <w:p w14:paraId="2D5FBB9B" w14:textId="67FA8137" w:rsidR="00B33432" w:rsidRPr="009F703B" w:rsidRDefault="00B33432" w:rsidP="00B33432">
            <w:pPr>
              <w:spacing w:after="250" w:line="276" w:lineRule="auto"/>
              <w:rPr>
                <w:rFonts w:ascii="Arial" w:hAnsi="Arial" w:cs="Arial"/>
              </w:rPr>
            </w:pPr>
            <w:r w:rsidRPr="009F703B">
              <w:rPr>
                <w:rFonts w:ascii="Arial" w:hAnsi="Arial" w:cs="Arial"/>
              </w:rPr>
              <w:lastRenderedPageBreak/>
              <w:t xml:space="preserve">19. Other relevant asset classes </w:t>
            </w:r>
            <w:r w:rsidR="00B11CA6" w:rsidRPr="009F703B">
              <w:rPr>
                <w:rFonts w:ascii="Arial" w:hAnsi="Arial" w:cs="Arial"/>
              </w:rPr>
              <w:t xml:space="preserve">Covered Bonds, Whole Business Securitisations, Collateralised Loan </w:t>
            </w:r>
            <w:r w:rsidR="00B11CA6" w:rsidRPr="009F703B">
              <w:rPr>
                <w:rFonts w:ascii="Arial" w:hAnsi="Arial" w:cs="Arial"/>
              </w:rPr>
              <w:lastRenderedPageBreak/>
              <w:t xml:space="preserve">Obligations (“CLOs”), </w:t>
            </w:r>
            <w:r w:rsidR="00B11CA6" w:rsidRPr="009F703B">
              <w:rPr>
                <w:rFonts w:ascii="Arial" w:hAnsi="Arial" w:cs="Arial"/>
                <w:bCs/>
              </w:rPr>
              <w:t xml:space="preserve">Credit Risk Transfer securities, </w:t>
            </w:r>
          </w:p>
        </w:tc>
        <w:tc>
          <w:tcPr>
            <w:tcW w:w="2512" w:type="dxa"/>
          </w:tcPr>
          <w:p w14:paraId="30D7AA69" w14:textId="7592F28A" w:rsidR="00B33432" w:rsidRPr="00FB50D6" w:rsidRDefault="008C494A" w:rsidP="00FB50D6">
            <w:pPr>
              <w:spacing w:after="250" w:line="276" w:lineRule="auto"/>
              <w:rPr>
                <w:rFonts w:ascii="Arial" w:hAnsi="Arial" w:cs="Arial"/>
                <w:color w:val="181818"/>
              </w:rPr>
            </w:pPr>
            <w:r w:rsidRPr="00FB50D6">
              <w:rPr>
                <w:rFonts w:ascii="Arial" w:hAnsi="Arial" w:cs="Arial"/>
                <w:color w:val="181818"/>
              </w:rPr>
              <w:lastRenderedPageBreak/>
              <w:t xml:space="preserve">Covered Bonds - Liquid and high-quality securities providing scalable investment opportunities, investment breadth and higher return potential than local government yields. WBS-WBS offer attractive risk adjusted return potential when compared to similar </w:t>
            </w:r>
            <w:r w:rsidRPr="00FB50D6">
              <w:rPr>
                <w:rFonts w:ascii="Arial" w:hAnsi="Arial" w:cs="Arial"/>
                <w:color w:val="181818"/>
              </w:rPr>
              <w:lastRenderedPageBreak/>
              <w:t>corporate credit investment opportunities of the same industry exposure.CLOs-Security providing exposure to the leveraged loan market with greater credit protection and diversification. They also offer diversification relative to other fixed income asset classes. Their sensitivity to changes in interest rate is limited as they typically offer floating rate coupon payments.CRTs - CRTs offer a range of credit investment opportunities. They offer generally reliable primary and secondary supply, and often provide very attractive risk adjusted return potential.</w:t>
            </w:r>
          </w:p>
        </w:tc>
        <w:tc>
          <w:tcPr>
            <w:tcW w:w="2694" w:type="dxa"/>
          </w:tcPr>
          <w:p w14:paraId="7196D064" w14:textId="6A385A86" w:rsidR="00B33432" w:rsidRPr="00FB50D6" w:rsidRDefault="008C494A" w:rsidP="00FB50D6">
            <w:pPr>
              <w:spacing w:after="250" w:line="276" w:lineRule="auto"/>
              <w:rPr>
                <w:rFonts w:ascii="Arial" w:hAnsi="Arial" w:cs="Arial"/>
                <w:color w:val="181818"/>
              </w:rPr>
            </w:pPr>
            <w:r w:rsidRPr="00FB50D6">
              <w:rPr>
                <w:rFonts w:ascii="Arial" w:hAnsi="Arial" w:cs="Arial"/>
                <w:color w:val="181818"/>
              </w:rPr>
              <w:lastRenderedPageBreak/>
              <w:t>Asset class exposure is direct unless held by a AIF or other mutual fund that is held.</w:t>
            </w:r>
          </w:p>
        </w:tc>
        <w:tc>
          <w:tcPr>
            <w:tcW w:w="1279" w:type="dxa"/>
          </w:tcPr>
          <w:p w14:paraId="34FF1C98" w14:textId="068B38D5" w:rsidR="00B33432" w:rsidRPr="00FB50D6" w:rsidRDefault="00B11CA6" w:rsidP="00FB50D6">
            <w:pPr>
              <w:spacing w:after="250" w:line="276" w:lineRule="auto"/>
              <w:rPr>
                <w:rFonts w:ascii="Arial" w:hAnsi="Arial" w:cs="Arial"/>
                <w:color w:val="181818"/>
              </w:rPr>
            </w:pPr>
            <w:r w:rsidRPr="00FB50D6">
              <w:rPr>
                <w:rFonts w:ascii="Arial" w:hAnsi="Arial" w:cs="Arial"/>
                <w:color w:val="181818"/>
              </w:rPr>
              <w:t>See attached Appendix</w:t>
            </w:r>
            <w:r w:rsidR="00A61607">
              <w:rPr>
                <w:rFonts w:ascii="Arial" w:hAnsi="Arial" w:cs="Arial"/>
                <w:color w:val="181818"/>
              </w:rPr>
              <w:t xml:space="preserve"> I</w:t>
            </w:r>
          </w:p>
        </w:tc>
        <w:tc>
          <w:tcPr>
            <w:tcW w:w="1384" w:type="dxa"/>
          </w:tcPr>
          <w:p w14:paraId="6D072C0D" w14:textId="23AB0290" w:rsidR="00B33432" w:rsidRPr="00FB50D6" w:rsidRDefault="008C494A" w:rsidP="00FB50D6">
            <w:pPr>
              <w:spacing w:after="250" w:line="276" w:lineRule="auto"/>
              <w:rPr>
                <w:rFonts w:ascii="Arial" w:hAnsi="Arial" w:cs="Arial"/>
                <w:color w:val="181818"/>
              </w:rPr>
            </w:pPr>
            <w:r w:rsidRPr="00FB50D6">
              <w:rPr>
                <w:rFonts w:ascii="Arial" w:hAnsi="Arial" w:cs="Arial"/>
                <w:color w:val="181818"/>
              </w:rPr>
              <w:t xml:space="preserve">All of our UCITS funds under the regulatory guidance of the CBI have satisfied VaR limits and VaR backtesting measures, </w:t>
            </w:r>
            <w:r w:rsidRPr="00FB50D6">
              <w:rPr>
                <w:rFonts w:ascii="Arial" w:hAnsi="Arial" w:cs="Arial"/>
                <w:color w:val="181818"/>
              </w:rPr>
              <w:lastRenderedPageBreak/>
              <w:t>met liquidity requirements for daily redemption, and remained diversified and in accordance with the specific fund objective, limits, and guidelines with the inclusion of this asset class as part of the investments.</w:t>
            </w: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ED4C89" w:rsidRPr="00332B8C" w:rsidRDefault="00ED4C89"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ED4C89" w:rsidRPr="00332B8C" w:rsidRDefault="00ED4C89"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14375"/>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B31A3"/>
    <w:rsid w:val="002D58CD"/>
    <w:rsid w:val="002D6186"/>
    <w:rsid w:val="002D6766"/>
    <w:rsid w:val="002F58FB"/>
    <w:rsid w:val="00304E46"/>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86D73"/>
    <w:rsid w:val="006B6977"/>
    <w:rsid w:val="006B7B4A"/>
    <w:rsid w:val="006C47BC"/>
    <w:rsid w:val="006C7811"/>
    <w:rsid w:val="00712439"/>
    <w:rsid w:val="00753DB8"/>
    <w:rsid w:val="00784D7C"/>
    <w:rsid w:val="00794019"/>
    <w:rsid w:val="007A589D"/>
    <w:rsid w:val="00817444"/>
    <w:rsid w:val="008351CF"/>
    <w:rsid w:val="00847BDD"/>
    <w:rsid w:val="0085061D"/>
    <w:rsid w:val="0087027F"/>
    <w:rsid w:val="008B6D19"/>
    <w:rsid w:val="008C494A"/>
    <w:rsid w:val="008C4D04"/>
    <w:rsid w:val="008D1492"/>
    <w:rsid w:val="008E4482"/>
    <w:rsid w:val="00901098"/>
    <w:rsid w:val="00915CEE"/>
    <w:rsid w:val="00920E73"/>
    <w:rsid w:val="009212B4"/>
    <w:rsid w:val="009244B3"/>
    <w:rsid w:val="00951595"/>
    <w:rsid w:val="00967D76"/>
    <w:rsid w:val="00971266"/>
    <w:rsid w:val="00997493"/>
    <w:rsid w:val="009A3E35"/>
    <w:rsid w:val="009F703B"/>
    <w:rsid w:val="009F7052"/>
    <w:rsid w:val="00A338CF"/>
    <w:rsid w:val="00A35853"/>
    <w:rsid w:val="00A53BC9"/>
    <w:rsid w:val="00A61607"/>
    <w:rsid w:val="00A73913"/>
    <w:rsid w:val="00A85F46"/>
    <w:rsid w:val="00A87C58"/>
    <w:rsid w:val="00AE3852"/>
    <w:rsid w:val="00AE6FD6"/>
    <w:rsid w:val="00AF3545"/>
    <w:rsid w:val="00AF55C3"/>
    <w:rsid w:val="00B01DB8"/>
    <w:rsid w:val="00B11CA6"/>
    <w:rsid w:val="00B33432"/>
    <w:rsid w:val="00B53F54"/>
    <w:rsid w:val="00B626E5"/>
    <w:rsid w:val="00B62E29"/>
    <w:rsid w:val="00BB49D8"/>
    <w:rsid w:val="00BC577D"/>
    <w:rsid w:val="00BD310F"/>
    <w:rsid w:val="00BD4295"/>
    <w:rsid w:val="00BD7454"/>
    <w:rsid w:val="00C06FE4"/>
    <w:rsid w:val="00C202C8"/>
    <w:rsid w:val="00C242FA"/>
    <w:rsid w:val="00C365B4"/>
    <w:rsid w:val="00C36669"/>
    <w:rsid w:val="00C508B6"/>
    <w:rsid w:val="00C745C1"/>
    <w:rsid w:val="00C95659"/>
    <w:rsid w:val="00CB1B38"/>
    <w:rsid w:val="00CF043C"/>
    <w:rsid w:val="00CF0B7A"/>
    <w:rsid w:val="00D01FE5"/>
    <w:rsid w:val="00D10784"/>
    <w:rsid w:val="00D16F57"/>
    <w:rsid w:val="00D45009"/>
    <w:rsid w:val="00D6002F"/>
    <w:rsid w:val="00D64553"/>
    <w:rsid w:val="00D7747A"/>
    <w:rsid w:val="00D86E5D"/>
    <w:rsid w:val="00DD67D7"/>
    <w:rsid w:val="00DF78BC"/>
    <w:rsid w:val="00E53EDF"/>
    <w:rsid w:val="00E771B9"/>
    <w:rsid w:val="00E869F4"/>
    <w:rsid w:val="00E87C61"/>
    <w:rsid w:val="00ED4C89"/>
    <w:rsid w:val="00EE4C70"/>
    <w:rsid w:val="00EE5B1A"/>
    <w:rsid w:val="00EF2185"/>
    <w:rsid w:val="00EF5A4B"/>
    <w:rsid w:val="00F03868"/>
    <w:rsid w:val="00F03D56"/>
    <w:rsid w:val="00F042E8"/>
    <w:rsid w:val="00F278BC"/>
    <w:rsid w:val="00F5738E"/>
    <w:rsid w:val="00F92D6A"/>
    <w:rsid w:val="00FB3EA8"/>
    <w:rsid w:val="00FB50D6"/>
    <w:rsid w:val="00FC4846"/>
    <w:rsid w:val="00FC6EC3"/>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2.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Andreea Ulcica</cp:lastModifiedBy>
  <cp:revision>2</cp:revision>
  <dcterms:created xsi:type="dcterms:W3CDTF">2024-08-07T09:25:00Z</dcterms:created>
  <dcterms:modified xsi:type="dcterms:W3CDTF">2024-08-07T09:25:00Z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