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EF7FE" w14:textId="05BFA884" w:rsidR="66107C87" w:rsidRDefault="7C53680C" w:rsidP="3FE99FEE">
      <w:pPr>
        <w:spacing w:after="250" w:line="276" w:lineRule="auto"/>
        <w:jc w:val="both"/>
        <w:rPr>
          <w:rFonts w:ascii="Arial" w:eastAsia="MS PGothic" w:hAnsi="Arial" w:cs="Arial"/>
          <w:b/>
          <w:bCs/>
          <w:color w:val="181818"/>
        </w:rPr>
      </w:pPr>
      <w:r w:rsidRPr="28CED790">
        <w:rPr>
          <w:rFonts w:ascii="Arial" w:eastAsia="MS PGothic" w:hAnsi="Arial" w:cs="Arial"/>
          <w:b/>
          <w:bCs/>
          <w:color w:val="181818"/>
        </w:rPr>
        <w:t xml:space="preserve">Annex </w:t>
      </w:r>
      <w:r w:rsidR="2A636CE1" w:rsidRPr="28CED790">
        <w:rPr>
          <w:rFonts w:ascii="Arial" w:eastAsia="MS PGothic" w:hAnsi="Arial" w:cs="Arial"/>
          <w:b/>
          <w:bCs/>
          <w:color w:val="181818"/>
        </w:rPr>
        <w:t xml:space="preserve">– </w:t>
      </w:r>
      <w:r w:rsidR="002F58FB" w:rsidRPr="002F58FB">
        <w:rPr>
          <w:rFonts w:ascii="Arial" w:eastAsia="MS PGothic" w:hAnsi="Arial" w:cs="Arial"/>
          <w:b/>
          <w:bCs/>
          <w:color w:val="181818"/>
        </w:rPr>
        <w:t>Question 20</w:t>
      </w:r>
      <w:r w:rsidR="00394809">
        <w:rPr>
          <w:rFonts w:ascii="Arial" w:eastAsia="MS PGothic" w:hAnsi="Arial" w:cs="Arial"/>
          <w:b/>
          <w:bCs/>
          <w:color w:val="181818"/>
        </w:rPr>
        <w:t>.</w:t>
      </w:r>
      <w:r w:rsidR="002D58CD">
        <w:rPr>
          <w:rFonts w:ascii="Arial" w:eastAsia="MS PGothic" w:hAnsi="Arial" w:cs="Arial"/>
          <w:b/>
          <w:bCs/>
          <w:color w:val="181818"/>
        </w:rPr>
        <w:t xml:space="preserve"> </w:t>
      </w:r>
      <w:r w:rsidR="00394809">
        <w:rPr>
          <w:rFonts w:ascii="Arial" w:eastAsia="MS PGothic" w:hAnsi="Arial" w:cs="Arial"/>
          <w:b/>
          <w:bCs/>
          <w:color w:val="181818"/>
        </w:rPr>
        <w:t>T</w:t>
      </w:r>
      <w:r w:rsidR="002D58CD">
        <w:rPr>
          <w:rFonts w:ascii="Arial" w:eastAsia="MS PGothic" w:hAnsi="Arial" w:cs="Arial"/>
          <w:b/>
          <w:bCs/>
          <w:color w:val="181818"/>
        </w:rPr>
        <w:t xml:space="preserve">able on </w:t>
      </w:r>
      <w:r w:rsidR="0048151A">
        <w:rPr>
          <w:rFonts w:ascii="Arial" w:eastAsia="MS PGothic" w:hAnsi="Arial" w:cs="Arial"/>
          <w:b/>
          <w:bCs/>
          <w:color w:val="181818"/>
        </w:rPr>
        <w:t xml:space="preserve">eligible assets </w:t>
      </w:r>
      <w:r w:rsidR="002F58FB" w:rsidRPr="002F58FB">
        <w:rPr>
          <w:rFonts w:ascii="Arial" w:eastAsia="MS PGothic" w:hAnsi="Arial" w:cs="Arial"/>
          <w:b/>
          <w:bCs/>
          <w:color w:val="181818"/>
        </w:rPr>
        <w:t>UCITS EAD</w:t>
      </w:r>
      <w:r w:rsidR="53D130EB" w:rsidRPr="28CED790">
        <w:rPr>
          <w:rFonts w:ascii="Arial" w:eastAsia="MS PGothic" w:hAnsi="Arial" w:cs="Arial"/>
          <w:b/>
          <w:bCs/>
          <w:color w:val="181818"/>
        </w:rPr>
        <w:t xml:space="preserve">. </w:t>
      </w:r>
    </w:p>
    <w:p w14:paraId="10145F69" w14:textId="4B8E6890" w:rsidR="00554F00" w:rsidRDefault="002F58FB" w:rsidP="3FE99FEE">
      <w:pPr>
        <w:spacing w:after="250" w:line="276" w:lineRule="auto"/>
        <w:jc w:val="both"/>
        <w:rPr>
          <w:rFonts w:ascii="Arial" w:eastAsia="MS PGothic" w:hAnsi="Arial" w:cs="Arial"/>
          <w:color w:val="181818"/>
        </w:rPr>
      </w:pPr>
      <w:r w:rsidRPr="002F58FB">
        <w:rPr>
          <w:rFonts w:ascii="Arial" w:eastAsia="MS PGothic" w:hAnsi="Arial" w:cs="Arial"/>
          <w:color w:val="181818"/>
          <w:szCs w:val="20"/>
        </w:rPr>
        <w:t xml:space="preserve">For the purposes of Question 20, please </w:t>
      </w:r>
      <w:r w:rsidR="00A87C58">
        <w:rPr>
          <w:rFonts w:ascii="Arial" w:eastAsia="MS PGothic" w:hAnsi="Arial" w:cs="Arial"/>
          <w:color w:val="181818"/>
          <w:szCs w:val="20"/>
        </w:rPr>
        <w:t>complete</w:t>
      </w:r>
      <w:r w:rsidRPr="002F58FB">
        <w:rPr>
          <w:rFonts w:ascii="Arial" w:eastAsia="MS PGothic" w:hAnsi="Arial" w:cs="Arial"/>
          <w:color w:val="181818"/>
          <w:szCs w:val="20"/>
        </w:rPr>
        <w:t xml:space="preserve"> the table </w:t>
      </w:r>
      <w:r w:rsidR="006C47BC">
        <w:rPr>
          <w:rFonts w:ascii="Arial" w:eastAsia="MS PGothic" w:hAnsi="Arial" w:cs="Arial"/>
          <w:color w:val="181818"/>
          <w:szCs w:val="20"/>
        </w:rPr>
        <w:t>below</w:t>
      </w:r>
      <w:r w:rsidRPr="002F58FB">
        <w:rPr>
          <w:rFonts w:ascii="Arial" w:eastAsia="MS PGothic" w:hAnsi="Arial" w:cs="Arial"/>
          <w:color w:val="181818"/>
          <w:szCs w:val="20"/>
        </w:rPr>
        <w:t xml:space="preserve"> with the requested information</w:t>
      </w:r>
      <w:r w:rsidR="00F042E8">
        <w:rPr>
          <w:rFonts w:ascii="Arial" w:eastAsia="MS PGothic" w:hAnsi="Arial" w:cs="Arial"/>
          <w:color w:val="181818"/>
          <w:szCs w:val="20"/>
        </w:rPr>
        <w:t xml:space="preserve">, taking into account the instructions </w:t>
      </w:r>
      <w:r w:rsidR="00FB3EA8">
        <w:rPr>
          <w:rFonts w:ascii="Arial" w:eastAsia="MS PGothic" w:hAnsi="Arial" w:cs="Arial"/>
          <w:color w:val="181818"/>
          <w:szCs w:val="20"/>
        </w:rPr>
        <w:t xml:space="preserve">provided in </w:t>
      </w:r>
      <w:r w:rsidR="006B7B4A">
        <w:rPr>
          <w:rFonts w:ascii="Arial" w:eastAsia="MS PGothic" w:hAnsi="Arial" w:cs="Arial"/>
          <w:color w:val="181818"/>
          <w:szCs w:val="20"/>
        </w:rPr>
        <w:t>the footnotes</w:t>
      </w:r>
      <w:r w:rsidRPr="002F58FB">
        <w:rPr>
          <w:rFonts w:ascii="Arial" w:eastAsia="MS PGothic" w:hAnsi="Arial" w:cs="Arial"/>
          <w:color w:val="181818"/>
          <w:szCs w:val="20"/>
        </w:rPr>
        <w:t xml:space="preserve">. After </w:t>
      </w:r>
      <w:r w:rsidR="003D2C3C">
        <w:rPr>
          <w:rFonts w:ascii="Arial" w:eastAsia="MS PGothic" w:hAnsi="Arial" w:cs="Arial"/>
          <w:color w:val="181818"/>
          <w:szCs w:val="20"/>
        </w:rPr>
        <w:t>having</w:t>
      </w:r>
      <w:r w:rsidRPr="002F58FB">
        <w:rPr>
          <w:rFonts w:ascii="Arial" w:eastAsia="MS PGothic" w:hAnsi="Arial" w:cs="Arial"/>
          <w:color w:val="181818"/>
          <w:szCs w:val="20"/>
        </w:rPr>
        <w:t xml:space="preserve"> </w:t>
      </w:r>
      <w:r w:rsidR="00F042E8">
        <w:rPr>
          <w:rFonts w:ascii="Arial" w:eastAsia="MS PGothic" w:hAnsi="Arial" w:cs="Arial"/>
          <w:color w:val="181818"/>
          <w:szCs w:val="20"/>
        </w:rPr>
        <w:t xml:space="preserve">completed </w:t>
      </w:r>
      <w:r w:rsidRPr="002F58FB">
        <w:rPr>
          <w:rFonts w:ascii="Arial" w:eastAsia="MS PGothic" w:hAnsi="Arial" w:cs="Arial"/>
          <w:color w:val="181818"/>
          <w:szCs w:val="20"/>
        </w:rPr>
        <w:t xml:space="preserve">the form, </w:t>
      </w:r>
      <w:r w:rsidR="00FD12FD">
        <w:rPr>
          <w:rFonts w:ascii="Arial" w:eastAsia="MS PGothic" w:hAnsi="Arial" w:cs="Arial"/>
          <w:color w:val="181818"/>
          <w:szCs w:val="20"/>
        </w:rPr>
        <w:t xml:space="preserve">please </w:t>
      </w:r>
      <w:r w:rsidRPr="002F58FB">
        <w:rPr>
          <w:rFonts w:ascii="Arial" w:eastAsia="MS PGothic" w:hAnsi="Arial" w:cs="Arial"/>
          <w:color w:val="181818"/>
          <w:szCs w:val="20"/>
        </w:rPr>
        <w:t xml:space="preserve">save the document </w:t>
      </w:r>
      <w:r w:rsidR="0040029B">
        <w:rPr>
          <w:rFonts w:ascii="Arial" w:eastAsia="MS PGothic" w:hAnsi="Arial" w:cs="Arial"/>
          <w:color w:val="181818"/>
          <w:szCs w:val="20"/>
        </w:rPr>
        <w:t>(</w:t>
      </w:r>
      <w:r w:rsidR="00FE6B1B">
        <w:rPr>
          <w:rFonts w:ascii="Arial" w:eastAsia="MS PGothic" w:hAnsi="Arial" w:cs="Arial"/>
          <w:color w:val="181818"/>
          <w:szCs w:val="20"/>
        </w:rPr>
        <w:t>according to the following convention:</w:t>
      </w:r>
      <w:r w:rsidRPr="002F58FB">
        <w:rPr>
          <w:rFonts w:ascii="Arial" w:eastAsia="MS PGothic" w:hAnsi="Arial" w:cs="Arial"/>
          <w:color w:val="181818"/>
          <w:szCs w:val="20"/>
        </w:rPr>
        <w:t xml:space="preserve"> </w:t>
      </w:r>
      <w:r w:rsidR="00FE6B1B">
        <w:rPr>
          <w:rFonts w:ascii="Arial" w:eastAsia="MS PGothic" w:hAnsi="Arial" w:cs="Arial"/>
          <w:color w:val="181818"/>
          <w:szCs w:val="20"/>
        </w:rPr>
        <w:t>“</w:t>
      </w:r>
      <w:r w:rsidRPr="002F58FB">
        <w:rPr>
          <w:rFonts w:ascii="Arial" w:eastAsia="MS PGothic" w:hAnsi="Arial" w:cs="Arial"/>
          <w:color w:val="181818"/>
          <w:szCs w:val="20"/>
        </w:rPr>
        <w:t>ESMA_</w:t>
      </w:r>
      <w:r w:rsidR="00915CEE">
        <w:rPr>
          <w:rFonts w:ascii="Arial" w:eastAsia="MS PGothic" w:hAnsi="Arial" w:cs="Arial"/>
          <w:color w:val="181818"/>
          <w:szCs w:val="20"/>
        </w:rPr>
        <w:t>Q20</w:t>
      </w:r>
      <w:r w:rsidRPr="002F58FB">
        <w:rPr>
          <w:rFonts w:ascii="Arial" w:eastAsia="MS PGothic" w:hAnsi="Arial" w:cs="Arial"/>
          <w:color w:val="181818"/>
          <w:szCs w:val="20"/>
        </w:rPr>
        <w:t>_nameofrespondent</w:t>
      </w:r>
      <w:r w:rsidR="00915CEE">
        <w:rPr>
          <w:rFonts w:ascii="Arial" w:eastAsia="MS PGothic" w:hAnsi="Arial" w:cs="Arial"/>
          <w:color w:val="181818"/>
          <w:szCs w:val="20"/>
        </w:rPr>
        <w:t>”</w:t>
      </w:r>
      <w:r w:rsidR="0040029B">
        <w:rPr>
          <w:rFonts w:ascii="Arial" w:eastAsia="MS PGothic" w:hAnsi="Arial" w:cs="Arial"/>
          <w:color w:val="181818"/>
          <w:szCs w:val="20"/>
        </w:rPr>
        <w:t>)</w:t>
      </w:r>
      <w:r w:rsidRPr="002F58FB">
        <w:rPr>
          <w:rFonts w:ascii="Arial" w:eastAsia="MS PGothic" w:hAnsi="Arial" w:cs="Arial"/>
          <w:color w:val="181818"/>
          <w:szCs w:val="20"/>
        </w:rPr>
        <w:t xml:space="preserve"> and</w:t>
      </w:r>
      <w:r w:rsidR="0040029B">
        <w:rPr>
          <w:rFonts w:ascii="Arial" w:eastAsia="MS PGothic" w:hAnsi="Arial" w:cs="Arial"/>
          <w:color w:val="181818"/>
          <w:szCs w:val="20"/>
        </w:rPr>
        <w:t xml:space="preserve"> </w:t>
      </w:r>
      <w:r w:rsidR="0051598D">
        <w:rPr>
          <w:rFonts w:ascii="Arial" w:eastAsia="MS PGothic" w:hAnsi="Arial" w:cs="Arial"/>
          <w:color w:val="181818"/>
          <w:szCs w:val="20"/>
        </w:rPr>
        <w:t xml:space="preserve">upload </w:t>
      </w:r>
      <w:r w:rsidR="0040029B">
        <w:rPr>
          <w:rFonts w:ascii="Arial" w:eastAsia="MS PGothic" w:hAnsi="Arial" w:cs="Arial"/>
          <w:color w:val="181818"/>
          <w:szCs w:val="20"/>
        </w:rPr>
        <w:t>it</w:t>
      </w:r>
      <w:r w:rsidR="006C7811">
        <w:rPr>
          <w:rFonts w:ascii="Arial" w:eastAsia="MS PGothic" w:hAnsi="Arial" w:cs="Arial"/>
          <w:color w:val="181818"/>
          <w:szCs w:val="20"/>
        </w:rPr>
        <w:t xml:space="preserve"> </w:t>
      </w:r>
      <w:r w:rsidR="005A6BF0" w:rsidRPr="005A6BF0">
        <w:rPr>
          <w:rFonts w:ascii="Arial" w:eastAsia="MS PGothic" w:hAnsi="Arial" w:cs="Arial"/>
          <w:bCs/>
          <w:color w:val="181818"/>
          <w:szCs w:val="20"/>
        </w:rPr>
        <w:t xml:space="preserve">online at </w:t>
      </w:r>
      <w:hyperlink r:id="rId12" w:history="1">
        <w:r w:rsidR="00901098" w:rsidRPr="00150222">
          <w:rPr>
            <w:rStyle w:val="Hyperlink"/>
            <w:rFonts w:ascii="Arial" w:eastAsia="MS PGothic" w:hAnsi="Arial" w:cs="Arial"/>
            <w:bCs/>
            <w:szCs w:val="20"/>
          </w:rPr>
          <w:t>https://www.esma.europa.eu/press-news/consultations/call-evidence-review-ucits-eligible-assets-directive</w:t>
        </w:r>
      </w:hyperlink>
      <w:r w:rsidR="00901098">
        <w:rPr>
          <w:rFonts w:ascii="Arial" w:eastAsia="MS PGothic" w:hAnsi="Arial" w:cs="Arial"/>
          <w:bCs/>
          <w:i/>
          <w:iCs/>
          <w:color w:val="181818"/>
          <w:szCs w:val="20"/>
        </w:rPr>
        <w:t xml:space="preserve"> </w:t>
      </w:r>
      <w:r w:rsidR="005A6BF0" w:rsidRPr="005A6BF0">
        <w:rPr>
          <w:rFonts w:ascii="Arial" w:eastAsia="MS PGothic" w:hAnsi="Arial" w:cs="Arial"/>
          <w:bCs/>
          <w:color w:val="181818"/>
          <w:szCs w:val="20"/>
        </w:rPr>
        <w:t xml:space="preserve">under the heading </w:t>
      </w:r>
      <w:r w:rsidR="005A6BF0" w:rsidRPr="005A6BF0">
        <w:rPr>
          <w:rFonts w:ascii="Arial" w:eastAsia="MS PGothic" w:hAnsi="Arial" w:cs="Arial"/>
          <w:bCs/>
          <w:i/>
          <w:iCs/>
          <w:color w:val="181818"/>
          <w:szCs w:val="20"/>
        </w:rPr>
        <w:t>‘Your input - Consultations’</w:t>
      </w:r>
      <w:r w:rsidR="005A6BF0">
        <w:rPr>
          <w:rFonts w:ascii="Arial" w:eastAsia="MS PGothic" w:hAnsi="Arial" w:cs="Arial"/>
          <w:bCs/>
          <w:color w:val="181818"/>
          <w:szCs w:val="20"/>
        </w:rPr>
        <w:t>, as an Annex to the Reply Form</w:t>
      </w:r>
      <w:r w:rsidR="0040029B">
        <w:rPr>
          <w:rFonts w:ascii="Arial" w:eastAsia="MS PGothic" w:hAnsi="Arial" w:cs="Arial"/>
          <w:color w:val="181818"/>
          <w:szCs w:val="20"/>
        </w:rPr>
        <w:t xml:space="preserve">. </w:t>
      </w:r>
      <w:r w:rsidR="008B6D19">
        <w:rPr>
          <w:rFonts w:ascii="Arial" w:eastAsia="MS PGothic" w:hAnsi="Arial" w:cs="Arial"/>
          <w:color w:val="181818"/>
          <w:szCs w:val="20"/>
        </w:rPr>
        <w:t xml:space="preserve">In case you upload a pdf file, please choose an editable form. </w:t>
      </w:r>
    </w:p>
    <w:tbl>
      <w:tblPr>
        <w:tblStyle w:val="Tablenone1"/>
        <w:tblW w:w="9320" w:type="dxa"/>
        <w:tblLook w:val="04A0" w:firstRow="1" w:lastRow="0" w:firstColumn="1" w:lastColumn="0" w:noHBand="0" w:noVBand="1"/>
      </w:tblPr>
      <w:tblGrid>
        <w:gridCol w:w="1750"/>
        <w:gridCol w:w="2407"/>
        <w:gridCol w:w="1661"/>
        <w:gridCol w:w="1845"/>
        <w:gridCol w:w="1657"/>
      </w:tblGrid>
      <w:tr w:rsidR="00B33432" w:rsidRPr="006252AD" w14:paraId="42644C63" w14:textId="77777777" w:rsidTr="00F278BC">
        <w:tc>
          <w:tcPr>
            <w:tcW w:w="2095" w:type="dxa"/>
          </w:tcPr>
          <w:p w14:paraId="0268D242" w14:textId="77777777" w:rsidR="00B33432" w:rsidRPr="006252AD" w:rsidRDefault="00B33432" w:rsidP="00B33432">
            <w:pPr>
              <w:spacing w:after="250" w:line="276" w:lineRule="auto"/>
              <w:jc w:val="center"/>
              <w:rPr>
                <w:rFonts w:ascii="Arial" w:hAnsi="Arial" w:cs="Arial"/>
                <w:b/>
                <w:bCs/>
                <w:color w:val="181818"/>
              </w:rPr>
            </w:pPr>
            <w:r w:rsidRPr="006252AD">
              <w:rPr>
                <w:rFonts w:ascii="Arial" w:hAnsi="Arial" w:cs="Arial"/>
                <w:b/>
                <w:bCs/>
                <w:color w:val="181818"/>
              </w:rPr>
              <w:t>Asset class</w:t>
            </w:r>
            <w:r w:rsidRPr="006252AD">
              <w:rPr>
                <w:rFonts w:ascii="Arial" w:hAnsi="Arial" w:cs="Arial"/>
                <w:b/>
                <w:bCs/>
                <w:color w:val="181818"/>
                <w:vertAlign w:val="superscript"/>
              </w:rPr>
              <w:footnoteReference w:id="2"/>
            </w:r>
          </w:p>
        </w:tc>
        <w:tc>
          <w:tcPr>
            <w:tcW w:w="1683" w:type="dxa"/>
          </w:tcPr>
          <w:p w14:paraId="60F87FED" w14:textId="77777777" w:rsidR="00B33432" w:rsidRPr="006252AD" w:rsidRDefault="00B33432" w:rsidP="00B33432">
            <w:pPr>
              <w:spacing w:after="250" w:line="276" w:lineRule="auto"/>
              <w:jc w:val="center"/>
              <w:rPr>
                <w:rFonts w:ascii="Arial" w:hAnsi="Arial" w:cs="Arial"/>
                <w:b/>
                <w:bCs/>
                <w:color w:val="181818"/>
              </w:rPr>
            </w:pPr>
            <w:r w:rsidRPr="006252AD">
              <w:rPr>
                <w:rFonts w:ascii="Arial" w:hAnsi="Arial" w:cs="Arial"/>
                <w:b/>
                <w:bCs/>
                <w:color w:val="181818"/>
              </w:rPr>
              <w:t>Merits of allowing direct UCITS exposures</w:t>
            </w:r>
          </w:p>
        </w:tc>
        <w:tc>
          <w:tcPr>
            <w:tcW w:w="1776" w:type="dxa"/>
          </w:tcPr>
          <w:p w14:paraId="49FEA0C2" w14:textId="77777777" w:rsidR="00B33432" w:rsidRPr="006252AD" w:rsidRDefault="00B33432" w:rsidP="00B33432">
            <w:pPr>
              <w:spacing w:after="250" w:line="276" w:lineRule="auto"/>
              <w:jc w:val="center"/>
              <w:rPr>
                <w:rFonts w:ascii="Arial" w:hAnsi="Arial" w:cs="Arial"/>
                <w:b/>
                <w:bCs/>
                <w:color w:val="181818"/>
              </w:rPr>
            </w:pPr>
            <w:r w:rsidRPr="006252AD">
              <w:rPr>
                <w:rFonts w:ascii="Arial" w:hAnsi="Arial" w:cs="Arial"/>
                <w:b/>
                <w:bCs/>
                <w:color w:val="181818"/>
              </w:rPr>
              <w:t xml:space="preserve">Merits of allowing </w:t>
            </w:r>
            <w:r w:rsidRPr="006252AD">
              <w:rPr>
                <w:rFonts w:ascii="Arial" w:hAnsi="Arial" w:cs="Arial"/>
                <w:b/>
                <w:i/>
                <w:color w:val="181818"/>
              </w:rPr>
              <w:t>indirect</w:t>
            </w:r>
            <w:r w:rsidRPr="006252AD">
              <w:rPr>
                <w:rFonts w:ascii="Arial" w:hAnsi="Arial" w:cs="Arial"/>
                <w:b/>
                <w:bCs/>
                <w:color w:val="181818"/>
              </w:rPr>
              <w:t xml:space="preserve"> UCITS exposures</w:t>
            </w:r>
            <w:r w:rsidRPr="006252AD">
              <w:rPr>
                <w:rFonts w:ascii="Arial" w:hAnsi="Arial" w:cs="Arial"/>
                <w:b/>
                <w:bCs/>
                <w:color w:val="181818"/>
                <w:vertAlign w:val="superscript"/>
              </w:rPr>
              <w:footnoteReference w:id="3"/>
            </w:r>
          </w:p>
        </w:tc>
        <w:tc>
          <w:tcPr>
            <w:tcW w:w="2060" w:type="dxa"/>
          </w:tcPr>
          <w:p w14:paraId="5668F975" w14:textId="77777777" w:rsidR="00B33432" w:rsidRPr="006252AD" w:rsidRDefault="00B33432" w:rsidP="00B33432">
            <w:pPr>
              <w:spacing w:after="250" w:line="276" w:lineRule="auto"/>
              <w:jc w:val="center"/>
              <w:rPr>
                <w:rFonts w:ascii="Arial" w:hAnsi="Arial" w:cs="Arial"/>
                <w:b/>
                <w:bCs/>
                <w:color w:val="181818"/>
              </w:rPr>
            </w:pPr>
            <w:r w:rsidRPr="006252AD">
              <w:rPr>
                <w:rFonts w:ascii="Arial" w:hAnsi="Arial" w:cs="Arial"/>
                <w:b/>
                <w:bCs/>
                <w:color w:val="181818"/>
              </w:rPr>
              <w:t>Extent/amount of existing UCITS exposures</w:t>
            </w:r>
            <w:r w:rsidRPr="006252AD">
              <w:rPr>
                <w:rFonts w:ascii="Arial" w:hAnsi="Arial" w:cs="Arial"/>
                <w:b/>
                <w:bCs/>
                <w:color w:val="181818"/>
                <w:vertAlign w:val="superscript"/>
              </w:rPr>
              <w:footnoteReference w:id="4"/>
            </w:r>
            <w:r w:rsidRPr="006252AD">
              <w:rPr>
                <w:rFonts w:ascii="Arial" w:hAnsi="Arial" w:cs="Arial"/>
                <w:b/>
                <w:bCs/>
                <w:color w:val="181818"/>
              </w:rPr>
              <w:t xml:space="preserve"> </w:t>
            </w:r>
          </w:p>
        </w:tc>
        <w:tc>
          <w:tcPr>
            <w:tcW w:w="1706" w:type="dxa"/>
          </w:tcPr>
          <w:p w14:paraId="50147042" w14:textId="77777777" w:rsidR="00B33432" w:rsidRPr="006252AD" w:rsidRDefault="00B33432" w:rsidP="00B33432">
            <w:pPr>
              <w:spacing w:after="250" w:line="276" w:lineRule="auto"/>
              <w:jc w:val="center"/>
              <w:rPr>
                <w:rFonts w:ascii="Arial" w:hAnsi="Arial" w:cs="Arial"/>
                <w:b/>
                <w:bCs/>
                <w:color w:val="181818"/>
              </w:rPr>
            </w:pPr>
            <w:r w:rsidRPr="006252AD">
              <w:rPr>
                <w:rFonts w:ascii="Arial" w:hAnsi="Arial" w:cs="Arial"/>
                <w:b/>
                <w:bCs/>
                <w:color w:val="181818"/>
              </w:rPr>
              <w:t>Additional comments</w:t>
            </w:r>
            <w:r w:rsidRPr="006252AD">
              <w:rPr>
                <w:rFonts w:ascii="Arial" w:hAnsi="Arial" w:cs="Arial"/>
                <w:b/>
                <w:bCs/>
                <w:vertAlign w:val="superscript"/>
              </w:rPr>
              <w:footnoteReference w:id="5"/>
            </w:r>
          </w:p>
        </w:tc>
      </w:tr>
      <w:tr w:rsidR="00B33432" w:rsidRPr="006252AD" w14:paraId="52801425" w14:textId="77777777" w:rsidTr="00F278BC">
        <w:tc>
          <w:tcPr>
            <w:tcW w:w="2095" w:type="dxa"/>
          </w:tcPr>
          <w:p w14:paraId="06FDDDF6" w14:textId="77777777" w:rsidR="00B33432" w:rsidRPr="006252AD" w:rsidRDefault="00B33432" w:rsidP="00B33432">
            <w:pPr>
              <w:spacing w:after="250" w:line="276" w:lineRule="auto"/>
              <w:rPr>
                <w:rFonts w:ascii="Arial" w:hAnsi="Arial" w:cs="Arial"/>
                <w:color w:val="181818"/>
              </w:rPr>
            </w:pPr>
            <w:r w:rsidRPr="006252AD">
              <w:rPr>
                <w:rFonts w:ascii="Arial" w:hAnsi="Arial" w:cs="Arial"/>
              </w:rPr>
              <w:t>1. Loans</w:t>
            </w:r>
            <w:r w:rsidRPr="006252AD">
              <w:rPr>
                <w:rFonts w:ascii="Arial" w:hAnsi="Arial" w:cs="Arial"/>
                <w:vertAlign w:val="superscript"/>
              </w:rPr>
              <w:footnoteReference w:id="6"/>
            </w:r>
          </w:p>
        </w:tc>
        <w:tc>
          <w:tcPr>
            <w:tcW w:w="1683" w:type="dxa"/>
          </w:tcPr>
          <w:p w14:paraId="13BD8C6F" w14:textId="77777777" w:rsidR="004F77AE" w:rsidRPr="004F77AE" w:rsidRDefault="004F77AE" w:rsidP="004F77AE">
            <w:pPr>
              <w:spacing w:line="276" w:lineRule="auto"/>
              <w:jc w:val="both"/>
              <w:rPr>
                <w:rFonts w:ascii="Arial" w:eastAsia="Times New Roman" w:hAnsi="Arial" w:cs="Arial"/>
                <w:color w:val="000000" w:themeColor="text1"/>
                <w:lang w:val="en-IE" w:eastAsia="en-IE"/>
              </w:rPr>
            </w:pPr>
            <w:r w:rsidRPr="004F77AE">
              <w:rPr>
                <w:rFonts w:ascii="Arial" w:eastAsia="Times New Roman" w:hAnsi="Arial" w:cs="Arial"/>
                <w:b/>
                <w:bCs/>
                <w:color w:val="000000" w:themeColor="text1"/>
                <w:lang w:val="en-IE" w:eastAsia="en-IE"/>
              </w:rPr>
              <w:t>Loans and Loan Participations</w:t>
            </w:r>
            <w:r w:rsidRPr="004F77AE">
              <w:rPr>
                <w:rFonts w:ascii="Arial" w:eastAsia="Times New Roman" w:hAnsi="Arial" w:cs="Arial"/>
                <w:color w:val="000000" w:themeColor="text1"/>
                <w:lang w:val="en-IE" w:eastAsia="en-IE"/>
              </w:rPr>
              <w:t xml:space="preserve"> are useful to improve asset diversification within a portfolio provided the right expertise within the UCITS manager is in place. These assets offer the opportunity to invest in high yield but transparent securities. However, loans should be reviewed for transparency, relevant expertise within the UCITS to understand cash flows and the ability to reliably value such assets.</w:t>
            </w:r>
          </w:p>
          <w:p w14:paraId="672A6659" w14:textId="77777777" w:rsidR="00B33432" w:rsidRPr="006252AD" w:rsidRDefault="00B33432" w:rsidP="00B33432">
            <w:pPr>
              <w:spacing w:after="250" w:line="276" w:lineRule="auto"/>
              <w:jc w:val="both"/>
              <w:rPr>
                <w:rFonts w:ascii="Arial" w:hAnsi="Arial" w:cs="Arial"/>
                <w:color w:val="181818"/>
              </w:rPr>
            </w:pPr>
          </w:p>
        </w:tc>
        <w:tc>
          <w:tcPr>
            <w:tcW w:w="1776" w:type="dxa"/>
          </w:tcPr>
          <w:p w14:paraId="47FBC9B1" w14:textId="77777777" w:rsidR="004F77AE" w:rsidRPr="004F77AE" w:rsidRDefault="004F77AE" w:rsidP="004F77AE">
            <w:pPr>
              <w:spacing w:line="276" w:lineRule="auto"/>
              <w:jc w:val="both"/>
              <w:rPr>
                <w:rFonts w:ascii="Arial" w:eastAsia="Times New Roman" w:hAnsi="Arial" w:cs="Arial"/>
                <w:color w:val="000000" w:themeColor="text1"/>
                <w:lang w:val="en-IE" w:eastAsia="en-IE"/>
              </w:rPr>
            </w:pPr>
            <w:r w:rsidRPr="004F77AE">
              <w:rPr>
                <w:rFonts w:ascii="Arial" w:eastAsia="Times New Roman" w:hAnsi="Arial" w:cs="Arial"/>
                <w:color w:val="000000" w:themeColor="text1"/>
                <w:lang w:val="en-IE" w:eastAsia="en-IE"/>
              </w:rPr>
              <w:lastRenderedPageBreak/>
              <w:t>There is merit in investing through fund of funds structure with look through into underlying portfolio.</w:t>
            </w:r>
          </w:p>
          <w:p w14:paraId="0A37501D" w14:textId="77777777" w:rsidR="00B33432" w:rsidRPr="006252AD" w:rsidRDefault="00B33432" w:rsidP="00B33432">
            <w:pPr>
              <w:spacing w:after="250" w:line="276" w:lineRule="auto"/>
              <w:jc w:val="both"/>
              <w:rPr>
                <w:rFonts w:ascii="Arial" w:hAnsi="Arial" w:cs="Arial"/>
                <w:color w:val="181818"/>
              </w:rPr>
            </w:pPr>
          </w:p>
        </w:tc>
        <w:tc>
          <w:tcPr>
            <w:tcW w:w="2060" w:type="dxa"/>
          </w:tcPr>
          <w:p w14:paraId="56A01402" w14:textId="197238DF" w:rsidR="004F77AE" w:rsidRPr="004F77AE" w:rsidRDefault="004F77AE" w:rsidP="004F77AE">
            <w:pPr>
              <w:spacing w:line="276" w:lineRule="auto"/>
              <w:jc w:val="both"/>
              <w:rPr>
                <w:rFonts w:ascii="Arial" w:eastAsia="Times New Roman" w:hAnsi="Arial" w:cs="Arial"/>
                <w:color w:val="000000" w:themeColor="text1"/>
                <w:lang w:val="en-IE" w:eastAsia="en-IE"/>
              </w:rPr>
            </w:pPr>
            <w:r w:rsidRPr="004F77AE">
              <w:rPr>
                <w:rFonts w:ascii="Arial" w:eastAsia="Times New Roman" w:hAnsi="Arial" w:cs="Arial"/>
                <w:color w:val="000000" w:themeColor="text1"/>
                <w:lang w:val="en-IE" w:eastAsia="en-IE"/>
              </w:rPr>
              <w:t>In surveying our members</w:t>
            </w:r>
            <w:r w:rsidRPr="006252AD">
              <w:rPr>
                <w:rStyle w:val="FootnoteReference"/>
                <w:rFonts w:ascii="Arial" w:eastAsia="Times New Roman" w:hAnsi="Arial" w:cs="Arial"/>
                <w:color w:val="000000" w:themeColor="text1"/>
                <w:lang w:val="en-IE" w:eastAsia="en-IE"/>
              </w:rPr>
              <w:footnoteReference w:id="7"/>
            </w:r>
            <w:r w:rsidRPr="004F77AE">
              <w:rPr>
                <w:rFonts w:ascii="Arial" w:eastAsia="Times New Roman" w:hAnsi="Arial" w:cs="Arial"/>
                <w:color w:val="000000" w:themeColor="text1"/>
                <w:lang w:val="en-IE" w:eastAsia="en-IE"/>
              </w:rPr>
              <w:t xml:space="preserve">, we found that many have &lt; 10% in a limited number of UCITS portfolios both direct and indirect. A number of managers surveyed have a &lt;5% direct exposure to secured/bank loans. </w:t>
            </w:r>
            <w:r w:rsidRPr="004F77AE">
              <w:rPr>
                <w:rFonts w:ascii="Arial" w:eastAsia="Times New Roman" w:hAnsi="Arial" w:cs="Arial"/>
                <w:b/>
                <w:bCs/>
                <w:color w:val="000000" w:themeColor="text1"/>
                <w:lang w:val="en-IE" w:eastAsia="en-IE"/>
              </w:rPr>
              <w:t xml:space="preserve"> </w:t>
            </w:r>
          </w:p>
          <w:p w14:paraId="5DAB6C7B" w14:textId="77777777" w:rsidR="00B33432" w:rsidRPr="006252AD" w:rsidRDefault="00B33432" w:rsidP="00B33432">
            <w:pPr>
              <w:spacing w:after="250" w:line="276" w:lineRule="auto"/>
              <w:jc w:val="both"/>
              <w:rPr>
                <w:rFonts w:ascii="Arial" w:hAnsi="Arial" w:cs="Arial"/>
                <w:color w:val="181818"/>
              </w:rPr>
            </w:pPr>
          </w:p>
        </w:tc>
        <w:tc>
          <w:tcPr>
            <w:tcW w:w="1706" w:type="dxa"/>
          </w:tcPr>
          <w:p w14:paraId="7E31798F" w14:textId="77777777" w:rsidR="004F77AE" w:rsidRPr="004F77AE" w:rsidRDefault="004F77AE" w:rsidP="004F77AE">
            <w:pPr>
              <w:spacing w:line="276" w:lineRule="auto"/>
              <w:rPr>
                <w:rFonts w:ascii="Arial" w:eastAsia="Times New Roman" w:hAnsi="Arial" w:cs="Arial"/>
                <w:color w:val="000000"/>
                <w:lang w:val="en-IE" w:eastAsia="en-IE"/>
              </w:rPr>
            </w:pPr>
            <w:r w:rsidRPr="004F77AE">
              <w:rPr>
                <w:rFonts w:ascii="Arial" w:eastAsia="Times New Roman" w:hAnsi="Arial" w:cs="Arial"/>
                <w:color w:val="000000"/>
                <w:lang w:val="en-IE" w:eastAsia="en-IE"/>
              </w:rPr>
              <w:t xml:space="preserve">See asset class 19 “Other Assets” for consideration of CLOs. </w:t>
            </w:r>
          </w:p>
          <w:p w14:paraId="02EB378F" w14:textId="77777777" w:rsidR="00B33432" w:rsidRPr="006252AD" w:rsidRDefault="00B33432" w:rsidP="00B33432">
            <w:pPr>
              <w:spacing w:after="250" w:line="276" w:lineRule="auto"/>
              <w:jc w:val="both"/>
              <w:rPr>
                <w:rFonts w:ascii="Arial" w:hAnsi="Arial" w:cs="Arial"/>
                <w:color w:val="181818"/>
              </w:rPr>
            </w:pPr>
          </w:p>
        </w:tc>
      </w:tr>
      <w:tr w:rsidR="00B33432" w:rsidRPr="006252AD" w14:paraId="131FC414" w14:textId="77777777" w:rsidTr="00F278BC">
        <w:tc>
          <w:tcPr>
            <w:tcW w:w="2095" w:type="dxa"/>
          </w:tcPr>
          <w:p w14:paraId="55346258" w14:textId="77777777" w:rsidR="00B33432" w:rsidRPr="006252AD" w:rsidRDefault="00B33432" w:rsidP="00B33432">
            <w:pPr>
              <w:spacing w:after="250" w:line="276" w:lineRule="auto"/>
              <w:rPr>
                <w:rFonts w:ascii="Arial" w:hAnsi="Arial" w:cs="Arial"/>
              </w:rPr>
            </w:pPr>
            <w:r w:rsidRPr="006252AD">
              <w:rPr>
                <w:rFonts w:ascii="Arial" w:hAnsi="Arial" w:cs="Arial"/>
              </w:rPr>
              <w:t>2. Catastrophe bonds (‘Cat bonds’)</w:t>
            </w:r>
          </w:p>
        </w:tc>
        <w:tc>
          <w:tcPr>
            <w:tcW w:w="1683" w:type="dxa"/>
          </w:tcPr>
          <w:p w14:paraId="326DE425" w14:textId="77777777" w:rsidR="00A04D65" w:rsidRPr="006252AD" w:rsidRDefault="00A04D65" w:rsidP="00A04D65">
            <w:pPr>
              <w:spacing w:line="276" w:lineRule="auto"/>
              <w:jc w:val="both"/>
              <w:rPr>
                <w:rFonts w:ascii="Arial" w:eastAsia="Times New Roman" w:hAnsi="Arial" w:cs="Arial"/>
                <w:lang w:val="en-IE" w:eastAsia="en-IE"/>
              </w:rPr>
            </w:pPr>
            <w:r w:rsidRPr="006252AD">
              <w:rPr>
                <w:rFonts w:ascii="Arial" w:eastAsia="Times New Roman" w:hAnsi="Arial" w:cs="Arial"/>
                <w:lang w:val="en-IE" w:eastAsia="en-IE"/>
              </w:rPr>
              <w:t>The catastrophe bond market has exhibited strong outright performance since its emergence in the 1990s. Cat bonds have provided investors with relatively consistent returns over time. One of the attractions of the cat bond market is the predominant exposure to natural events that are independent of the financial markets. Cat bonds have been broadly unaffected by the cycles and events experienced in other markets.  This independence has been tested in a number of periods including the financial crisis of 2008/9 and during the beginning of the pandemic in 2020 over which the cat bond market remained resilient. The cat bond market has grown remarkably in size and depth improving both the diversification potential and the liquidity of the market. There is regular secondary trading of cat bonds in the Over the Counter (“</w:t>
            </w:r>
            <w:r w:rsidRPr="006252AD">
              <w:rPr>
                <w:rFonts w:ascii="Arial" w:eastAsia="Times New Roman" w:hAnsi="Arial" w:cs="Arial"/>
                <w:b/>
                <w:bCs/>
                <w:lang w:val="en-IE" w:eastAsia="en-IE"/>
              </w:rPr>
              <w:t>OTC</w:t>
            </w:r>
            <w:r w:rsidRPr="006252AD">
              <w:rPr>
                <w:rFonts w:ascii="Arial" w:eastAsia="Times New Roman" w:hAnsi="Arial" w:cs="Arial"/>
                <w:lang w:val="en-IE" w:eastAsia="en-IE"/>
              </w:rPr>
              <w:t xml:space="preserve">”) market and at times, the volume of secondary trading can be high. The cat bond market is also priced weekly by over five brokers allowing for </w:t>
            </w:r>
            <w:r w:rsidRPr="006252AD">
              <w:rPr>
                <w:rFonts w:ascii="Arial" w:eastAsia="Times New Roman" w:hAnsi="Arial" w:cs="Arial"/>
                <w:lang w:val="en-IE" w:eastAsia="en-IE"/>
              </w:rPr>
              <w:lastRenderedPageBreak/>
              <w:t>accurate and timely pricing data.</w:t>
            </w:r>
          </w:p>
          <w:p w14:paraId="3CD639F5" w14:textId="77777777" w:rsidR="00A04D65" w:rsidRPr="006252AD" w:rsidRDefault="00A04D65" w:rsidP="00A04D65">
            <w:pPr>
              <w:spacing w:line="276" w:lineRule="auto"/>
              <w:jc w:val="both"/>
              <w:rPr>
                <w:rFonts w:ascii="Arial" w:hAnsi="Arial" w:cs="Arial"/>
                <w:lang w:val="en-IE" w:eastAsia="en-IE"/>
              </w:rPr>
            </w:pPr>
          </w:p>
          <w:p w14:paraId="017A2FAB" w14:textId="77777777" w:rsidR="00A04D65" w:rsidRPr="006252AD" w:rsidRDefault="00A04D65" w:rsidP="00A04D65">
            <w:pPr>
              <w:spacing w:line="276" w:lineRule="auto"/>
              <w:jc w:val="both"/>
              <w:rPr>
                <w:rFonts w:ascii="Arial" w:hAnsi="Arial" w:cs="Arial"/>
                <w:i/>
                <w:iCs/>
              </w:rPr>
            </w:pPr>
            <w:r w:rsidRPr="006252AD">
              <w:rPr>
                <w:rFonts w:ascii="Arial" w:hAnsi="Arial" w:cs="Arial"/>
                <w:i/>
                <w:iCs/>
              </w:rPr>
              <w:t>Merit 1: Fully-funded instruments that are a cornerstone of the global re/insurance marketplace</w:t>
            </w:r>
          </w:p>
          <w:p w14:paraId="4783676C" w14:textId="77777777" w:rsidR="00A04D65" w:rsidRPr="006252AD" w:rsidRDefault="00A04D65" w:rsidP="00A04D65">
            <w:pPr>
              <w:spacing w:line="276" w:lineRule="auto"/>
              <w:jc w:val="both"/>
              <w:rPr>
                <w:rFonts w:ascii="Arial" w:hAnsi="Arial" w:cs="Arial"/>
              </w:rPr>
            </w:pPr>
            <w:r w:rsidRPr="006252AD">
              <w:rPr>
                <w:rFonts w:ascii="Arial" w:hAnsi="Arial" w:cs="Arial"/>
              </w:rPr>
              <w:t xml:space="preserve"> </w:t>
            </w:r>
          </w:p>
          <w:p w14:paraId="17236BD6" w14:textId="77777777" w:rsidR="00A04D65" w:rsidRPr="006252AD" w:rsidRDefault="00A04D65" w:rsidP="00A04D65">
            <w:pPr>
              <w:spacing w:line="276" w:lineRule="auto"/>
              <w:jc w:val="both"/>
              <w:rPr>
                <w:rFonts w:ascii="Arial" w:hAnsi="Arial" w:cs="Arial"/>
              </w:rPr>
            </w:pPr>
            <w:r w:rsidRPr="006252AD">
              <w:rPr>
                <w:rFonts w:ascii="Arial" w:hAnsi="Arial" w:cs="Arial"/>
              </w:rPr>
              <w:t>Cat bonds, which represent a segment of the insurance-linked securities (“</w:t>
            </w:r>
            <w:r w:rsidRPr="006252AD">
              <w:rPr>
                <w:rFonts w:ascii="Arial" w:hAnsi="Arial" w:cs="Arial"/>
                <w:b/>
                <w:bCs/>
              </w:rPr>
              <w:t>ILS</w:t>
            </w:r>
            <w:r w:rsidRPr="006252AD">
              <w:rPr>
                <w:rFonts w:ascii="Arial" w:hAnsi="Arial" w:cs="Arial"/>
              </w:rPr>
              <w:t xml:space="preserve">”) market, are fixed income floating rate instruments sponsored primarily by insurers and reinsurers (re/insurers) to transfer risk exposures from large insured loss events to investors. These events are typically natural catastrophes, such as hurricanes and earthquakes. Instead of passing catastrophe risk on to reinsurers via traditional reinsurance, a cat bond sponsor aims to transfer it directly to the capital markets, where capacity for such risks is greater. By providing multi-year protection against large events which cannot all be provided by traditional re/insurance companies, cat bonds support the stability and efficient functioning of the global re/insurance marketplace and allow re/insurers to continue providing coverage to the areas that demand it most.  </w:t>
            </w:r>
          </w:p>
          <w:p w14:paraId="44ECA844" w14:textId="77777777" w:rsidR="00A04D65" w:rsidRPr="006252AD" w:rsidRDefault="00A04D65" w:rsidP="00A04D65">
            <w:pPr>
              <w:spacing w:line="276" w:lineRule="auto"/>
              <w:jc w:val="both"/>
              <w:rPr>
                <w:rFonts w:ascii="Arial" w:hAnsi="Arial" w:cs="Arial"/>
              </w:rPr>
            </w:pPr>
          </w:p>
          <w:p w14:paraId="46000308" w14:textId="77777777" w:rsidR="00A04D65" w:rsidRPr="006252AD" w:rsidRDefault="00A04D65" w:rsidP="00A04D65">
            <w:pPr>
              <w:spacing w:line="276" w:lineRule="auto"/>
              <w:jc w:val="both"/>
              <w:rPr>
                <w:rFonts w:ascii="Arial" w:hAnsi="Arial" w:cs="Arial"/>
              </w:rPr>
            </w:pPr>
            <w:r w:rsidRPr="006252AD">
              <w:rPr>
                <w:rFonts w:ascii="Arial" w:hAnsi="Arial" w:cs="Arial"/>
              </w:rPr>
              <w:lastRenderedPageBreak/>
              <w:t xml:space="preserve">The transfer of risks to the capital markets through cat bonds helps re/insurers control and balance their re/insurance risks, bringing them financial stability. Likewise multi-asset investors investing in cat bonds also benefit from the asset class given (i) that they gain financial stability through its lack of correlation with the financial markets, (ii) the low volatility of a cat bond portfolio (as further described in Merit 8), and (iii) cat bonds provide attractive returns, underpinned by the fundamental economic reasoning that re/insurers are willing to pay an attractive structural premium to transfer the risk off their balance sheets in order to continue providing coverage to policyholders, including in areas exposed to catastrophes and where insurance coverage, and the financial certainty it brings for businesses and households, is therefore in high demand.  </w:t>
            </w:r>
          </w:p>
          <w:p w14:paraId="09812AF1" w14:textId="77777777" w:rsidR="00A04D65" w:rsidRPr="006252AD" w:rsidRDefault="00A04D65" w:rsidP="00A04D65">
            <w:pPr>
              <w:spacing w:line="276" w:lineRule="auto"/>
              <w:jc w:val="both"/>
              <w:rPr>
                <w:rFonts w:ascii="Arial" w:hAnsi="Arial" w:cs="Arial"/>
              </w:rPr>
            </w:pPr>
          </w:p>
          <w:p w14:paraId="3B591BA5" w14:textId="77777777" w:rsidR="00A04D65" w:rsidRPr="006252AD" w:rsidRDefault="00A04D65" w:rsidP="00A04D65">
            <w:pPr>
              <w:spacing w:line="276" w:lineRule="auto"/>
              <w:jc w:val="both"/>
              <w:rPr>
                <w:rFonts w:ascii="Arial" w:hAnsi="Arial" w:cs="Arial"/>
              </w:rPr>
            </w:pPr>
            <w:r w:rsidRPr="006252AD">
              <w:rPr>
                <w:rFonts w:ascii="Arial" w:hAnsi="Arial" w:cs="Arial"/>
              </w:rPr>
              <w:t>Rule 144A cat bonds (see description in Merit 2) represent ~USD 48 bn of outstanding issuance as of the end of June 2024</w:t>
            </w:r>
            <w:r w:rsidRPr="006252AD">
              <w:rPr>
                <w:rStyle w:val="FootnoteReference"/>
                <w:rFonts w:ascii="Arial" w:hAnsi="Arial" w:cs="Arial"/>
              </w:rPr>
              <w:footnoteReference w:id="8"/>
            </w:r>
            <w:r w:rsidRPr="006252AD">
              <w:rPr>
                <w:rFonts w:ascii="Arial" w:hAnsi="Arial" w:cs="Arial"/>
              </w:rPr>
              <w:t xml:space="preserve">. UCITS cat bond funds therefore count for </w:t>
            </w:r>
            <w:r w:rsidRPr="006252AD">
              <w:rPr>
                <w:rFonts w:ascii="Arial" w:hAnsi="Arial" w:cs="Arial"/>
              </w:rPr>
              <w:lastRenderedPageBreak/>
              <w:t>~2% of global re/insurance and ILS capital and, as such, are considered to be of systemic importance to the reinsurance market (as of April 2024, the size of the global reinsurance market was USD 670bn</w:t>
            </w:r>
            <w:r w:rsidRPr="006252AD">
              <w:rPr>
                <w:rStyle w:val="FootnoteReference"/>
                <w:rFonts w:ascii="Arial" w:hAnsi="Arial" w:cs="Arial"/>
              </w:rPr>
              <w:footnoteReference w:id="9"/>
            </w:r>
            <w:r w:rsidRPr="006252AD">
              <w:rPr>
                <w:rFonts w:ascii="Arial" w:hAnsi="Arial" w:cs="Arial"/>
              </w:rPr>
              <w:t>).</w:t>
            </w:r>
          </w:p>
          <w:p w14:paraId="64865657" w14:textId="77777777" w:rsidR="00A04D65" w:rsidRPr="006252AD" w:rsidRDefault="00A04D65" w:rsidP="00A04D65">
            <w:pPr>
              <w:spacing w:line="276" w:lineRule="auto"/>
              <w:jc w:val="both"/>
              <w:rPr>
                <w:rFonts w:ascii="Arial" w:hAnsi="Arial" w:cs="Arial"/>
              </w:rPr>
            </w:pPr>
            <w:r w:rsidRPr="006252AD">
              <w:rPr>
                <w:rFonts w:ascii="Arial" w:hAnsi="Arial" w:cs="Arial"/>
              </w:rPr>
              <w:t xml:space="preserve"> </w:t>
            </w:r>
          </w:p>
          <w:p w14:paraId="10AB39CD" w14:textId="77777777" w:rsidR="00A04D65" w:rsidRPr="006252AD" w:rsidRDefault="00A04D65" w:rsidP="00A04D65">
            <w:pPr>
              <w:spacing w:line="276" w:lineRule="auto"/>
              <w:jc w:val="both"/>
              <w:rPr>
                <w:rFonts w:ascii="Arial" w:hAnsi="Arial" w:cs="Arial"/>
              </w:rPr>
            </w:pPr>
            <w:r w:rsidRPr="006252AD">
              <w:rPr>
                <w:rFonts w:ascii="Arial" w:hAnsi="Arial" w:cs="Arial"/>
              </w:rPr>
              <w:t>In a typical cat bond structure, a re/insurer sponsors the creation of a special purpose insurer (“</w:t>
            </w:r>
            <w:r w:rsidRPr="006252AD">
              <w:rPr>
                <w:rFonts w:ascii="Arial" w:hAnsi="Arial" w:cs="Arial"/>
                <w:b/>
                <w:bCs/>
              </w:rPr>
              <w:t>SPI</w:t>
            </w:r>
            <w:r w:rsidRPr="006252AD">
              <w:rPr>
                <w:rFonts w:ascii="Arial" w:hAnsi="Arial" w:cs="Arial"/>
              </w:rPr>
              <w:t>”). The cat bonds themselves are notes issued by this SPI and are typically short duration investments with a typical maturity of three to five years.</w:t>
            </w:r>
          </w:p>
          <w:p w14:paraId="13D51A0F" w14:textId="77777777" w:rsidR="00A04D65" w:rsidRPr="006252AD" w:rsidRDefault="00A04D65" w:rsidP="00A04D65">
            <w:pPr>
              <w:spacing w:line="276" w:lineRule="auto"/>
              <w:jc w:val="both"/>
              <w:rPr>
                <w:rFonts w:ascii="Arial" w:hAnsi="Arial" w:cs="Arial"/>
              </w:rPr>
            </w:pPr>
          </w:p>
          <w:p w14:paraId="715567D8" w14:textId="77777777" w:rsidR="00A04D65" w:rsidRPr="006252AD" w:rsidRDefault="00A04D65" w:rsidP="00A04D65">
            <w:pPr>
              <w:spacing w:line="276" w:lineRule="auto"/>
              <w:jc w:val="both"/>
              <w:rPr>
                <w:rFonts w:ascii="Arial" w:hAnsi="Arial" w:cs="Arial"/>
              </w:rPr>
            </w:pPr>
            <w:r w:rsidRPr="006252AD">
              <w:rPr>
                <w:rFonts w:ascii="Arial" w:hAnsi="Arial" w:cs="Arial"/>
              </w:rPr>
              <w:t xml:space="preserve">Cat bonds are fully collateralized (no financial leverage) with transparent structures and strict collateral rules designed to exclude unwanted counterparty and credit risks for investors and sponsors alike. Unlike a corporate bond, where money raised at issuance goes onto a corporation’s balance sheet, with a cat bond it is held in short duration, Aaa/AA+ (Moody’s, S&amp;P, Fitch) rated securities such as US Treasuries. The underlying collateral is therefore highly secure, contrasting with securitisations such as asset-backed securities </w:t>
            </w:r>
            <w:r w:rsidRPr="006252AD">
              <w:rPr>
                <w:rFonts w:ascii="Arial" w:hAnsi="Arial" w:cs="Arial"/>
              </w:rPr>
              <w:lastRenderedPageBreak/>
              <w:t xml:space="preserve">and mortgage-backed securities which are often backed by less secure assets. Cat bonds are floating rate instruments and bear minimal interest rate risk for investors. If the catastrophe event criteria as set out in the bond’s offering document are met, then some or all of the bond’s collateral is passed on to the sponsor, for example an insurance company, which in turn uses the proceeds to pay insurance claims to affected households and companies. </w:t>
            </w:r>
          </w:p>
          <w:p w14:paraId="747DC4B9" w14:textId="77777777" w:rsidR="00A04D65" w:rsidRPr="006252AD" w:rsidRDefault="00A04D65" w:rsidP="00A04D65">
            <w:pPr>
              <w:spacing w:line="276" w:lineRule="auto"/>
              <w:jc w:val="both"/>
              <w:rPr>
                <w:rFonts w:ascii="Arial" w:hAnsi="Arial" w:cs="Arial"/>
              </w:rPr>
            </w:pPr>
          </w:p>
          <w:p w14:paraId="17F0E5C5" w14:textId="77777777" w:rsidR="00A04D65" w:rsidRPr="006252AD" w:rsidRDefault="00A04D65" w:rsidP="00A04D65">
            <w:pPr>
              <w:spacing w:line="276" w:lineRule="auto"/>
              <w:jc w:val="both"/>
              <w:rPr>
                <w:rFonts w:ascii="Arial" w:hAnsi="Arial" w:cs="Arial"/>
              </w:rPr>
            </w:pPr>
            <w:r w:rsidRPr="006252AD">
              <w:rPr>
                <w:rFonts w:ascii="Arial" w:hAnsi="Arial" w:cs="Arial"/>
              </w:rPr>
              <w:t>For avoidance of doubt, these are not derivative products.  Although cat bonds do not embed financial derivatives, a particular type of cat bond which does not use an indemnity trigger may use the International Swaps and Derivatives Association (“</w:t>
            </w:r>
            <w:r w:rsidRPr="006252AD">
              <w:rPr>
                <w:rFonts w:ascii="Arial" w:hAnsi="Arial" w:cs="Arial"/>
                <w:b/>
                <w:bCs/>
              </w:rPr>
              <w:t>ISDA</w:t>
            </w:r>
            <w:r w:rsidRPr="006252AD">
              <w:rPr>
                <w:rFonts w:ascii="Arial" w:hAnsi="Arial" w:cs="Arial"/>
              </w:rPr>
              <w:t xml:space="preserve">”) form instead of a reinsurance agreement between an issuing SPI and the re/insurance company sponsor. Under that type of cat bond, the sponsor may recover from the SPI, triggering a loss for the notes, based on the parameters specified in the ISDA form and not limited to the loss actually experienced by the sponsor. This type of </w:t>
            </w:r>
            <w:r w:rsidRPr="006252AD">
              <w:rPr>
                <w:rFonts w:ascii="Arial" w:hAnsi="Arial" w:cs="Arial"/>
              </w:rPr>
              <w:lastRenderedPageBreak/>
              <w:t xml:space="preserve">cat bond is also equally fully funded and does not embed any leverage. </w:t>
            </w:r>
          </w:p>
          <w:p w14:paraId="0FAB7416" w14:textId="77777777" w:rsidR="00A04D65" w:rsidRPr="006252AD" w:rsidRDefault="00A04D65" w:rsidP="00A04D65">
            <w:pPr>
              <w:spacing w:line="276" w:lineRule="auto"/>
              <w:jc w:val="both"/>
              <w:rPr>
                <w:rFonts w:ascii="Arial" w:hAnsi="Arial" w:cs="Arial"/>
              </w:rPr>
            </w:pPr>
          </w:p>
          <w:p w14:paraId="3F912857" w14:textId="77777777" w:rsidR="00A04D65" w:rsidRPr="006252AD" w:rsidRDefault="00A04D65" w:rsidP="00A04D65">
            <w:pPr>
              <w:spacing w:line="276" w:lineRule="auto"/>
              <w:jc w:val="both"/>
              <w:rPr>
                <w:rFonts w:ascii="Arial" w:hAnsi="Arial" w:cs="Arial"/>
              </w:rPr>
            </w:pPr>
            <w:r w:rsidRPr="006252AD">
              <w:rPr>
                <w:rFonts w:ascii="Arial" w:hAnsi="Arial" w:cs="Arial"/>
              </w:rPr>
              <w:t>In contrast, a bond exposed to an indemnity trigger suffers a loss corresponding to the loss suffered by the sponsor of the bond above the specified trigger amount. So if, for example, a bond issuance covers earthquake losses in excess of USD 1bn for an insurer and the issuance is USD 100m, for the insurer to collect from the bond under an indemnity trigger it must provide evidence of loss of over USD 1bn.</w:t>
            </w:r>
          </w:p>
          <w:p w14:paraId="3EC55BDC" w14:textId="77777777" w:rsidR="00A04D65" w:rsidRPr="006252AD" w:rsidRDefault="00A04D65" w:rsidP="00A04D65">
            <w:pPr>
              <w:spacing w:line="276" w:lineRule="auto"/>
              <w:jc w:val="both"/>
              <w:rPr>
                <w:rFonts w:ascii="Arial" w:hAnsi="Arial" w:cs="Arial"/>
              </w:rPr>
            </w:pPr>
            <w:r w:rsidRPr="006252AD">
              <w:rPr>
                <w:rFonts w:ascii="Arial" w:hAnsi="Arial" w:cs="Arial"/>
              </w:rPr>
              <w:t xml:space="preserve"> </w:t>
            </w:r>
          </w:p>
          <w:p w14:paraId="3461E0FD" w14:textId="77777777" w:rsidR="00A04D65" w:rsidRPr="006252AD" w:rsidRDefault="00A04D65" w:rsidP="00A04D65">
            <w:pPr>
              <w:spacing w:line="276" w:lineRule="auto"/>
              <w:jc w:val="both"/>
              <w:rPr>
                <w:rFonts w:ascii="Arial" w:hAnsi="Arial" w:cs="Arial"/>
              </w:rPr>
            </w:pPr>
            <w:r w:rsidRPr="006252AD">
              <w:rPr>
                <w:rFonts w:ascii="Arial" w:hAnsi="Arial" w:cs="Arial"/>
              </w:rPr>
              <w:t xml:space="preserve">The first cat bond was issued in 1996 and since then, steady and prudent growth in the market has created an established, viable, stable asset class. Historically, cat bond sponsors have primarily been US insurance companies, or reinsurance companies that provide coverage to US insurance companies, as the US insurance industry has the potential to generate the largest insured loss events. However, recent sponsors include an increasing number of European insurance companies (from France, Germany, Italy and the Netherlands) </w:t>
            </w:r>
            <w:r w:rsidRPr="006252AD">
              <w:rPr>
                <w:rFonts w:ascii="Arial" w:hAnsi="Arial" w:cs="Arial"/>
              </w:rPr>
              <w:lastRenderedPageBreak/>
              <w:t>seeking additional reinsurance capacity in cat bond form for windstorm, flood and severe convective storm losses in their portfolios. Increasingly, large corporations and state and national governments are also turning to the cat bond market to manage the risk of large natural disasters to their balance sheets and programs. Recently the European Central Bank and the European Insurance and Occupational Pensions Authority (“</w:t>
            </w:r>
            <w:r w:rsidRPr="006252AD">
              <w:rPr>
                <w:rFonts w:ascii="Arial" w:hAnsi="Arial" w:cs="Arial"/>
                <w:b/>
                <w:bCs/>
              </w:rPr>
              <w:t>EIOPA</w:t>
            </w:r>
            <w:r w:rsidRPr="006252AD">
              <w:rPr>
                <w:rFonts w:ascii="Arial" w:hAnsi="Arial" w:cs="Arial"/>
              </w:rPr>
              <w:t>”) called for greater use of cat bonds in the European Union to address the region’s climate insurance protection gap and to provide prompt liquidity for post-event response for government insurance schemes</w:t>
            </w:r>
            <w:r w:rsidRPr="006252AD">
              <w:rPr>
                <w:rStyle w:val="FootnoteReference"/>
                <w:rFonts w:ascii="Arial" w:hAnsi="Arial" w:cs="Arial"/>
              </w:rPr>
              <w:footnoteReference w:id="10"/>
            </w:r>
            <w:r w:rsidRPr="006252AD">
              <w:rPr>
                <w:rFonts w:ascii="Arial" w:hAnsi="Arial" w:cs="Arial"/>
              </w:rPr>
              <w:t>.</w:t>
            </w:r>
          </w:p>
          <w:p w14:paraId="2A010A20" w14:textId="77777777" w:rsidR="00A04D65" w:rsidRPr="006252AD" w:rsidRDefault="00A04D65" w:rsidP="00A04D65">
            <w:pPr>
              <w:spacing w:line="276" w:lineRule="auto"/>
              <w:jc w:val="both"/>
              <w:rPr>
                <w:rFonts w:ascii="Arial" w:hAnsi="Arial" w:cs="Arial"/>
              </w:rPr>
            </w:pPr>
          </w:p>
          <w:p w14:paraId="04EE3AA8" w14:textId="77777777" w:rsidR="00A04D65" w:rsidRPr="006252AD" w:rsidRDefault="00A04D65" w:rsidP="00A04D65">
            <w:pPr>
              <w:spacing w:line="276" w:lineRule="auto"/>
              <w:jc w:val="both"/>
              <w:rPr>
                <w:rFonts w:ascii="Arial" w:hAnsi="Arial" w:cs="Arial"/>
              </w:rPr>
            </w:pPr>
            <w:r w:rsidRPr="006252AD">
              <w:rPr>
                <w:rFonts w:ascii="Arial" w:hAnsi="Arial" w:cs="Arial"/>
              </w:rPr>
              <w:t xml:space="preserve">Cat bonds allow investors to access insurance risk without the need to invest in the corporate capital structure of a reinsurer and the associated risk of exposure to an evolving, active reinsurance company.  Alternatives such as investing in the equities of re/insurers bring with it not only equity market beta risks but also the operational risks of a </w:t>
            </w:r>
            <w:r w:rsidRPr="006252AD">
              <w:rPr>
                <w:rFonts w:ascii="Arial" w:hAnsi="Arial" w:cs="Arial"/>
              </w:rPr>
              <w:lastRenderedPageBreak/>
              <w:t>re/insurer.  Cat bonds allow the investor to selectively choose what kind of insurance risks they wish to expose their capital to rather than allowing the management of a re/insurance company to choose. Credit investments bring similar issues as equities albeit with lower risk. Cat bonds are a complement to both and offer a favourable risk return framework for investors. Investors have the option with a cat bond to assume a fixed, targeted layer of risk, often incorporating annual reset mechanics so that exposure remains static.</w:t>
            </w:r>
          </w:p>
          <w:p w14:paraId="424CE804" w14:textId="77777777" w:rsidR="00A04D65" w:rsidRPr="006252AD" w:rsidRDefault="00A04D65" w:rsidP="00A04D65">
            <w:pPr>
              <w:spacing w:line="276" w:lineRule="auto"/>
              <w:jc w:val="both"/>
              <w:rPr>
                <w:rFonts w:ascii="Arial" w:hAnsi="Arial" w:cs="Arial"/>
              </w:rPr>
            </w:pPr>
          </w:p>
          <w:p w14:paraId="1B6DC902" w14:textId="77777777" w:rsidR="00A04D65" w:rsidRPr="006252AD" w:rsidRDefault="00A04D65" w:rsidP="00A04D65">
            <w:pPr>
              <w:spacing w:line="276" w:lineRule="auto"/>
              <w:jc w:val="both"/>
              <w:rPr>
                <w:rFonts w:ascii="Arial" w:hAnsi="Arial" w:cs="Arial"/>
                <w:i/>
                <w:iCs/>
              </w:rPr>
            </w:pPr>
            <w:r w:rsidRPr="006252AD">
              <w:rPr>
                <w:rFonts w:ascii="Arial" w:hAnsi="Arial" w:cs="Arial"/>
                <w:i/>
                <w:iCs/>
              </w:rPr>
              <w:t>Merit 2: Robust Transaction Structures and Investor Protections</w:t>
            </w:r>
          </w:p>
          <w:p w14:paraId="5DC50640" w14:textId="77777777" w:rsidR="00A04D65" w:rsidRPr="006252AD" w:rsidRDefault="00A04D65" w:rsidP="00A04D65">
            <w:pPr>
              <w:spacing w:line="276" w:lineRule="auto"/>
              <w:jc w:val="both"/>
              <w:rPr>
                <w:rFonts w:ascii="Arial" w:hAnsi="Arial" w:cs="Arial"/>
              </w:rPr>
            </w:pPr>
          </w:p>
          <w:p w14:paraId="6A8DABC0" w14:textId="77777777" w:rsidR="00A04D65" w:rsidRPr="006252AD" w:rsidRDefault="00A04D65" w:rsidP="00A04D65">
            <w:pPr>
              <w:spacing w:line="276" w:lineRule="auto"/>
              <w:jc w:val="both"/>
              <w:rPr>
                <w:rFonts w:ascii="Arial" w:hAnsi="Arial" w:cs="Arial"/>
              </w:rPr>
            </w:pPr>
            <w:r w:rsidRPr="006252AD">
              <w:rPr>
                <w:rFonts w:ascii="Arial" w:hAnsi="Arial" w:cs="Arial"/>
              </w:rPr>
              <w:t>Cat bonds offer investors a diversifying asset class (a financial markets event does not make an earthquake or hurricane any more or less likely) which typically offers higher levels of return relative to comparable main-stream debt investments.</w:t>
            </w:r>
          </w:p>
          <w:p w14:paraId="5802D12C" w14:textId="77777777" w:rsidR="00A04D65" w:rsidRPr="006252AD" w:rsidRDefault="00A04D65" w:rsidP="00A04D65">
            <w:pPr>
              <w:spacing w:line="276" w:lineRule="auto"/>
              <w:jc w:val="both"/>
              <w:rPr>
                <w:rFonts w:ascii="Arial" w:hAnsi="Arial" w:cs="Arial"/>
              </w:rPr>
            </w:pPr>
          </w:p>
          <w:p w14:paraId="7F1F5873" w14:textId="77777777" w:rsidR="00A04D65" w:rsidRPr="006252AD" w:rsidRDefault="00A04D65" w:rsidP="00A04D65">
            <w:pPr>
              <w:spacing w:line="276" w:lineRule="auto"/>
              <w:jc w:val="both"/>
              <w:rPr>
                <w:rFonts w:ascii="Arial" w:hAnsi="Arial" w:cs="Arial"/>
              </w:rPr>
            </w:pPr>
            <w:r w:rsidRPr="006252AD">
              <w:rPr>
                <w:rFonts w:ascii="Arial" w:hAnsi="Arial" w:cs="Arial"/>
              </w:rPr>
              <w:t>The large majority of cat bonds are highly structured notes issued in accordance with the Rule 144A "safe harbour" exemption</w:t>
            </w:r>
            <w:r w:rsidRPr="006252AD">
              <w:rPr>
                <w:rStyle w:val="FootnoteReference"/>
                <w:rFonts w:ascii="Arial" w:hAnsi="Arial" w:cs="Arial"/>
              </w:rPr>
              <w:footnoteReference w:id="11"/>
            </w:r>
            <w:r w:rsidRPr="006252AD">
              <w:rPr>
                <w:rFonts w:ascii="Arial" w:hAnsi="Arial" w:cs="Arial"/>
              </w:rPr>
              <w:t xml:space="preserve"> </w:t>
            </w:r>
            <w:r w:rsidRPr="006252AD">
              <w:rPr>
                <w:rFonts w:ascii="Arial" w:hAnsi="Arial" w:cs="Arial"/>
              </w:rPr>
              <w:lastRenderedPageBreak/>
              <w:t>from the registration requirements of the US Securities Act of 1933 (the "</w:t>
            </w:r>
            <w:r w:rsidRPr="006252AD">
              <w:rPr>
                <w:rFonts w:ascii="Arial" w:hAnsi="Arial" w:cs="Arial"/>
                <w:b/>
                <w:bCs/>
              </w:rPr>
              <w:t>US Securities Act</w:t>
            </w:r>
            <w:r w:rsidRPr="006252AD">
              <w:rPr>
                <w:rFonts w:ascii="Arial" w:hAnsi="Arial" w:cs="Arial"/>
              </w:rPr>
              <w:t>") and only offered to and tradable between "Qualified Institutional Buyers" (as this term is defined in the US Securities Act) in permitted jurisdictions.  As such the notes issuances are offered by an initial purchaser, subject to the associated due diligence and scrutiny applicable in the 144A market.  The risks of an investment in the notes are detailed among the disclosure in an offering circular. The underwriters/arrangers of the notes include well known and specialist firms such as Goldman Sachs, Swiss Re Capital Markets, Aon Securities, and GC Securities. The 144A cat bond market is deep, consisting of over 300 tranches of notes totalling USD 48bn notional value</w:t>
            </w:r>
            <w:r w:rsidRPr="006252AD">
              <w:rPr>
                <w:rStyle w:val="FootnoteReference"/>
                <w:rFonts w:ascii="Arial" w:hAnsi="Arial" w:cs="Arial"/>
              </w:rPr>
              <w:footnoteReference w:id="12"/>
            </w:r>
            <w:r w:rsidRPr="006252AD">
              <w:rPr>
                <w:rFonts w:ascii="Arial" w:hAnsi="Arial" w:cs="Arial"/>
              </w:rPr>
              <w:t>.</w:t>
            </w:r>
          </w:p>
          <w:p w14:paraId="70914150" w14:textId="77777777" w:rsidR="00A04D65" w:rsidRPr="006252AD" w:rsidRDefault="00A04D65" w:rsidP="00A04D65">
            <w:pPr>
              <w:spacing w:line="276" w:lineRule="auto"/>
              <w:jc w:val="both"/>
              <w:rPr>
                <w:rFonts w:ascii="Arial" w:hAnsi="Arial" w:cs="Arial"/>
              </w:rPr>
            </w:pPr>
          </w:p>
          <w:p w14:paraId="0F839EEA" w14:textId="77777777" w:rsidR="00A04D65" w:rsidRPr="006252AD" w:rsidRDefault="00A04D65" w:rsidP="00A04D65">
            <w:pPr>
              <w:spacing w:line="276" w:lineRule="auto"/>
              <w:jc w:val="both"/>
              <w:rPr>
                <w:rFonts w:ascii="Arial" w:hAnsi="Arial" w:cs="Arial"/>
              </w:rPr>
            </w:pPr>
            <w:r w:rsidRPr="006252AD">
              <w:rPr>
                <w:rFonts w:ascii="Arial" w:hAnsi="Arial" w:cs="Arial"/>
              </w:rPr>
              <w:t>144A bonds include features that protect the investor and underpin liquidity, including:</w:t>
            </w:r>
          </w:p>
          <w:p w14:paraId="47742C6E" w14:textId="77777777" w:rsidR="00A04D65" w:rsidRPr="006252AD" w:rsidRDefault="00A04D65" w:rsidP="00A04D65">
            <w:pPr>
              <w:spacing w:line="276" w:lineRule="auto"/>
              <w:jc w:val="both"/>
              <w:rPr>
                <w:rFonts w:ascii="Arial" w:hAnsi="Arial" w:cs="Arial"/>
              </w:rPr>
            </w:pPr>
          </w:p>
          <w:p w14:paraId="027F0E92" w14:textId="77777777" w:rsidR="00A04D65" w:rsidRPr="006252AD" w:rsidRDefault="00A04D65" w:rsidP="00A04D65">
            <w:pPr>
              <w:pStyle w:val="ListParagraph"/>
              <w:numPr>
                <w:ilvl w:val="1"/>
                <w:numId w:val="1"/>
              </w:numPr>
              <w:spacing w:line="276" w:lineRule="auto"/>
              <w:ind w:left="325"/>
              <w:jc w:val="both"/>
              <w:rPr>
                <w:rFonts w:ascii="Arial" w:hAnsi="Arial" w:cs="Arial"/>
                <w:sz w:val="20"/>
                <w:szCs w:val="20"/>
              </w:rPr>
            </w:pPr>
            <w:r w:rsidRPr="006252AD">
              <w:rPr>
                <w:rFonts w:ascii="Arial" w:hAnsi="Arial" w:cs="Arial"/>
                <w:sz w:val="20"/>
                <w:szCs w:val="20"/>
              </w:rPr>
              <w:t xml:space="preserve">Comprehensive transaction documentation, including an offering circular and the transaction’s legal agreements are also </w:t>
            </w:r>
            <w:r w:rsidRPr="006252AD">
              <w:rPr>
                <w:rFonts w:ascii="Arial" w:hAnsi="Arial" w:cs="Arial"/>
                <w:sz w:val="20"/>
                <w:szCs w:val="20"/>
              </w:rPr>
              <w:lastRenderedPageBreak/>
              <w:t>made available to investors;</w:t>
            </w:r>
          </w:p>
          <w:p w14:paraId="0EF7081F" w14:textId="77777777" w:rsidR="00A04D65" w:rsidRPr="006252AD" w:rsidRDefault="00A04D65" w:rsidP="00A04D65">
            <w:pPr>
              <w:pStyle w:val="ListParagraph"/>
              <w:numPr>
                <w:ilvl w:val="1"/>
                <w:numId w:val="1"/>
              </w:numPr>
              <w:spacing w:line="276" w:lineRule="auto"/>
              <w:ind w:left="325"/>
              <w:jc w:val="both"/>
              <w:rPr>
                <w:rFonts w:ascii="Arial" w:hAnsi="Arial" w:cs="Arial"/>
                <w:sz w:val="20"/>
                <w:szCs w:val="20"/>
              </w:rPr>
            </w:pPr>
            <w:r w:rsidRPr="006252AD">
              <w:rPr>
                <w:rFonts w:ascii="Arial" w:eastAsia="MS PGothic" w:hAnsi="Arial" w:cs="Arial"/>
                <w:sz w:val="20"/>
                <w:szCs w:val="20"/>
              </w:rPr>
              <w:t>High levels of third-party legal oversight;</w:t>
            </w:r>
          </w:p>
          <w:p w14:paraId="147EB842" w14:textId="77777777" w:rsidR="00A04D65" w:rsidRPr="006252AD" w:rsidRDefault="00A04D65" w:rsidP="00A04D65">
            <w:pPr>
              <w:pStyle w:val="ListParagraph"/>
              <w:numPr>
                <w:ilvl w:val="1"/>
                <w:numId w:val="1"/>
              </w:numPr>
              <w:spacing w:line="276" w:lineRule="auto"/>
              <w:ind w:left="325"/>
              <w:jc w:val="both"/>
              <w:rPr>
                <w:rFonts w:ascii="Arial" w:hAnsi="Arial" w:cs="Arial"/>
                <w:sz w:val="20"/>
                <w:szCs w:val="20"/>
              </w:rPr>
            </w:pPr>
            <w:r w:rsidRPr="006252AD">
              <w:rPr>
                <w:rFonts w:ascii="Arial" w:eastAsia="MS PGothic" w:hAnsi="Arial" w:cs="Arial"/>
                <w:sz w:val="20"/>
                <w:szCs w:val="20"/>
              </w:rPr>
              <w:t xml:space="preserve">Initial purchaser due diligence, including issuance of their own representation letter attesting to the outcome of their due diligence; </w:t>
            </w:r>
          </w:p>
          <w:p w14:paraId="297486BB" w14:textId="77777777" w:rsidR="00A04D65" w:rsidRPr="006252AD" w:rsidRDefault="00A04D65" w:rsidP="00A04D65">
            <w:pPr>
              <w:pStyle w:val="ListParagraph"/>
              <w:numPr>
                <w:ilvl w:val="1"/>
                <w:numId w:val="1"/>
              </w:numPr>
              <w:spacing w:line="276" w:lineRule="auto"/>
              <w:ind w:left="325"/>
              <w:jc w:val="both"/>
              <w:rPr>
                <w:rFonts w:ascii="Arial" w:hAnsi="Arial" w:cs="Arial"/>
                <w:sz w:val="20"/>
                <w:szCs w:val="20"/>
              </w:rPr>
            </w:pPr>
            <w:r w:rsidRPr="006252AD">
              <w:rPr>
                <w:rFonts w:ascii="Arial" w:eastAsia="MS PGothic" w:hAnsi="Arial" w:cs="Arial"/>
                <w:sz w:val="20"/>
                <w:szCs w:val="20"/>
              </w:rPr>
              <w:t>Extensive risk analysis provided by a third-party catastrophe risk modelling specialist (see Merit 5);</w:t>
            </w:r>
          </w:p>
          <w:p w14:paraId="342D2102" w14:textId="77777777" w:rsidR="00A04D65" w:rsidRPr="006252AD" w:rsidRDefault="00A04D65" w:rsidP="00A04D65">
            <w:pPr>
              <w:pStyle w:val="ListParagraph"/>
              <w:numPr>
                <w:ilvl w:val="1"/>
                <w:numId w:val="1"/>
              </w:numPr>
              <w:spacing w:line="276" w:lineRule="auto"/>
              <w:ind w:left="325"/>
              <w:jc w:val="both"/>
              <w:rPr>
                <w:rFonts w:ascii="Arial" w:hAnsi="Arial" w:cs="Arial"/>
                <w:sz w:val="20"/>
                <w:szCs w:val="20"/>
              </w:rPr>
            </w:pPr>
            <w:r w:rsidRPr="006252AD">
              <w:rPr>
                <w:rFonts w:ascii="Arial" w:eastAsia="MS PGothic" w:hAnsi="Arial" w:cs="Arial"/>
                <w:sz w:val="20"/>
                <w:szCs w:val="20"/>
              </w:rPr>
              <w:t>Legal opinions provided to address the applicable legal and regulatory issues;</w:t>
            </w:r>
          </w:p>
          <w:p w14:paraId="46E4DA79" w14:textId="77777777" w:rsidR="00A04D65" w:rsidRPr="006252AD" w:rsidRDefault="00A04D65" w:rsidP="00A04D65">
            <w:pPr>
              <w:pStyle w:val="ListParagraph"/>
              <w:numPr>
                <w:ilvl w:val="1"/>
                <w:numId w:val="1"/>
              </w:numPr>
              <w:spacing w:line="276" w:lineRule="auto"/>
              <w:ind w:left="325"/>
              <w:jc w:val="both"/>
              <w:rPr>
                <w:rFonts w:ascii="Arial" w:hAnsi="Arial" w:cs="Arial"/>
                <w:sz w:val="20"/>
                <w:szCs w:val="20"/>
              </w:rPr>
            </w:pPr>
            <w:r w:rsidRPr="006252AD">
              <w:rPr>
                <w:rFonts w:ascii="Arial" w:eastAsia="MS PGothic" w:hAnsi="Arial" w:cs="Arial"/>
                <w:sz w:val="20"/>
                <w:szCs w:val="20"/>
              </w:rPr>
              <w:t>Listing on a recognised exchange;</w:t>
            </w:r>
          </w:p>
          <w:p w14:paraId="04C2B148" w14:textId="77777777" w:rsidR="00A04D65" w:rsidRPr="006252AD" w:rsidRDefault="00A04D65" w:rsidP="00A04D65">
            <w:pPr>
              <w:pStyle w:val="ListParagraph"/>
              <w:numPr>
                <w:ilvl w:val="1"/>
                <w:numId w:val="1"/>
              </w:numPr>
              <w:spacing w:line="276" w:lineRule="auto"/>
              <w:ind w:left="325"/>
              <w:jc w:val="both"/>
              <w:rPr>
                <w:rFonts w:ascii="Arial" w:hAnsi="Arial" w:cs="Arial"/>
                <w:sz w:val="20"/>
                <w:szCs w:val="20"/>
              </w:rPr>
            </w:pPr>
            <w:r w:rsidRPr="006252AD">
              <w:rPr>
                <w:rFonts w:ascii="Arial" w:eastAsia="MS PGothic" w:hAnsi="Arial" w:cs="Arial"/>
                <w:sz w:val="20"/>
                <w:szCs w:val="20"/>
              </w:rPr>
              <w:t>Indenture Trustee;</w:t>
            </w:r>
          </w:p>
          <w:p w14:paraId="4AC81BC5" w14:textId="77777777" w:rsidR="00A04D65" w:rsidRPr="006252AD" w:rsidRDefault="00A04D65" w:rsidP="00A04D65">
            <w:pPr>
              <w:pStyle w:val="ListParagraph"/>
              <w:numPr>
                <w:ilvl w:val="1"/>
                <w:numId w:val="1"/>
              </w:numPr>
              <w:spacing w:line="276" w:lineRule="auto"/>
              <w:ind w:left="325"/>
              <w:jc w:val="both"/>
              <w:rPr>
                <w:rFonts w:ascii="Arial" w:hAnsi="Arial" w:cs="Arial"/>
                <w:sz w:val="20"/>
                <w:szCs w:val="20"/>
              </w:rPr>
            </w:pPr>
            <w:r w:rsidRPr="006252AD">
              <w:rPr>
                <w:rFonts w:ascii="Arial" w:eastAsia="MS PGothic" w:hAnsi="Arial" w:cs="Arial"/>
                <w:sz w:val="20"/>
                <w:szCs w:val="20"/>
              </w:rPr>
              <w:t xml:space="preserve">Minimal credit risk – proceeds held in “risk-free” investments; </w:t>
            </w:r>
          </w:p>
          <w:p w14:paraId="4E23B980" w14:textId="127C6F57" w:rsidR="00A04D65" w:rsidRPr="006252AD" w:rsidRDefault="00A04D65" w:rsidP="00A04D65">
            <w:pPr>
              <w:pStyle w:val="ListParagraph"/>
              <w:numPr>
                <w:ilvl w:val="1"/>
                <w:numId w:val="1"/>
              </w:numPr>
              <w:spacing w:line="276" w:lineRule="auto"/>
              <w:ind w:left="325"/>
              <w:jc w:val="both"/>
              <w:rPr>
                <w:rFonts w:ascii="Arial" w:hAnsi="Arial" w:cs="Arial"/>
                <w:sz w:val="20"/>
                <w:szCs w:val="20"/>
              </w:rPr>
            </w:pPr>
            <w:r w:rsidRPr="006252AD">
              <w:rPr>
                <w:rFonts w:ascii="Arial" w:eastAsia="MS PGothic" w:hAnsi="Arial" w:cs="Arial"/>
                <w:sz w:val="20"/>
                <w:szCs w:val="20"/>
              </w:rPr>
              <w:t>Mechanisms to terminate and return proceeds in event issuer fails to pay coupon when due.</w:t>
            </w:r>
          </w:p>
          <w:p w14:paraId="4B903672" w14:textId="77777777" w:rsidR="00A04D65" w:rsidRPr="006252AD" w:rsidRDefault="00A04D65" w:rsidP="00A04D65">
            <w:pPr>
              <w:spacing w:line="276" w:lineRule="auto"/>
              <w:jc w:val="both"/>
              <w:rPr>
                <w:rFonts w:ascii="Arial" w:hAnsi="Arial" w:cs="Arial"/>
              </w:rPr>
            </w:pPr>
          </w:p>
          <w:p w14:paraId="7685902C" w14:textId="77777777" w:rsidR="00A04D65" w:rsidRPr="006252AD" w:rsidRDefault="00A04D65" w:rsidP="00A04D65">
            <w:pPr>
              <w:spacing w:line="276" w:lineRule="auto"/>
              <w:jc w:val="both"/>
              <w:rPr>
                <w:rFonts w:ascii="Arial" w:hAnsi="Arial" w:cs="Arial"/>
              </w:rPr>
            </w:pPr>
            <w:r w:rsidRPr="006252AD">
              <w:rPr>
                <w:rFonts w:ascii="Arial" w:hAnsi="Arial" w:cs="Arial"/>
              </w:rPr>
              <w:t>144A bonds are freely tradable. At least five recognised broker dealers regularly execute secondary market trades. Trading occurs on a daily basis.</w:t>
            </w:r>
          </w:p>
          <w:p w14:paraId="7CF8E33D" w14:textId="77777777" w:rsidR="00A04D65" w:rsidRPr="006252AD" w:rsidRDefault="00A04D65" w:rsidP="00A04D65">
            <w:pPr>
              <w:spacing w:line="276" w:lineRule="auto"/>
              <w:jc w:val="both"/>
              <w:rPr>
                <w:rFonts w:ascii="Arial" w:hAnsi="Arial" w:cs="Arial"/>
              </w:rPr>
            </w:pPr>
          </w:p>
          <w:p w14:paraId="733293B8" w14:textId="77777777" w:rsidR="00A04D65" w:rsidRPr="006252AD" w:rsidRDefault="00A04D65" w:rsidP="00A04D65">
            <w:pPr>
              <w:spacing w:line="276" w:lineRule="auto"/>
              <w:jc w:val="both"/>
              <w:rPr>
                <w:rFonts w:ascii="Arial" w:hAnsi="Arial" w:cs="Arial"/>
              </w:rPr>
            </w:pPr>
            <w:r w:rsidRPr="006252AD">
              <w:rPr>
                <w:rFonts w:ascii="Arial" w:hAnsi="Arial" w:cs="Arial"/>
              </w:rPr>
              <w:t xml:space="preserve">The leading arrangers of 144A cat bonds and a number of broker-dealers in the secondary </w:t>
            </w:r>
            <w:r w:rsidRPr="006252AD">
              <w:rPr>
                <w:rFonts w:ascii="Arial" w:hAnsi="Arial" w:cs="Arial"/>
              </w:rPr>
              <w:lastRenderedPageBreak/>
              <w:t xml:space="preserve">market regularly publish indicative bid/offer prices for all bonds. Prices are driven by the most recent secondary market trade prices, which are impacted by any relevant covered natural catastrophe activity and seasonal earnings patterns typical to the cat bond market. The valuation policy of UCITS cat bond funds is typically based on these pricing sheets. </w:t>
            </w:r>
          </w:p>
          <w:p w14:paraId="7659DDB8" w14:textId="77777777" w:rsidR="00A04D65" w:rsidRPr="006252AD" w:rsidRDefault="00A04D65" w:rsidP="00A04D65">
            <w:pPr>
              <w:spacing w:line="276" w:lineRule="auto"/>
              <w:jc w:val="both"/>
              <w:rPr>
                <w:rFonts w:ascii="Arial" w:hAnsi="Arial" w:cs="Arial"/>
              </w:rPr>
            </w:pPr>
          </w:p>
          <w:p w14:paraId="709BE0FD" w14:textId="77777777" w:rsidR="00A04D65" w:rsidRPr="006252AD" w:rsidRDefault="00A04D65" w:rsidP="00A04D65">
            <w:pPr>
              <w:spacing w:line="276" w:lineRule="auto"/>
              <w:jc w:val="both"/>
              <w:rPr>
                <w:rFonts w:ascii="Arial" w:hAnsi="Arial" w:cs="Arial"/>
                <w:i/>
                <w:iCs/>
              </w:rPr>
            </w:pPr>
            <w:r w:rsidRPr="006252AD">
              <w:rPr>
                <w:rFonts w:ascii="Arial" w:hAnsi="Arial" w:cs="Arial"/>
                <w:i/>
                <w:iCs/>
              </w:rPr>
              <w:t>Merit 3: Clearing, Custody and Safekeeping</w:t>
            </w:r>
          </w:p>
          <w:p w14:paraId="27134193" w14:textId="77777777" w:rsidR="00A04D65" w:rsidRPr="006252AD" w:rsidRDefault="00A04D65" w:rsidP="00A04D65">
            <w:pPr>
              <w:spacing w:line="276" w:lineRule="auto"/>
              <w:jc w:val="both"/>
              <w:rPr>
                <w:rFonts w:ascii="Arial" w:hAnsi="Arial" w:cs="Arial"/>
              </w:rPr>
            </w:pPr>
          </w:p>
          <w:p w14:paraId="28C75B07" w14:textId="77777777" w:rsidR="00A04D65" w:rsidRPr="006252AD" w:rsidRDefault="00A04D65" w:rsidP="00A04D65">
            <w:pPr>
              <w:spacing w:line="276" w:lineRule="auto"/>
              <w:jc w:val="both"/>
              <w:rPr>
                <w:rFonts w:ascii="Arial" w:hAnsi="Arial" w:cs="Arial"/>
              </w:rPr>
            </w:pPr>
            <w:r w:rsidRPr="006252AD">
              <w:rPr>
                <w:rFonts w:ascii="Arial" w:hAnsi="Arial" w:cs="Arial"/>
              </w:rPr>
              <w:t>All major banks offer custodial services to investors and holders of cat bond securities. In the secondary market, cat bond trades follow T+1 settlement cycles. US broker-dealers and interdealer brokers trading in the cat bond market are also subject to SEC regulations on Customer Protection Rules.</w:t>
            </w:r>
          </w:p>
          <w:p w14:paraId="02FBDEFC" w14:textId="77777777" w:rsidR="00A04D65" w:rsidRPr="006252AD" w:rsidRDefault="00A04D65" w:rsidP="00A04D65">
            <w:pPr>
              <w:spacing w:line="276" w:lineRule="auto"/>
              <w:jc w:val="both"/>
              <w:rPr>
                <w:rFonts w:ascii="Arial" w:hAnsi="Arial" w:cs="Arial"/>
              </w:rPr>
            </w:pPr>
          </w:p>
          <w:p w14:paraId="13A608F2" w14:textId="77777777" w:rsidR="00A04D65" w:rsidRPr="006252AD" w:rsidRDefault="00A04D65" w:rsidP="00A04D65">
            <w:pPr>
              <w:spacing w:line="276" w:lineRule="auto"/>
              <w:jc w:val="both"/>
              <w:rPr>
                <w:rFonts w:ascii="Arial" w:hAnsi="Arial" w:cs="Arial"/>
              </w:rPr>
            </w:pPr>
            <w:r w:rsidRPr="006252AD">
              <w:rPr>
                <w:rFonts w:ascii="Arial" w:hAnsi="Arial" w:cs="Arial"/>
              </w:rPr>
              <w:t xml:space="preserve">Cat bonds either clear via Depository Trust Company or Euroclear/Clearstream. These entities operate as a central securities depository and provide safekeeping and transfer of securities. Safekeeping will involve the electronic recordkeeping of </w:t>
            </w:r>
            <w:r w:rsidRPr="006252AD">
              <w:rPr>
                <w:rFonts w:ascii="Arial" w:hAnsi="Arial" w:cs="Arial"/>
              </w:rPr>
              <w:lastRenderedPageBreak/>
              <w:t>securities balances for participants and the transfer function involves the transfer of securities between parties. During the transfer process, these clearing entities will limit credit exposure of participants to each other.</w:t>
            </w:r>
          </w:p>
          <w:p w14:paraId="63B1E383" w14:textId="77777777" w:rsidR="00A04D65" w:rsidRPr="006252AD" w:rsidRDefault="00A04D65" w:rsidP="00A04D65">
            <w:pPr>
              <w:spacing w:line="276" w:lineRule="auto"/>
              <w:jc w:val="both"/>
              <w:rPr>
                <w:rFonts w:ascii="Arial" w:hAnsi="Arial" w:cs="Arial"/>
              </w:rPr>
            </w:pPr>
          </w:p>
          <w:p w14:paraId="3A7200E4" w14:textId="77777777" w:rsidR="00A04D65" w:rsidRPr="006252AD" w:rsidRDefault="00A04D65" w:rsidP="00A04D65">
            <w:pPr>
              <w:spacing w:line="276" w:lineRule="auto"/>
              <w:jc w:val="both"/>
              <w:rPr>
                <w:rFonts w:ascii="Arial" w:hAnsi="Arial" w:cs="Arial"/>
                <w:i/>
                <w:iCs/>
              </w:rPr>
            </w:pPr>
            <w:r w:rsidRPr="006252AD">
              <w:rPr>
                <w:rFonts w:ascii="Arial" w:hAnsi="Arial" w:cs="Arial"/>
                <w:i/>
                <w:iCs/>
              </w:rPr>
              <w:t>Merit 4: SFDR Article 8 and 9 Instruments</w:t>
            </w:r>
          </w:p>
          <w:p w14:paraId="4298FEAC" w14:textId="77777777" w:rsidR="00A04D65" w:rsidRPr="006252AD" w:rsidRDefault="00A04D65" w:rsidP="00A04D65">
            <w:pPr>
              <w:spacing w:line="276" w:lineRule="auto"/>
              <w:jc w:val="both"/>
              <w:rPr>
                <w:rFonts w:ascii="Arial" w:hAnsi="Arial" w:cs="Arial"/>
              </w:rPr>
            </w:pPr>
            <w:r w:rsidRPr="006252AD">
              <w:rPr>
                <w:rFonts w:ascii="Arial" w:hAnsi="Arial" w:cs="Arial"/>
              </w:rPr>
              <w:t xml:space="preserve"> </w:t>
            </w:r>
          </w:p>
          <w:p w14:paraId="026EF025" w14:textId="77777777" w:rsidR="00A04D65" w:rsidRPr="006252AD" w:rsidRDefault="00A04D65" w:rsidP="00A04D65">
            <w:pPr>
              <w:spacing w:line="276" w:lineRule="auto"/>
              <w:jc w:val="both"/>
              <w:rPr>
                <w:rFonts w:ascii="Arial" w:hAnsi="Arial" w:cs="Arial"/>
              </w:rPr>
            </w:pPr>
            <w:r w:rsidRPr="006252AD">
              <w:rPr>
                <w:rFonts w:ascii="Arial" w:hAnsi="Arial" w:cs="Arial"/>
              </w:rPr>
              <w:t xml:space="preserve">Insurance by its nature is social capital.  Insurance is a means of using private capital to support parties in need and during community crises.  When a catastrophe occurs, insurers are on the ground helping families and businesses recover and rebuild. </w:t>
            </w:r>
          </w:p>
          <w:p w14:paraId="74FF5EE1" w14:textId="77777777" w:rsidR="00A04D65" w:rsidRPr="006252AD" w:rsidRDefault="00A04D65" w:rsidP="00A04D65">
            <w:pPr>
              <w:spacing w:line="276" w:lineRule="auto"/>
              <w:jc w:val="both"/>
              <w:rPr>
                <w:rFonts w:ascii="Arial" w:hAnsi="Arial" w:cs="Arial"/>
              </w:rPr>
            </w:pPr>
          </w:p>
          <w:p w14:paraId="03E7DABA" w14:textId="77777777" w:rsidR="00A04D65" w:rsidRPr="006252AD" w:rsidRDefault="00A04D65" w:rsidP="00A04D65">
            <w:pPr>
              <w:spacing w:line="276" w:lineRule="auto"/>
              <w:jc w:val="both"/>
              <w:rPr>
                <w:rFonts w:ascii="Arial" w:hAnsi="Arial" w:cs="Arial"/>
              </w:rPr>
            </w:pPr>
            <w:r w:rsidRPr="006252AD">
              <w:rPr>
                <w:rFonts w:ascii="Arial" w:hAnsi="Arial" w:cs="Arial"/>
              </w:rPr>
              <w:t xml:space="preserve">By providing timely capital and liquidity in the event of disasters to improve the overall resilience of societies and economies to natural catastrophes, including the potential negative impacts of climate change, and by addressing the increasing ‘protection gaps’ between insured and economic losses in both developed and emerging economies and ‘disaster gaps’ between insured but not reinsured losses, cat bonds are regularly held within funds that fall under the Sustainable </w:t>
            </w:r>
            <w:r w:rsidRPr="006252AD">
              <w:rPr>
                <w:rFonts w:ascii="Arial" w:hAnsi="Arial" w:cs="Arial"/>
              </w:rPr>
              <w:lastRenderedPageBreak/>
              <w:t>Finance Disclosures Regulation (“</w:t>
            </w:r>
            <w:r w:rsidRPr="006252AD">
              <w:rPr>
                <w:rFonts w:ascii="Arial" w:hAnsi="Arial" w:cs="Arial"/>
                <w:b/>
                <w:bCs/>
              </w:rPr>
              <w:t>SFDR</w:t>
            </w:r>
            <w:r w:rsidRPr="006252AD">
              <w:rPr>
                <w:rFonts w:ascii="Arial" w:hAnsi="Arial" w:cs="Arial"/>
              </w:rPr>
              <w:t>”) Article 8 or 9. To date, the majority of cat bond UCITS have been designated as either SFDR Article 8 or 9 funds since SFDR came into force in 2022. The evidence suggests that the relevant ESG factors enhance investor interest in cat bond UCITS, as can be seen by the increase in cat bond UCITS in 2022</w:t>
            </w:r>
            <w:r w:rsidRPr="006252AD">
              <w:rPr>
                <w:rStyle w:val="FootnoteReference"/>
                <w:rFonts w:ascii="Arial" w:hAnsi="Arial" w:cs="Arial"/>
              </w:rPr>
              <w:footnoteReference w:id="13"/>
            </w:r>
            <w:r w:rsidRPr="006252AD">
              <w:rPr>
                <w:rFonts w:ascii="Arial" w:hAnsi="Arial" w:cs="Arial"/>
              </w:rPr>
              <w:t>.</w:t>
            </w:r>
          </w:p>
          <w:p w14:paraId="70BEB4DC" w14:textId="77777777" w:rsidR="00A04D65" w:rsidRPr="006252AD" w:rsidRDefault="00A04D65" w:rsidP="00A04D65">
            <w:pPr>
              <w:spacing w:line="276" w:lineRule="auto"/>
              <w:jc w:val="both"/>
              <w:rPr>
                <w:rFonts w:ascii="Arial" w:hAnsi="Arial" w:cs="Arial"/>
              </w:rPr>
            </w:pPr>
          </w:p>
          <w:p w14:paraId="5F2D4AF7" w14:textId="77777777" w:rsidR="00A04D65" w:rsidRPr="006252AD" w:rsidRDefault="00A04D65" w:rsidP="00A04D65">
            <w:pPr>
              <w:spacing w:line="276" w:lineRule="auto"/>
              <w:jc w:val="both"/>
              <w:rPr>
                <w:rFonts w:ascii="Arial" w:hAnsi="Arial" w:cs="Arial"/>
              </w:rPr>
            </w:pPr>
            <w:r w:rsidRPr="006252AD">
              <w:rPr>
                <w:rFonts w:ascii="Arial" w:hAnsi="Arial" w:cs="Arial"/>
              </w:rPr>
              <w:t xml:space="preserve">In addition, cat bonds provide a forward-looking market-based indication to the re/insurance industry regarding the costs of the risks societies bear by building in environments exposed to natural perils and therefore, in the case of weather-related perils, to climate change. Informing society of the costs of those choices, and the potential benefits of environmental risk mitigation and adaptation measures, through a market-based pricing mechanism is an important part of sustainable risk management. As such, by supporting the global re/insurance industry with risk capital, cat bonds are an important adaptation tool for </w:t>
            </w:r>
            <w:r w:rsidRPr="006252AD">
              <w:rPr>
                <w:rFonts w:ascii="Arial" w:hAnsi="Arial" w:cs="Arial"/>
              </w:rPr>
              <w:lastRenderedPageBreak/>
              <w:t xml:space="preserve">modern societies to manage the impacts of climate change.  </w:t>
            </w:r>
          </w:p>
          <w:p w14:paraId="67A1C70F" w14:textId="77777777" w:rsidR="00A04D65" w:rsidRPr="006252AD" w:rsidRDefault="00A04D65" w:rsidP="00A04D65">
            <w:pPr>
              <w:spacing w:line="276" w:lineRule="auto"/>
              <w:jc w:val="both"/>
              <w:rPr>
                <w:rFonts w:ascii="Arial" w:hAnsi="Arial" w:cs="Arial"/>
              </w:rPr>
            </w:pPr>
          </w:p>
          <w:p w14:paraId="445E88C7" w14:textId="77777777" w:rsidR="00A04D65" w:rsidRPr="006252AD" w:rsidRDefault="00A04D65" w:rsidP="00A04D65">
            <w:pPr>
              <w:spacing w:line="276" w:lineRule="auto"/>
              <w:jc w:val="both"/>
              <w:rPr>
                <w:rFonts w:ascii="Arial" w:hAnsi="Arial" w:cs="Arial"/>
                <w:i/>
                <w:iCs/>
              </w:rPr>
            </w:pPr>
            <w:r w:rsidRPr="006252AD">
              <w:rPr>
                <w:rFonts w:ascii="Arial" w:hAnsi="Arial" w:cs="Arial"/>
                <w:i/>
                <w:iCs/>
              </w:rPr>
              <w:t>Merit 5: Risk Controlled</w:t>
            </w:r>
          </w:p>
          <w:p w14:paraId="79B21D92" w14:textId="77777777" w:rsidR="00A04D65" w:rsidRPr="006252AD" w:rsidRDefault="00A04D65" w:rsidP="00A04D65">
            <w:pPr>
              <w:spacing w:line="276" w:lineRule="auto"/>
              <w:jc w:val="both"/>
              <w:rPr>
                <w:rFonts w:ascii="Arial" w:hAnsi="Arial" w:cs="Arial"/>
              </w:rPr>
            </w:pPr>
            <w:r w:rsidRPr="006252AD">
              <w:rPr>
                <w:rFonts w:ascii="Arial" w:hAnsi="Arial" w:cs="Arial"/>
              </w:rPr>
              <w:t xml:space="preserve"> </w:t>
            </w:r>
          </w:p>
          <w:p w14:paraId="41255DBB" w14:textId="77777777" w:rsidR="00A04D65" w:rsidRPr="006252AD" w:rsidRDefault="00A04D65" w:rsidP="00A04D65">
            <w:pPr>
              <w:spacing w:line="276" w:lineRule="auto"/>
              <w:jc w:val="both"/>
              <w:rPr>
                <w:rFonts w:ascii="Arial" w:hAnsi="Arial" w:cs="Arial"/>
              </w:rPr>
            </w:pPr>
            <w:r w:rsidRPr="006252AD">
              <w:rPr>
                <w:rFonts w:ascii="Arial" w:hAnsi="Arial" w:cs="Arial"/>
              </w:rPr>
              <w:t xml:space="preserve">Each cat bond comes with a formal independent quantitative expert risk analysis in the offering documents outlining the expected loss and other risk metrics for the security. Cat bonds are also atypical as an asset class in that metrics are provided for the tail risk of portfolios. This risk analysis is performed for the benefit of investors by a designated independent expert, typically one of leading global catastrophe modelling companies such as Moody’s RMS or Verisk. Since 2006, the expert risk analysis of every US hurricane cat bond has also included a forward-looking view on climate change by providing the expected loss of the bond with and without the impact of factors such as elevated sea surface temperature. Such analysis, unique to cat bonds, allows investors to evaluate and quantify the sensitivity of the bond to potential climate-related changes. </w:t>
            </w:r>
          </w:p>
          <w:p w14:paraId="518993CB" w14:textId="77777777" w:rsidR="00A04D65" w:rsidRPr="006252AD" w:rsidRDefault="00A04D65" w:rsidP="00A04D65">
            <w:pPr>
              <w:spacing w:line="276" w:lineRule="auto"/>
              <w:jc w:val="both"/>
              <w:rPr>
                <w:rFonts w:ascii="Arial" w:hAnsi="Arial" w:cs="Arial"/>
              </w:rPr>
            </w:pPr>
          </w:p>
          <w:p w14:paraId="25F7A9D1" w14:textId="77777777" w:rsidR="00A04D65" w:rsidRPr="006252AD" w:rsidRDefault="00A04D65" w:rsidP="00A04D65">
            <w:pPr>
              <w:spacing w:line="276" w:lineRule="auto"/>
              <w:jc w:val="both"/>
              <w:rPr>
                <w:rFonts w:ascii="Arial" w:hAnsi="Arial" w:cs="Arial"/>
              </w:rPr>
            </w:pPr>
            <w:r w:rsidRPr="006252AD">
              <w:rPr>
                <w:rFonts w:ascii="Arial" w:hAnsi="Arial" w:cs="Arial"/>
              </w:rPr>
              <w:t xml:space="preserve">Unlike other asset classes based on </w:t>
            </w:r>
            <w:r w:rsidRPr="006252AD">
              <w:rPr>
                <w:rFonts w:ascii="Arial" w:hAnsi="Arial" w:cs="Arial"/>
              </w:rPr>
              <w:lastRenderedPageBreak/>
              <w:t>financial performance and/or behaviour, the source of risk for cat bonds is most often based on the physical environment, and the modelling of the risk is based on modern meteorological, geological, environmental and physical sciences. For many perils in the cat bond market event data goes back centuries providing broad data sets for probabilistic assessments. The models avoid many of the biases created by “risk-neutral” or cash flow financial models which support traditional financial valuations. They avoid the pro-cyclicality and sometimes circularity embedded in such models.</w:t>
            </w:r>
          </w:p>
          <w:p w14:paraId="293A6CF3" w14:textId="77777777" w:rsidR="00A04D65" w:rsidRPr="006252AD" w:rsidRDefault="00A04D65" w:rsidP="00A04D65">
            <w:pPr>
              <w:spacing w:line="276" w:lineRule="auto"/>
              <w:jc w:val="both"/>
              <w:rPr>
                <w:rFonts w:ascii="Arial" w:hAnsi="Arial" w:cs="Arial"/>
                <w:i/>
                <w:iCs/>
              </w:rPr>
            </w:pPr>
          </w:p>
          <w:p w14:paraId="41727EB1" w14:textId="77777777" w:rsidR="00A04D65" w:rsidRPr="006252AD" w:rsidRDefault="00A04D65" w:rsidP="00A04D65">
            <w:pPr>
              <w:spacing w:line="276" w:lineRule="auto"/>
              <w:jc w:val="both"/>
              <w:rPr>
                <w:rFonts w:ascii="Arial" w:hAnsi="Arial" w:cs="Arial"/>
                <w:i/>
                <w:iCs/>
              </w:rPr>
            </w:pPr>
            <w:r w:rsidRPr="006252AD">
              <w:rPr>
                <w:rFonts w:ascii="Arial" w:hAnsi="Arial" w:cs="Arial"/>
                <w:i/>
                <w:iCs/>
              </w:rPr>
              <w:t>Merit 6: Highly Regulated &amp; Supervised Sponsors</w:t>
            </w:r>
          </w:p>
          <w:p w14:paraId="60733307" w14:textId="77777777" w:rsidR="00A04D65" w:rsidRPr="006252AD" w:rsidRDefault="00A04D65" w:rsidP="00A04D65">
            <w:pPr>
              <w:spacing w:line="276" w:lineRule="auto"/>
              <w:jc w:val="both"/>
              <w:rPr>
                <w:rFonts w:ascii="Arial" w:hAnsi="Arial" w:cs="Arial"/>
              </w:rPr>
            </w:pPr>
          </w:p>
          <w:p w14:paraId="3E796E82" w14:textId="77777777" w:rsidR="00A04D65" w:rsidRPr="006252AD" w:rsidRDefault="00A04D65" w:rsidP="00A04D65">
            <w:pPr>
              <w:spacing w:line="276" w:lineRule="auto"/>
              <w:jc w:val="both"/>
              <w:rPr>
                <w:rFonts w:ascii="Arial" w:hAnsi="Arial" w:cs="Arial"/>
              </w:rPr>
            </w:pPr>
            <w:r w:rsidRPr="006252AD">
              <w:rPr>
                <w:rFonts w:ascii="Arial" w:hAnsi="Arial" w:cs="Arial"/>
              </w:rPr>
              <w:t>The breakdown of the outstanding cat bond market shows ~100 current sponsors</w:t>
            </w:r>
            <w:r w:rsidRPr="006252AD">
              <w:rPr>
                <w:rStyle w:val="FootnoteReference"/>
                <w:rFonts w:ascii="Arial" w:hAnsi="Arial" w:cs="Arial"/>
              </w:rPr>
              <w:footnoteReference w:id="14"/>
            </w:r>
            <w:r w:rsidRPr="006252AD">
              <w:rPr>
                <w:rFonts w:ascii="Arial" w:hAnsi="Arial" w:cs="Arial"/>
              </w:rPr>
              <w:t xml:space="preserve">. As noted above, the majority of sponsors are re/insurance companies, which are highly regulated and supervised entities in their respective jurisdictions. The second largest group of </w:t>
            </w:r>
            <w:r w:rsidRPr="006252AD">
              <w:rPr>
                <w:rFonts w:ascii="Arial" w:hAnsi="Arial" w:cs="Arial"/>
              </w:rPr>
              <w:lastRenderedPageBreak/>
              <w:t>sponsors are sponsors classified as ‘government’, which includes U.S. state-level insurance entities and residual insurance pools formed by statute, national-level insurance programs, public-private reinsurance pools, local municipalities, transit authorities, as well as international organizations such as the World Bank. Together these two types of sponsors make up over 95% of the deals outstanding. Since the inclusion of cat bonds in UCITS in 2011, there have been no regulatory or investor issues with cat bonds.</w:t>
            </w:r>
          </w:p>
          <w:p w14:paraId="53913855" w14:textId="77777777" w:rsidR="00A04D65" w:rsidRPr="006252AD" w:rsidRDefault="00A04D65" w:rsidP="00A04D65">
            <w:pPr>
              <w:spacing w:line="276" w:lineRule="auto"/>
              <w:jc w:val="both"/>
              <w:rPr>
                <w:rFonts w:ascii="Arial" w:hAnsi="Arial" w:cs="Arial"/>
              </w:rPr>
            </w:pPr>
            <w:r w:rsidRPr="006252AD">
              <w:rPr>
                <w:rFonts w:ascii="Arial" w:hAnsi="Arial" w:cs="Arial"/>
              </w:rPr>
              <w:t xml:space="preserve"> </w:t>
            </w:r>
          </w:p>
          <w:p w14:paraId="052AFD2F" w14:textId="77777777" w:rsidR="00A04D65" w:rsidRPr="006252AD" w:rsidRDefault="00A04D65" w:rsidP="00A04D65">
            <w:pPr>
              <w:spacing w:line="276" w:lineRule="auto"/>
              <w:jc w:val="both"/>
              <w:rPr>
                <w:rFonts w:ascii="Arial" w:hAnsi="Arial" w:cs="Arial"/>
                <w:i/>
                <w:iCs/>
              </w:rPr>
            </w:pPr>
            <w:r w:rsidRPr="006252AD">
              <w:rPr>
                <w:rFonts w:ascii="Arial" w:hAnsi="Arial" w:cs="Arial"/>
                <w:i/>
                <w:iCs/>
              </w:rPr>
              <w:t>Merit 7: A Diverse Market</w:t>
            </w:r>
          </w:p>
          <w:p w14:paraId="5D3FA18E" w14:textId="77777777" w:rsidR="00A04D65" w:rsidRPr="006252AD" w:rsidRDefault="00A04D65" w:rsidP="00A04D65">
            <w:pPr>
              <w:spacing w:line="276" w:lineRule="auto"/>
              <w:jc w:val="both"/>
              <w:rPr>
                <w:rFonts w:ascii="Arial" w:hAnsi="Arial" w:cs="Arial"/>
                <w:i/>
                <w:iCs/>
              </w:rPr>
            </w:pPr>
            <w:r w:rsidRPr="006252AD">
              <w:rPr>
                <w:rFonts w:ascii="Arial" w:hAnsi="Arial" w:cs="Arial"/>
                <w:i/>
                <w:iCs/>
              </w:rPr>
              <w:t xml:space="preserve"> </w:t>
            </w:r>
          </w:p>
          <w:p w14:paraId="6D25A83D" w14:textId="77777777" w:rsidR="00A04D65" w:rsidRPr="006252AD" w:rsidRDefault="00A04D65" w:rsidP="00A04D65">
            <w:pPr>
              <w:spacing w:line="276" w:lineRule="auto"/>
              <w:jc w:val="both"/>
              <w:rPr>
                <w:rFonts w:ascii="Arial" w:hAnsi="Arial" w:cs="Arial"/>
              </w:rPr>
            </w:pPr>
            <w:r w:rsidRPr="006252AD">
              <w:rPr>
                <w:rFonts w:ascii="Arial" w:hAnsi="Arial" w:cs="Arial"/>
              </w:rPr>
              <w:t>As the cat bond market has grown, so have the number of deals and tranches (i.e. classes of notes within deals) available in the market for investment</w:t>
            </w:r>
            <w:r w:rsidRPr="006252AD">
              <w:rPr>
                <w:rStyle w:val="FootnoteReference"/>
                <w:rFonts w:ascii="Arial" w:hAnsi="Arial" w:cs="Arial"/>
              </w:rPr>
              <w:footnoteReference w:id="15"/>
            </w:r>
            <w:r w:rsidRPr="006252AD">
              <w:rPr>
                <w:rFonts w:ascii="Arial" w:hAnsi="Arial" w:cs="Arial"/>
              </w:rPr>
              <w:t>. These deals are sponsored by a growing number of entities around the world looking to cover an increasingly broad set of perils</w:t>
            </w:r>
            <w:r w:rsidRPr="006252AD">
              <w:rPr>
                <w:rStyle w:val="FootnoteReference"/>
                <w:rFonts w:ascii="Arial" w:hAnsi="Arial" w:cs="Arial"/>
              </w:rPr>
              <w:footnoteReference w:id="16"/>
            </w:r>
            <w:r w:rsidRPr="006252AD">
              <w:rPr>
                <w:rFonts w:ascii="Arial" w:hAnsi="Arial" w:cs="Arial"/>
              </w:rPr>
              <w:t xml:space="preserve"> beyond the US ‘peak peril’ risks such as hurricanes in Florida and earthquakes in California. Diversification also exists within the </w:t>
            </w:r>
            <w:r w:rsidRPr="006252AD">
              <w:rPr>
                <w:rFonts w:ascii="Arial" w:hAnsi="Arial" w:cs="Arial"/>
              </w:rPr>
              <w:lastRenderedPageBreak/>
              <w:t>Florida hurricane and California earthquake risk categories, as sponsors cede risk to the market in different ways, for different sub-perils (e.g., hurricane-induced flooding versus wind) and for different event severities. Given the range of deals, issuers, tranches and perils available for investment, it is easy for funds to meet UCITS diversification requirements within the cat bond market.</w:t>
            </w:r>
          </w:p>
          <w:p w14:paraId="58B41C54" w14:textId="77777777" w:rsidR="00A04D65" w:rsidRPr="006252AD" w:rsidRDefault="00A04D65" w:rsidP="00A04D65">
            <w:pPr>
              <w:spacing w:line="276" w:lineRule="auto"/>
              <w:jc w:val="both"/>
              <w:rPr>
                <w:rFonts w:ascii="Arial" w:hAnsi="Arial" w:cs="Arial"/>
              </w:rPr>
            </w:pPr>
          </w:p>
          <w:p w14:paraId="10AF9936" w14:textId="77777777" w:rsidR="00A04D65" w:rsidRPr="006252AD" w:rsidRDefault="00A04D65" w:rsidP="00A04D65">
            <w:pPr>
              <w:spacing w:line="276" w:lineRule="auto"/>
              <w:jc w:val="both"/>
              <w:rPr>
                <w:rFonts w:ascii="Arial" w:hAnsi="Arial" w:cs="Arial"/>
                <w:i/>
                <w:iCs/>
              </w:rPr>
            </w:pPr>
            <w:r w:rsidRPr="006252AD">
              <w:rPr>
                <w:rFonts w:ascii="Arial" w:hAnsi="Arial" w:cs="Arial"/>
                <w:i/>
                <w:iCs/>
              </w:rPr>
              <w:t>Merit 8: Liquidity &amp; Low Market Volatility</w:t>
            </w:r>
          </w:p>
          <w:p w14:paraId="3B95662A" w14:textId="77777777" w:rsidR="00A04D65" w:rsidRPr="006252AD" w:rsidRDefault="00A04D65" w:rsidP="00A04D65">
            <w:pPr>
              <w:spacing w:line="276" w:lineRule="auto"/>
              <w:jc w:val="both"/>
              <w:rPr>
                <w:rFonts w:ascii="Arial" w:hAnsi="Arial" w:cs="Arial"/>
              </w:rPr>
            </w:pPr>
            <w:r w:rsidRPr="006252AD">
              <w:rPr>
                <w:rFonts w:ascii="Arial" w:hAnsi="Arial" w:cs="Arial"/>
              </w:rPr>
              <w:t xml:space="preserve"> </w:t>
            </w:r>
          </w:p>
          <w:p w14:paraId="6D7D1FEA" w14:textId="77777777" w:rsidR="00A04D65" w:rsidRPr="006252AD" w:rsidRDefault="00A04D65" w:rsidP="00A04D65">
            <w:pPr>
              <w:spacing w:line="276" w:lineRule="auto"/>
              <w:jc w:val="both"/>
              <w:rPr>
                <w:rFonts w:ascii="Arial" w:hAnsi="Arial" w:cs="Arial"/>
              </w:rPr>
            </w:pPr>
            <w:r w:rsidRPr="006252AD">
              <w:rPr>
                <w:rFonts w:ascii="Arial" w:hAnsi="Arial" w:cs="Arial"/>
              </w:rPr>
              <w:t xml:space="preserve">Cat bonds can be purchased by UCITS investors at issuance directly from the initial purchaser (the primary market) or bought and sold in the secondary market. The increasing adoption of the cat bond market by re/insurers and a growing number of new sponsors has meant that, even in the immediate aftermath of a major event, liquidity in the secondary market has tended to remain high. In particular, in March 2020 at the start of the COVID pandemic and in the aftermath of Hurricane Ian in 2022, the largest cat bond market loss to date, the secondary cat bond market continued to </w:t>
            </w:r>
            <w:r w:rsidRPr="006252AD">
              <w:rPr>
                <w:rFonts w:ascii="Arial" w:hAnsi="Arial" w:cs="Arial"/>
              </w:rPr>
              <w:lastRenderedPageBreak/>
              <w:t>trade, with investors seeking to liquidate positions able to find buyers.</w:t>
            </w:r>
          </w:p>
          <w:p w14:paraId="743E38DC" w14:textId="77777777" w:rsidR="00A04D65" w:rsidRPr="006252AD" w:rsidRDefault="00A04D65" w:rsidP="00A04D65">
            <w:pPr>
              <w:spacing w:line="276" w:lineRule="auto"/>
              <w:jc w:val="both"/>
              <w:rPr>
                <w:rFonts w:ascii="Arial" w:hAnsi="Arial" w:cs="Arial"/>
              </w:rPr>
            </w:pPr>
          </w:p>
          <w:p w14:paraId="12183CA5" w14:textId="77777777" w:rsidR="00A04D65" w:rsidRPr="006252AD" w:rsidRDefault="00A04D65" w:rsidP="00A04D65">
            <w:pPr>
              <w:spacing w:line="276" w:lineRule="auto"/>
              <w:jc w:val="both"/>
              <w:rPr>
                <w:rFonts w:ascii="Arial" w:hAnsi="Arial" w:cs="Arial"/>
              </w:rPr>
            </w:pPr>
            <w:r w:rsidRPr="006252AD">
              <w:rPr>
                <w:rFonts w:ascii="Arial" w:hAnsi="Arial" w:cs="Arial"/>
              </w:rPr>
              <w:t>Secondary market cat bond trades, as reported to the US Financial Industry Regulatory Authority’s (“</w:t>
            </w:r>
            <w:r w:rsidRPr="006252AD">
              <w:rPr>
                <w:rFonts w:ascii="Arial" w:hAnsi="Arial" w:cs="Arial"/>
                <w:b/>
                <w:bCs/>
              </w:rPr>
              <w:t>FINRA</w:t>
            </w:r>
            <w:r w:rsidRPr="006252AD">
              <w:rPr>
                <w:rFonts w:ascii="Arial" w:hAnsi="Arial" w:cs="Arial"/>
              </w:rPr>
              <w:t>”) Trade Reporting and Compliance Engine (“</w:t>
            </w:r>
            <w:r w:rsidRPr="006252AD">
              <w:rPr>
                <w:rFonts w:ascii="Arial" w:hAnsi="Arial" w:cs="Arial"/>
                <w:b/>
                <w:bCs/>
              </w:rPr>
              <w:t>TRACE</w:t>
            </w:r>
            <w:r w:rsidRPr="006252AD">
              <w:rPr>
                <w:rFonts w:ascii="Arial" w:hAnsi="Arial" w:cs="Arial"/>
              </w:rPr>
              <w:t>”), show a high number of secondary market trades by volume in March 2020 as investors, seeking to liquidate cat bond positions due to COVID-related distress in their other investments, were able to sell with little absolute variation in bid-ask spread</w:t>
            </w:r>
            <w:r w:rsidRPr="006252AD">
              <w:rPr>
                <w:rStyle w:val="FootnoteReference"/>
                <w:rFonts w:ascii="Arial" w:hAnsi="Arial" w:cs="Arial"/>
              </w:rPr>
              <w:footnoteReference w:id="17"/>
            </w:r>
            <w:r w:rsidRPr="006252AD">
              <w:rPr>
                <w:rFonts w:ascii="Arial" w:hAnsi="Arial" w:cs="Arial"/>
              </w:rPr>
              <w:t>. Secondary market trading also occurred in October and November 2022 following Hurricane Ian which made landfall in Florida on 28 September 2022</w:t>
            </w:r>
            <w:r w:rsidRPr="006252AD">
              <w:rPr>
                <w:rStyle w:val="FootnoteReference"/>
                <w:rFonts w:ascii="Arial" w:hAnsi="Arial" w:cs="Arial"/>
              </w:rPr>
              <w:footnoteReference w:id="18"/>
            </w:r>
            <w:r w:rsidRPr="006252AD">
              <w:rPr>
                <w:rFonts w:ascii="Arial" w:hAnsi="Arial" w:cs="Arial"/>
              </w:rPr>
              <w:t xml:space="preserve">. This trading activity supports the notion that investors can trade in and out of cat bond positions without inducing large price movements under a broad range of market environments. </w:t>
            </w:r>
          </w:p>
          <w:p w14:paraId="46DB4EFF" w14:textId="77777777" w:rsidR="00A04D65" w:rsidRPr="006252AD" w:rsidRDefault="00A04D65" w:rsidP="00A04D65">
            <w:pPr>
              <w:spacing w:line="276" w:lineRule="auto"/>
              <w:jc w:val="both"/>
              <w:rPr>
                <w:rFonts w:ascii="Arial" w:hAnsi="Arial" w:cs="Arial"/>
              </w:rPr>
            </w:pPr>
          </w:p>
          <w:p w14:paraId="66726A4C" w14:textId="77777777" w:rsidR="00A04D65" w:rsidRPr="006252AD" w:rsidRDefault="00A04D65" w:rsidP="00A04D65">
            <w:pPr>
              <w:spacing w:line="276" w:lineRule="auto"/>
              <w:jc w:val="both"/>
              <w:rPr>
                <w:rFonts w:ascii="Arial" w:hAnsi="Arial" w:cs="Arial"/>
              </w:rPr>
            </w:pPr>
            <w:r w:rsidRPr="006252AD">
              <w:rPr>
                <w:rFonts w:ascii="Arial" w:hAnsi="Arial" w:cs="Arial"/>
              </w:rPr>
              <w:t>In terms of liquidity, cat bond UCITS naturally benefit from being part of this broader investor and re/insurance universe.</w:t>
            </w:r>
          </w:p>
          <w:p w14:paraId="4E64C165" w14:textId="77777777" w:rsidR="00A04D65" w:rsidRPr="006252AD" w:rsidRDefault="00A04D65" w:rsidP="00A04D65">
            <w:pPr>
              <w:spacing w:line="276" w:lineRule="auto"/>
              <w:jc w:val="both"/>
              <w:rPr>
                <w:rFonts w:ascii="Arial" w:hAnsi="Arial" w:cs="Arial"/>
              </w:rPr>
            </w:pPr>
          </w:p>
          <w:p w14:paraId="76272B95" w14:textId="409C264B" w:rsidR="00B33432" w:rsidRPr="006252AD" w:rsidRDefault="00A04D65" w:rsidP="00A04D65">
            <w:pPr>
              <w:spacing w:line="276" w:lineRule="auto"/>
              <w:jc w:val="both"/>
              <w:rPr>
                <w:rFonts w:ascii="Arial" w:hAnsi="Arial" w:cs="Arial"/>
              </w:rPr>
            </w:pPr>
            <w:r w:rsidRPr="006252AD">
              <w:rPr>
                <w:rFonts w:ascii="Arial" w:hAnsi="Arial" w:cs="Arial"/>
              </w:rPr>
              <w:lastRenderedPageBreak/>
              <w:t>Over the past two decades, the performance of cat bonds has been robust and consistent through all financial crises and notwithstanding major natural catastrophes and global re/insurance industry losses (e.g., Hurricane Katrina in 2005, the Global Financial Crisis in 2008, the Eurozone Debt Crisis of 2010-2012, Covid-19 and Hurricane Ian in 2022). Compared to other asset classes, cat bonds have demonstrated significantly lower volatility, producing consistent long-term returns for investors even during times of heightened market stress and economic downturns</w:t>
            </w:r>
            <w:r w:rsidRPr="006252AD">
              <w:rPr>
                <w:rStyle w:val="FootnoteReference"/>
                <w:rFonts w:ascii="Arial" w:hAnsi="Arial" w:cs="Arial"/>
              </w:rPr>
              <w:footnoteReference w:id="19"/>
            </w:r>
            <w:r w:rsidRPr="006252AD">
              <w:rPr>
                <w:rFonts w:ascii="Arial" w:hAnsi="Arial" w:cs="Arial"/>
              </w:rPr>
              <w:t>. Cat bonds have been valued by UCITS investors as they have provided them with a fundamentally different source of return allowing them to access genuine diversification when other cyclical markets have correlated and fallen.</w:t>
            </w:r>
          </w:p>
          <w:p w14:paraId="6080EA14" w14:textId="77777777" w:rsidR="00A04D65" w:rsidRPr="006252AD" w:rsidRDefault="00A04D65" w:rsidP="00A04D65">
            <w:pPr>
              <w:spacing w:line="276" w:lineRule="auto"/>
              <w:jc w:val="both"/>
              <w:rPr>
                <w:rFonts w:ascii="Arial" w:hAnsi="Arial" w:cs="Arial"/>
              </w:rPr>
            </w:pPr>
          </w:p>
          <w:p w14:paraId="57CBED45" w14:textId="77777777" w:rsidR="00A04D65" w:rsidRPr="00A04D65" w:rsidRDefault="00A04D65" w:rsidP="00A04D65">
            <w:pPr>
              <w:spacing w:line="276" w:lineRule="auto"/>
              <w:jc w:val="both"/>
              <w:rPr>
                <w:rFonts w:ascii="Arial" w:eastAsiaTheme="minorEastAsia" w:hAnsi="Arial" w:cs="Arial"/>
                <w:i/>
                <w:iCs/>
                <w:lang w:val="en-US"/>
              </w:rPr>
            </w:pPr>
            <w:r w:rsidRPr="00A04D65">
              <w:rPr>
                <w:rFonts w:ascii="Arial" w:eastAsiaTheme="minorEastAsia" w:hAnsi="Arial" w:cs="Arial"/>
                <w:i/>
                <w:iCs/>
                <w:lang w:val="en-US"/>
              </w:rPr>
              <w:t>Merit 9: Ability to Satisfy Redemptions</w:t>
            </w:r>
          </w:p>
          <w:p w14:paraId="455A651B" w14:textId="77777777" w:rsidR="00A04D65" w:rsidRPr="00A04D65" w:rsidRDefault="00A04D65" w:rsidP="00A04D65">
            <w:pPr>
              <w:spacing w:line="276" w:lineRule="auto"/>
              <w:jc w:val="both"/>
              <w:rPr>
                <w:rFonts w:ascii="Arial" w:eastAsiaTheme="minorEastAsia" w:hAnsi="Arial" w:cs="Arial"/>
                <w:lang w:val="en-US"/>
              </w:rPr>
            </w:pPr>
            <w:r w:rsidRPr="00A04D65">
              <w:rPr>
                <w:rFonts w:ascii="Arial" w:eastAsiaTheme="minorEastAsia" w:hAnsi="Arial" w:cs="Arial"/>
                <w:lang w:val="en-US"/>
              </w:rPr>
              <w:t xml:space="preserve"> </w:t>
            </w:r>
          </w:p>
          <w:p w14:paraId="37E58C02" w14:textId="77777777" w:rsidR="00A04D65" w:rsidRPr="00A04D65" w:rsidRDefault="00A04D65" w:rsidP="00A04D65">
            <w:pPr>
              <w:spacing w:line="276" w:lineRule="auto"/>
              <w:jc w:val="both"/>
              <w:rPr>
                <w:rFonts w:ascii="Arial" w:eastAsiaTheme="minorEastAsia" w:hAnsi="Arial" w:cs="Arial"/>
                <w:lang w:val="en-US"/>
              </w:rPr>
            </w:pPr>
            <w:r w:rsidRPr="00A04D65">
              <w:rPr>
                <w:rFonts w:ascii="Arial" w:eastAsiaTheme="minorEastAsia" w:hAnsi="Arial" w:cs="Arial"/>
                <w:lang w:val="en-US"/>
              </w:rPr>
              <w:t>The cat bond market is able to service investor redemptions in an orderly manner in non-</w:t>
            </w:r>
            <w:r w:rsidRPr="00A04D65">
              <w:rPr>
                <w:rFonts w:ascii="Arial" w:eastAsiaTheme="minorEastAsia" w:hAnsi="Arial" w:cs="Arial"/>
                <w:lang w:val="en-US"/>
              </w:rPr>
              <w:lastRenderedPageBreak/>
              <w:t>stressed and stressed market conditions.</w:t>
            </w:r>
          </w:p>
          <w:p w14:paraId="7C390256" w14:textId="77777777" w:rsidR="00A04D65" w:rsidRPr="00A04D65" w:rsidRDefault="00A04D65" w:rsidP="00A04D65">
            <w:pPr>
              <w:spacing w:line="276" w:lineRule="auto"/>
              <w:jc w:val="both"/>
              <w:rPr>
                <w:rFonts w:ascii="Arial" w:eastAsiaTheme="minorEastAsia" w:hAnsi="Arial" w:cs="Arial"/>
                <w:lang w:val="en-US"/>
              </w:rPr>
            </w:pPr>
          </w:p>
          <w:p w14:paraId="321BA6BD" w14:textId="5D399641" w:rsidR="00A04D65" w:rsidRPr="00A04D65" w:rsidRDefault="00A04D65" w:rsidP="00A04D65">
            <w:pPr>
              <w:spacing w:line="276" w:lineRule="auto"/>
              <w:jc w:val="both"/>
              <w:rPr>
                <w:rFonts w:ascii="Arial" w:eastAsiaTheme="minorEastAsia" w:hAnsi="Arial" w:cs="Arial"/>
                <w:lang w:val="en-US"/>
              </w:rPr>
            </w:pPr>
            <w:r w:rsidRPr="00A04D65">
              <w:rPr>
                <w:rFonts w:ascii="Arial" w:eastAsiaTheme="minorEastAsia" w:hAnsi="Arial" w:cs="Arial"/>
                <w:lang w:val="en-US"/>
              </w:rPr>
              <w:t>Notably, instrument maturity (since cat bonds have relatively short duration, cat bond funds offer natural liquidity to investors) and secondary trading provide significant capacity for redemptions to be met in general</w:t>
            </w:r>
            <w:r w:rsidRPr="006252AD">
              <w:rPr>
                <w:rFonts w:ascii="Arial" w:eastAsiaTheme="minorEastAsia" w:hAnsi="Arial" w:cs="Arial"/>
                <w:lang w:val="en-US"/>
              </w:rPr>
              <w:t xml:space="preserve"> – see Appendix 1. </w:t>
            </w:r>
          </w:p>
          <w:p w14:paraId="37FB5E70" w14:textId="77777777" w:rsidR="00A04D65" w:rsidRPr="006252AD" w:rsidRDefault="00A04D65" w:rsidP="00A04D65">
            <w:pPr>
              <w:spacing w:line="276" w:lineRule="auto"/>
              <w:jc w:val="both"/>
              <w:rPr>
                <w:rFonts w:ascii="Arial" w:hAnsi="Arial" w:cs="Arial"/>
              </w:rPr>
            </w:pPr>
            <w:r w:rsidRPr="006252AD">
              <w:rPr>
                <w:rFonts w:ascii="Arial" w:hAnsi="Arial" w:cs="Arial"/>
              </w:rPr>
              <w:t>The Call for Evidence posits whether UCITS are providing exposures to asset classes that are not eligible for direct investments through delta-one instruments. This is not the case for cat bonds, as the evidence above reinforces that the liquidity of UCITS cat bond funds is aligned with underlying cat bonds. Also, as described in Merit 1, cat bonds are fully collateralized with no financial leverage.</w:t>
            </w:r>
          </w:p>
          <w:p w14:paraId="4162B4D2" w14:textId="77777777" w:rsidR="00A04D65" w:rsidRPr="006252AD" w:rsidRDefault="00A04D65" w:rsidP="00A04D65">
            <w:pPr>
              <w:spacing w:line="276" w:lineRule="auto"/>
              <w:jc w:val="both"/>
              <w:rPr>
                <w:rFonts w:ascii="Arial" w:hAnsi="Arial" w:cs="Arial"/>
              </w:rPr>
            </w:pPr>
          </w:p>
          <w:p w14:paraId="02BFB6BB" w14:textId="77777777" w:rsidR="00A04D65" w:rsidRPr="006252AD" w:rsidRDefault="00A04D65" w:rsidP="00A04D65">
            <w:pPr>
              <w:spacing w:line="276" w:lineRule="auto"/>
              <w:jc w:val="both"/>
              <w:rPr>
                <w:rFonts w:ascii="Arial" w:hAnsi="Arial" w:cs="Arial"/>
                <w:i/>
                <w:iCs/>
              </w:rPr>
            </w:pPr>
            <w:r w:rsidRPr="006252AD">
              <w:rPr>
                <w:rFonts w:ascii="Arial" w:hAnsi="Arial" w:cs="Arial"/>
                <w:i/>
                <w:iCs/>
              </w:rPr>
              <w:t>Merit 10: Cat Bonds Improve Resilience of Developing Countries</w:t>
            </w:r>
          </w:p>
          <w:p w14:paraId="0FD1E0A1" w14:textId="77777777" w:rsidR="00A04D65" w:rsidRPr="006252AD" w:rsidRDefault="00A04D65" w:rsidP="00A04D65">
            <w:pPr>
              <w:spacing w:line="276" w:lineRule="auto"/>
              <w:jc w:val="both"/>
              <w:rPr>
                <w:rFonts w:ascii="Arial" w:hAnsi="Arial" w:cs="Arial"/>
              </w:rPr>
            </w:pPr>
          </w:p>
          <w:p w14:paraId="01A338EA" w14:textId="77777777" w:rsidR="00A04D65" w:rsidRPr="006252AD" w:rsidRDefault="00A04D65" w:rsidP="00A04D65">
            <w:pPr>
              <w:spacing w:line="276" w:lineRule="auto"/>
              <w:jc w:val="both"/>
              <w:rPr>
                <w:rFonts w:ascii="Arial" w:hAnsi="Arial" w:cs="Arial"/>
              </w:rPr>
            </w:pPr>
            <w:r w:rsidRPr="006252AD">
              <w:rPr>
                <w:rFonts w:ascii="Arial" w:hAnsi="Arial" w:cs="Arial"/>
              </w:rPr>
              <w:t xml:space="preserve">The World Bank recognized long ago that cat bonds can enhance the resilience of societies, including those in developing countries. These countries typically have low insurance penetration, leaving </w:t>
            </w:r>
            <w:r w:rsidRPr="006252AD">
              <w:rPr>
                <w:rFonts w:ascii="Arial" w:hAnsi="Arial" w:cs="Arial"/>
              </w:rPr>
              <w:lastRenderedPageBreak/>
              <w:t>them vulnerable to the impacts of natural disasters without the safety net of commercial insurance coverage. To address this, the World Bank, through its International Bank for Reconstruction and Development (“</w:t>
            </w:r>
            <w:r w:rsidRPr="006252AD">
              <w:rPr>
                <w:rFonts w:ascii="Arial" w:hAnsi="Arial" w:cs="Arial"/>
                <w:b/>
                <w:bCs/>
              </w:rPr>
              <w:t>IBRD</w:t>
            </w:r>
            <w:r w:rsidRPr="006252AD">
              <w:rPr>
                <w:rFonts w:ascii="Arial" w:hAnsi="Arial" w:cs="Arial"/>
              </w:rPr>
              <w:t>”), has issued several cat bonds aimed at insuring infrastructure losses following natural catastrophes</w:t>
            </w:r>
            <w:r w:rsidRPr="006252AD">
              <w:rPr>
                <w:rStyle w:val="FootnoteReference"/>
                <w:rFonts w:ascii="Arial" w:hAnsi="Arial" w:cs="Arial"/>
              </w:rPr>
              <w:footnoteReference w:id="20"/>
            </w:r>
            <w:r w:rsidRPr="006252AD">
              <w:rPr>
                <w:rFonts w:ascii="Arial" w:hAnsi="Arial" w:cs="Arial"/>
              </w:rPr>
              <w:t>. The IBRD, an international organization owned by 189 member countries, is the largest multilateral development bank in the world and a key institution within the World Bank Group.</w:t>
            </w:r>
          </w:p>
          <w:p w14:paraId="6DCB2ADE" w14:textId="77777777" w:rsidR="00A04D65" w:rsidRPr="006252AD" w:rsidRDefault="00A04D65" w:rsidP="00A04D65">
            <w:pPr>
              <w:spacing w:line="276" w:lineRule="auto"/>
              <w:jc w:val="both"/>
              <w:rPr>
                <w:rFonts w:ascii="Arial" w:hAnsi="Arial" w:cs="Arial"/>
              </w:rPr>
            </w:pPr>
          </w:p>
          <w:p w14:paraId="263879E4" w14:textId="77777777" w:rsidR="00A04D65" w:rsidRPr="006252AD" w:rsidRDefault="00A04D65" w:rsidP="00A04D65">
            <w:pPr>
              <w:spacing w:line="276" w:lineRule="auto"/>
              <w:jc w:val="both"/>
              <w:rPr>
                <w:rFonts w:ascii="Arial" w:hAnsi="Arial" w:cs="Arial"/>
              </w:rPr>
            </w:pPr>
            <w:r w:rsidRPr="006252AD">
              <w:rPr>
                <w:rFonts w:ascii="Arial" w:hAnsi="Arial" w:cs="Arial"/>
              </w:rPr>
              <w:t>Cat bonds issued by the IBRD often serve as diversifiers in UCITS cat bond funds. Without UCITS eligibility, the IBRD would be unable to rely on the cat bond market as a significant source of capacity.</w:t>
            </w:r>
          </w:p>
          <w:p w14:paraId="5FA8ECC7" w14:textId="77777777" w:rsidR="00A04D65" w:rsidRPr="006252AD" w:rsidRDefault="00A04D65" w:rsidP="00A04D65">
            <w:pPr>
              <w:spacing w:line="276" w:lineRule="auto"/>
              <w:jc w:val="both"/>
              <w:rPr>
                <w:rFonts w:ascii="Arial" w:hAnsi="Arial" w:cs="Arial"/>
              </w:rPr>
            </w:pPr>
          </w:p>
          <w:p w14:paraId="6E907D09" w14:textId="77777777" w:rsidR="00A04D65" w:rsidRPr="006252AD" w:rsidRDefault="00A04D65" w:rsidP="00A04D65">
            <w:pPr>
              <w:spacing w:line="276" w:lineRule="auto"/>
              <w:jc w:val="both"/>
              <w:rPr>
                <w:rFonts w:ascii="Arial" w:hAnsi="Arial" w:cs="Arial"/>
              </w:rPr>
            </w:pPr>
            <w:r w:rsidRPr="006252AD">
              <w:rPr>
                <w:rFonts w:ascii="Arial" w:hAnsi="Arial" w:cs="Arial"/>
              </w:rPr>
              <w:t>Artemis, a reinsurance and ILS news reporting website, highlighted in June 2024 that: “</w:t>
            </w:r>
            <w:r w:rsidRPr="006252AD">
              <w:rPr>
                <w:rFonts w:ascii="Arial" w:hAnsi="Arial" w:cs="Arial"/>
                <w:i/>
                <w:iCs/>
              </w:rPr>
              <w:t xml:space="preserve">The World Bank has now facilitated and issued over USD 4.8bn in cat bonds across 17 transactions we have covered over the years, with USD 745m issued over the course of just a </w:t>
            </w:r>
            <w:r w:rsidRPr="006252AD">
              <w:rPr>
                <w:rFonts w:ascii="Arial" w:hAnsi="Arial" w:cs="Arial"/>
                <w:i/>
                <w:iCs/>
              </w:rPr>
              <w:lastRenderedPageBreak/>
              <w:t xml:space="preserve">few weeks in 2024 to support Mexico and Jamaica’s disaster risk transfer and financing needs”. </w:t>
            </w:r>
            <w:r w:rsidRPr="006252AD">
              <w:rPr>
                <w:rFonts w:ascii="Arial" w:hAnsi="Arial" w:cs="Arial"/>
              </w:rPr>
              <w:t xml:space="preserve">Artemis further highlighted that </w:t>
            </w:r>
            <w:r w:rsidRPr="006252AD">
              <w:rPr>
                <w:rFonts w:ascii="Arial" w:hAnsi="Arial" w:cs="Arial"/>
                <w:i/>
                <w:iCs/>
              </w:rPr>
              <w:t>“The World Bank has been active in the catastrophe bond market for almost two decades, leveraging the cat bond structure as a way to access private institutional capital to support and augment with efficient and responsive funding, its member country’s disaster insurance needs”</w:t>
            </w:r>
            <w:r w:rsidRPr="006252AD">
              <w:rPr>
                <w:rStyle w:val="FootnoteReference"/>
                <w:rFonts w:ascii="Arial" w:hAnsi="Arial" w:cs="Arial"/>
              </w:rPr>
              <w:footnoteReference w:id="21"/>
            </w:r>
            <w:r w:rsidRPr="006252AD">
              <w:rPr>
                <w:rFonts w:ascii="Arial" w:hAnsi="Arial" w:cs="Arial"/>
              </w:rPr>
              <w:t>.</w:t>
            </w:r>
          </w:p>
          <w:p w14:paraId="3819ADF1" w14:textId="77777777" w:rsidR="00A04D65" w:rsidRPr="006252AD" w:rsidRDefault="00A04D65" w:rsidP="00A04D65">
            <w:pPr>
              <w:spacing w:line="276" w:lineRule="auto"/>
              <w:jc w:val="both"/>
              <w:rPr>
                <w:rFonts w:ascii="Arial" w:hAnsi="Arial" w:cs="Arial"/>
              </w:rPr>
            </w:pPr>
          </w:p>
          <w:p w14:paraId="4C32D123" w14:textId="77777777" w:rsidR="00A04D65" w:rsidRPr="006252AD" w:rsidRDefault="00A04D65" w:rsidP="00A04D65">
            <w:pPr>
              <w:spacing w:line="276" w:lineRule="auto"/>
              <w:jc w:val="both"/>
              <w:rPr>
                <w:rFonts w:ascii="Arial" w:hAnsi="Arial" w:cs="Arial"/>
                <w:i/>
                <w:iCs/>
              </w:rPr>
            </w:pPr>
            <w:r w:rsidRPr="006252AD">
              <w:rPr>
                <w:rFonts w:ascii="Arial" w:hAnsi="Arial" w:cs="Arial"/>
                <w:i/>
                <w:iCs/>
              </w:rPr>
              <w:t>Merit 11: Performance of Cat Bonds Depends on Clearly Defined Parameters</w:t>
            </w:r>
          </w:p>
          <w:p w14:paraId="548E1CB5" w14:textId="77777777" w:rsidR="00A04D65" w:rsidRPr="006252AD" w:rsidRDefault="00A04D65" w:rsidP="00A04D65">
            <w:pPr>
              <w:spacing w:line="276" w:lineRule="auto"/>
              <w:jc w:val="both"/>
              <w:rPr>
                <w:rFonts w:ascii="Arial" w:hAnsi="Arial" w:cs="Arial"/>
              </w:rPr>
            </w:pPr>
          </w:p>
          <w:p w14:paraId="54DC4717" w14:textId="77777777" w:rsidR="00A04D65" w:rsidRDefault="00A04D65" w:rsidP="00A04D65">
            <w:pPr>
              <w:spacing w:line="276" w:lineRule="auto"/>
              <w:jc w:val="both"/>
              <w:rPr>
                <w:rFonts w:ascii="Arial" w:hAnsi="Arial" w:cs="Arial"/>
              </w:rPr>
            </w:pPr>
            <w:r w:rsidRPr="006252AD">
              <w:rPr>
                <w:rFonts w:ascii="Arial" w:hAnsi="Arial" w:cs="Arial"/>
              </w:rPr>
              <w:t xml:space="preserve">A cat bond’s performance depends on the occurrence of defined catastrophes, most often natural in nature. Major loss events are usually front-page news and known immediately after occurrence. There is no information asymmetry between a cat bond buyer and the reinsured in respect of such loss events. It is impossible to have insider knowledge or to front-run a catastrophe. From the perspective of the issuing SPI, cat bonds are simple bonds with the write-down </w:t>
            </w:r>
            <w:r w:rsidRPr="006252AD">
              <w:rPr>
                <w:rFonts w:ascii="Arial" w:hAnsi="Arial" w:cs="Arial"/>
              </w:rPr>
              <w:lastRenderedPageBreak/>
              <w:t>mechanics clearly described in the offering circular, as noted above. Catastrophes are rare, hence there is usually little news flow impacting individual cat bonds. As a result, volatility of cat bond prices is low. However, low volatility is not an indicator of a lack of liquidity, as noted in Merit 8 above.</w:t>
            </w:r>
          </w:p>
          <w:p w14:paraId="6A05A809" w14:textId="478E1AEB" w:rsidR="00B37CA9" w:rsidRPr="006252AD" w:rsidRDefault="00B37CA9" w:rsidP="00A04D65">
            <w:pPr>
              <w:spacing w:line="276" w:lineRule="auto"/>
              <w:jc w:val="both"/>
              <w:rPr>
                <w:rFonts w:ascii="Arial" w:hAnsi="Arial" w:cs="Arial"/>
              </w:rPr>
            </w:pPr>
          </w:p>
        </w:tc>
        <w:tc>
          <w:tcPr>
            <w:tcW w:w="1776" w:type="dxa"/>
          </w:tcPr>
          <w:p w14:paraId="7CDD2C07" w14:textId="77777777" w:rsidR="00A04D65" w:rsidRPr="00A04D65" w:rsidRDefault="00A04D65" w:rsidP="00A04D65">
            <w:pPr>
              <w:spacing w:line="276" w:lineRule="auto"/>
              <w:jc w:val="both"/>
              <w:rPr>
                <w:rFonts w:ascii="Arial" w:eastAsia="Times New Roman" w:hAnsi="Arial" w:cs="Arial"/>
                <w:color w:val="000000"/>
                <w:lang w:val="en-IE" w:eastAsia="en-IE"/>
              </w:rPr>
            </w:pPr>
            <w:r w:rsidRPr="00A04D65">
              <w:rPr>
                <w:rFonts w:ascii="Arial" w:eastAsia="Times New Roman" w:hAnsi="Arial" w:cs="Arial"/>
                <w:color w:val="000000" w:themeColor="text1"/>
                <w:lang w:val="en-IE" w:eastAsia="en-IE"/>
              </w:rPr>
              <w:lastRenderedPageBreak/>
              <w:t xml:space="preserve">UCITS typically take direct exposure to cat bonds, however, we would not see any issue with UCITS also taking indirect exposure to cat bonds. </w:t>
            </w:r>
          </w:p>
          <w:p w14:paraId="5A39BBE3" w14:textId="77777777" w:rsidR="00B33432" w:rsidRPr="006252AD" w:rsidRDefault="00B33432" w:rsidP="00B33432">
            <w:pPr>
              <w:spacing w:after="250" w:line="276" w:lineRule="auto"/>
              <w:jc w:val="both"/>
              <w:rPr>
                <w:rFonts w:ascii="Arial" w:hAnsi="Arial" w:cs="Arial"/>
                <w:color w:val="181818"/>
              </w:rPr>
            </w:pPr>
          </w:p>
        </w:tc>
        <w:tc>
          <w:tcPr>
            <w:tcW w:w="2060" w:type="dxa"/>
          </w:tcPr>
          <w:p w14:paraId="1411A7E3" w14:textId="77777777" w:rsidR="00A04D65" w:rsidRPr="006252AD" w:rsidRDefault="00A04D65" w:rsidP="00A04D65">
            <w:pPr>
              <w:spacing w:line="276" w:lineRule="auto"/>
              <w:jc w:val="both"/>
              <w:rPr>
                <w:rFonts w:ascii="Arial" w:eastAsia="Times New Roman" w:hAnsi="Arial" w:cs="Arial"/>
                <w:color w:val="000000" w:themeColor="text1"/>
                <w:lang w:val="en-IE" w:eastAsia="en-IE"/>
              </w:rPr>
            </w:pPr>
            <w:r w:rsidRPr="006252AD">
              <w:rPr>
                <w:rFonts w:ascii="Arial" w:eastAsia="Times New Roman" w:hAnsi="Arial" w:cs="Arial"/>
                <w:color w:val="000000" w:themeColor="text1"/>
                <w:lang w:eastAsia="en-IE"/>
              </w:rPr>
              <w:t>Cat bond UCITS can hold up to 100% of cat bonds and a</w:t>
            </w:r>
            <w:proofErr w:type="spellStart"/>
            <w:r w:rsidRPr="006252AD">
              <w:rPr>
                <w:rFonts w:ascii="Arial" w:eastAsia="Times New Roman" w:hAnsi="Arial" w:cs="Arial"/>
                <w:color w:val="000000" w:themeColor="text1"/>
                <w:lang w:val="en-IE" w:eastAsia="en-IE"/>
              </w:rPr>
              <w:t>s</w:t>
            </w:r>
            <w:proofErr w:type="spellEnd"/>
            <w:r w:rsidRPr="006252AD">
              <w:rPr>
                <w:rFonts w:ascii="Arial" w:eastAsia="Times New Roman" w:hAnsi="Arial" w:cs="Arial"/>
                <w:color w:val="000000" w:themeColor="text1"/>
                <w:lang w:val="en-IE" w:eastAsia="en-IE"/>
              </w:rPr>
              <w:t xml:space="preserve"> of May 2024, assets under management of cat bond UCITS across all fund managers and domiciles stood at US$12.2b</w:t>
            </w:r>
            <w:r w:rsidRPr="006252AD">
              <w:rPr>
                <w:rStyle w:val="FootnoteReference"/>
                <w:rFonts w:ascii="Arial" w:eastAsia="Times New Roman" w:hAnsi="Arial" w:cs="Arial"/>
                <w:color w:val="000000" w:themeColor="text1"/>
                <w:lang w:val="en-IE" w:eastAsia="en-IE"/>
              </w:rPr>
              <w:footnoteReference w:id="22"/>
            </w:r>
            <w:r w:rsidRPr="006252AD">
              <w:rPr>
                <w:rFonts w:ascii="Arial" w:eastAsia="Times New Roman" w:hAnsi="Arial" w:cs="Arial"/>
                <w:color w:val="000000" w:themeColor="text1"/>
                <w:lang w:val="en-IE" w:eastAsia="en-IE"/>
              </w:rPr>
              <w:t>. There is a wide range of exposure to cat bonds across the managers we surveyed up to the maximum of 100%.</w:t>
            </w:r>
          </w:p>
          <w:p w14:paraId="41C8F396" w14:textId="77777777" w:rsidR="00B33432" w:rsidRPr="006252AD" w:rsidRDefault="00B33432" w:rsidP="00B33432">
            <w:pPr>
              <w:spacing w:after="250" w:line="276" w:lineRule="auto"/>
              <w:jc w:val="both"/>
              <w:rPr>
                <w:rFonts w:ascii="Arial" w:hAnsi="Arial" w:cs="Arial"/>
                <w:color w:val="181818"/>
              </w:rPr>
            </w:pPr>
          </w:p>
        </w:tc>
        <w:tc>
          <w:tcPr>
            <w:tcW w:w="1706" w:type="dxa"/>
          </w:tcPr>
          <w:p w14:paraId="72A3D3EC" w14:textId="77777777" w:rsidR="00B33432" w:rsidRPr="006252AD" w:rsidRDefault="00B33432" w:rsidP="00B33432">
            <w:pPr>
              <w:spacing w:after="250" w:line="276" w:lineRule="auto"/>
              <w:jc w:val="both"/>
              <w:rPr>
                <w:rFonts w:ascii="Arial" w:hAnsi="Arial" w:cs="Arial"/>
                <w:color w:val="181818"/>
              </w:rPr>
            </w:pPr>
          </w:p>
        </w:tc>
      </w:tr>
      <w:tr w:rsidR="00B33432" w:rsidRPr="006252AD" w14:paraId="756B6A0E" w14:textId="77777777" w:rsidTr="00F278BC">
        <w:tc>
          <w:tcPr>
            <w:tcW w:w="2095" w:type="dxa"/>
          </w:tcPr>
          <w:p w14:paraId="2C56CC88" w14:textId="77777777" w:rsidR="00B33432" w:rsidRPr="006252AD" w:rsidRDefault="00B33432" w:rsidP="00B33432">
            <w:pPr>
              <w:spacing w:after="250" w:line="276" w:lineRule="auto"/>
              <w:rPr>
                <w:rFonts w:ascii="Arial" w:hAnsi="Arial" w:cs="Arial"/>
                <w:color w:val="181818"/>
              </w:rPr>
            </w:pPr>
            <w:r w:rsidRPr="006252AD">
              <w:rPr>
                <w:rFonts w:ascii="Arial" w:hAnsi="Arial" w:cs="Arial"/>
              </w:rPr>
              <w:lastRenderedPageBreak/>
              <w:t>3. Contingent Convertible bonds (‘CoCo bonds’)</w:t>
            </w:r>
          </w:p>
        </w:tc>
        <w:tc>
          <w:tcPr>
            <w:tcW w:w="1683" w:type="dxa"/>
          </w:tcPr>
          <w:p w14:paraId="5AF73848" w14:textId="77777777" w:rsidR="00BE031F" w:rsidRPr="006252AD" w:rsidRDefault="00BE031F" w:rsidP="00BE031F">
            <w:pPr>
              <w:spacing w:line="276" w:lineRule="auto"/>
              <w:jc w:val="both"/>
              <w:rPr>
                <w:rFonts w:ascii="Arial" w:eastAsia="Times New Roman" w:hAnsi="Arial" w:cs="Arial"/>
                <w:color w:val="000000" w:themeColor="text1"/>
                <w:lang w:val="en-IE" w:eastAsia="en-IE"/>
              </w:rPr>
            </w:pPr>
            <w:proofErr w:type="spellStart"/>
            <w:r w:rsidRPr="006252AD">
              <w:rPr>
                <w:rFonts w:ascii="Arial" w:eastAsia="Times New Roman" w:hAnsi="Arial" w:cs="Arial"/>
                <w:color w:val="000000" w:themeColor="text1"/>
                <w:lang w:val="en-IE" w:eastAsia="en-IE"/>
              </w:rPr>
              <w:t>CoCo</w:t>
            </w:r>
            <w:proofErr w:type="spellEnd"/>
            <w:r w:rsidRPr="006252AD">
              <w:rPr>
                <w:rFonts w:ascii="Arial" w:eastAsia="Times New Roman" w:hAnsi="Arial" w:cs="Arial"/>
                <w:color w:val="000000" w:themeColor="text1"/>
                <w:lang w:val="en-IE" w:eastAsia="en-IE"/>
              </w:rPr>
              <w:t xml:space="preserve"> bonds are a liquid asset class with liquidity very similar to, or better than, that of other fixed income securities such as investment grade and high yield corporate bonds issued in Europe and the US. For example, AT1 bonds have a daily average turnover of approximately EUR 1 billion. History has also confirmed that in periods of market stress </w:t>
            </w:r>
            <w:proofErr w:type="spellStart"/>
            <w:r w:rsidRPr="006252AD">
              <w:rPr>
                <w:rFonts w:ascii="Arial" w:eastAsia="Times New Roman" w:hAnsi="Arial" w:cs="Arial"/>
                <w:color w:val="000000" w:themeColor="text1"/>
                <w:lang w:val="en-IE" w:eastAsia="en-IE"/>
              </w:rPr>
              <w:t>CoCo</w:t>
            </w:r>
            <w:proofErr w:type="spellEnd"/>
            <w:r w:rsidRPr="006252AD">
              <w:rPr>
                <w:rFonts w:ascii="Arial" w:eastAsia="Times New Roman" w:hAnsi="Arial" w:cs="Arial"/>
                <w:color w:val="000000" w:themeColor="text1"/>
                <w:lang w:val="en-IE" w:eastAsia="en-IE"/>
              </w:rPr>
              <w:t xml:space="preserve"> bonds have maintained their liquidity, such as between February and April 2020 when the average monthly turnover of AT1 bonds was approximately 14% and in the first quarter of 2023 was approximately 9%</w:t>
            </w:r>
            <w:r w:rsidRPr="006252AD">
              <w:rPr>
                <w:rStyle w:val="FootnoteReference"/>
                <w:rFonts w:ascii="Arial" w:eastAsia="Times New Roman" w:hAnsi="Arial" w:cs="Arial"/>
                <w:color w:val="000000" w:themeColor="text1"/>
                <w:lang w:val="en-IE" w:eastAsia="en-IE"/>
              </w:rPr>
              <w:footnoteReference w:id="23"/>
            </w:r>
            <w:r w:rsidRPr="006252AD">
              <w:rPr>
                <w:rFonts w:ascii="Arial" w:eastAsia="Times New Roman" w:hAnsi="Arial" w:cs="Arial"/>
                <w:color w:val="000000" w:themeColor="text1"/>
                <w:lang w:val="en-IE" w:eastAsia="en-IE"/>
              </w:rPr>
              <w:t xml:space="preserve">. Liquidity is also demonstrated by the strong demand for the asset class via primary issuance as shown by an average cover ratio (ratio of reported orders from investors to the amount </w:t>
            </w:r>
            <w:r w:rsidRPr="006252AD">
              <w:rPr>
                <w:rFonts w:ascii="Arial" w:eastAsia="Times New Roman" w:hAnsi="Arial" w:cs="Arial"/>
                <w:color w:val="000000" w:themeColor="text1"/>
                <w:lang w:val="en-IE" w:eastAsia="en-IE"/>
              </w:rPr>
              <w:lastRenderedPageBreak/>
              <w:t xml:space="preserve">issued) of over 4 times for a sample of </w:t>
            </w:r>
            <w:proofErr w:type="spellStart"/>
            <w:r w:rsidRPr="006252AD">
              <w:rPr>
                <w:rFonts w:ascii="Arial" w:eastAsia="Times New Roman" w:hAnsi="Arial" w:cs="Arial"/>
                <w:color w:val="000000" w:themeColor="text1"/>
                <w:lang w:val="en-IE" w:eastAsia="en-IE"/>
              </w:rPr>
              <w:t>CoCo</w:t>
            </w:r>
            <w:proofErr w:type="spellEnd"/>
            <w:r w:rsidRPr="006252AD">
              <w:rPr>
                <w:rFonts w:ascii="Arial" w:eastAsia="Times New Roman" w:hAnsi="Arial" w:cs="Arial"/>
                <w:color w:val="000000" w:themeColor="text1"/>
                <w:lang w:val="en-IE" w:eastAsia="en-IE"/>
              </w:rPr>
              <w:t xml:space="preserve"> bonds issued since the start of 2024</w:t>
            </w:r>
            <w:r w:rsidRPr="006252AD">
              <w:rPr>
                <w:rStyle w:val="FootnoteReference"/>
                <w:rFonts w:ascii="Arial" w:eastAsia="Times New Roman" w:hAnsi="Arial" w:cs="Arial"/>
                <w:color w:val="000000" w:themeColor="text1"/>
                <w:lang w:val="en-IE" w:eastAsia="en-IE"/>
              </w:rPr>
              <w:footnoteReference w:id="24"/>
            </w:r>
            <w:r w:rsidRPr="006252AD">
              <w:rPr>
                <w:rFonts w:ascii="Arial" w:eastAsia="Times New Roman" w:hAnsi="Arial" w:cs="Arial"/>
                <w:color w:val="000000" w:themeColor="text1"/>
                <w:lang w:val="en-IE" w:eastAsia="en-IE"/>
              </w:rPr>
              <w:t>.</w:t>
            </w:r>
          </w:p>
          <w:p w14:paraId="59371ACA" w14:textId="77777777" w:rsidR="00BE031F" w:rsidRPr="006252AD" w:rsidRDefault="00BE031F" w:rsidP="00BE031F">
            <w:pPr>
              <w:spacing w:before="240" w:line="276" w:lineRule="auto"/>
              <w:jc w:val="both"/>
              <w:rPr>
                <w:rFonts w:ascii="Arial" w:eastAsia="Times New Roman" w:hAnsi="Arial" w:cs="Arial"/>
                <w:color w:val="000000" w:themeColor="text1"/>
                <w:lang w:val="en-IE" w:eastAsia="en-IE"/>
              </w:rPr>
            </w:pPr>
            <w:proofErr w:type="spellStart"/>
            <w:r w:rsidRPr="006252AD">
              <w:rPr>
                <w:rFonts w:ascii="Arial" w:eastAsia="Times New Roman" w:hAnsi="Arial" w:cs="Arial"/>
                <w:color w:val="000000" w:themeColor="text1"/>
                <w:lang w:val="en-IE" w:eastAsia="en-IE"/>
              </w:rPr>
              <w:t>CoCo</w:t>
            </w:r>
            <w:proofErr w:type="spellEnd"/>
            <w:r w:rsidRPr="006252AD">
              <w:rPr>
                <w:rFonts w:ascii="Arial" w:eastAsia="Times New Roman" w:hAnsi="Arial" w:cs="Arial"/>
                <w:color w:val="000000" w:themeColor="text1"/>
                <w:lang w:val="en-IE" w:eastAsia="en-IE"/>
              </w:rPr>
              <w:t xml:space="preserve"> bonds trade in the same way as other types of corporate bonds. They are not subject to transfer restrictions and are traded on the capital markets through investment banks, market makers, brokers and other dealers. Settlement processes are standard, straightforward and mirror those of other bonds with settlement occurring on a T+1 or T+2 basis (depending on the market they are traded) and settled via either </w:t>
            </w:r>
            <w:r w:rsidRPr="006252AD">
              <w:rPr>
                <w:rFonts w:ascii="Arial" w:eastAsia="Times New Roman" w:hAnsi="Arial" w:cs="Arial"/>
                <w:color w:val="000000" w:themeColor="text1"/>
                <w:lang w:val="en-GB" w:eastAsia="en-IE"/>
              </w:rPr>
              <w:t>international central securities depository</w:t>
            </w:r>
            <w:r w:rsidRPr="006252AD">
              <w:rPr>
                <w:rFonts w:ascii="Arial" w:eastAsia="Times New Roman" w:hAnsi="Arial" w:cs="Arial"/>
                <w:color w:val="000000" w:themeColor="text1"/>
                <w:lang w:val="en-IE" w:eastAsia="en-IE"/>
              </w:rPr>
              <w:t xml:space="preserve"> (“</w:t>
            </w:r>
            <w:r w:rsidRPr="006252AD">
              <w:rPr>
                <w:rFonts w:ascii="Arial" w:eastAsia="Times New Roman" w:hAnsi="Arial" w:cs="Arial"/>
                <w:b/>
                <w:bCs/>
                <w:color w:val="000000" w:themeColor="text1"/>
                <w:lang w:val="en-IE" w:eastAsia="en-IE"/>
              </w:rPr>
              <w:t>ICSDs</w:t>
            </w:r>
            <w:r w:rsidRPr="006252AD">
              <w:rPr>
                <w:rFonts w:ascii="Arial" w:eastAsia="Times New Roman" w:hAnsi="Arial" w:cs="Arial"/>
                <w:color w:val="000000" w:themeColor="text1"/>
                <w:lang w:val="en-IE" w:eastAsia="en-IE"/>
              </w:rPr>
              <w:t xml:space="preserve">”) or local </w:t>
            </w:r>
            <w:r w:rsidRPr="006252AD">
              <w:rPr>
                <w:rFonts w:ascii="Arial" w:eastAsia="Times New Roman" w:hAnsi="Arial" w:cs="Arial"/>
                <w:color w:val="000000" w:themeColor="text1"/>
                <w:lang w:val="en-GB" w:eastAsia="en-IE"/>
              </w:rPr>
              <w:t>central securities depository</w:t>
            </w:r>
            <w:r w:rsidRPr="006252AD">
              <w:rPr>
                <w:rFonts w:ascii="Arial" w:eastAsia="Times New Roman" w:hAnsi="Arial" w:cs="Arial"/>
                <w:color w:val="000000" w:themeColor="text1"/>
                <w:lang w:val="en-IE" w:eastAsia="en-IE"/>
              </w:rPr>
              <w:t xml:space="preserve"> (“</w:t>
            </w:r>
            <w:r w:rsidRPr="006252AD">
              <w:rPr>
                <w:rFonts w:ascii="Arial" w:eastAsia="Times New Roman" w:hAnsi="Arial" w:cs="Arial"/>
                <w:b/>
                <w:bCs/>
                <w:color w:val="000000" w:themeColor="text1"/>
                <w:lang w:val="en-IE" w:eastAsia="en-IE"/>
              </w:rPr>
              <w:t>CSDs</w:t>
            </w:r>
            <w:r w:rsidRPr="006252AD">
              <w:rPr>
                <w:rFonts w:ascii="Arial" w:eastAsia="Times New Roman" w:hAnsi="Arial" w:cs="Arial"/>
                <w:color w:val="000000" w:themeColor="text1"/>
                <w:lang w:val="en-IE" w:eastAsia="en-IE"/>
              </w:rPr>
              <w:t xml:space="preserve">”) such as </w:t>
            </w:r>
            <w:r w:rsidRPr="006252AD">
              <w:rPr>
                <w:rFonts w:ascii="Arial" w:eastAsia="Times New Roman" w:hAnsi="Arial" w:cs="Arial"/>
                <w:color w:val="000000" w:themeColor="text1"/>
                <w:lang w:val="en-GB" w:eastAsia="en-IE"/>
              </w:rPr>
              <w:t>Depository Trust &amp; Clearing Corporation</w:t>
            </w:r>
            <w:r w:rsidRPr="006252AD">
              <w:rPr>
                <w:rFonts w:ascii="Arial" w:eastAsia="Times New Roman" w:hAnsi="Arial" w:cs="Arial"/>
                <w:color w:val="000000" w:themeColor="text1"/>
                <w:lang w:val="en-IE" w:eastAsia="en-IE"/>
              </w:rPr>
              <w:t xml:space="preserve"> (“</w:t>
            </w:r>
            <w:r w:rsidRPr="006252AD">
              <w:rPr>
                <w:rFonts w:ascii="Arial" w:eastAsia="Times New Roman" w:hAnsi="Arial" w:cs="Arial"/>
                <w:b/>
                <w:bCs/>
                <w:color w:val="000000" w:themeColor="text1"/>
                <w:lang w:val="en-IE" w:eastAsia="en-IE"/>
              </w:rPr>
              <w:t>DTCC</w:t>
            </w:r>
            <w:r w:rsidRPr="006252AD">
              <w:rPr>
                <w:rFonts w:ascii="Arial" w:eastAsia="Times New Roman" w:hAnsi="Arial" w:cs="Arial"/>
                <w:color w:val="000000" w:themeColor="text1"/>
                <w:lang w:val="en-IE" w:eastAsia="en-IE"/>
              </w:rPr>
              <w:t>”), posing no custody or safekeeping issues.</w:t>
            </w:r>
          </w:p>
          <w:p w14:paraId="320BA228" w14:textId="77777777" w:rsidR="00BE031F" w:rsidRPr="006252AD" w:rsidRDefault="00BE031F" w:rsidP="00BE031F">
            <w:pPr>
              <w:spacing w:line="276" w:lineRule="auto"/>
              <w:jc w:val="both"/>
              <w:rPr>
                <w:rFonts w:ascii="Arial" w:eastAsia="Times New Roman" w:hAnsi="Arial" w:cs="Arial"/>
                <w:color w:val="000000" w:themeColor="text1"/>
                <w:lang w:val="en-IE" w:eastAsia="en-IE"/>
              </w:rPr>
            </w:pPr>
          </w:p>
          <w:p w14:paraId="0358AC28" w14:textId="77777777" w:rsidR="00BE031F" w:rsidRPr="006252AD" w:rsidRDefault="00BE031F" w:rsidP="00BE031F">
            <w:pPr>
              <w:spacing w:line="276" w:lineRule="auto"/>
              <w:jc w:val="both"/>
              <w:rPr>
                <w:rFonts w:ascii="Arial" w:eastAsia="Times New Roman" w:hAnsi="Arial" w:cs="Arial"/>
                <w:color w:val="000000" w:themeColor="text1"/>
                <w:lang w:val="en-IE" w:eastAsia="en-IE"/>
              </w:rPr>
            </w:pPr>
            <w:r w:rsidRPr="006252AD">
              <w:rPr>
                <w:rFonts w:ascii="Arial" w:eastAsia="Times New Roman" w:hAnsi="Arial" w:cs="Arial"/>
                <w:color w:val="000000" w:themeColor="text1"/>
                <w:lang w:val="en-IE" w:eastAsia="en-IE"/>
              </w:rPr>
              <w:t xml:space="preserve">Valuations of </w:t>
            </w:r>
            <w:proofErr w:type="spellStart"/>
            <w:r w:rsidRPr="006252AD">
              <w:rPr>
                <w:rFonts w:ascii="Arial" w:eastAsia="Times New Roman" w:hAnsi="Arial" w:cs="Arial"/>
                <w:color w:val="000000" w:themeColor="text1"/>
                <w:lang w:val="en-IE" w:eastAsia="en-IE"/>
              </w:rPr>
              <w:t>CoCo</w:t>
            </w:r>
            <w:proofErr w:type="spellEnd"/>
            <w:r w:rsidRPr="006252AD">
              <w:rPr>
                <w:rFonts w:ascii="Arial" w:eastAsia="Times New Roman" w:hAnsi="Arial" w:cs="Arial"/>
                <w:color w:val="000000" w:themeColor="text1"/>
                <w:lang w:val="en-IE" w:eastAsia="en-IE"/>
              </w:rPr>
              <w:t xml:space="preserve"> bonds are reliable. They are widely traded by regulated counterparties across the globe, with wide coverage by most major dealers and financial institutions, making valuations reliable and available to market investors and participants on an </w:t>
            </w:r>
            <w:r w:rsidRPr="006252AD">
              <w:rPr>
                <w:rFonts w:ascii="Arial" w:eastAsia="Times New Roman" w:hAnsi="Arial" w:cs="Arial"/>
                <w:color w:val="000000" w:themeColor="text1"/>
                <w:lang w:val="en-IE" w:eastAsia="en-IE"/>
              </w:rPr>
              <w:lastRenderedPageBreak/>
              <w:t>ongoing basis. Valuation practices are also consistent with other corporate and convertible bonds with similar bid-ask spreads and market convention to price them to the next call date.</w:t>
            </w:r>
          </w:p>
          <w:p w14:paraId="7BD122EA" w14:textId="77777777" w:rsidR="00BE031F" w:rsidRPr="006252AD" w:rsidRDefault="00BE031F" w:rsidP="00BE031F">
            <w:pPr>
              <w:spacing w:line="276" w:lineRule="auto"/>
              <w:jc w:val="both"/>
              <w:rPr>
                <w:rFonts w:ascii="Arial" w:eastAsia="Times New Roman" w:hAnsi="Arial" w:cs="Arial"/>
                <w:color w:val="000000" w:themeColor="text1"/>
                <w:lang w:val="en-IE" w:eastAsia="en-IE"/>
              </w:rPr>
            </w:pPr>
          </w:p>
          <w:p w14:paraId="2135678A" w14:textId="77777777" w:rsidR="00BE031F" w:rsidRPr="006252AD" w:rsidRDefault="00BE031F" w:rsidP="00BE031F">
            <w:pPr>
              <w:spacing w:line="276" w:lineRule="auto"/>
              <w:jc w:val="both"/>
              <w:rPr>
                <w:rFonts w:ascii="Arial" w:eastAsia="Times New Roman" w:hAnsi="Arial" w:cs="Arial"/>
                <w:color w:val="000000" w:themeColor="text1"/>
                <w:lang w:val="en-IE" w:eastAsia="en-IE"/>
              </w:rPr>
            </w:pPr>
            <w:r w:rsidRPr="006252AD">
              <w:rPr>
                <w:rFonts w:ascii="Arial" w:eastAsia="Times New Roman" w:hAnsi="Arial" w:cs="Arial"/>
                <w:color w:val="000000" w:themeColor="text1"/>
                <w:lang w:val="en-IE" w:eastAsia="en-IE"/>
              </w:rPr>
              <w:t xml:space="preserve">Banks and insurers, who are the predominant issuers of </w:t>
            </w:r>
            <w:proofErr w:type="spellStart"/>
            <w:r w:rsidRPr="006252AD">
              <w:rPr>
                <w:rFonts w:ascii="Arial" w:eastAsia="Times New Roman" w:hAnsi="Arial" w:cs="Arial"/>
                <w:color w:val="000000" w:themeColor="text1"/>
                <w:lang w:val="en-IE" w:eastAsia="en-IE"/>
              </w:rPr>
              <w:t>CoCo</w:t>
            </w:r>
            <w:proofErr w:type="spellEnd"/>
            <w:r w:rsidRPr="006252AD">
              <w:rPr>
                <w:rFonts w:ascii="Arial" w:eastAsia="Times New Roman" w:hAnsi="Arial" w:cs="Arial"/>
                <w:color w:val="000000" w:themeColor="text1"/>
                <w:lang w:val="en-IE" w:eastAsia="en-IE"/>
              </w:rPr>
              <w:t xml:space="preserve"> bonds, are highly regulated entities with robust oversight regimes in place. This highly regulated environment results in a higher frequency of reporting, better level of detail, and quality of information available to investors. In particular, UCITS that invest in </w:t>
            </w:r>
            <w:proofErr w:type="spellStart"/>
            <w:r w:rsidRPr="006252AD">
              <w:rPr>
                <w:rFonts w:ascii="Arial" w:eastAsia="Times New Roman" w:hAnsi="Arial" w:cs="Arial"/>
                <w:color w:val="000000" w:themeColor="text1"/>
                <w:lang w:val="en-IE" w:eastAsia="en-IE"/>
              </w:rPr>
              <w:t>CoCo</w:t>
            </w:r>
            <w:proofErr w:type="spellEnd"/>
            <w:r w:rsidRPr="006252AD">
              <w:rPr>
                <w:rFonts w:ascii="Arial" w:eastAsia="Times New Roman" w:hAnsi="Arial" w:cs="Arial"/>
                <w:color w:val="000000" w:themeColor="text1"/>
                <w:lang w:val="en-IE" w:eastAsia="en-IE"/>
              </w:rPr>
              <w:t xml:space="preserve"> bonds have access to a wealth of data with issuers publishing detailed financial disclosures on a quarterly or semi-annual basis, prepared in accordance with international accounting standards. Additional material related to asset quality and capital position (available in a separate publication named “Pillar 3” reports) is also made available to investors. Pillar 3 reports, regulatory databases and stress testing results are particularly useful to </w:t>
            </w:r>
            <w:proofErr w:type="spellStart"/>
            <w:r w:rsidRPr="006252AD">
              <w:rPr>
                <w:rFonts w:ascii="Arial" w:eastAsia="Times New Roman" w:hAnsi="Arial" w:cs="Arial"/>
                <w:color w:val="000000" w:themeColor="text1"/>
                <w:lang w:val="en-IE" w:eastAsia="en-IE"/>
              </w:rPr>
              <w:t>CoCo</w:t>
            </w:r>
            <w:proofErr w:type="spellEnd"/>
            <w:r w:rsidRPr="006252AD">
              <w:rPr>
                <w:rFonts w:ascii="Arial" w:eastAsia="Times New Roman" w:hAnsi="Arial" w:cs="Arial"/>
                <w:color w:val="000000" w:themeColor="text1"/>
                <w:lang w:val="en-IE" w:eastAsia="en-IE"/>
              </w:rPr>
              <w:t xml:space="preserve"> bond investors to monitor the capital adequacy, liquidity and </w:t>
            </w:r>
            <w:r w:rsidRPr="006252AD">
              <w:rPr>
                <w:rFonts w:ascii="Arial" w:eastAsia="Times New Roman" w:hAnsi="Arial" w:cs="Arial"/>
                <w:color w:val="000000" w:themeColor="text1"/>
                <w:lang w:val="en-IE" w:eastAsia="en-IE"/>
              </w:rPr>
              <w:lastRenderedPageBreak/>
              <w:t>risk exposures of the issuers. In addition, banks hold regular calls with investors on a quarterly basis, complemented by detailed presentations. Terms and conditions related to the specific bond are clearly specified in the prospectuses and final terms of each issuance, which are readily and widely available publicly. As noted earlier these terms and conditions have become more standardised between issuers.</w:t>
            </w:r>
          </w:p>
          <w:p w14:paraId="18D1EEC7" w14:textId="77777777" w:rsidR="00BE031F" w:rsidRPr="006252AD" w:rsidRDefault="00BE031F" w:rsidP="00BE031F">
            <w:pPr>
              <w:spacing w:line="276" w:lineRule="auto"/>
              <w:jc w:val="both"/>
              <w:rPr>
                <w:rFonts w:ascii="Arial" w:eastAsia="Times New Roman" w:hAnsi="Arial" w:cs="Arial"/>
                <w:color w:val="000000" w:themeColor="text1"/>
                <w:lang w:val="en-IE" w:eastAsia="en-IE"/>
              </w:rPr>
            </w:pPr>
          </w:p>
          <w:p w14:paraId="48C2135F" w14:textId="77777777" w:rsidR="00BE031F" w:rsidRPr="006252AD" w:rsidRDefault="00BE031F" w:rsidP="00BE031F">
            <w:pPr>
              <w:spacing w:line="276" w:lineRule="auto"/>
              <w:jc w:val="both"/>
              <w:rPr>
                <w:rFonts w:ascii="Arial" w:eastAsia="Times New Roman" w:hAnsi="Arial" w:cs="Arial"/>
                <w:color w:val="000000" w:themeColor="text1"/>
                <w:lang w:val="en-IE" w:eastAsia="en-IE"/>
              </w:rPr>
            </w:pPr>
            <w:proofErr w:type="spellStart"/>
            <w:r w:rsidRPr="006252AD">
              <w:rPr>
                <w:rFonts w:ascii="Arial" w:eastAsia="Times New Roman" w:hAnsi="Arial" w:cs="Arial"/>
                <w:color w:val="000000" w:themeColor="text1"/>
                <w:lang w:val="en-IE" w:eastAsia="en-IE"/>
              </w:rPr>
              <w:t>CoCo</w:t>
            </w:r>
            <w:proofErr w:type="spellEnd"/>
            <w:r w:rsidRPr="006252AD">
              <w:rPr>
                <w:rFonts w:ascii="Arial" w:eastAsia="Times New Roman" w:hAnsi="Arial" w:cs="Arial"/>
                <w:color w:val="000000" w:themeColor="text1"/>
                <w:lang w:val="en-IE" w:eastAsia="en-IE"/>
              </w:rPr>
              <w:t xml:space="preserve"> bonds are issued by some of the most regulated institutions in the world, who are subject to rigorous risk management and disclosure requirements. For example, banks that issue </w:t>
            </w:r>
            <w:proofErr w:type="spellStart"/>
            <w:r w:rsidRPr="006252AD">
              <w:rPr>
                <w:rFonts w:ascii="Arial" w:eastAsia="Times New Roman" w:hAnsi="Arial" w:cs="Arial"/>
                <w:color w:val="000000" w:themeColor="text1"/>
                <w:lang w:val="en-IE" w:eastAsia="en-IE"/>
              </w:rPr>
              <w:t>CoCo</w:t>
            </w:r>
            <w:proofErr w:type="spellEnd"/>
            <w:r w:rsidRPr="006252AD">
              <w:rPr>
                <w:rFonts w:ascii="Arial" w:eastAsia="Times New Roman" w:hAnsi="Arial" w:cs="Arial"/>
                <w:color w:val="000000" w:themeColor="text1"/>
                <w:lang w:val="en-IE" w:eastAsia="en-IE"/>
              </w:rPr>
              <w:t xml:space="preserve"> bonds are heavily supervised by several authorities (e.g. </w:t>
            </w:r>
            <w:r w:rsidRPr="006252AD">
              <w:rPr>
                <w:rFonts w:ascii="Arial" w:eastAsia="Times New Roman" w:hAnsi="Arial" w:cs="Arial"/>
                <w:color w:val="000000" w:themeColor="text1"/>
                <w:lang w:val="en-GB" w:eastAsia="en-IE"/>
              </w:rPr>
              <w:t>European Central Bank</w:t>
            </w:r>
            <w:r w:rsidRPr="006252AD">
              <w:rPr>
                <w:rFonts w:ascii="Arial" w:eastAsia="Times New Roman" w:hAnsi="Arial" w:cs="Arial"/>
                <w:color w:val="000000" w:themeColor="text1"/>
                <w:lang w:val="en-IE" w:eastAsia="en-IE"/>
              </w:rPr>
              <w:t xml:space="preserve"> [“</w:t>
            </w:r>
            <w:r w:rsidRPr="006252AD">
              <w:rPr>
                <w:rFonts w:ascii="Arial" w:eastAsia="Times New Roman" w:hAnsi="Arial" w:cs="Arial"/>
                <w:b/>
                <w:bCs/>
                <w:color w:val="000000" w:themeColor="text1"/>
                <w:lang w:val="en-IE" w:eastAsia="en-IE"/>
              </w:rPr>
              <w:t>ECB</w:t>
            </w:r>
            <w:r w:rsidRPr="006252AD">
              <w:rPr>
                <w:rFonts w:ascii="Arial" w:eastAsia="Times New Roman" w:hAnsi="Arial" w:cs="Arial"/>
                <w:color w:val="000000" w:themeColor="text1"/>
                <w:lang w:val="en-IE" w:eastAsia="en-IE"/>
              </w:rPr>
              <w:t>”] and European Banking Authority [“</w:t>
            </w:r>
            <w:r w:rsidRPr="006252AD">
              <w:rPr>
                <w:rFonts w:ascii="Arial" w:eastAsia="Times New Roman" w:hAnsi="Arial" w:cs="Arial"/>
                <w:b/>
                <w:bCs/>
                <w:color w:val="000000" w:themeColor="text1"/>
                <w:lang w:val="en-IE" w:eastAsia="en-IE"/>
              </w:rPr>
              <w:t>EBA</w:t>
            </w:r>
            <w:r w:rsidRPr="006252AD">
              <w:rPr>
                <w:rFonts w:ascii="Arial" w:eastAsia="Times New Roman" w:hAnsi="Arial" w:cs="Arial"/>
                <w:color w:val="000000" w:themeColor="text1"/>
                <w:lang w:val="en-IE" w:eastAsia="en-IE"/>
              </w:rPr>
              <w:t xml:space="preserve">”]) and in Europe alone, approximately 6,000 people are entrusted with the ongoing supervision of banks. Banks and insurers have a strong incentive to maintain their </w:t>
            </w:r>
            <w:proofErr w:type="spellStart"/>
            <w:r w:rsidRPr="006252AD">
              <w:rPr>
                <w:rFonts w:ascii="Arial" w:eastAsia="Times New Roman" w:hAnsi="Arial" w:cs="Arial"/>
                <w:color w:val="000000" w:themeColor="text1"/>
                <w:lang w:val="en-IE" w:eastAsia="en-IE"/>
              </w:rPr>
              <w:t>CoCo</w:t>
            </w:r>
            <w:proofErr w:type="spellEnd"/>
            <w:r w:rsidRPr="006252AD">
              <w:rPr>
                <w:rFonts w:ascii="Arial" w:eastAsia="Times New Roman" w:hAnsi="Arial" w:cs="Arial"/>
                <w:color w:val="000000" w:themeColor="text1"/>
                <w:lang w:val="en-IE" w:eastAsia="en-IE"/>
              </w:rPr>
              <w:t xml:space="preserve"> bonds’ performance since these bonds are integral to their capital structure. Any failure to meet their </w:t>
            </w:r>
            <w:r w:rsidRPr="006252AD">
              <w:rPr>
                <w:rFonts w:ascii="Arial" w:eastAsia="Times New Roman" w:hAnsi="Arial" w:cs="Arial"/>
                <w:color w:val="000000" w:themeColor="text1"/>
                <w:lang w:val="en-IE" w:eastAsia="en-IE"/>
              </w:rPr>
              <w:lastRenderedPageBreak/>
              <w:t>obligations can have grave operational and reputational consequences for the bank or insurer.</w:t>
            </w:r>
          </w:p>
          <w:p w14:paraId="586DFD80" w14:textId="77777777" w:rsidR="00BE031F" w:rsidRPr="006252AD" w:rsidRDefault="00BE031F" w:rsidP="00BE031F">
            <w:pPr>
              <w:spacing w:line="276" w:lineRule="auto"/>
              <w:jc w:val="both"/>
              <w:rPr>
                <w:rFonts w:ascii="Arial" w:eastAsia="Times New Roman" w:hAnsi="Arial" w:cs="Arial"/>
                <w:color w:val="000000" w:themeColor="text1"/>
                <w:lang w:val="en-IE" w:eastAsia="en-IE"/>
              </w:rPr>
            </w:pPr>
          </w:p>
          <w:p w14:paraId="0EA2F71D" w14:textId="77777777" w:rsidR="00BE031F" w:rsidRPr="006252AD" w:rsidRDefault="00BE031F" w:rsidP="00BE031F">
            <w:pPr>
              <w:spacing w:line="276" w:lineRule="auto"/>
              <w:jc w:val="both"/>
              <w:rPr>
                <w:rFonts w:ascii="Arial" w:eastAsia="Times New Roman" w:hAnsi="Arial" w:cs="Arial"/>
                <w:color w:val="000000" w:themeColor="text1"/>
                <w:lang w:val="en-IE" w:eastAsia="en-IE"/>
              </w:rPr>
            </w:pPr>
            <w:r w:rsidRPr="006252AD">
              <w:rPr>
                <w:rFonts w:ascii="Arial" w:eastAsia="Times New Roman" w:hAnsi="Arial" w:cs="Arial"/>
                <w:color w:val="000000" w:themeColor="text1"/>
                <w:lang w:val="en-IE" w:eastAsia="en-IE"/>
              </w:rPr>
              <w:t xml:space="preserve">Stress testing of banks, as large issuers of </w:t>
            </w:r>
            <w:proofErr w:type="spellStart"/>
            <w:r w:rsidRPr="006252AD">
              <w:rPr>
                <w:rFonts w:ascii="Arial" w:eastAsia="Times New Roman" w:hAnsi="Arial" w:cs="Arial"/>
                <w:color w:val="000000" w:themeColor="text1"/>
                <w:lang w:val="en-IE" w:eastAsia="en-IE"/>
              </w:rPr>
              <w:t>CoCo</w:t>
            </w:r>
            <w:proofErr w:type="spellEnd"/>
            <w:r w:rsidRPr="006252AD">
              <w:rPr>
                <w:rFonts w:ascii="Arial" w:eastAsia="Times New Roman" w:hAnsi="Arial" w:cs="Arial"/>
                <w:color w:val="000000" w:themeColor="text1"/>
                <w:lang w:val="en-IE" w:eastAsia="en-IE"/>
              </w:rPr>
              <w:t xml:space="preserve"> bonds, are also performed on a periodic basis by regulators such as the EBA, ECB and Bank of England [“</w:t>
            </w:r>
            <w:r w:rsidRPr="006252AD">
              <w:rPr>
                <w:rFonts w:ascii="Arial" w:eastAsia="Times New Roman" w:hAnsi="Arial" w:cs="Arial"/>
                <w:b/>
                <w:bCs/>
                <w:color w:val="000000" w:themeColor="text1"/>
                <w:lang w:val="en-IE" w:eastAsia="en-IE"/>
              </w:rPr>
              <w:t>BOE</w:t>
            </w:r>
            <w:r w:rsidRPr="006252AD">
              <w:rPr>
                <w:rFonts w:ascii="Arial" w:eastAsia="Times New Roman" w:hAnsi="Arial" w:cs="Arial"/>
                <w:color w:val="000000" w:themeColor="text1"/>
                <w:lang w:val="en-IE" w:eastAsia="en-IE"/>
              </w:rPr>
              <w:t>”]. The results of these stress tests are public and amply reported in the media, providing a degree of transparency that is unique to these securities. These stress tests simulate the impact of adverse macroeconomic scenarios on the solvency of banks and thereby the impact of potential losses on capital instruments. In its latest stress test report the EBA/ECB</w:t>
            </w:r>
            <w:r w:rsidRPr="006252AD">
              <w:rPr>
                <w:rStyle w:val="FootnoteReference"/>
                <w:rFonts w:ascii="Arial" w:eastAsia="Times New Roman" w:hAnsi="Arial" w:cs="Arial"/>
                <w:color w:val="000000" w:themeColor="text1"/>
                <w:lang w:val="en-IE" w:eastAsia="en-IE"/>
              </w:rPr>
              <w:footnoteReference w:id="25"/>
            </w:r>
            <w:r w:rsidRPr="006252AD">
              <w:rPr>
                <w:rFonts w:ascii="Arial" w:eastAsia="Times New Roman" w:hAnsi="Arial" w:cs="Arial"/>
                <w:color w:val="000000" w:themeColor="text1"/>
                <w:lang w:val="en-IE" w:eastAsia="en-IE"/>
              </w:rPr>
              <w:t xml:space="preserve"> confirmed that the majority of EU banks included in the exercise would survive a material adverse macroeconomic shock which would not impact their </w:t>
            </w:r>
            <w:proofErr w:type="spellStart"/>
            <w:r w:rsidRPr="006252AD">
              <w:rPr>
                <w:rFonts w:ascii="Arial" w:eastAsia="Times New Roman" w:hAnsi="Arial" w:cs="Arial"/>
                <w:color w:val="000000" w:themeColor="text1"/>
                <w:lang w:val="en-IE" w:eastAsia="en-IE"/>
              </w:rPr>
              <w:t>CoCo</w:t>
            </w:r>
            <w:proofErr w:type="spellEnd"/>
            <w:r w:rsidRPr="006252AD">
              <w:rPr>
                <w:rFonts w:ascii="Arial" w:eastAsia="Times New Roman" w:hAnsi="Arial" w:cs="Arial"/>
                <w:color w:val="000000" w:themeColor="text1"/>
                <w:lang w:val="en-IE" w:eastAsia="en-IE"/>
              </w:rPr>
              <w:t xml:space="preserve"> / AT1 Bonds in issue. Similarly, the BOE confirmed</w:t>
            </w:r>
            <w:r w:rsidRPr="006252AD">
              <w:rPr>
                <w:rStyle w:val="FootnoteReference"/>
                <w:rFonts w:ascii="Arial" w:eastAsia="Times New Roman" w:hAnsi="Arial" w:cs="Arial"/>
                <w:color w:val="000000" w:themeColor="text1"/>
                <w:lang w:val="en-IE" w:eastAsia="en-IE"/>
              </w:rPr>
              <w:footnoteReference w:id="26"/>
            </w:r>
            <w:r w:rsidRPr="006252AD">
              <w:rPr>
                <w:rFonts w:ascii="Arial" w:eastAsia="Times New Roman" w:hAnsi="Arial" w:cs="Arial"/>
                <w:color w:val="000000" w:themeColor="text1"/>
                <w:lang w:val="en-IE" w:eastAsia="en-IE"/>
              </w:rPr>
              <w:t xml:space="preserve"> that the major UK banks would be resilient to a severe stress scenario, would remain above their CET1 requirements and would not be </w:t>
            </w:r>
            <w:r w:rsidRPr="006252AD">
              <w:rPr>
                <w:rFonts w:ascii="Arial" w:eastAsia="Times New Roman" w:hAnsi="Arial" w:cs="Arial"/>
                <w:color w:val="000000" w:themeColor="text1"/>
                <w:lang w:val="en-IE" w:eastAsia="en-IE"/>
              </w:rPr>
              <w:lastRenderedPageBreak/>
              <w:t xml:space="preserve">required to convert their </w:t>
            </w:r>
            <w:proofErr w:type="spellStart"/>
            <w:r w:rsidRPr="006252AD">
              <w:rPr>
                <w:rFonts w:ascii="Arial" w:eastAsia="Times New Roman" w:hAnsi="Arial" w:cs="Arial"/>
                <w:color w:val="000000" w:themeColor="text1"/>
                <w:lang w:val="en-IE" w:eastAsia="en-IE"/>
              </w:rPr>
              <w:t>CoCo</w:t>
            </w:r>
            <w:proofErr w:type="spellEnd"/>
            <w:r w:rsidRPr="006252AD">
              <w:rPr>
                <w:rFonts w:ascii="Arial" w:eastAsia="Times New Roman" w:hAnsi="Arial" w:cs="Arial"/>
                <w:color w:val="000000" w:themeColor="text1"/>
                <w:lang w:val="en-IE" w:eastAsia="en-IE"/>
              </w:rPr>
              <w:t xml:space="preserve"> / AT1 Bonds.</w:t>
            </w:r>
          </w:p>
          <w:p w14:paraId="1CEEBE52" w14:textId="77777777" w:rsidR="00BE031F" w:rsidRPr="006252AD" w:rsidRDefault="00BE031F" w:rsidP="00BE031F">
            <w:pPr>
              <w:spacing w:line="276" w:lineRule="auto"/>
              <w:jc w:val="both"/>
              <w:rPr>
                <w:rFonts w:ascii="Arial" w:eastAsia="Times New Roman" w:hAnsi="Arial" w:cs="Arial"/>
                <w:color w:val="000000" w:themeColor="text1"/>
                <w:lang w:val="en-IE" w:eastAsia="en-IE"/>
              </w:rPr>
            </w:pPr>
          </w:p>
          <w:p w14:paraId="0E081EC4" w14:textId="77777777" w:rsidR="00BE031F" w:rsidRPr="006252AD" w:rsidRDefault="00BE031F" w:rsidP="00BE031F">
            <w:pPr>
              <w:spacing w:line="276" w:lineRule="auto"/>
              <w:jc w:val="both"/>
              <w:rPr>
                <w:rFonts w:ascii="Arial" w:eastAsia="Times New Roman" w:hAnsi="Arial" w:cs="Arial"/>
                <w:color w:val="000000" w:themeColor="text1"/>
                <w:lang w:val="en-IE" w:eastAsia="en-IE"/>
              </w:rPr>
            </w:pPr>
            <w:r w:rsidRPr="006252AD">
              <w:rPr>
                <w:rFonts w:ascii="Arial" w:eastAsia="Times New Roman" w:hAnsi="Arial" w:cs="Arial"/>
                <w:color w:val="000000" w:themeColor="text1"/>
                <w:lang w:val="en-IE" w:eastAsia="en-IE"/>
              </w:rPr>
              <w:t>The health of the banking system has improved immensely over the past decade as demonstrated by banks having significantly increased their capital ratios and improved their profitability. Data from the ECB has confirmed that the average CET1 ratio of EU banks was 15.7% as of December 2023</w:t>
            </w:r>
            <w:r w:rsidRPr="006252AD">
              <w:rPr>
                <w:rStyle w:val="FootnoteReference"/>
                <w:rFonts w:ascii="Arial" w:eastAsia="Times New Roman" w:hAnsi="Arial" w:cs="Arial"/>
                <w:color w:val="000000" w:themeColor="text1"/>
                <w:lang w:val="en-IE" w:eastAsia="en-IE"/>
              </w:rPr>
              <w:footnoteReference w:id="27"/>
            </w:r>
            <w:r w:rsidRPr="006252AD">
              <w:rPr>
                <w:rFonts w:ascii="Arial" w:eastAsia="Times New Roman" w:hAnsi="Arial" w:cs="Arial"/>
                <w:color w:val="000000" w:themeColor="text1"/>
                <w:lang w:val="en-IE" w:eastAsia="en-IE"/>
              </w:rPr>
              <w:t>. Additionally, many banks have excess capital which they are returning to shareholders via dividends and share buybacks.</w:t>
            </w:r>
          </w:p>
          <w:p w14:paraId="689109E9" w14:textId="77777777" w:rsidR="00BE031F" w:rsidRPr="006252AD" w:rsidRDefault="00BE031F" w:rsidP="00BE031F">
            <w:pPr>
              <w:spacing w:line="276" w:lineRule="auto"/>
              <w:jc w:val="both"/>
              <w:rPr>
                <w:rFonts w:ascii="Arial" w:eastAsia="Times New Roman" w:hAnsi="Arial" w:cs="Arial"/>
                <w:color w:val="000000" w:themeColor="text1"/>
                <w:lang w:val="en-IE" w:eastAsia="en-IE"/>
              </w:rPr>
            </w:pPr>
          </w:p>
          <w:p w14:paraId="1F361F24" w14:textId="77777777" w:rsidR="00BE031F" w:rsidRPr="006252AD" w:rsidRDefault="00BE031F" w:rsidP="00BE031F">
            <w:pPr>
              <w:spacing w:line="276" w:lineRule="auto"/>
              <w:jc w:val="both"/>
              <w:rPr>
                <w:rFonts w:ascii="Arial" w:eastAsia="Times New Roman" w:hAnsi="Arial" w:cs="Arial"/>
                <w:color w:val="000000" w:themeColor="text1"/>
                <w:lang w:val="en-IE" w:eastAsia="en-IE"/>
              </w:rPr>
            </w:pPr>
            <w:proofErr w:type="spellStart"/>
            <w:r w:rsidRPr="006252AD">
              <w:rPr>
                <w:rFonts w:ascii="Arial" w:eastAsia="Times New Roman" w:hAnsi="Arial" w:cs="Arial"/>
                <w:color w:val="000000" w:themeColor="text1"/>
                <w:lang w:val="en-IE" w:eastAsia="en-IE"/>
              </w:rPr>
              <w:t>CoCo</w:t>
            </w:r>
            <w:proofErr w:type="spellEnd"/>
            <w:r w:rsidRPr="006252AD">
              <w:rPr>
                <w:rFonts w:ascii="Arial" w:eastAsia="Times New Roman" w:hAnsi="Arial" w:cs="Arial"/>
                <w:color w:val="000000" w:themeColor="text1"/>
                <w:lang w:val="en-IE" w:eastAsia="en-IE"/>
              </w:rPr>
              <w:t xml:space="preserve"> bonds are generally issued by highly-rated institutions, but carry a lower credit rating due to their position in the capital structure of the issuing entity. </w:t>
            </w:r>
            <w:proofErr w:type="spellStart"/>
            <w:r w:rsidRPr="006252AD">
              <w:rPr>
                <w:rFonts w:ascii="Arial" w:eastAsia="Times New Roman" w:hAnsi="Arial" w:cs="Arial"/>
                <w:color w:val="000000" w:themeColor="text1"/>
                <w:lang w:val="en-IE" w:eastAsia="en-IE"/>
              </w:rPr>
              <w:t>CoCo</w:t>
            </w:r>
            <w:proofErr w:type="spellEnd"/>
            <w:r w:rsidRPr="006252AD">
              <w:rPr>
                <w:rFonts w:ascii="Arial" w:eastAsia="Times New Roman" w:hAnsi="Arial" w:cs="Arial"/>
                <w:color w:val="000000" w:themeColor="text1"/>
                <w:lang w:val="en-IE" w:eastAsia="en-IE"/>
              </w:rPr>
              <w:t xml:space="preserve"> bonds sit above common and preferred equity, but below other debt issuance. They therefore carry risks that generally sit between these two well-established asset classes – riskier than traditional bonds, but less risky than equity. This is to say, that while </w:t>
            </w:r>
            <w:proofErr w:type="spellStart"/>
            <w:r w:rsidRPr="006252AD">
              <w:rPr>
                <w:rFonts w:ascii="Arial" w:eastAsia="Times New Roman" w:hAnsi="Arial" w:cs="Arial"/>
                <w:color w:val="000000" w:themeColor="text1"/>
                <w:lang w:val="en-IE" w:eastAsia="en-IE"/>
              </w:rPr>
              <w:t>CoCo</w:t>
            </w:r>
            <w:proofErr w:type="spellEnd"/>
            <w:r w:rsidRPr="006252AD">
              <w:rPr>
                <w:rFonts w:ascii="Arial" w:eastAsia="Times New Roman" w:hAnsi="Arial" w:cs="Arial"/>
                <w:color w:val="000000" w:themeColor="text1"/>
                <w:lang w:val="en-IE" w:eastAsia="en-IE"/>
              </w:rPr>
              <w:t xml:space="preserve"> bonds are higher yielding, the issuers themselves are not high yield issuers.</w:t>
            </w:r>
          </w:p>
          <w:p w14:paraId="7A556657" w14:textId="77777777" w:rsidR="00BE031F" w:rsidRPr="006252AD" w:rsidRDefault="00BE031F" w:rsidP="00BE031F">
            <w:pPr>
              <w:spacing w:line="276" w:lineRule="auto"/>
              <w:jc w:val="both"/>
              <w:rPr>
                <w:rFonts w:ascii="Arial" w:eastAsia="Times New Roman" w:hAnsi="Arial" w:cs="Arial"/>
                <w:color w:val="000000" w:themeColor="text1"/>
                <w:lang w:val="en-IE" w:eastAsia="en-IE"/>
              </w:rPr>
            </w:pPr>
          </w:p>
          <w:p w14:paraId="394415A3" w14:textId="77777777" w:rsidR="00BE031F" w:rsidRPr="006252AD" w:rsidRDefault="00BE031F" w:rsidP="00BE031F">
            <w:pPr>
              <w:spacing w:line="276" w:lineRule="auto"/>
              <w:jc w:val="both"/>
              <w:rPr>
                <w:rFonts w:ascii="Arial" w:eastAsia="Times New Roman" w:hAnsi="Arial" w:cs="Arial"/>
                <w:color w:val="000000" w:themeColor="text1"/>
                <w:lang w:val="en-IE" w:eastAsia="en-IE"/>
              </w:rPr>
            </w:pPr>
            <w:r w:rsidRPr="006252AD">
              <w:rPr>
                <w:rFonts w:ascii="Arial" w:eastAsia="Times New Roman" w:hAnsi="Arial" w:cs="Arial"/>
                <w:color w:val="000000" w:themeColor="text1"/>
                <w:lang w:val="en-IE" w:eastAsia="en-IE"/>
              </w:rPr>
              <w:t xml:space="preserve">The perceived complexity and risks of </w:t>
            </w:r>
            <w:proofErr w:type="spellStart"/>
            <w:r w:rsidRPr="006252AD">
              <w:rPr>
                <w:rFonts w:ascii="Arial" w:eastAsia="Times New Roman" w:hAnsi="Arial" w:cs="Arial"/>
                <w:color w:val="000000" w:themeColor="text1"/>
                <w:lang w:val="en-IE" w:eastAsia="en-IE"/>
              </w:rPr>
              <w:t>CoCo</w:t>
            </w:r>
            <w:proofErr w:type="spellEnd"/>
            <w:r w:rsidRPr="006252AD">
              <w:rPr>
                <w:rFonts w:ascii="Arial" w:eastAsia="Times New Roman" w:hAnsi="Arial" w:cs="Arial"/>
                <w:color w:val="000000" w:themeColor="text1"/>
                <w:lang w:val="en-IE" w:eastAsia="en-IE"/>
              </w:rPr>
              <w:t xml:space="preserve"> bonds are mitigated for investors who invest through a UCITS fund – an already highly regulated structure with a diversified portfolio of assets managed by professional investment and risk professionals, who are employed by regulated investment management firms. Thanks to the strong regulatory regime UCITS funds must operate under, end investors investing in a specialist </w:t>
            </w:r>
            <w:proofErr w:type="spellStart"/>
            <w:r w:rsidRPr="006252AD">
              <w:rPr>
                <w:rFonts w:ascii="Arial" w:eastAsia="Times New Roman" w:hAnsi="Arial" w:cs="Arial"/>
                <w:color w:val="000000" w:themeColor="text1"/>
                <w:lang w:val="en-IE" w:eastAsia="en-IE"/>
              </w:rPr>
              <w:t>CoCo</w:t>
            </w:r>
            <w:proofErr w:type="spellEnd"/>
            <w:r w:rsidRPr="006252AD">
              <w:rPr>
                <w:rFonts w:ascii="Arial" w:eastAsia="Times New Roman" w:hAnsi="Arial" w:cs="Arial"/>
                <w:color w:val="000000" w:themeColor="text1"/>
                <w:lang w:val="en-IE" w:eastAsia="en-IE"/>
              </w:rPr>
              <w:t xml:space="preserve"> UCITS fund can be provided with diversified exposure to multiple </w:t>
            </w:r>
            <w:proofErr w:type="spellStart"/>
            <w:r w:rsidRPr="006252AD">
              <w:rPr>
                <w:rFonts w:ascii="Arial" w:eastAsia="Times New Roman" w:hAnsi="Arial" w:cs="Arial"/>
                <w:color w:val="000000" w:themeColor="text1"/>
                <w:lang w:val="en-IE" w:eastAsia="en-IE"/>
              </w:rPr>
              <w:t>CoCo</w:t>
            </w:r>
            <w:proofErr w:type="spellEnd"/>
            <w:r w:rsidRPr="006252AD">
              <w:rPr>
                <w:rFonts w:ascii="Arial" w:eastAsia="Times New Roman" w:hAnsi="Arial" w:cs="Arial"/>
                <w:color w:val="000000" w:themeColor="text1"/>
                <w:lang w:val="en-IE" w:eastAsia="en-IE"/>
              </w:rPr>
              <w:t xml:space="preserve"> bonds and issuers, mitigating concentration risk due to stringent investment restrictions and risk spreading applicable to UCITS. Further, in light of the strategic priority of creating a strong capital markets union (“</w:t>
            </w:r>
            <w:r w:rsidRPr="006252AD">
              <w:rPr>
                <w:rFonts w:ascii="Arial" w:eastAsia="Times New Roman" w:hAnsi="Arial" w:cs="Arial"/>
                <w:b/>
                <w:bCs/>
                <w:color w:val="000000" w:themeColor="text1"/>
                <w:lang w:val="en-IE" w:eastAsia="en-IE"/>
              </w:rPr>
              <w:t>CMU</w:t>
            </w:r>
            <w:r w:rsidRPr="006252AD">
              <w:rPr>
                <w:rFonts w:ascii="Arial" w:eastAsia="Times New Roman" w:hAnsi="Arial" w:cs="Arial"/>
                <w:color w:val="000000" w:themeColor="text1"/>
                <w:lang w:val="en-IE" w:eastAsia="en-IE"/>
              </w:rPr>
              <w:t xml:space="preserve">”) for EU investors, the ability of UCITS to invest in </w:t>
            </w:r>
            <w:proofErr w:type="spellStart"/>
            <w:r w:rsidRPr="006252AD">
              <w:rPr>
                <w:rFonts w:ascii="Arial" w:eastAsia="Times New Roman" w:hAnsi="Arial" w:cs="Arial"/>
                <w:color w:val="000000" w:themeColor="text1"/>
                <w:lang w:val="en-IE" w:eastAsia="en-IE"/>
              </w:rPr>
              <w:t>CoCo</w:t>
            </w:r>
            <w:proofErr w:type="spellEnd"/>
            <w:r w:rsidRPr="006252AD">
              <w:rPr>
                <w:rFonts w:ascii="Arial" w:eastAsia="Times New Roman" w:hAnsi="Arial" w:cs="Arial"/>
                <w:color w:val="000000" w:themeColor="text1"/>
                <w:lang w:val="en-IE" w:eastAsia="en-IE"/>
              </w:rPr>
              <w:t xml:space="preserve"> bonds issued by EU financial institutions is aligned with the objectives of the CMU project.</w:t>
            </w:r>
          </w:p>
          <w:p w14:paraId="03FED5C6" w14:textId="77777777" w:rsidR="00BE031F" w:rsidRPr="006252AD" w:rsidRDefault="00BE031F" w:rsidP="00BE031F">
            <w:pPr>
              <w:spacing w:line="276" w:lineRule="auto"/>
              <w:jc w:val="both"/>
              <w:rPr>
                <w:rFonts w:ascii="Arial" w:eastAsia="Times New Roman" w:hAnsi="Arial" w:cs="Arial"/>
                <w:color w:val="000000" w:themeColor="text1"/>
                <w:lang w:val="en-IE" w:eastAsia="en-IE"/>
              </w:rPr>
            </w:pPr>
          </w:p>
          <w:p w14:paraId="625BD250" w14:textId="77777777" w:rsidR="00BE031F" w:rsidRPr="006252AD" w:rsidRDefault="00BE031F" w:rsidP="00BE031F">
            <w:pPr>
              <w:spacing w:line="276" w:lineRule="auto"/>
              <w:jc w:val="both"/>
              <w:rPr>
                <w:rFonts w:ascii="Arial" w:eastAsia="Times New Roman" w:hAnsi="Arial" w:cs="Arial"/>
                <w:color w:val="000000" w:themeColor="text1"/>
                <w:lang w:val="en-IE" w:eastAsia="en-IE"/>
              </w:rPr>
            </w:pPr>
            <w:r w:rsidRPr="006252AD">
              <w:rPr>
                <w:rFonts w:ascii="Arial" w:eastAsia="Times New Roman" w:hAnsi="Arial" w:cs="Arial"/>
                <w:color w:val="000000" w:themeColor="text1"/>
                <w:lang w:val="en-IE" w:eastAsia="en-IE"/>
              </w:rPr>
              <w:t xml:space="preserve">With respect to complexity specifically, professionals employed by investment managers are experts in the asset class and will have a </w:t>
            </w:r>
            <w:r w:rsidRPr="006252AD">
              <w:rPr>
                <w:rFonts w:ascii="Arial" w:eastAsia="Times New Roman" w:hAnsi="Arial" w:cs="Arial"/>
                <w:color w:val="000000" w:themeColor="text1"/>
                <w:lang w:val="en-IE" w:eastAsia="en-IE"/>
              </w:rPr>
              <w:lastRenderedPageBreak/>
              <w:t xml:space="preserve">thorough and deep understanding of the unique features present in certain </w:t>
            </w:r>
            <w:proofErr w:type="spellStart"/>
            <w:r w:rsidRPr="006252AD">
              <w:rPr>
                <w:rFonts w:ascii="Arial" w:eastAsia="Times New Roman" w:hAnsi="Arial" w:cs="Arial"/>
                <w:color w:val="000000" w:themeColor="text1"/>
                <w:lang w:val="en-IE" w:eastAsia="en-IE"/>
              </w:rPr>
              <w:t>CoCo</w:t>
            </w:r>
            <w:proofErr w:type="spellEnd"/>
            <w:r w:rsidRPr="006252AD">
              <w:rPr>
                <w:rFonts w:ascii="Arial" w:eastAsia="Times New Roman" w:hAnsi="Arial" w:cs="Arial"/>
                <w:color w:val="000000" w:themeColor="text1"/>
                <w:lang w:val="en-IE" w:eastAsia="en-IE"/>
              </w:rPr>
              <w:t xml:space="preserve"> bonds. These professionals are cognisant of and attentive to the unique features of </w:t>
            </w:r>
            <w:proofErr w:type="spellStart"/>
            <w:r w:rsidRPr="006252AD">
              <w:rPr>
                <w:rFonts w:ascii="Arial" w:eastAsia="Times New Roman" w:hAnsi="Arial" w:cs="Arial"/>
                <w:color w:val="000000" w:themeColor="text1"/>
                <w:lang w:val="en-IE" w:eastAsia="en-IE"/>
              </w:rPr>
              <w:t>CoCo</w:t>
            </w:r>
            <w:proofErr w:type="spellEnd"/>
            <w:r w:rsidRPr="006252AD">
              <w:rPr>
                <w:rFonts w:ascii="Arial" w:eastAsia="Times New Roman" w:hAnsi="Arial" w:cs="Arial"/>
                <w:color w:val="000000" w:themeColor="text1"/>
                <w:lang w:val="en-IE" w:eastAsia="en-IE"/>
              </w:rPr>
              <w:t xml:space="preserve"> bonds at all times, having the time and resources to keep abreast of market developments as they happen. </w:t>
            </w:r>
          </w:p>
          <w:p w14:paraId="77A0288B" w14:textId="77777777" w:rsidR="00BE031F" w:rsidRPr="006252AD" w:rsidRDefault="00BE031F" w:rsidP="00BE031F">
            <w:pPr>
              <w:spacing w:line="276" w:lineRule="auto"/>
              <w:jc w:val="both"/>
              <w:rPr>
                <w:rFonts w:ascii="Arial" w:eastAsia="Times New Roman" w:hAnsi="Arial" w:cs="Arial"/>
                <w:color w:val="000000" w:themeColor="text1"/>
                <w:lang w:val="en-IE" w:eastAsia="en-IE"/>
              </w:rPr>
            </w:pPr>
          </w:p>
          <w:p w14:paraId="56404266" w14:textId="77777777" w:rsidR="00BE031F" w:rsidRPr="006252AD" w:rsidRDefault="00BE031F" w:rsidP="00BE031F">
            <w:pPr>
              <w:spacing w:line="276" w:lineRule="auto"/>
              <w:jc w:val="both"/>
              <w:rPr>
                <w:rFonts w:ascii="Arial" w:eastAsia="Times New Roman" w:hAnsi="Arial" w:cs="Arial"/>
                <w:color w:val="000000" w:themeColor="text1"/>
                <w:lang w:val="en-IE" w:eastAsia="en-IE"/>
              </w:rPr>
            </w:pPr>
            <w:r w:rsidRPr="006252AD">
              <w:rPr>
                <w:rFonts w:ascii="Arial" w:eastAsia="Times New Roman" w:hAnsi="Arial" w:cs="Arial"/>
                <w:color w:val="000000" w:themeColor="text1"/>
                <w:lang w:val="en-IE" w:eastAsia="en-IE"/>
              </w:rPr>
              <w:t xml:space="preserve">With respect to risks specifically, as a regulated product UCITS funds are required to disclose and describe in a comprehensive manner the risks that are applicable to the UCITS fund in its offering documents which are made available to investors for their review before any investment. In addition, UCITS funds, via the investment manager, employ rigorous due diligence and investment processes before any investment. Moreover, dedicated risk personnel at the investment manager monitor the risks at all times, enabling adjustments to risk levels to be made based on market conditions or allows the avoidance of issuers and specific bonds that do not align with the UCITS fund’s stated risk-reward profile. </w:t>
            </w:r>
          </w:p>
          <w:p w14:paraId="7A401E17" w14:textId="77777777" w:rsidR="00BE031F" w:rsidRPr="006252AD" w:rsidRDefault="00BE031F" w:rsidP="00BE031F">
            <w:pPr>
              <w:spacing w:line="276" w:lineRule="auto"/>
              <w:jc w:val="both"/>
              <w:rPr>
                <w:rFonts w:ascii="Arial" w:eastAsia="Times New Roman" w:hAnsi="Arial" w:cs="Arial"/>
                <w:color w:val="000000" w:themeColor="text1"/>
                <w:lang w:val="en-IE" w:eastAsia="en-IE"/>
              </w:rPr>
            </w:pPr>
          </w:p>
          <w:p w14:paraId="08CF4CCC" w14:textId="77777777" w:rsidR="00BE031F" w:rsidRPr="006252AD" w:rsidRDefault="00BE031F" w:rsidP="00BE031F">
            <w:pPr>
              <w:spacing w:line="276" w:lineRule="auto"/>
              <w:jc w:val="both"/>
              <w:rPr>
                <w:rFonts w:ascii="Arial" w:eastAsia="Times New Roman" w:hAnsi="Arial" w:cs="Arial"/>
                <w:color w:val="000000" w:themeColor="text1"/>
                <w:lang w:val="en-IE" w:eastAsia="en-IE"/>
              </w:rPr>
            </w:pPr>
            <w:r w:rsidRPr="006252AD">
              <w:rPr>
                <w:rFonts w:ascii="Arial" w:eastAsia="Times New Roman" w:hAnsi="Arial" w:cs="Arial"/>
                <w:color w:val="000000" w:themeColor="text1"/>
                <w:lang w:val="en-IE" w:eastAsia="en-IE"/>
              </w:rPr>
              <w:lastRenderedPageBreak/>
              <w:t xml:space="preserve">Fund selectors or other intermediaries acting on behalf of retail clients also have and take the opportunity to put the investment manager through rigorous and intense due diligence processes to ensure the firm has adequate risk management procedures and effective investment oversight before offering the UCITS product to end investors. </w:t>
            </w:r>
          </w:p>
          <w:p w14:paraId="13C1EC14" w14:textId="77777777" w:rsidR="00BE031F" w:rsidRPr="006252AD" w:rsidRDefault="00BE031F" w:rsidP="00BE031F">
            <w:pPr>
              <w:spacing w:line="276" w:lineRule="auto"/>
              <w:jc w:val="both"/>
              <w:rPr>
                <w:rFonts w:ascii="Arial" w:eastAsia="Times New Roman" w:hAnsi="Arial" w:cs="Arial"/>
                <w:color w:val="000000" w:themeColor="text1"/>
                <w:lang w:val="en-IE" w:eastAsia="en-IE"/>
              </w:rPr>
            </w:pPr>
          </w:p>
          <w:p w14:paraId="118A7710" w14:textId="77777777" w:rsidR="00BE031F" w:rsidRPr="006252AD" w:rsidRDefault="00BE031F" w:rsidP="00BE031F">
            <w:pPr>
              <w:spacing w:line="276" w:lineRule="auto"/>
              <w:jc w:val="both"/>
              <w:rPr>
                <w:rFonts w:ascii="Arial" w:eastAsia="Times New Roman" w:hAnsi="Arial" w:cs="Arial"/>
                <w:color w:val="000000" w:themeColor="text1"/>
                <w:lang w:val="en-IE" w:eastAsia="en-IE"/>
              </w:rPr>
            </w:pPr>
            <w:r w:rsidRPr="006252AD">
              <w:rPr>
                <w:rFonts w:ascii="Arial" w:eastAsia="Times New Roman" w:hAnsi="Arial" w:cs="Arial"/>
                <w:color w:val="000000" w:themeColor="text1"/>
                <w:lang w:val="en-IE" w:eastAsia="en-IE"/>
              </w:rPr>
              <w:t>Retail investors already have access to riskier asset classes via UCITS structures (e.g., emerging market equities and debt) as well as through direct investment (e.g., equities and derivatives). Notwithstanding this, investment managers can restrict the access of less sophisticated investors to UCITS holding exposure to Cocos / AT1 bonds.</w:t>
            </w:r>
          </w:p>
          <w:p w14:paraId="08065258" w14:textId="77777777" w:rsidR="00BE031F" w:rsidRPr="006252AD" w:rsidRDefault="00BE031F" w:rsidP="00BE031F">
            <w:pPr>
              <w:spacing w:line="276" w:lineRule="auto"/>
              <w:jc w:val="both"/>
              <w:rPr>
                <w:rFonts w:ascii="Arial" w:eastAsia="Times New Roman" w:hAnsi="Arial" w:cs="Arial"/>
                <w:color w:val="000000" w:themeColor="text1"/>
                <w:lang w:val="en-IE" w:eastAsia="en-IE"/>
              </w:rPr>
            </w:pPr>
          </w:p>
          <w:p w14:paraId="7591AFEA" w14:textId="77777777" w:rsidR="00BE031F" w:rsidRPr="006252AD" w:rsidRDefault="00BE031F" w:rsidP="00BE031F">
            <w:pPr>
              <w:spacing w:line="276" w:lineRule="auto"/>
              <w:jc w:val="both"/>
              <w:rPr>
                <w:rFonts w:ascii="Arial" w:eastAsia="Times New Roman" w:hAnsi="Arial" w:cs="Arial"/>
                <w:color w:val="000000" w:themeColor="text1"/>
                <w:lang w:val="en-IE" w:eastAsia="en-IE"/>
              </w:rPr>
            </w:pPr>
            <w:r w:rsidRPr="006252AD">
              <w:rPr>
                <w:rFonts w:ascii="Arial" w:eastAsia="Times New Roman" w:hAnsi="Arial" w:cs="Arial"/>
                <w:color w:val="000000" w:themeColor="text1"/>
                <w:lang w:val="en-IE" w:eastAsia="en-IE"/>
              </w:rPr>
              <w:t xml:space="preserve">Following the introduction of the asset class, the </w:t>
            </w:r>
            <w:proofErr w:type="spellStart"/>
            <w:r w:rsidRPr="006252AD">
              <w:rPr>
                <w:rFonts w:ascii="Arial" w:eastAsia="Times New Roman" w:hAnsi="Arial" w:cs="Arial"/>
                <w:color w:val="000000" w:themeColor="text1"/>
                <w:lang w:val="en-IE" w:eastAsia="en-IE"/>
              </w:rPr>
              <w:t>CoCo</w:t>
            </w:r>
            <w:proofErr w:type="spellEnd"/>
            <w:r w:rsidRPr="006252AD">
              <w:rPr>
                <w:rFonts w:ascii="Arial" w:eastAsia="Times New Roman" w:hAnsi="Arial" w:cs="Arial"/>
                <w:color w:val="000000" w:themeColor="text1"/>
                <w:lang w:val="en-IE" w:eastAsia="en-IE"/>
              </w:rPr>
              <w:t xml:space="preserve"> bond market can now be considered mature, with, for example, over EUR 200bn of </w:t>
            </w:r>
            <w:proofErr w:type="spellStart"/>
            <w:r w:rsidRPr="006252AD">
              <w:rPr>
                <w:rFonts w:ascii="Arial" w:eastAsia="Times New Roman" w:hAnsi="Arial" w:cs="Arial"/>
                <w:color w:val="000000" w:themeColor="text1"/>
                <w:lang w:val="en-IE" w:eastAsia="en-IE"/>
              </w:rPr>
              <w:t>CoCo</w:t>
            </w:r>
            <w:proofErr w:type="spellEnd"/>
            <w:r w:rsidRPr="006252AD">
              <w:rPr>
                <w:rFonts w:ascii="Arial" w:eastAsia="Times New Roman" w:hAnsi="Arial" w:cs="Arial"/>
                <w:color w:val="000000" w:themeColor="text1"/>
                <w:lang w:val="en-IE" w:eastAsia="en-IE"/>
              </w:rPr>
              <w:t xml:space="preserve"> bonds issued by European banks currently outstanding</w:t>
            </w:r>
            <w:r w:rsidRPr="006252AD">
              <w:rPr>
                <w:rStyle w:val="FootnoteReference"/>
                <w:rFonts w:ascii="Arial" w:eastAsia="Times New Roman" w:hAnsi="Arial" w:cs="Arial"/>
                <w:color w:val="000000" w:themeColor="text1"/>
                <w:lang w:val="en-IE" w:eastAsia="en-IE"/>
              </w:rPr>
              <w:footnoteReference w:id="28"/>
            </w:r>
            <w:r w:rsidRPr="006252AD">
              <w:rPr>
                <w:rFonts w:ascii="Arial" w:eastAsia="Times New Roman" w:hAnsi="Arial" w:cs="Arial"/>
                <w:color w:val="000000" w:themeColor="text1"/>
                <w:lang w:val="en-IE" w:eastAsia="en-IE"/>
              </w:rPr>
              <w:t xml:space="preserve">. New issuance via primary markets also takes place regularly, thereby </w:t>
            </w:r>
            <w:r w:rsidRPr="006252AD">
              <w:rPr>
                <w:rFonts w:ascii="Arial" w:eastAsia="Times New Roman" w:hAnsi="Arial" w:cs="Arial"/>
                <w:color w:val="000000" w:themeColor="text1"/>
                <w:lang w:val="en-IE" w:eastAsia="en-IE"/>
              </w:rPr>
              <w:lastRenderedPageBreak/>
              <w:t xml:space="preserve">increasing supply to the market. There have also been ongoing efforts towards standardisation of the terms and conditions of individual bonds as new issues come to market. This has been helped by both the maturity of the asset class and the work done by the EBA via the publication in October 2016 of their standardised templates for AT1 bonds in addition to regular monitoring reports covering AT1 and Tier 2 capital instruments. With proper due diligence, a sound understanding of the issuer’s financial health and an appropriate risk management strategy, </w:t>
            </w:r>
            <w:proofErr w:type="spellStart"/>
            <w:r w:rsidRPr="006252AD">
              <w:rPr>
                <w:rFonts w:ascii="Arial" w:eastAsia="Times New Roman" w:hAnsi="Arial" w:cs="Arial"/>
                <w:color w:val="000000" w:themeColor="text1"/>
                <w:lang w:val="en-IE" w:eastAsia="en-IE"/>
              </w:rPr>
              <w:t>CoCo</w:t>
            </w:r>
            <w:proofErr w:type="spellEnd"/>
            <w:r w:rsidRPr="006252AD">
              <w:rPr>
                <w:rFonts w:ascii="Arial" w:eastAsia="Times New Roman" w:hAnsi="Arial" w:cs="Arial"/>
                <w:color w:val="000000" w:themeColor="text1"/>
                <w:lang w:val="en-IE" w:eastAsia="en-IE"/>
              </w:rPr>
              <w:t xml:space="preserve"> bonds offer a compelling risk-reward profile for investors. </w:t>
            </w:r>
          </w:p>
          <w:p w14:paraId="71169BD1" w14:textId="77777777" w:rsidR="00BE031F" w:rsidRPr="006252AD" w:rsidRDefault="00BE031F" w:rsidP="00BE031F">
            <w:pPr>
              <w:spacing w:line="276" w:lineRule="auto"/>
              <w:jc w:val="both"/>
              <w:rPr>
                <w:rFonts w:ascii="Arial" w:eastAsia="Times New Roman" w:hAnsi="Arial" w:cs="Arial"/>
                <w:color w:val="000000" w:themeColor="text1"/>
                <w:lang w:val="en-IE" w:eastAsia="en-IE"/>
              </w:rPr>
            </w:pPr>
          </w:p>
          <w:p w14:paraId="0B648BDA" w14:textId="77777777" w:rsidR="00BE031F" w:rsidRPr="006252AD" w:rsidRDefault="00BE031F" w:rsidP="00BE031F">
            <w:pPr>
              <w:spacing w:line="276" w:lineRule="auto"/>
              <w:jc w:val="both"/>
              <w:rPr>
                <w:rFonts w:ascii="Arial" w:eastAsia="Times New Roman" w:hAnsi="Arial" w:cs="Arial"/>
                <w:color w:val="000000" w:themeColor="text1"/>
                <w:lang w:val="en-IE" w:eastAsia="en-IE"/>
              </w:rPr>
            </w:pPr>
            <w:r w:rsidRPr="006252AD">
              <w:rPr>
                <w:rFonts w:ascii="Arial" w:eastAsia="Times New Roman" w:hAnsi="Arial" w:cs="Arial"/>
                <w:color w:val="000000" w:themeColor="text1"/>
                <w:lang w:val="en-IE" w:eastAsia="en-IE"/>
              </w:rPr>
              <w:t xml:space="preserve">Based on the evidence and analysis presented above, there are strong merits for allowing direct exposure to </w:t>
            </w:r>
            <w:proofErr w:type="spellStart"/>
            <w:r w:rsidRPr="006252AD">
              <w:rPr>
                <w:rFonts w:ascii="Arial" w:eastAsia="Times New Roman" w:hAnsi="Arial" w:cs="Arial"/>
                <w:color w:val="000000" w:themeColor="text1"/>
                <w:lang w:val="en-IE" w:eastAsia="en-IE"/>
              </w:rPr>
              <w:t>CoCo</w:t>
            </w:r>
            <w:proofErr w:type="spellEnd"/>
            <w:r w:rsidRPr="006252AD">
              <w:rPr>
                <w:rFonts w:ascii="Arial" w:eastAsia="Times New Roman" w:hAnsi="Arial" w:cs="Arial"/>
                <w:color w:val="000000" w:themeColor="text1"/>
                <w:lang w:val="en-IE" w:eastAsia="en-IE"/>
              </w:rPr>
              <w:t xml:space="preserve"> bonds in UCITS funds.</w:t>
            </w:r>
          </w:p>
          <w:p w14:paraId="0D0B940D" w14:textId="77777777" w:rsidR="00B33432" w:rsidRPr="006252AD" w:rsidRDefault="00B33432" w:rsidP="00B33432">
            <w:pPr>
              <w:spacing w:after="250" w:line="276" w:lineRule="auto"/>
              <w:jc w:val="both"/>
              <w:rPr>
                <w:rFonts w:ascii="Arial" w:hAnsi="Arial" w:cs="Arial"/>
                <w:color w:val="181818"/>
              </w:rPr>
            </w:pPr>
          </w:p>
        </w:tc>
        <w:tc>
          <w:tcPr>
            <w:tcW w:w="1776" w:type="dxa"/>
          </w:tcPr>
          <w:p w14:paraId="24BA579F" w14:textId="77777777" w:rsidR="00BE031F" w:rsidRPr="00BE031F" w:rsidRDefault="00BE031F" w:rsidP="00BE031F">
            <w:pPr>
              <w:spacing w:line="276" w:lineRule="auto"/>
              <w:jc w:val="both"/>
              <w:rPr>
                <w:rFonts w:ascii="Arial" w:eastAsia="Times New Roman" w:hAnsi="Arial" w:cs="Arial"/>
                <w:color w:val="000000" w:themeColor="text1"/>
                <w:lang w:val="en-IE" w:eastAsia="en-IE"/>
              </w:rPr>
            </w:pPr>
            <w:r w:rsidRPr="00BE031F">
              <w:rPr>
                <w:rFonts w:ascii="Arial" w:eastAsia="Times New Roman" w:hAnsi="Arial" w:cs="Arial"/>
                <w:color w:val="000000" w:themeColor="text1"/>
                <w:lang w:val="en-IE" w:eastAsia="en-IE"/>
              </w:rPr>
              <w:lastRenderedPageBreak/>
              <w:t xml:space="preserve">Indirect exposure should be allowed on the basis that direct exposure is permitted. </w:t>
            </w:r>
          </w:p>
          <w:p w14:paraId="0E27B00A" w14:textId="77777777" w:rsidR="00B33432" w:rsidRPr="006252AD" w:rsidRDefault="00B33432" w:rsidP="00B33432">
            <w:pPr>
              <w:spacing w:after="250" w:line="276" w:lineRule="auto"/>
              <w:jc w:val="both"/>
              <w:rPr>
                <w:rFonts w:ascii="Arial" w:hAnsi="Arial" w:cs="Arial"/>
                <w:color w:val="181818"/>
              </w:rPr>
            </w:pPr>
          </w:p>
        </w:tc>
        <w:tc>
          <w:tcPr>
            <w:tcW w:w="2060" w:type="dxa"/>
          </w:tcPr>
          <w:p w14:paraId="659D24C8" w14:textId="77777777" w:rsidR="00BE031F" w:rsidRPr="00BE031F" w:rsidRDefault="00BE031F" w:rsidP="00BE031F">
            <w:pPr>
              <w:spacing w:line="276" w:lineRule="auto"/>
              <w:jc w:val="both"/>
              <w:rPr>
                <w:rFonts w:ascii="Arial" w:eastAsia="Times New Roman" w:hAnsi="Arial" w:cs="Arial"/>
                <w:color w:val="000000" w:themeColor="text1"/>
                <w:lang w:val="en-IE" w:eastAsia="en-IE"/>
              </w:rPr>
            </w:pPr>
            <w:r w:rsidRPr="00BE031F">
              <w:rPr>
                <w:rFonts w:ascii="Arial" w:eastAsia="Times New Roman" w:hAnsi="Arial" w:cs="Arial"/>
                <w:color w:val="000000" w:themeColor="text1"/>
                <w:lang w:val="en-IE" w:eastAsia="en-IE"/>
              </w:rPr>
              <w:t xml:space="preserve">Funds domiciled in Ireland have a wide range of exposure, via both direct and indirect exposure, to </w:t>
            </w:r>
            <w:proofErr w:type="spellStart"/>
            <w:r w:rsidRPr="00BE031F">
              <w:rPr>
                <w:rFonts w:ascii="Arial" w:eastAsia="Times New Roman" w:hAnsi="Arial" w:cs="Arial"/>
                <w:color w:val="000000" w:themeColor="text1"/>
                <w:lang w:val="en-IE" w:eastAsia="en-IE"/>
              </w:rPr>
              <w:t>CoCo</w:t>
            </w:r>
            <w:proofErr w:type="spellEnd"/>
            <w:r w:rsidRPr="00BE031F">
              <w:rPr>
                <w:rFonts w:ascii="Arial" w:eastAsia="Times New Roman" w:hAnsi="Arial" w:cs="Arial"/>
                <w:color w:val="000000" w:themeColor="text1"/>
                <w:lang w:val="en-IE" w:eastAsia="en-IE"/>
              </w:rPr>
              <w:t xml:space="preserve"> bonds based on the sample analysed. We have seen in recent years the application of 10% or 20% limits, both self-imposed by managers and required by the Central Bank as part of their enhanced scrutiny process.  </w:t>
            </w:r>
          </w:p>
          <w:p w14:paraId="60061E4C" w14:textId="77777777" w:rsidR="00B33432" w:rsidRPr="006252AD" w:rsidRDefault="00B33432" w:rsidP="00B33432">
            <w:pPr>
              <w:spacing w:after="250" w:line="276" w:lineRule="auto"/>
              <w:jc w:val="both"/>
              <w:rPr>
                <w:rFonts w:ascii="Arial" w:hAnsi="Arial" w:cs="Arial"/>
                <w:color w:val="181818"/>
              </w:rPr>
            </w:pPr>
          </w:p>
        </w:tc>
        <w:tc>
          <w:tcPr>
            <w:tcW w:w="1706" w:type="dxa"/>
          </w:tcPr>
          <w:p w14:paraId="44EAFD9C" w14:textId="77777777" w:rsidR="00B33432" w:rsidRPr="006252AD" w:rsidRDefault="00B33432" w:rsidP="00B33432">
            <w:pPr>
              <w:spacing w:after="250" w:line="276" w:lineRule="auto"/>
              <w:jc w:val="both"/>
              <w:rPr>
                <w:rFonts w:ascii="Arial" w:hAnsi="Arial" w:cs="Arial"/>
                <w:color w:val="181818"/>
              </w:rPr>
            </w:pPr>
          </w:p>
        </w:tc>
      </w:tr>
      <w:tr w:rsidR="00B33432" w:rsidRPr="006252AD" w14:paraId="02325B0B" w14:textId="77777777" w:rsidTr="00F278BC">
        <w:tc>
          <w:tcPr>
            <w:tcW w:w="2095" w:type="dxa"/>
          </w:tcPr>
          <w:p w14:paraId="4EA5968E" w14:textId="77777777" w:rsidR="00B33432" w:rsidRPr="006252AD" w:rsidRDefault="00B33432" w:rsidP="00B33432">
            <w:pPr>
              <w:spacing w:after="250" w:line="276" w:lineRule="auto"/>
              <w:rPr>
                <w:rFonts w:ascii="Arial" w:hAnsi="Arial" w:cs="Arial"/>
                <w:color w:val="181818"/>
              </w:rPr>
            </w:pPr>
            <w:r w:rsidRPr="006252AD">
              <w:rPr>
                <w:rFonts w:ascii="Arial" w:hAnsi="Arial" w:cs="Arial"/>
              </w:rPr>
              <w:lastRenderedPageBreak/>
              <w:t>4. Unrated bonds</w:t>
            </w:r>
          </w:p>
        </w:tc>
        <w:tc>
          <w:tcPr>
            <w:tcW w:w="1683" w:type="dxa"/>
          </w:tcPr>
          <w:p w14:paraId="240BAAA7" w14:textId="77777777" w:rsidR="00BE031F" w:rsidRPr="00BE031F" w:rsidRDefault="00BE031F" w:rsidP="00BE031F">
            <w:pPr>
              <w:spacing w:line="276" w:lineRule="auto"/>
              <w:jc w:val="both"/>
              <w:rPr>
                <w:rFonts w:ascii="Arial" w:eastAsia="Times New Roman" w:hAnsi="Arial" w:cs="Arial"/>
                <w:color w:val="000000"/>
                <w:lang w:val="en-IE" w:eastAsia="en-IE"/>
              </w:rPr>
            </w:pPr>
            <w:r w:rsidRPr="00BE031F">
              <w:rPr>
                <w:rFonts w:ascii="Arial" w:eastAsia="Times New Roman" w:hAnsi="Arial" w:cs="Arial"/>
                <w:color w:val="000000" w:themeColor="text1"/>
                <w:lang w:val="en-IE" w:eastAsia="en-IE"/>
              </w:rPr>
              <w:t xml:space="preserve">Bonds can be unrated due to various reasons that may not necessarily mean there is higher risk attached. UCITS managers have the ability to assess the credit risk appropriately ensuring there is transparency of data through reviewing </w:t>
            </w:r>
            <w:r w:rsidRPr="00BE031F">
              <w:rPr>
                <w:rFonts w:ascii="Arial" w:eastAsia="Times New Roman" w:hAnsi="Arial" w:cs="Arial"/>
                <w:color w:val="000000" w:themeColor="text1"/>
                <w:lang w:val="en-IE" w:eastAsia="en-IE"/>
              </w:rPr>
              <w:lastRenderedPageBreak/>
              <w:t>underlying issuer reports and accounts.</w:t>
            </w:r>
          </w:p>
          <w:p w14:paraId="6E9E9D7C" w14:textId="77777777" w:rsidR="00BE031F" w:rsidRPr="00BE031F" w:rsidRDefault="00BE031F" w:rsidP="00BE031F">
            <w:pPr>
              <w:spacing w:line="276" w:lineRule="auto"/>
              <w:jc w:val="both"/>
              <w:rPr>
                <w:rFonts w:ascii="Arial" w:eastAsia="Times New Roman" w:hAnsi="Arial" w:cs="Arial"/>
                <w:color w:val="000000" w:themeColor="text1"/>
                <w:lang w:val="en-IE" w:eastAsia="en-IE"/>
              </w:rPr>
            </w:pPr>
          </w:p>
          <w:p w14:paraId="560C8F90" w14:textId="77777777" w:rsidR="00BE031F" w:rsidRPr="00BE031F" w:rsidRDefault="00BE031F" w:rsidP="00BE031F">
            <w:pPr>
              <w:spacing w:line="276" w:lineRule="auto"/>
              <w:jc w:val="both"/>
              <w:rPr>
                <w:rFonts w:ascii="Arial" w:eastAsia="Times New Roman" w:hAnsi="Arial" w:cs="Arial"/>
                <w:color w:val="000000"/>
                <w:lang w:val="en-IE" w:eastAsia="en-IE"/>
              </w:rPr>
            </w:pPr>
            <w:r w:rsidRPr="00BE031F">
              <w:rPr>
                <w:rFonts w:ascii="Arial" w:eastAsia="Times New Roman" w:hAnsi="Arial" w:cs="Arial"/>
                <w:color w:val="000000" w:themeColor="text1"/>
                <w:lang w:val="en-IE" w:eastAsia="en-IE"/>
              </w:rPr>
              <w:t>Generally, liquidity is not a problem for unrated bonds and can be traded quite easily. Such securities may have higher yields as smaller brokerage houses won't have the credit capability so unable to invest in them. They can be attractive for UCITS funds to assist in higher returns and diversification.</w:t>
            </w:r>
          </w:p>
          <w:p w14:paraId="3AEC6858" w14:textId="77777777" w:rsidR="00BE031F" w:rsidRPr="00BE031F" w:rsidRDefault="00BE031F" w:rsidP="00BE031F">
            <w:pPr>
              <w:spacing w:line="276" w:lineRule="auto"/>
              <w:jc w:val="both"/>
              <w:rPr>
                <w:rFonts w:ascii="Arial" w:eastAsia="Times New Roman" w:hAnsi="Arial" w:cs="Arial"/>
                <w:color w:val="000000"/>
                <w:lang w:val="en-IE" w:eastAsia="en-IE"/>
              </w:rPr>
            </w:pPr>
          </w:p>
          <w:p w14:paraId="1A6BDA6D" w14:textId="77777777" w:rsidR="00BE031F" w:rsidRPr="00BE031F" w:rsidRDefault="00BE031F" w:rsidP="00BE031F">
            <w:pPr>
              <w:spacing w:line="276" w:lineRule="auto"/>
              <w:jc w:val="both"/>
              <w:rPr>
                <w:rFonts w:ascii="Arial" w:eastAsia="Times New Roman" w:hAnsi="Arial" w:cs="Arial"/>
                <w:color w:val="000000" w:themeColor="text1"/>
                <w:lang w:val="en-IE" w:eastAsia="en-IE"/>
              </w:rPr>
            </w:pPr>
            <w:r w:rsidRPr="00BE031F">
              <w:rPr>
                <w:rFonts w:ascii="Arial" w:eastAsia="Times New Roman" w:hAnsi="Arial" w:cs="Arial"/>
                <w:color w:val="000000" w:themeColor="text1"/>
                <w:lang w:val="en-IE" w:eastAsia="en-IE"/>
              </w:rPr>
              <w:t>Directive 2013/14/EU already requires UCITS funds to not solely or mechanistically rely on credit ratings issued by credit rating agencies and to perform its own credit assessment process as part of its wider investment due diligence requirements prior to investment. This assessment would cover unrated bonds also and allow the UCITS to be fully informed of the risk levels of the asset class and the particular unrated bond before investment.</w:t>
            </w:r>
          </w:p>
          <w:p w14:paraId="36A75500" w14:textId="77777777" w:rsidR="00BE031F" w:rsidRPr="00BE031F" w:rsidRDefault="00BE031F" w:rsidP="00BE031F">
            <w:pPr>
              <w:spacing w:line="276" w:lineRule="auto"/>
              <w:jc w:val="both"/>
              <w:rPr>
                <w:rFonts w:ascii="Arial" w:eastAsia="Times New Roman" w:hAnsi="Arial" w:cs="Arial"/>
                <w:color w:val="000000"/>
                <w:lang w:val="en-IE" w:eastAsia="en-IE"/>
              </w:rPr>
            </w:pPr>
          </w:p>
          <w:p w14:paraId="4C74ACD4" w14:textId="77777777" w:rsidR="00BE031F" w:rsidRPr="00BE031F" w:rsidRDefault="00BE031F" w:rsidP="00BE031F">
            <w:pPr>
              <w:spacing w:line="276" w:lineRule="auto"/>
              <w:jc w:val="both"/>
              <w:rPr>
                <w:rFonts w:ascii="Arial" w:eastAsia="Times New Roman" w:hAnsi="Arial" w:cs="Arial"/>
                <w:color w:val="000000"/>
                <w:lang w:val="en-IE" w:eastAsia="en-IE"/>
              </w:rPr>
            </w:pPr>
            <w:r w:rsidRPr="00BE031F">
              <w:rPr>
                <w:rFonts w:ascii="Arial" w:eastAsia="Times New Roman" w:hAnsi="Arial" w:cs="Arial"/>
                <w:color w:val="000000" w:themeColor="text1"/>
                <w:lang w:val="en-IE" w:eastAsia="en-IE"/>
              </w:rPr>
              <w:t xml:space="preserve">Unrated bonds trade in the same way as other types of corporate bonds. They are not subject to transfer restrictions and are traded on the capital markets through investment banks, </w:t>
            </w:r>
            <w:r w:rsidRPr="00BE031F">
              <w:rPr>
                <w:rFonts w:ascii="Arial" w:eastAsia="Times New Roman" w:hAnsi="Arial" w:cs="Arial"/>
                <w:color w:val="000000" w:themeColor="text1"/>
                <w:lang w:val="en-IE" w:eastAsia="en-IE"/>
              </w:rPr>
              <w:lastRenderedPageBreak/>
              <w:t>market makers, brokers and other dealers. Settlement processes are standard, straightforward and mirror those of other bonds with settlement occurring on a T+1 or T+2 basis (depending on the market they are traded) and settled via either ICSDs or local CSDs such as DTCC, posing no custody or safekeeping issues.</w:t>
            </w:r>
          </w:p>
          <w:p w14:paraId="331713F6" w14:textId="77777777" w:rsidR="00BE031F" w:rsidRPr="00BE031F" w:rsidRDefault="00BE031F" w:rsidP="00BE031F">
            <w:pPr>
              <w:spacing w:line="276" w:lineRule="auto"/>
              <w:jc w:val="both"/>
              <w:rPr>
                <w:rFonts w:ascii="Arial" w:eastAsia="Times New Roman" w:hAnsi="Arial" w:cs="Arial"/>
                <w:color w:val="000000"/>
                <w:lang w:val="en-IE" w:eastAsia="en-IE"/>
              </w:rPr>
            </w:pPr>
          </w:p>
          <w:p w14:paraId="1765A122" w14:textId="77777777" w:rsidR="00BE031F" w:rsidRPr="00BE031F" w:rsidRDefault="00BE031F" w:rsidP="00BE031F">
            <w:pPr>
              <w:spacing w:line="276" w:lineRule="auto"/>
              <w:jc w:val="both"/>
              <w:rPr>
                <w:rFonts w:ascii="Arial" w:eastAsia="Times New Roman" w:hAnsi="Arial" w:cs="Arial"/>
                <w:color w:val="000000" w:themeColor="text1"/>
                <w:lang w:val="en-IE" w:eastAsia="en-IE"/>
              </w:rPr>
            </w:pPr>
            <w:r w:rsidRPr="00BE031F">
              <w:rPr>
                <w:rFonts w:ascii="Arial" w:eastAsia="Times New Roman" w:hAnsi="Arial" w:cs="Arial"/>
                <w:color w:val="000000" w:themeColor="text1"/>
                <w:lang w:val="en-IE" w:eastAsia="en-IE"/>
              </w:rPr>
              <w:t>Valuations of unrated bonds are reliable. They are widely traded by regulated counterparties across the globe, with wide coverage by most major dealers and financial institutions, making valuations reliable and available to market investors and participants on an ongoing basis. Valuation practices are also consistent with other corporate and convertible bonds.</w:t>
            </w:r>
          </w:p>
          <w:p w14:paraId="4B94D5A5" w14:textId="77777777" w:rsidR="00B33432" w:rsidRPr="006252AD" w:rsidRDefault="00B33432" w:rsidP="00B33432">
            <w:pPr>
              <w:spacing w:after="250" w:line="276" w:lineRule="auto"/>
              <w:jc w:val="both"/>
              <w:rPr>
                <w:rFonts w:ascii="Arial" w:hAnsi="Arial" w:cs="Arial"/>
                <w:color w:val="181818"/>
              </w:rPr>
            </w:pPr>
          </w:p>
        </w:tc>
        <w:tc>
          <w:tcPr>
            <w:tcW w:w="1776" w:type="dxa"/>
          </w:tcPr>
          <w:p w14:paraId="5522B5E3" w14:textId="77777777" w:rsidR="00BE031F" w:rsidRPr="00BE031F" w:rsidRDefault="00BE031F" w:rsidP="00BE031F">
            <w:pPr>
              <w:spacing w:line="276" w:lineRule="auto"/>
              <w:jc w:val="both"/>
              <w:rPr>
                <w:rFonts w:ascii="Arial" w:eastAsia="Times New Roman" w:hAnsi="Arial" w:cs="Arial"/>
                <w:color w:val="000000" w:themeColor="text1"/>
                <w:lang w:val="en-IE" w:eastAsia="en-IE"/>
              </w:rPr>
            </w:pPr>
            <w:r w:rsidRPr="00BE031F">
              <w:rPr>
                <w:rFonts w:ascii="Arial" w:eastAsia="Times New Roman" w:hAnsi="Arial" w:cs="Arial"/>
                <w:color w:val="000000" w:themeColor="text1"/>
                <w:lang w:val="en-IE" w:eastAsia="en-IE"/>
              </w:rPr>
              <w:lastRenderedPageBreak/>
              <w:t>Indirect exposure should be allowed on the basis that direct exposure is permitted.</w:t>
            </w:r>
          </w:p>
          <w:p w14:paraId="3DEEC669" w14:textId="77777777" w:rsidR="00B33432" w:rsidRPr="006252AD" w:rsidRDefault="00B33432" w:rsidP="00B33432">
            <w:pPr>
              <w:spacing w:after="250" w:line="276" w:lineRule="auto"/>
              <w:jc w:val="both"/>
              <w:rPr>
                <w:rFonts w:ascii="Arial" w:hAnsi="Arial" w:cs="Arial"/>
                <w:color w:val="181818"/>
              </w:rPr>
            </w:pPr>
          </w:p>
        </w:tc>
        <w:tc>
          <w:tcPr>
            <w:tcW w:w="2060" w:type="dxa"/>
          </w:tcPr>
          <w:p w14:paraId="4602F1CB"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 xml:space="preserve">Funds domiciled in Ireland have a limited amount of direct exposure to Unrated bonds based on the sample analysed. Some respondents indicated &lt; 10% in a limited number </w:t>
            </w:r>
            <w:r w:rsidRPr="00BB31FC">
              <w:rPr>
                <w:rFonts w:ascii="Arial" w:eastAsia="Times New Roman" w:hAnsi="Arial" w:cs="Arial"/>
                <w:color w:val="000000" w:themeColor="text1"/>
                <w:lang w:val="en-IE" w:eastAsia="en-IE"/>
              </w:rPr>
              <w:lastRenderedPageBreak/>
              <w:t xml:space="preserve">of UCITS portfolios but the majority of exposure to this asset class is in the range of 5%-10%. </w:t>
            </w:r>
          </w:p>
          <w:p w14:paraId="3656B9AB" w14:textId="77777777" w:rsidR="00B33432" w:rsidRPr="006252AD" w:rsidRDefault="00B33432" w:rsidP="00B33432">
            <w:pPr>
              <w:spacing w:after="250" w:line="276" w:lineRule="auto"/>
              <w:jc w:val="both"/>
              <w:rPr>
                <w:rFonts w:ascii="Arial" w:hAnsi="Arial" w:cs="Arial"/>
                <w:color w:val="181818"/>
              </w:rPr>
            </w:pPr>
          </w:p>
        </w:tc>
        <w:tc>
          <w:tcPr>
            <w:tcW w:w="1706" w:type="dxa"/>
          </w:tcPr>
          <w:p w14:paraId="45FB0818" w14:textId="77777777" w:rsidR="00B33432" w:rsidRPr="006252AD" w:rsidRDefault="00B33432" w:rsidP="00B33432">
            <w:pPr>
              <w:spacing w:after="250" w:line="276" w:lineRule="auto"/>
              <w:jc w:val="both"/>
              <w:rPr>
                <w:rFonts w:ascii="Arial" w:hAnsi="Arial" w:cs="Arial"/>
                <w:color w:val="181818"/>
              </w:rPr>
            </w:pPr>
          </w:p>
        </w:tc>
      </w:tr>
      <w:tr w:rsidR="00B33432" w:rsidRPr="006252AD" w14:paraId="68D99D9D" w14:textId="77777777" w:rsidTr="00F278BC">
        <w:tc>
          <w:tcPr>
            <w:tcW w:w="2095" w:type="dxa"/>
          </w:tcPr>
          <w:p w14:paraId="17D8B71D" w14:textId="77777777" w:rsidR="00B33432" w:rsidRPr="006252AD" w:rsidRDefault="00B33432" w:rsidP="00B33432">
            <w:pPr>
              <w:spacing w:after="250" w:line="276" w:lineRule="auto"/>
              <w:rPr>
                <w:rFonts w:ascii="Arial" w:hAnsi="Arial" w:cs="Arial"/>
                <w:color w:val="181818"/>
              </w:rPr>
            </w:pPr>
            <w:r w:rsidRPr="006252AD">
              <w:rPr>
                <w:rFonts w:ascii="Arial" w:hAnsi="Arial" w:cs="Arial"/>
              </w:rPr>
              <w:lastRenderedPageBreak/>
              <w:t>5. Distressed securities</w:t>
            </w:r>
          </w:p>
        </w:tc>
        <w:tc>
          <w:tcPr>
            <w:tcW w:w="1683" w:type="dxa"/>
          </w:tcPr>
          <w:p w14:paraId="7818FB17"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Merit to allow a very limited exposure to such securities to increase active risk therefore potential increased returns however specific manager expertise would be required along with understanding of the risks associated and explicitly outlined in prospectus.</w:t>
            </w:r>
          </w:p>
          <w:p w14:paraId="7165AA79"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p>
          <w:p w14:paraId="6449CD61"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lang w:val="en-IE" w:eastAsia="en-IE"/>
              </w:rPr>
              <w:lastRenderedPageBreak/>
              <w:t>In addition, d</w:t>
            </w:r>
            <w:r w:rsidRPr="00BB31FC">
              <w:rPr>
                <w:rFonts w:ascii="Arial" w:eastAsia="Times New Roman" w:hAnsi="Arial" w:cs="Arial"/>
                <w:color w:val="000000" w:themeColor="text1"/>
                <w:lang w:val="en-IE" w:eastAsia="en-IE"/>
              </w:rPr>
              <w:t>istressed securities are often held in a UCITS portfolio as a result of a sudden deterioration in credit quality of an issuer. Requiring a fund to liquidate such a position when it becomes distressed would remove the possibility of an investor recovering value if the credit quality subsequently improved.</w:t>
            </w:r>
          </w:p>
          <w:p w14:paraId="049F31CB" w14:textId="77777777" w:rsidR="00B33432" w:rsidRPr="006252AD" w:rsidRDefault="00B33432" w:rsidP="00B33432">
            <w:pPr>
              <w:spacing w:after="250" w:line="276" w:lineRule="auto"/>
              <w:jc w:val="both"/>
              <w:rPr>
                <w:rFonts w:ascii="Arial" w:hAnsi="Arial" w:cs="Arial"/>
                <w:color w:val="181818"/>
              </w:rPr>
            </w:pPr>
          </w:p>
        </w:tc>
        <w:tc>
          <w:tcPr>
            <w:tcW w:w="1776" w:type="dxa"/>
          </w:tcPr>
          <w:p w14:paraId="0A7126DC" w14:textId="77777777" w:rsidR="00BB31FC" w:rsidRPr="00BB31FC" w:rsidRDefault="00BB31FC" w:rsidP="00BB31FC">
            <w:pPr>
              <w:spacing w:line="276" w:lineRule="auto"/>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lastRenderedPageBreak/>
              <w:t>Indirect exposure should be allowed on the basis that direct exposure is permitted.</w:t>
            </w:r>
          </w:p>
          <w:p w14:paraId="53128261" w14:textId="77777777" w:rsidR="00B33432" w:rsidRPr="006252AD" w:rsidRDefault="00B33432" w:rsidP="00B33432">
            <w:pPr>
              <w:spacing w:after="250" w:line="276" w:lineRule="auto"/>
              <w:jc w:val="both"/>
              <w:rPr>
                <w:rFonts w:ascii="Arial" w:hAnsi="Arial" w:cs="Arial"/>
                <w:color w:val="181818"/>
              </w:rPr>
            </w:pPr>
          </w:p>
        </w:tc>
        <w:tc>
          <w:tcPr>
            <w:tcW w:w="2060" w:type="dxa"/>
          </w:tcPr>
          <w:p w14:paraId="5F0CAC6C" w14:textId="77777777" w:rsidR="00BB31FC" w:rsidRPr="00BB31FC" w:rsidRDefault="00BB31FC" w:rsidP="00BB31FC">
            <w:pPr>
              <w:spacing w:line="276" w:lineRule="auto"/>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 xml:space="preserve">Existing exposure to this asset class ranges from &lt;5% up to 15%. </w:t>
            </w:r>
          </w:p>
          <w:p w14:paraId="62486C05" w14:textId="77777777" w:rsidR="00B33432" w:rsidRPr="006252AD" w:rsidRDefault="00B33432" w:rsidP="00B33432">
            <w:pPr>
              <w:spacing w:after="250" w:line="276" w:lineRule="auto"/>
              <w:jc w:val="both"/>
              <w:rPr>
                <w:rFonts w:ascii="Arial" w:hAnsi="Arial" w:cs="Arial"/>
                <w:color w:val="181818"/>
              </w:rPr>
            </w:pPr>
          </w:p>
        </w:tc>
        <w:tc>
          <w:tcPr>
            <w:tcW w:w="1706" w:type="dxa"/>
          </w:tcPr>
          <w:p w14:paraId="4101652C" w14:textId="77777777" w:rsidR="00B33432" w:rsidRPr="006252AD" w:rsidRDefault="00B33432" w:rsidP="00B33432">
            <w:pPr>
              <w:spacing w:after="250" w:line="276" w:lineRule="auto"/>
              <w:jc w:val="both"/>
              <w:rPr>
                <w:rFonts w:ascii="Arial" w:hAnsi="Arial" w:cs="Arial"/>
                <w:color w:val="181818"/>
              </w:rPr>
            </w:pPr>
          </w:p>
        </w:tc>
      </w:tr>
      <w:tr w:rsidR="00B33432" w:rsidRPr="006252AD" w14:paraId="2B493676" w14:textId="77777777" w:rsidTr="00F278BC">
        <w:tc>
          <w:tcPr>
            <w:tcW w:w="2095" w:type="dxa"/>
          </w:tcPr>
          <w:p w14:paraId="45E99430" w14:textId="77777777" w:rsidR="00B33432" w:rsidRPr="006252AD" w:rsidRDefault="00B33432" w:rsidP="00B33432">
            <w:pPr>
              <w:spacing w:after="250" w:line="276" w:lineRule="auto"/>
              <w:rPr>
                <w:rFonts w:ascii="Arial" w:hAnsi="Arial" w:cs="Arial"/>
              </w:rPr>
            </w:pPr>
            <w:r w:rsidRPr="006252AD">
              <w:rPr>
                <w:rFonts w:ascii="Arial" w:hAnsi="Arial" w:cs="Arial"/>
              </w:rPr>
              <w:t>6. Unlisted equities</w:t>
            </w:r>
            <w:r w:rsidRPr="006252AD">
              <w:rPr>
                <w:rFonts w:ascii="Arial" w:hAnsi="Arial" w:cs="Arial"/>
                <w:vertAlign w:val="superscript"/>
              </w:rPr>
              <w:footnoteReference w:id="29"/>
            </w:r>
          </w:p>
        </w:tc>
        <w:tc>
          <w:tcPr>
            <w:tcW w:w="1683" w:type="dxa"/>
          </w:tcPr>
          <w:p w14:paraId="3982AF7A" w14:textId="77777777" w:rsidR="00BB31FC" w:rsidRPr="00BB31FC" w:rsidRDefault="00BB31FC" w:rsidP="00BB31FC">
            <w:pPr>
              <w:spacing w:line="276" w:lineRule="auto"/>
              <w:jc w:val="both"/>
              <w:rPr>
                <w:rFonts w:ascii="Arial" w:eastAsia="Times New Roman" w:hAnsi="Arial" w:cs="Arial"/>
                <w:color w:val="000000" w:themeColor="text1"/>
                <w:lang w:val="en-US" w:eastAsia="en-IE"/>
              </w:rPr>
            </w:pPr>
            <w:r w:rsidRPr="00BB31FC">
              <w:rPr>
                <w:rFonts w:ascii="Arial" w:eastAsia="Times New Roman" w:hAnsi="Arial" w:cs="Arial"/>
                <w:color w:val="000000" w:themeColor="text1"/>
                <w:lang w:eastAsia="en-IE"/>
              </w:rPr>
              <w:t xml:space="preserve">For unlisted equities, there is value creation in transfer from public to private markets (i.e., by staying private longer and going public at much higher valuations).  </w:t>
            </w:r>
          </w:p>
          <w:p w14:paraId="6592A6FF" w14:textId="77777777" w:rsidR="00BB31FC" w:rsidRPr="00BB31FC" w:rsidRDefault="00BB31FC" w:rsidP="00BB31FC">
            <w:pPr>
              <w:spacing w:line="276" w:lineRule="auto"/>
              <w:jc w:val="both"/>
              <w:rPr>
                <w:rFonts w:ascii="Arial" w:eastAsia="Times New Roman" w:hAnsi="Arial" w:cs="Arial"/>
                <w:color w:val="000000"/>
                <w:lang w:val="en-IE" w:eastAsia="en-IE"/>
              </w:rPr>
            </w:pPr>
          </w:p>
          <w:p w14:paraId="461D7E65" w14:textId="77777777" w:rsidR="00BB31FC" w:rsidRPr="00BB31FC" w:rsidRDefault="00BB31FC" w:rsidP="00BB31FC">
            <w:pPr>
              <w:spacing w:line="276" w:lineRule="auto"/>
              <w:jc w:val="both"/>
              <w:rPr>
                <w:rFonts w:ascii="Arial" w:eastAsia="Times New Roman" w:hAnsi="Arial" w:cs="Arial"/>
                <w:color w:val="000000"/>
                <w:lang w:val="en-IE" w:eastAsia="en-IE"/>
              </w:rPr>
            </w:pPr>
            <w:r w:rsidRPr="00BB31FC">
              <w:rPr>
                <w:rFonts w:ascii="Arial" w:eastAsia="Times New Roman" w:hAnsi="Arial" w:cs="Arial"/>
                <w:color w:val="000000" w:themeColor="text1"/>
                <w:lang w:val="en-IE" w:eastAsia="en-IE"/>
              </w:rPr>
              <w:t xml:space="preserve">Additionally, more capital has been raised via private raises than in </w:t>
            </w:r>
            <w:r w:rsidRPr="00BB31FC">
              <w:rPr>
                <w:rFonts w:ascii="Arial" w:eastAsia="Times New Roman" w:hAnsi="Arial" w:cs="Arial"/>
                <w:color w:val="000000" w:themeColor="text1"/>
                <w:lang w:eastAsia="en-IE"/>
              </w:rPr>
              <w:t>initial public offering</w:t>
            </w:r>
            <w:r w:rsidRPr="00BB31FC">
              <w:rPr>
                <w:rFonts w:ascii="Arial" w:eastAsia="Times New Roman" w:hAnsi="Arial" w:cs="Arial"/>
                <w:color w:val="000000" w:themeColor="text1"/>
                <w:lang w:val="en-IE" w:eastAsia="en-IE"/>
              </w:rPr>
              <w:t xml:space="preserve"> (“</w:t>
            </w:r>
            <w:r w:rsidRPr="00BB31FC">
              <w:rPr>
                <w:rFonts w:ascii="Arial" w:eastAsia="Times New Roman" w:hAnsi="Arial" w:cs="Arial"/>
                <w:b/>
                <w:bCs/>
                <w:color w:val="000000" w:themeColor="text1"/>
                <w:lang w:val="en-IE" w:eastAsia="en-IE"/>
              </w:rPr>
              <w:t>IPO</w:t>
            </w:r>
            <w:r w:rsidRPr="00BB31FC">
              <w:rPr>
                <w:rFonts w:ascii="Arial" w:eastAsia="Times New Roman" w:hAnsi="Arial" w:cs="Arial"/>
                <w:color w:val="000000" w:themeColor="text1"/>
                <w:lang w:val="en-IE" w:eastAsia="en-IE"/>
              </w:rPr>
              <w:t xml:space="preserve">”) since 2015. Pre-IPO enables significant starter position at attractive valuation.  Limiting this access would be detrimental to UCITS.  </w:t>
            </w:r>
          </w:p>
          <w:p w14:paraId="7486C8E5" w14:textId="77777777" w:rsidR="00BB31FC" w:rsidRPr="00BB31FC" w:rsidRDefault="00BB31FC" w:rsidP="00BB31FC">
            <w:pPr>
              <w:spacing w:line="276" w:lineRule="auto"/>
              <w:ind w:left="786"/>
              <w:contextualSpacing/>
              <w:jc w:val="both"/>
              <w:rPr>
                <w:rFonts w:ascii="Arial" w:eastAsia="Times New Roman" w:hAnsi="Arial" w:cs="Arial"/>
                <w:color w:val="000000" w:themeColor="text1"/>
                <w:lang w:val="en-IE" w:eastAsia="en-IE"/>
              </w:rPr>
            </w:pPr>
          </w:p>
          <w:p w14:paraId="71D60215"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 xml:space="preserve">From a liquidity risk perspective, UCITS should ensure the max 10% unapproved transferable securities rule is adhered to, the unlisted equities meet the definition of a transferable security, and the overall fund </w:t>
            </w:r>
            <w:r w:rsidRPr="00BB31FC">
              <w:rPr>
                <w:rFonts w:ascii="Arial" w:eastAsia="Times New Roman" w:hAnsi="Arial" w:cs="Arial"/>
                <w:color w:val="000000" w:themeColor="text1"/>
                <w:lang w:val="en-IE" w:eastAsia="en-IE"/>
              </w:rPr>
              <w:lastRenderedPageBreak/>
              <w:t>liquidity is taken into consideration before entering the transaction.</w:t>
            </w:r>
          </w:p>
          <w:p w14:paraId="4B99056E" w14:textId="77777777" w:rsidR="00B33432" w:rsidRPr="006252AD" w:rsidRDefault="00B33432" w:rsidP="00B33432">
            <w:pPr>
              <w:spacing w:after="250" w:line="276" w:lineRule="auto"/>
              <w:jc w:val="both"/>
              <w:rPr>
                <w:rFonts w:ascii="Arial" w:hAnsi="Arial" w:cs="Arial"/>
                <w:color w:val="181818"/>
              </w:rPr>
            </w:pPr>
          </w:p>
        </w:tc>
        <w:tc>
          <w:tcPr>
            <w:tcW w:w="1776" w:type="dxa"/>
          </w:tcPr>
          <w:p w14:paraId="1299C43A" w14:textId="77777777" w:rsidR="00B33432" w:rsidRPr="006252AD" w:rsidRDefault="00B33432" w:rsidP="00B33432">
            <w:pPr>
              <w:spacing w:after="250" w:line="276" w:lineRule="auto"/>
              <w:jc w:val="both"/>
              <w:rPr>
                <w:rFonts w:ascii="Arial" w:hAnsi="Arial" w:cs="Arial"/>
                <w:color w:val="181818"/>
              </w:rPr>
            </w:pPr>
          </w:p>
        </w:tc>
        <w:tc>
          <w:tcPr>
            <w:tcW w:w="2060" w:type="dxa"/>
          </w:tcPr>
          <w:p w14:paraId="20D44014" w14:textId="77777777" w:rsidR="00BB31FC" w:rsidRPr="00BB31FC" w:rsidRDefault="00BB31FC" w:rsidP="00BB31FC">
            <w:pPr>
              <w:spacing w:line="276" w:lineRule="auto"/>
              <w:rPr>
                <w:rFonts w:ascii="Arial" w:eastAsia="Times New Roman" w:hAnsi="Arial" w:cs="Arial"/>
                <w:color w:val="000000"/>
                <w:lang w:val="en-IE" w:eastAsia="en-IE"/>
              </w:rPr>
            </w:pPr>
            <w:r w:rsidRPr="00BB31FC">
              <w:rPr>
                <w:rFonts w:ascii="Arial" w:eastAsia="Times New Roman" w:hAnsi="Arial" w:cs="Arial"/>
                <w:color w:val="000000"/>
                <w:lang w:val="en-IE" w:eastAsia="en-IE"/>
              </w:rPr>
              <w:t>Exposure to this asset class is minimal with a small number of funds having a maximum exposure of 10%.</w:t>
            </w:r>
          </w:p>
          <w:p w14:paraId="4DDBEF00" w14:textId="77777777" w:rsidR="00B33432" w:rsidRPr="006252AD" w:rsidRDefault="00B33432" w:rsidP="00B33432">
            <w:pPr>
              <w:spacing w:after="250" w:line="276" w:lineRule="auto"/>
              <w:jc w:val="both"/>
              <w:rPr>
                <w:rFonts w:ascii="Arial" w:hAnsi="Arial" w:cs="Arial"/>
                <w:color w:val="181818"/>
              </w:rPr>
            </w:pPr>
          </w:p>
        </w:tc>
        <w:tc>
          <w:tcPr>
            <w:tcW w:w="1706" w:type="dxa"/>
          </w:tcPr>
          <w:p w14:paraId="3461D779" w14:textId="77777777" w:rsidR="00B33432" w:rsidRPr="006252AD" w:rsidRDefault="00B33432" w:rsidP="00B33432">
            <w:pPr>
              <w:spacing w:after="250" w:line="276" w:lineRule="auto"/>
              <w:jc w:val="both"/>
              <w:rPr>
                <w:rFonts w:ascii="Arial" w:hAnsi="Arial" w:cs="Arial"/>
                <w:color w:val="181818"/>
              </w:rPr>
            </w:pPr>
          </w:p>
        </w:tc>
      </w:tr>
      <w:tr w:rsidR="00B33432" w:rsidRPr="006252AD" w14:paraId="5539B04B" w14:textId="77777777" w:rsidTr="00F278BC">
        <w:tc>
          <w:tcPr>
            <w:tcW w:w="2095" w:type="dxa"/>
          </w:tcPr>
          <w:p w14:paraId="378D969D" w14:textId="77777777" w:rsidR="00B33432" w:rsidRPr="006252AD" w:rsidRDefault="00B33432" w:rsidP="00B33432">
            <w:pPr>
              <w:spacing w:after="250" w:line="276" w:lineRule="auto"/>
              <w:rPr>
                <w:rFonts w:ascii="Arial" w:hAnsi="Arial" w:cs="Arial"/>
              </w:rPr>
            </w:pPr>
            <w:r w:rsidRPr="006252AD">
              <w:rPr>
                <w:rFonts w:ascii="Arial" w:hAnsi="Arial" w:cs="Arial"/>
              </w:rPr>
              <w:t>7. Crypto assets</w:t>
            </w:r>
            <w:r w:rsidRPr="006252AD">
              <w:rPr>
                <w:rFonts w:ascii="Arial" w:hAnsi="Arial" w:cs="Arial"/>
                <w:vertAlign w:val="superscript"/>
              </w:rPr>
              <w:footnoteReference w:id="30"/>
            </w:r>
          </w:p>
        </w:tc>
        <w:tc>
          <w:tcPr>
            <w:tcW w:w="1683" w:type="dxa"/>
          </w:tcPr>
          <w:p w14:paraId="1F2D6496" w14:textId="77777777" w:rsidR="00BB31FC" w:rsidRPr="006252AD" w:rsidRDefault="00BB31FC" w:rsidP="00BB31FC">
            <w:pPr>
              <w:spacing w:line="276" w:lineRule="auto"/>
              <w:jc w:val="both"/>
              <w:rPr>
                <w:rFonts w:ascii="Arial" w:eastAsia="Times New Roman" w:hAnsi="Arial" w:cs="Arial"/>
                <w:color w:val="000000"/>
                <w:lang w:val="en-IE" w:eastAsia="en-IE"/>
              </w:rPr>
            </w:pPr>
            <w:r w:rsidRPr="006252AD">
              <w:rPr>
                <w:rFonts w:ascii="Arial" w:eastAsia="Times New Roman" w:hAnsi="Arial" w:cs="Arial"/>
                <w:color w:val="000000" w:themeColor="text1"/>
                <w:lang w:val="en-IE" w:eastAsia="en-IE"/>
              </w:rPr>
              <w:t>Firstly, it is important to make a distinction between tokenised traditional assets and digital assets</w:t>
            </w:r>
            <w:r w:rsidRPr="006252AD">
              <w:rPr>
                <w:rStyle w:val="FootnoteReference"/>
                <w:rFonts w:ascii="Arial" w:eastAsia="Times New Roman" w:hAnsi="Arial" w:cs="Arial"/>
                <w:color w:val="000000" w:themeColor="text1"/>
                <w:lang w:val="en-IE" w:eastAsia="en-IE"/>
              </w:rPr>
              <w:footnoteReference w:id="31"/>
            </w:r>
            <w:r w:rsidRPr="006252AD">
              <w:rPr>
                <w:rFonts w:ascii="Arial" w:eastAsia="Times New Roman" w:hAnsi="Arial" w:cs="Arial"/>
                <w:color w:val="000000" w:themeColor="text1"/>
                <w:lang w:val="en-IE" w:eastAsia="en-IE"/>
              </w:rPr>
              <w:t>.</w:t>
            </w:r>
          </w:p>
          <w:p w14:paraId="2B789C6B" w14:textId="77777777" w:rsidR="00BB31FC" w:rsidRPr="006252AD" w:rsidRDefault="00BB31FC" w:rsidP="00BB31FC">
            <w:pPr>
              <w:pStyle w:val="ListParagraph"/>
              <w:spacing w:line="276" w:lineRule="auto"/>
              <w:jc w:val="both"/>
              <w:rPr>
                <w:rFonts w:ascii="Arial" w:eastAsia="Times New Roman" w:hAnsi="Arial" w:cs="Arial"/>
                <w:color w:val="000000"/>
                <w:sz w:val="20"/>
                <w:szCs w:val="20"/>
                <w:lang w:val="en-IE" w:eastAsia="en-IE"/>
              </w:rPr>
            </w:pPr>
          </w:p>
          <w:p w14:paraId="4D158B1D" w14:textId="77777777" w:rsidR="00BB31FC" w:rsidRPr="006252AD" w:rsidRDefault="00BB31FC" w:rsidP="00BB31FC">
            <w:pPr>
              <w:spacing w:line="276" w:lineRule="auto"/>
              <w:jc w:val="both"/>
              <w:rPr>
                <w:rFonts w:ascii="Arial" w:eastAsia="Times New Roman" w:hAnsi="Arial" w:cs="Arial"/>
                <w:color w:val="000000" w:themeColor="text1"/>
                <w:lang w:eastAsia="en-IE"/>
              </w:rPr>
            </w:pPr>
            <w:r w:rsidRPr="006252AD">
              <w:rPr>
                <w:rFonts w:ascii="Arial" w:eastAsia="Times New Roman" w:hAnsi="Arial" w:cs="Arial"/>
                <w:color w:val="000000" w:themeColor="text1"/>
                <w:lang w:eastAsia="en-IE"/>
              </w:rPr>
              <w:t>Similar to all asset classes, specific investment circumstances and market environments will determine whether direct or indirect exposure is most efficient.  In response to the below queries, we have outlined the merits of seeking direct and indirect exposure however, in a circumstance where crypto assets were UCITS eligible, it would be preferable for an investment manager to have the flexibility to achieve exposure either directly or indirectly or using a blended approach.</w:t>
            </w:r>
          </w:p>
          <w:p w14:paraId="4E86B3FF" w14:textId="77777777" w:rsidR="00BB31FC" w:rsidRPr="006252AD" w:rsidRDefault="00BB31FC" w:rsidP="00BB31FC">
            <w:pPr>
              <w:spacing w:line="276" w:lineRule="auto"/>
              <w:jc w:val="both"/>
              <w:rPr>
                <w:rFonts w:ascii="Arial" w:eastAsia="Times New Roman" w:hAnsi="Arial" w:cs="Arial"/>
                <w:color w:val="000000"/>
                <w:lang w:val="en-IE" w:eastAsia="en-IE"/>
              </w:rPr>
            </w:pPr>
          </w:p>
          <w:p w14:paraId="20B41D06" w14:textId="77777777" w:rsidR="00BB31FC" w:rsidRPr="006252AD" w:rsidRDefault="00BB31FC" w:rsidP="00BB31FC">
            <w:pPr>
              <w:spacing w:line="276" w:lineRule="auto"/>
              <w:jc w:val="both"/>
              <w:rPr>
                <w:rFonts w:ascii="Arial" w:eastAsia="Times New Roman" w:hAnsi="Arial" w:cs="Arial"/>
                <w:color w:val="000000"/>
                <w:lang w:val="en-IE" w:eastAsia="en-IE"/>
              </w:rPr>
            </w:pPr>
            <w:r w:rsidRPr="006252AD">
              <w:rPr>
                <w:rFonts w:ascii="Arial" w:eastAsia="Times New Roman" w:hAnsi="Arial" w:cs="Arial"/>
                <w:color w:val="000000" w:themeColor="text1"/>
                <w:lang w:val="en-IE" w:eastAsia="en-IE"/>
              </w:rPr>
              <w:t>Looking at Bitcoin (“</w:t>
            </w:r>
            <w:r w:rsidRPr="006252AD">
              <w:rPr>
                <w:rFonts w:ascii="Arial" w:eastAsia="Times New Roman" w:hAnsi="Arial" w:cs="Arial"/>
                <w:b/>
                <w:bCs/>
                <w:color w:val="000000" w:themeColor="text1"/>
                <w:lang w:val="en-IE" w:eastAsia="en-IE"/>
              </w:rPr>
              <w:t>BTC</w:t>
            </w:r>
            <w:r w:rsidRPr="006252AD">
              <w:rPr>
                <w:rFonts w:ascii="Arial" w:eastAsia="Times New Roman" w:hAnsi="Arial" w:cs="Arial"/>
                <w:color w:val="000000" w:themeColor="text1"/>
                <w:lang w:val="en-IE" w:eastAsia="en-IE"/>
              </w:rPr>
              <w:t>”) as an example there is evident demand for exposure to BTC spot products with ~$60Bn having accrued</w:t>
            </w:r>
            <w:r w:rsidRPr="006252AD">
              <w:rPr>
                <w:rFonts w:ascii="Arial" w:eastAsia="Times New Roman" w:hAnsi="Arial" w:cs="Arial"/>
                <w:color w:val="000000"/>
                <w:lang w:val="en-IE" w:eastAsia="en-IE"/>
              </w:rPr>
              <w:t xml:space="preserve"> in US ETFs since launch</w:t>
            </w:r>
            <w:r w:rsidRPr="006252AD">
              <w:rPr>
                <w:rStyle w:val="FootnoteReference"/>
                <w:rFonts w:ascii="Arial" w:eastAsia="Times New Roman" w:hAnsi="Arial" w:cs="Arial"/>
                <w:color w:val="000000"/>
                <w:lang w:val="en-IE" w:eastAsia="en-IE"/>
              </w:rPr>
              <w:footnoteReference w:id="32"/>
            </w:r>
            <w:r w:rsidRPr="006252AD">
              <w:rPr>
                <w:rFonts w:ascii="Arial" w:eastAsia="Times New Roman" w:hAnsi="Arial" w:cs="Arial"/>
                <w:color w:val="000000"/>
                <w:lang w:val="en-IE" w:eastAsia="en-IE"/>
              </w:rPr>
              <w:t xml:space="preserve">. </w:t>
            </w:r>
            <w:r w:rsidRPr="006252AD">
              <w:rPr>
                <w:rFonts w:ascii="Arial" w:eastAsia="Times New Roman" w:hAnsi="Arial" w:cs="Arial"/>
                <w:color w:val="000000"/>
                <w:lang w:val="en-IE" w:eastAsia="en-IE"/>
              </w:rPr>
              <w:lastRenderedPageBreak/>
              <w:t>Bitcoin has shown a low correlation with traditional assets</w:t>
            </w:r>
            <w:r w:rsidRPr="006252AD">
              <w:rPr>
                <w:rStyle w:val="FootnoteReference"/>
                <w:rFonts w:ascii="Arial" w:eastAsia="Times New Roman" w:hAnsi="Arial" w:cs="Arial"/>
                <w:color w:val="000000"/>
                <w:lang w:val="en-IE" w:eastAsia="en-IE"/>
              </w:rPr>
              <w:footnoteReference w:id="33"/>
            </w:r>
            <w:r w:rsidRPr="006252AD">
              <w:rPr>
                <w:rFonts w:ascii="Arial" w:eastAsia="Times New Roman" w:hAnsi="Arial" w:cs="Arial"/>
                <w:color w:val="000000"/>
                <w:lang w:val="en-IE" w:eastAsia="en-IE"/>
              </w:rPr>
              <w:t xml:space="preserve"> and a lower potential covariance with a book of traditional assets and hence could help to enhance risk/reward profile of the portfolios of UCITS funds.</w:t>
            </w:r>
          </w:p>
          <w:p w14:paraId="38CA2B6C" w14:textId="77777777" w:rsidR="00BB31FC" w:rsidRPr="006252AD" w:rsidRDefault="00BB31FC" w:rsidP="00BB31FC">
            <w:pPr>
              <w:spacing w:line="276" w:lineRule="auto"/>
              <w:jc w:val="both"/>
              <w:rPr>
                <w:rFonts w:ascii="Arial" w:eastAsia="Times New Roman" w:hAnsi="Arial" w:cs="Arial"/>
                <w:color w:val="000000" w:themeColor="text1"/>
                <w:lang w:val="en-IE" w:eastAsia="en-IE"/>
              </w:rPr>
            </w:pPr>
          </w:p>
          <w:p w14:paraId="3EF0A993" w14:textId="77777777" w:rsidR="00BB31FC" w:rsidRPr="006252AD" w:rsidRDefault="00BB31FC" w:rsidP="00BB31FC">
            <w:pPr>
              <w:spacing w:line="276" w:lineRule="auto"/>
              <w:jc w:val="both"/>
              <w:rPr>
                <w:rFonts w:ascii="Arial" w:eastAsia="Times New Roman" w:hAnsi="Arial" w:cs="Arial"/>
                <w:color w:val="000000"/>
                <w:lang w:val="en-IE" w:eastAsia="en-IE"/>
              </w:rPr>
            </w:pPr>
            <w:r w:rsidRPr="006252AD">
              <w:rPr>
                <w:rFonts w:ascii="Arial" w:eastAsia="Times New Roman" w:hAnsi="Arial" w:cs="Arial"/>
                <w:color w:val="000000" w:themeColor="text1"/>
                <w:lang w:val="en-IE" w:eastAsia="en-IE"/>
              </w:rPr>
              <w:t>Investors can already access BTC and other crypto assets in an unregulated way, their inclusion in the UCITS wrappers would increase the investor protection via the UCITS framework. Investors often wish to have true direct exposure to crypto assets which would also generally allow for greater correlation with the movement in the underlying assets. Funds with direct exposure may have reduced costs which can often arise in portfolios with indirect exposure due to the expenses involved in renewing futures or other similar derivative contracts.</w:t>
            </w:r>
          </w:p>
          <w:p w14:paraId="31A62FFD" w14:textId="77777777" w:rsidR="00BB31FC" w:rsidRPr="006252AD" w:rsidRDefault="00BB31FC" w:rsidP="00BB31FC">
            <w:pPr>
              <w:spacing w:line="276" w:lineRule="auto"/>
              <w:jc w:val="both"/>
              <w:rPr>
                <w:rFonts w:ascii="Arial" w:eastAsia="Times New Roman" w:hAnsi="Arial" w:cs="Arial"/>
                <w:color w:val="000000" w:themeColor="text1"/>
                <w:lang w:val="en-IE" w:eastAsia="en-IE"/>
              </w:rPr>
            </w:pPr>
          </w:p>
          <w:p w14:paraId="4F8BD09B" w14:textId="77777777" w:rsidR="00BB31FC" w:rsidRPr="006252AD" w:rsidRDefault="00BB31FC" w:rsidP="00BB31FC">
            <w:pPr>
              <w:spacing w:line="276" w:lineRule="auto"/>
              <w:jc w:val="both"/>
              <w:rPr>
                <w:rFonts w:ascii="Arial" w:eastAsia="Times New Roman" w:hAnsi="Arial" w:cs="Arial"/>
                <w:color w:val="000000"/>
                <w:lang w:val="en-IE" w:eastAsia="en-IE"/>
              </w:rPr>
            </w:pPr>
            <w:r w:rsidRPr="006252AD">
              <w:rPr>
                <w:rFonts w:ascii="Arial" w:eastAsia="Times New Roman" w:hAnsi="Arial" w:cs="Arial"/>
                <w:color w:val="000000" w:themeColor="text1"/>
                <w:lang w:val="en-IE" w:eastAsia="en-IE"/>
              </w:rPr>
              <w:t xml:space="preserve">Investors in crypto assets which have existing exposures may be less familiar with indirect exposure achieved via futures or other similar derivative arrangements. Investors in a direct exposure situation would be able </w:t>
            </w:r>
            <w:r w:rsidRPr="006252AD">
              <w:rPr>
                <w:rFonts w:ascii="Arial" w:eastAsia="Times New Roman" w:hAnsi="Arial" w:cs="Arial"/>
                <w:color w:val="000000" w:themeColor="text1"/>
                <w:lang w:val="en-IE" w:eastAsia="en-IE"/>
              </w:rPr>
              <w:lastRenderedPageBreak/>
              <w:t>to track the performance of the UCITS easier by cross referencing the holdings in a fund to movements in the value of those assets in the broader market.</w:t>
            </w:r>
          </w:p>
          <w:p w14:paraId="3CF2D8B6" w14:textId="77777777" w:rsidR="00B33432" w:rsidRPr="006252AD" w:rsidRDefault="00B33432" w:rsidP="00B33432">
            <w:pPr>
              <w:spacing w:after="250" w:line="276" w:lineRule="auto"/>
              <w:jc w:val="both"/>
              <w:rPr>
                <w:rFonts w:ascii="Arial" w:hAnsi="Arial" w:cs="Arial"/>
                <w:color w:val="181818"/>
              </w:rPr>
            </w:pPr>
          </w:p>
        </w:tc>
        <w:tc>
          <w:tcPr>
            <w:tcW w:w="1776" w:type="dxa"/>
          </w:tcPr>
          <w:p w14:paraId="0776FA62" w14:textId="77777777" w:rsidR="00BB31FC" w:rsidRPr="006252AD" w:rsidRDefault="00BB31FC" w:rsidP="00BB31FC">
            <w:pPr>
              <w:pStyle w:val="xmsolistparagraph"/>
              <w:shd w:val="clear" w:color="auto" w:fill="FFFFFF" w:themeFill="background1"/>
              <w:spacing w:line="276" w:lineRule="auto"/>
              <w:rPr>
                <w:rFonts w:ascii="Arial" w:eastAsia="Times New Roman" w:hAnsi="Arial" w:cs="Arial"/>
                <w:color w:val="000000" w:themeColor="text1"/>
                <w:sz w:val="20"/>
                <w:szCs w:val="20"/>
              </w:rPr>
            </w:pPr>
            <w:r w:rsidRPr="006252AD">
              <w:rPr>
                <w:rFonts w:ascii="Arial" w:eastAsia="Times New Roman" w:hAnsi="Arial" w:cs="Arial"/>
                <w:color w:val="000000" w:themeColor="text1"/>
                <w:sz w:val="20"/>
                <w:szCs w:val="20"/>
              </w:rPr>
              <w:lastRenderedPageBreak/>
              <w:t>Bitcoin has shown a low correlation with traditional assets</w:t>
            </w:r>
            <w:r w:rsidRPr="006252AD">
              <w:rPr>
                <w:rStyle w:val="FootnoteReference"/>
                <w:rFonts w:ascii="Arial" w:eastAsia="Times New Roman" w:hAnsi="Arial" w:cs="Arial"/>
                <w:color w:val="000000" w:themeColor="text1"/>
                <w:sz w:val="20"/>
                <w:szCs w:val="20"/>
              </w:rPr>
              <w:footnoteReference w:id="34"/>
            </w:r>
            <w:r w:rsidRPr="006252AD">
              <w:rPr>
                <w:rFonts w:ascii="Arial" w:eastAsia="Times New Roman" w:hAnsi="Arial" w:cs="Arial"/>
                <w:color w:val="000000" w:themeColor="text1"/>
                <w:sz w:val="20"/>
                <w:szCs w:val="20"/>
              </w:rPr>
              <w:t xml:space="preserve"> and a lower potential covariance with a book of traditional assets and hence could help to enhance risk/reward profile of the portfolios of UCITS funds. </w:t>
            </w:r>
          </w:p>
          <w:p w14:paraId="7A7024BD" w14:textId="77777777" w:rsidR="00BB31FC" w:rsidRPr="006252AD" w:rsidRDefault="00BB31FC" w:rsidP="00BB31FC">
            <w:pPr>
              <w:pStyle w:val="xmsolistparagraph"/>
              <w:shd w:val="clear" w:color="auto" w:fill="FFFFFF" w:themeFill="background1"/>
              <w:spacing w:line="276" w:lineRule="auto"/>
              <w:rPr>
                <w:rFonts w:ascii="Arial" w:eastAsia="Times New Roman" w:hAnsi="Arial" w:cs="Arial"/>
                <w:color w:val="000000" w:themeColor="text1"/>
                <w:sz w:val="20"/>
                <w:szCs w:val="20"/>
              </w:rPr>
            </w:pPr>
            <w:r w:rsidRPr="006252AD">
              <w:rPr>
                <w:rFonts w:ascii="Arial" w:eastAsia="Times New Roman" w:hAnsi="Arial" w:cs="Arial"/>
                <w:color w:val="000000" w:themeColor="text1"/>
                <w:sz w:val="20"/>
                <w:szCs w:val="20"/>
              </w:rPr>
              <w:t>Indirect exposure via futures or ETPs allows access via already regulated exchanges such as CMOE</w:t>
            </w:r>
            <w:r w:rsidRPr="006252AD">
              <w:rPr>
                <w:rFonts w:ascii="Arial" w:eastAsia="Times New Roman" w:hAnsi="Arial" w:cs="Arial"/>
                <w:color w:val="000000" w:themeColor="text1"/>
                <w:sz w:val="20"/>
                <w:szCs w:val="20"/>
                <w:lang w:val="en-US"/>
              </w:rPr>
              <w:t>, and various European Exchanges where the ETPs are listed,</w:t>
            </w:r>
            <w:r w:rsidRPr="006252AD">
              <w:rPr>
                <w:rFonts w:ascii="Arial" w:eastAsia="Times New Roman" w:hAnsi="Arial" w:cs="Arial"/>
                <w:color w:val="000000" w:themeColor="text1"/>
                <w:sz w:val="20"/>
                <w:szCs w:val="20"/>
              </w:rPr>
              <w:t xml:space="preserve"> and removes the need and associated risk of custody of the underlying crypto asset.</w:t>
            </w:r>
          </w:p>
          <w:p w14:paraId="0FB78278" w14:textId="77777777" w:rsidR="00B33432" w:rsidRPr="006252AD" w:rsidRDefault="00B33432" w:rsidP="00B33432">
            <w:pPr>
              <w:spacing w:after="250" w:line="276" w:lineRule="auto"/>
              <w:jc w:val="both"/>
              <w:rPr>
                <w:rFonts w:ascii="Arial" w:hAnsi="Arial" w:cs="Arial"/>
                <w:color w:val="181818"/>
              </w:rPr>
            </w:pPr>
          </w:p>
        </w:tc>
        <w:tc>
          <w:tcPr>
            <w:tcW w:w="2060" w:type="dxa"/>
          </w:tcPr>
          <w:p w14:paraId="1F29FE70"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lastRenderedPageBreak/>
              <w:t xml:space="preserve">Ireland does not permit Crypto Assets in UCITS funds, whereas </w:t>
            </w:r>
            <w:r w:rsidRPr="00BB31FC">
              <w:rPr>
                <w:rFonts w:ascii="Arial" w:eastAsia="Times New Roman" w:hAnsi="Arial" w:cs="Arial"/>
                <w:color w:val="000000" w:themeColor="text1"/>
                <w:lang w:eastAsia="en-IE"/>
              </w:rPr>
              <w:t>some jurisdictions (Germany, Spain) allow indirect exposure to crypto assets through ETPs</w:t>
            </w:r>
            <w:r w:rsidRPr="00BB31FC">
              <w:rPr>
                <w:rFonts w:ascii="Arial" w:eastAsia="Times New Roman" w:hAnsi="Arial" w:cs="Arial"/>
                <w:color w:val="000000" w:themeColor="text1"/>
                <w:lang w:val="en-US" w:eastAsia="en-IE"/>
              </w:rPr>
              <w:t>.</w:t>
            </w:r>
            <w:r w:rsidRPr="00BB31FC">
              <w:rPr>
                <w:rFonts w:ascii="Arial" w:eastAsia="Times New Roman" w:hAnsi="Arial" w:cs="Arial"/>
                <w:color w:val="000000" w:themeColor="text1"/>
                <w:lang w:val="en-IE" w:eastAsia="en-IE"/>
              </w:rPr>
              <w:t xml:space="preserve">  However, one would expect exposures to be achieved via exposure to adjacent publicly traded companies in the crypto space such as Coinbase, Kraken or via listed Blockchain focused ETFs: Invesco </w:t>
            </w:r>
            <w:proofErr w:type="spellStart"/>
            <w:r w:rsidRPr="00BB31FC">
              <w:rPr>
                <w:rFonts w:ascii="Arial" w:eastAsia="Times New Roman" w:hAnsi="Arial" w:cs="Arial"/>
                <w:color w:val="000000" w:themeColor="text1"/>
                <w:lang w:val="en-IE" w:eastAsia="en-IE"/>
              </w:rPr>
              <w:t>CoinShares</w:t>
            </w:r>
            <w:proofErr w:type="spellEnd"/>
            <w:r w:rsidRPr="00BB31FC">
              <w:rPr>
                <w:rFonts w:ascii="Arial" w:eastAsia="Times New Roman" w:hAnsi="Arial" w:cs="Arial"/>
                <w:color w:val="000000" w:themeColor="text1"/>
                <w:lang w:val="en-IE" w:eastAsia="en-IE"/>
              </w:rPr>
              <w:t xml:space="preserve"> Global Blockchain UCITS ETF, </w:t>
            </w:r>
            <w:proofErr w:type="spellStart"/>
            <w:r w:rsidRPr="00BB31FC">
              <w:rPr>
                <w:rFonts w:ascii="Arial" w:eastAsia="Times New Roman" w:hAnsi="Arial" w:cs="Arial"/>
                <w:color w:val="000000" w:themeColor="text1"/>
                <w:lang w:val="en-IE" w:eastAsia="en-IE"/>
              </w:rPr>
              <w:t>VanEck</w:t>
            </w:r>
            <w:proofErr w:type="spellEnd"/>
            <w:r w:rsidRPr="00BB31FC">
              <w:rPr>
                <w:rFonts w:ascii="Arial" w:eastAsia="Times New Roman" w:hAnsi="Arial" w:cs="Arial"/>
                <w:color w:val="000000" w:themeColor="text1"/>
                <w:lang w:val="en-IE" w:eastAsia="en-IE"/>
              </w:rPr>
              <w:t xml:space="preserve"> Digital Transformation ETF.  </w:t>
            </w:r>
          </w:p>
          <w:p w14:paraId="1FC39945" w14:textId="77777777" w:rsidR="00B33432" w:rsidRPr="006252AD" w:rsidRDefault="00B33432" w:rsidP="00B33432">
            <w:pPr>
              <w:spacing w:after="250" w:line="276" w:lineRule="auto"/>
              <w:jc w:val="both"/>
              <w:rPr>
                <w:rFonts w:ascii="Arial" w:hAnsi="Arial" w:cs="Arial"/>
                <w:color w:val="181818"/>
              </w:rPr>
            </w:pPr>
          </w:p>
        </w:tc>
        <w:tc>
          <w:tcPr>
            <w:tcW w:w="1706" w:type="dxa"/>
          </w:tcPr>
          <w:p w14:paraId="0562CB0E" w14:textId="77777777" w:rsidR="00B33432" w:rsidRPr="006252AD" w:rsidRDefault="00B33432" w:rsidP="00B33432">
            <w:pPr>
              <w:spacing w:after="250" w:line="276" w:lineRule="auto"/>
              <w:jc w:val="both"/>
              <w:rPr>
                <w:rFonts w:ascii="Arial" w:hAnsi="Arial" w:cs="Arial"/>
                <w:color w:val="181818"/>
              </w:rPr>
            </w:pPr>
          </w:p>
        </w:tc>
      </w:tr>
      <w:tr w:rsidR="00B33432" w:rsidRPr="006252AD" w14:paraId="6582FE19" w14:textId="77777777" w:rsidTr="00F278BC">
        <w:tc>
          <w:tcPr>
            <w:tcW w:w="2095" w:type="dxa"/>
          </w:tcPr>
          <w:p w14:paraId="73AF3CD4" w14:textId="77777777" w:rsidR="00B33432" w:rsidRPr="006252AD" w:rsidRDefault="00B33432" w:rsidP="00B33432">
            <w:pPr>
              <w:spacing w:after="250" w:line="276" w:lineRule="auto"/>
              <w:rPr>
                <w:rFonts w:ascii="Arial" w:hAnsi="Arial" w:cs="Arial"/>
              </w:rPr>
            </w:pPr>
            <w:r w:rsidRPr="006252AD">
              <w:rPr>
                <w:rFonts w:ascii="Arial" w:hAnsi="Arial" w:cs="Arial"/>
              </w:rPr>
              <w:lastRenderedPageBreak/>
              <w:t>8. Commodities and precious metals</w:t>
            </w:r>
            <w:r w:rsidRPr="006252AD">
              <w:rPr>
                <w:rFonts w:ascii="Arial" w:hAnsi="Arial" w:cs="Arial"/>
                <w:vertAlign w:val="superscript"/>
              </w:rPr>
              <w:footnoteReference w:id="35"/>
            </w:r>
          </w:p>
        </w:tc>
        <w:tc>
          <w:tcPr>
            <w:tcW w:w="1683" w:type="dxa"/>
          </w:tcPr>
          <w:p w14:paraId="3B529CED"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 xml:space="preserve">Direct investment not currently possible (see Additional comments). </w:t>
            </w:r>
            <w:r w:rsidRPr="00BB31FC">
              <w:rPr>
                <w:rFonts w:ascii="Arial" w:eastAsiaTheme="minorEastAsia" w:hAnsi="Arial" w:cs="Arial"/>
                <w:lang w:val="en-US"/>
              </w:rPr>
              <w:br/>
            </w:r>
            <w:r w:rsidRPr="00BB31FC">
              <w:rPr>
                <w:rFonts w:ascii="Arial" w:eastAsiaTheme="minorEastAsia" w:hAnsi="Arial" w:cs="Arial"/>
                <w:lang w:val="en-US"/>
              </w:rPr>
              <w:br/>
            </w:r>
            <w:r w:rsidRPr="00BB31FC">
              <w:rPr>
                <w:rFonts w:ascii="Arial" w:eastAsia="Times New Roman" w:hAnsi="Arial" w:cs="Arial"/>
                <w:color w:val="000000" w:themeColor="text1"/>
                <w:lang w:val="en-IE" w:eastAsia="en-IE"/>
              </w:rPr>
              <w:t>Regarding merits of direct investment, they are limited. For certain commodities (e.g. precious Metals), there are liquid markets. However, allowing direct exposure would pose difficult questions relating to custody, delivery and handling of these commodities. On the positive side, direct exposure may be more cost efficient as there would be no additional swap fee or product related fees.</w:t>
            </w:r>
          </w:p>
          <w:p w14:paraId="34CE0A41" w14:textId="77777777" w:rsidR="00B33432" w:rsidRPr="006252AD" w:rsidRDefault="00B33432" w:rsidP="00B33432">
            <w:pPr>
              <w:spacing w:after="250" w:line="276" w:lineRule="auto"/>
              <w:jc w:val="both"/>
              <w:rPr>
                <w:rFonts w:ascii="Arial" w:hAnsi="Arial" w:cs="Arial"/>
                <w:color w:val="181818"/>
              </w:rPr>
            </w:pPr>
          </w:p>
        </w:tc>
        <w:tc>
          <w:tcPr>
            <w:tcW w:w="1776" w:type="dxa"/>
          </w:tcPr>
          <w:p w14:paraId="0A3DD8C5" w14:textId="77777777" w:rsidR="00BB31FC" w:rsidRPr="006252AD" w:rsidRDefault="00BB31FC" w:rsidP="00BB31FC">
            <w:pPr>
              <w:spacing w:line="276" w:lineRule="auto"/>
              <w:jc w:val="both"/>
              <w:rPr>
                <w:rFonts w:ascii="Arial" w:eastAsia="Times New Roman" w:hAnsi="Arial" w:cs="Arial"/>
                <w:color w:val="000000"/>
                <w:lang w:val="en-IE" w:eastAsia="en-IE"/>
              </w:rPr>
            </w:pPr>
            <w:r w:rsidRPr="006252AD">
              <w:rPr>
                <w:rFonts w:ascii="Arial" w:eastAsia="Times New Roman" w:hAnsi="Arial" w:cs="Arial"/>
                <w:color w:val="000000" w:themeColor="text1"/>
                <w:lang w:val="en-IE" w:eastAsia="en-IE"/>
              </w:rPr>
              <w:t xml:space="preserve">Indirect exposure is currently possible through investment in ETCs, ETNs, delta-one instruments and to a certain extent through AIFs and UCITS. It is also possible for a UCITS to gain indirect exposure through a derivative where the underlying is a transferable security or financial index. However, it is not currently possible to gain exposure through a commodity derivative (See Additional Comments). For example, it is not possible for a UCITS to invest in carbon </w:t>
            </w:r>
            <w:r w:rsidRPr="006252AD">
              <w:rPr>
                <w:rFonts w:ascii="Arial" w:eastAsia="Times New Roman" w:hAnsi="Arial" w:cs="Arial"/>
                <w:color w:val="000000" w:themeColor="text1"/>
                <w:lang w:val="en-IE" w:eastAsia="en-IE"/>
              </w:rPr>
              <w:lastRenderedPageBreak/>
              <w:t>futures, but a UCITS could gain indirect exposure to carbon emission allowances (which have a similar effect to carbon futures) via an ETP or another delta-one instrument.</w:t>
            </w:r>
          </w:p>
          <w:p w14:paraId="01B1AC1A" w14:textId="77777777" w:rsidR="00BB31FC" w:rsidRPr="006252AD" w:rsidRDefault="00BB31FC" w:rsidP="00BB31FC">
            <w:pPr>
              <w:spacing w:line="276" w:lineRule="auto"/>
              <w:jc w:val="both"/>
              <w:rPr>
                <w:rFonts w:ascii="Arial" w:eastAsia="Times New Roman" w:hAnsi="Arial" w:cs="Arial"/>
                <w:color w:val="000000"/>
                <w:lang w:val="en-IE" w:eastAsia="en-IE"/>
              </w:rPr>
            </w:pPr>
          </w:p>
          <w:p w14:paraId="18242433" w14:textId="77777777" w:rsidR="00BB31FC" w:rsidRPr="006252AD" w:rsidRDefault="00BB31FC" w:rsidP="00BB31FC">
            <w:pPr>
              <w:spacing w:line="276" w:lineRule="auto"/>
              <w:jc w:val="both"/>
              <w:rPr>
                <w:rFonts w:ascii="Arial" w:eastAsia="Times New Roman" w:hAnsi="Arial" w:cs="Arial"/>
                <w:color w:val="000000"/>
                <w:lang w:val="en-IE" w:eastAsia="en-IE"/>
              </w:rPr>
            </w:pPr>
            <w:r w:rsidRPr="006252AD">
              <w:rPr>
                <w:rFonts w:ascii="Arial" w:eastAsia="Times New Roman" w:hAnsi="Arial" w:cs="Arial"/>
                <w:color w:val="000000" w:themeColor="text1"/>
                <w:lang w:val="en-IE" w:eastAsia="en-IE"/>
              </w:rPr>
              <w:t>Indirect exposure through derivatives on financial indices and ETCs is well established practice. ETCs are financial instruments under MiFID and subject to target market assessment both by the manufacturer as well as the distributor. ETCs generally include retail investors as the intended target market so UCITS should be able to invest into such instruments.</w:t>
            </w:r>
          </w:p>
          <w:p w14:paraId="3D8D7D0B" w14:textId="77777777" w:rsidR="00BB31FC" w:rsidRPr="006252AD" w:rsidRDefault="00BB31FC" w:rsidP="00BB31FC">
            <w:pPr>
              <w:spacing w:line="276" w:lineRule="auto"/>
              <w:jc w:val="both"/>
              <w:rPr>
                <w:rFonts w:ascii="Arial" w:eastAsia="Times New Roman" w:hAnsi="Arial" w:cs="Arial"/>
                <w:color w:val="000000"/>
                <w:lang w:val="en-IE" w:eastAsia="en-IE"/>
              </w:rPr>
            </w:pPr>
          </w:p>
          <w:p w14:paraId="7802E19F" w14:textId="77777777" w:rsidR="00BB31FC" w:rsidRPr="006252AD" w:rsidRDefault="00BB31FC" w:rsidP="00BB31FC">
            <w:pPr>
              <w:spacing w:line="276" w:lineRule="auto"/>
              <w:jc w:val="both"/>
              <w:rPr>
                <w:rFonts w:ascii="Arial" w:eastAsia="Times New Roman" w:hAnsi="Arial" w:cs="Arial"/>
                <w:color w:val="000000" w:themeColor="text1"/>
                <w:lang w:val="en-IE" w:eastAsia="en-IE"/>
              </w:rPr>
            </w:pPr>
            <w:r w:rsidRPr="006252AD">
              <w:rPr>
                <w:rFonts w:ascii="Arial" w:eastAsia="Times New Roman" w:hAnsi="Arial" w:cs="Arial"/>
                <w:color w:val="000000" w:themeColor="text1"/>
                <w:lang w:val="en-IE" w:eastAsia="en-IE"/>
              </w:rPr>
              <w:t xml:space="preserve">Commodities tend to offer three strong benefits to portfolios: diversification, </w:t>
            </w:r>
            <w:r w:rsidRPr="006252AD">
              <w:rPr>
                <w:rFonts w:ascii="Arial" w:eastAsia="Times New Roman" w:hAnsi="Arial" w:cs="Arial"/>
                <w:color w:val="000000" w:themeColor="text1"/>
                <w:lang w:val="en-IE" w:eastAsia="en-IE"/>
              </w:rPr>
              <w:lastRenderedPageBreak/>
              <w:t>inflation protection, and return potential and therefore exposure to commodities through an ETC structure should be considered an important portfolio allocation over the long term for UCITS. A number of independent studies have been conducted to support these benefits of commodities</w:t>
            </w:r>
            <w:r w:rsidRPr="006252AD">
              <w:rPr>
                <w:rStyle w:val="FootnoteReference"/>
                <w:rFonts w:ascii="Arial" w:eastAsia="Times New Roman" w:hAnsi="Arial" w:cs="Arial"/>
                <w:color w:val="000000" w:themeColor="text1"/>
                <w:lang w:val="en-IE" w:eastAsia="en-IE"/>
              </w:rPr>
              <w:footnoteReference w:id="36"/>
            </w:r>
            <w:r w:rsidRPr="006252AD">
              <w:rPr>
                <w:rFonts w:ascii="Arial" w:eastAsia="Times New Roman" w:hAnsi="Arial" w:cs="Arial"/>
                <w:color w:val="000000" w:themeColor="text1"/>
                <w:lang w:val="en-IE" w:eastAsia="en-IE"/>
              </w:rPr>
              <w:t xml:space="preserve">, e.g. by allowing indirect exposure via ETCs, the UCITS avoids custody, delivery and handling issues associated with direct exposures. Markets in these ETCs are extremely active and liquid with exchange-turn over and spreads being comparable to large cap equities. Liquidity is generally driven both by the liquidity of the underlying asset </w:t>
            </w:r>
            <w:r w:rsidRPr="006252AD">
              <w:rPr>
                <w:rFonts w:ascii="Arial" w:eastAsia="Times New Roman" w:hAnsi="Arial" w:cs="Arial"/>
                <w:color w:val="000000" w:themeColor="text1"/>
                <w:lang w:val="en-IE" w:eastAsia="en-IE"/>
              </w:rPr>
              <w:lastRenderedPageBreak/>
              <w:t xml:space="preserve">through the ETF like subscription and redemption model of these instruments as well as secondary liquidity directly on exchange. </w:t>
            </w:r>
          </w:p>
          <w:p w14:paraId="62EBF3C5" w14:textId="77777777" w:rsidR="00B33432" w:rsidRPr="006252AD" w:rsidRDefault="00B33432" w:rsidP="00B33432">
            <w:pPr>
              <w:spacing w:after="250" w:line="276" w:lineRule="auto"/>
              <w:jc w:val="both"/>
              <w:rPr>
                <w:rFonts w:ascii="Arial" w:hAnsi="Arial" w:cs="Arial"/>
                <w:color w:val="181818"/>
              </w:rPr>
            </w:pPr>
          </w:p>
        </w:tc>
        <w:tc>
          <w:tcPr>
            <w:tcW w:w="2060" w:type="dxa"/>
          </w:tcPr>
          <w:p w14:paraId="43A8BB07"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lastRenderedPageBreak/>
              <w:t xml:space="preserve">A relatively small number of UCITS funds have indirect exposure to this asset class through delta-one instruments, derivatives and ETCs. The extent of this indirect exposure is minimal with very few funds going above 10%. </w:t>
            </w:r>
          </w:p>
          <w:p w14:paraId="3B1BE3EB"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p>
          <w:p w14:paraId="3803892F" w14:textId="77777777" w:rsidR="00BB31FC" w:rsidRPr="00BB31FC" w:rsidRDefault="00BB31FC" w:rsidP="00BB31FC">
            <w:pPr>
              <w:spacing w:line="276" w:lineRule="auto"/>
              <w:jc w:val="both"/>
              <w:rPr>
                <w:rFonts w:ascii="Arial" w:eastAsia="Times New Roman" w:hAnsi="Arial" w:cs="Arial"/>
                <w:color w:val="000000"/>
                <w:lang w:val="en-IE" w:eastAsia="en-IE"/>
              </w:rPr>
            </w:pPr>
            <w:r w:rsidRPr="00BB31FC">
              <w:rPr>
                <w:rFonts w:ascii="Arial" w:eastAsia="Times New Roman" w:hAnsi="Arial" w:cs="Arial"/>
                <w:color w:val="000000" w:themeColor="text1"/>
                <w:lang w:val="en-IE" w:eastAsia="en-IE"/>
              </w:rPr>
              <w:t xml:space="preserve">Exposure to commodities is widely used by investors as a diversifier as well as an inflation hedge or to get exposure to certain global megatrends such as certain commodities supporting the energy transition.                                                                                       </w:t>
            </w:r>
          </w:p>
          <w:p w14:paraId="7AB2AF9B" w14:textId="77777777" w:rsidR="00BB31FC" w:rsidRPr="00BB31FC" w:rsidRDefault="00BB31FC" w:rsidP="00BB31FC">
            <w:pPr>
              <w:spacing w:line="276" w:lineRule="auto"/>
              <w:jc w:val="both"/>
              <w:rPr>
                <w:rFonts w:ascii="Arial" w:eastAsia="Times New Roman" w:hAnsi="Arial" w:cs="Arial"/>
                <w:color w:val="000000"/>
                <w:lang w:val="en-IE" w:eastAsia="en-IE"/>
              </w:rPr>
            </w:pPr>
          </w:p>
          <w:p w14:paraId="3407BDDA"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 xml:space="preserve">Commodities are a well-accepted asset class for many retail and institutional investors. We see </w:t>
            </w:r>
            <w:r w:rsidRPr="00BB31FC">
              <w:rPr>
                <w:rFonts w:ascii="Arial" w:eastAsia="Times New Roman" w:hAnsi="Arial" w:cs="Arial"/>
                <w:color w:val="000000" w:themeColor="text1"/>
                <w:lang w:val="en-IE" w:eastAsia="en-IE"/>
              </w:rPr>
              <w:lastRenderedPageBreak/>
              <w:t>a market size of approx. USD 15bn in Commodity UCITS ETFs</w:t>
            </w:r>
            <w:r w:rsidRPr="00BB31FC">
              <w:rPr>
                <w:rFonts w:ascii="Arial" w:eastAsia="Times New Roman" w:hAnsi="Arial" w:cs="Arial"/>
                <w:color w:val="000000" w:themeColor="text1"/>
                <w:vertAlign w:val="superscript"/>
                <w:lang w:val="en-IE" w:eastAsia="en-IE"/>
              </w:rPr>
              <w:footnoteReference w:id="37"/>
            </w:r>
            <w:r w:rsidRPr="00BB31FC">
              <w:rPr>
                <w:rFonts w:ascii="Arial" w:eastAsia="Times New Roman" w:hAnsi="Arial" w:cs="Arial"/>
                <w:color w:val="000000" w:themeColor="text1"/>
                <w:lang w:val="en-IE" w:eastAsia="en-IE"/>
              </w:rPr>
              <w:t>. Most of them use swaps on financial indices to obtain exposure to commodities.</w:t>
            </w:r>
          </w:p>
          <w:p w14:paraId="6D98A12B" w14:textId="77777777" w:rsidR="00B33432" w:rsidRPr="006252AD" w:rsidRDefault="00B33432" w:rsidP="00B33432">
            <w:pPr>
              <w:spacing w:after="250" w:line="276" w:lineRule="auto"/>
              <w:jc w:val="both"/>
              <w:rPr>
                <w:rFonts w:ascii="Arial" w:hAnsi="Arial" w:cs="Arial"/>
                <w:color w:val="181818"/>
              </w:rPr>
            </w:pPr>
          </w:p>
        </w:tc>
        <w:tc>
          <w:tcPr>
            <w:tcW w:w="1706" w:type="dxa"/>
          </w:tcPr>
          <w:p w14:paraId="15F0AB97" w14:textId="77777777" w:rsidR="00BB31FC" w:rsidRPr="00BB31FC" w:rsidRDefault="00BB31FC" w:rsidP="00BB31FC">
            <w:pPr>
              <w:spacing w:line="276" w:lineRule="auto"/>
              <w:jc w:val="both"/>
              <w:rPr>
                <w:rFonts w:ascii="Arial" w:eastAsia="Times New Roman" w:hAnsi="Arial" w:cs="Arial"/>
                <w:color w:val="000000"/>
                <w:lang w:val="en-IE" w:eastAsia="en-IE"/>
              </w:rPr>
            </w:pPr>
            <w:r w:rsidRPr="00BB31FC">
              <w:rPr>
                <w:rFonts w:ascii="Arial" w:eastAsia="Times New Roman" w:hAnsi="Arial" w:cs="Arial"/>
                <w:color w:val="000000" w:themeColor="text1"/>
                <w:lang w:val="en-IE" w:eastAsia="en-IE"/>
              </w:rPr>
              <w:lastRenderedPageBreak/>
              <w:t xml:space="preserve">Direct exposure would require a level 1 amendment as commodities and precious metals are not referenced in Art 50(1) of the UCITS Directive and Art 50(2) of the UCITS Directive prohibits a UCITS from acquiring either precious metals or certificates representing them. In addition, Art 8(5) of EAD states the references in the UCITS Directive to liquid financial assets in the context of derivatives shall be understood as excluding derivatives on commodities. Therefore, currently </w:t>
            </w:r>
            <w:r w:rsidRPr="00BB31FC">
              <w:rPr>
                <w:rFonts w:ascii="Arial" w:eastAsia="Times New Roman" w:hAnsi="Arial" w:cs="Arial"/>
                <w:color w:val="000000" w:themeColor="text1"/>
                <w:lang w:val="en-IE" w:eastAsia="en-IE"/>
              </w:rPr>
              <w:lastRenderedPageBreak/>
              <w:t>commodity derivatives are prohibited. Irish Funds does not propose revisions to this prohibition given the challenges, and increased operational risks and costs associated, with custody, delivery and handling issues associated with direct exposures notwithstanding the fact that many c</w:t>
            </w:r>
            <w:r w:rsidRPr="00BB31FC">
              <w:rPr>
                <w:rFonts w:ascii="Arial" w:eastAsiaTheme="minorEastAsia" w:hAnsi="Arial" w:cs="Arial"/>
                <w:lang w:val="en-US"/>
              </w:rPr>
              <w:t>commodity futures markets are now cash settled rather than requiring physical delivery on maturity</w:t>
            </w:r>
            <w:r w:rsidRPr="00BB31FC">
              <w:rPr>
                <w:rFonts w:ascii="Arial" w:eastAsia="Times New Roman" w:hAnsi="Arial" w:cs="Arial"/>
                <w:color w:val="000000" w:themeColor="text1"/>
                <w:lang w:val="en-IE" w:eastAsia="en-IE"/>
              </w:rPr>
              <w:t>.</w:t>
            </w:r>
          </w:p>
          <w:p w14:paraId="4CF37BCC" w14:textId="77777777" w:rsidR="00BB31FC" w:rsidRPr="00BB31FC" w:rsidRDefault="00BB31FC" w:rsidP="00BB31FC">
            <w:pPr>
              <w:spacing w:line="276" w:lineRule="auto"/>
              <w:jc w:val="both"/>
              <w:rPr>
                <w:rFonts w:ascii="Arial" w:eastAsia="Times New Roman" w:hAnsi="Arial" w:cs="Arial"/>
                <w:color w:val="000000"/>
                <w:lang w:val="en-IE" w:eastAsia="en-IE"/>
              </w:rPr>
            </w:pPr>
          </w:p>
          <w:p w14:paraId="33E126F0" w14:textId="77777777" w:rsidR="00BB31FC" w:rsidRPr="00BB31FC" w:rsidRDefault="00BB31FC" w:rsidP="00BB31FC">
            <w:pPr>
              <w:spacing w:line="276" w:lineRule="auto"/>
              <w:jc w:val="both"/>
              <w:rPr>
                <w:rFonts w:ascii="Arial" w:eastAsia="Times New Roman" w:hAnsi="Arial" w:cs="Arial"/>
                <w:color w:val="000000"/>
                <w:lang w:val="en-IE" w:eastAsia="en-IE"/>
              </w:rPr>
            </w:pPr>
            <w:r w:rsidRPr="00BB31FC">
              <w:rPr>
                <w:rFonts w:ascii="Arial" w:eastAsia="Times New Roman" w:hAnsi="Arial" w:cs="Arial"/>
                <w:color w:val="000000" w:themeColor="text1"/>
                <w:lang w:val="en-IE" w:eastAsia="en-IE"/>
              </w:rPr>
              <w:t xml:space="preserve">The commodity markets have matured since the last review of EAD: Many commodities are available via ETPs which trade on regulated exchanges like regular equities and are cleared and settled via the standard clearing </w:t>
            </w:r>
            <w:r w:rsidRPr="00BB31FC">
              <w:rPr>
                <w:rFonts w:ascii="Arial" w:eastAsia="Times New Roman" w:hAnsi="Arial" w:cs="Arial"/>
                <w:color w:val="000000" w:themeColor="text1"/>
                <w:lang w:val="en-IE" w:eastAsia="en-IE"/>
              </w:rPr>
              <w:lastRenderedPageBreak/>
              <w:t xml:space="preserve">systems. Volatility of such ETPs is often lower than the volatility of equities, in particular, certain small caps or emerging markets equities. UCITS should continue to be permitted to achieve indirect exposure to commodities via ETCs given that the ETC structure removes the operational risk and burdens involved in the custody, delivery and handling associated with direct exposures.                                      </w:t>
            </w:r>
          </w:p>
          <w:p w14:paraId="2946DB82" w14:textId="77777777" w:rsidR="00B33432" w:rsidRPr="006252AD" w:rsidRDefault="00B33432" w:rsidP="00B33432">
            <w:pPr>
              <w:spacing w:after="250" w:line="276" w:lineRule="auto"/>
              <w:jc w:val="both"/>
              <w:rPr>
                <w:rFonts w:ascii="Arial" w:hAnsi="Arial" w:cs="Arial"/>
                <w:color w:val="181818"/>
              </w:rPr>
            </w:pPr>
          </w:p>
        </w:tc>
      </w:tr>
      <w:tr w:rsidR="00B33432" w:rsidRPr="006252AD" w14:paraId="1D06A7CA" w14:textId="77777777" w:rsidTr="00F278BC">
        <w:tc>
          <w:tcPr>
            <w:tcW w:w="2095" w:type="dxa"/>
          </w:tcPr>
          <w:p w14:paraId="695108F8" w14:textId="77777777" w:rsidR="00B33432" w:rsidRPr="006252AD" w:rsidRDefault="00B33432" w:rsidP="00B33432">
            <w:pPr>
              <w:spacing w:after="250" w:line="276" w:lineRule="auto"/>
              <w:rPr>
                <w:rFonts w:ascii="Arial" w:hAnsi="Arial" w:cs="Arial"/>
              </w:rPr>
            </w:pPr>
            <w:r w:rsidRPr="006252AD">
              <w:rPr>
                <w:rFonts w:ascii="Arial" w:hAnsi="Arial" w:cs="Arial"/>
              </w:rPr>
              <w:lastRenderedPageBreak/>
              <w:t>9. Exchange-traded commodities (‘ETCs’)</w:t>
            </w:r>
          </w:p>
        </w:tc>
        <w:tc>
          <w:tcPr>
            <w:tcW w:w="1683" w:type="dxa"/>
          </w:tcPr>
          <w:p w14:paraId="5633556D" w14:textId="77777777" w:rsidR="00BB31FC" w:rsidRPr="00BB31FC" w:rsidRDefault="00BB31FC" w:rsidP="00BB31FC">
            <w:pPr>
              <w:spacing w:line="276" w:lineRule="auto"/>
              <w:jc w:val="both"/>
              <w:rPr>
                <w:rFonts w:ascii="Arial" w:eastAsia="Times New Roman" w:hAnsi="Arial" w:cs="Arial"/>
                <w:color w:val="000000"/>
                <w:lang w:val="en-IE" w:eastAsia="en-IE"/>
              </w:rPr>
            </w:pPr>
            <w:r w:rsidRPr="00BB31FC">
              <w:rPr>
                <w:rFonts w:ascii="Arial" w:eastAsia="Times New Roman" w:hAnsi="Arial" w:cs="Arial"/>
                <w:color w:val="000000" w:themeColor="text1"/>
                <w:lang w:val="en-IE" w:eastAsia="en-IE"/>
              </w:rPr>
              <w:t xml:space="preserve">Direct investment into an ETC is possible if the ETC satisfies the current transferable security definition, unless it embeds a derivative referencing an ineligible asset. </w:t>
            </w:r>
          </w:p>
          <w:p w14:paraId="0A612904" w14:textId="77777777" w:rsidR="00BB31FC" w:rsidRPr="00BB31FC" w:rsidRDefault="00BB31FC" w:rsidP="00BB31FC">
            <w:pPr>
              <w:spacing w:line="276" w:lineRule="auto"/>
              <w:jc w:val="both"/>
              <w:rPr>
                <w:rFonts w:ascii="Arial" w:eastAsia="Times New Roman" w:hAnsi="Arial" w:cs="Arial"/>
                <w:color w:val="000000"/>
                <w:lang w:val="en-IE" w:eastAsia="en-IE"/>
              </w:rPr>
            </w:pPr>
          </w:p>
          <w:p w14:paraId="4C6F3FF1"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 xml:space="preserve">By allowing indirect exposure via ETCs, the UCITS avoids custody, delivery and handling issues associated with direct exposures.  Markets in these ETCs are extremely active and liquid with exchange-turn over and spreads being comparable to large cap equities. Liquidity is generally driven both by the liquidity of the underlying asset through the ETF like subscription and redemption model of these instruments as well as secondary liquidity directly on exchange. </w:t>
            </w:r>
          </w:p>
          <w:p w14:paraId="5997CC1D" w14:textId="77777777" w:rsidR="00B33432" w:rsidRPr="006252AD" w:rsidRDefault="00B33432" w:rsidP="00B33432">
            <w:pPr>
              <w:spacing w:after="250" w:line="276" w:lineRule="auto"/>
              <w:jc w:val="both"/>
              <w:rPr>
                <w:rFonts w:ascii="Arial" w:hAnsi="Arial" w:cs="Arial"/>
                <w:color w:val="181818"/>
              </w:rPr>
            </w:pPr>
          </w:p>
        </w:tc>
        <w:tc>
          <w:tcPr>
            <w:tcW w:w="1776" w:type="dxa"/>
          </w:tcPr>
          <w:p w14:paraId="0810CD6A" w14:textId="77777777" w:rsidR="00BB31FC" w:rsidRPr="00BB31FC" w:rsidRDefault="00BB31FC" w:rsidP="00BB31FC">
            <w:pPr>
              <w:spacing w:line="276" w:lineRule="auto"/>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Indirect exposure should be allowed on the basis that direct exposure is permitted.</w:t>
            </w:r>
          </w:p>
          <w:p w14:paraId="110FFD37" w14:textId="77777777" w:rsidR="00B33432" w:rsidRPr="006252AD" w:rsidRDefault="00B33432" w:rsidP="00B33432">
            <w:pPr>
              <w:spacing w:after="250" w:line="276" w:lineRule="auto"/>
              <w:jc w:val="both"/>
              <w:rPr>
                <w:rFonts w:ascii="Arial" w:hAnsi="Arial" w:cs="Arial"/>
                <w:color w:val="181818"/>
              </w:rPr>
            </w:pPr>
          </w:p>
        </w:tc>
        <w:tc>
          <w:tcPr>
            <w:tcW w:w="2060" w:type="dxa"/>
          </w:tcPr>
          <w:p w14:paraId="3BC4DEC2"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The total market size for ETCs listed in Europe is approximately $90bn with the majority being in gold backed ETCs (~$76bn)</w:t>
            </w:r>
            <w:r w:rsidRPr="00BB31FC">
              <w:rPr>
                <w:rFonts w:ascii="Arial" w:eastAsia="Times New Roman" w:hAnsi="Arial" w:cs="Arial"/>
                <w:color w:val="000000" w:themeColor="text1"/>
                <w:vertAlign w:val="superscript"/>
                <w:lang w:val="en-IE" w:eastAsia="en-IE"/>
              </w:rPr>
              <w:footnoteReference w:id="38"/>
            </w:r>
            <w:r w:rsidRPr="00BB31FC">
              <w:rPr>
                <w:rFonts w:ascii="Arial" w:eastAsia="Times New Roman" w:hAnsi="Arial" w:cs="Arial"/>
                <w:color w:val="000000" w:themeColor="text1"/>
                <w:lang w:val="en-IE" w:eastAsia="en-IE"/>
              </w:rPr>
              <w:t>. These products are used extensively both by retail and professional investors. We cannot assess which part of this market is held by UCITS but many multi asset funds across Europe use commodity ETCs for diversification purposes and partly for more tactical positioning and inflation hedge.</w:t>
            </w:r>
          </w:p>
          <w:p w14:paraId="0AA29012" w14:textId="77777777" w:rsidR="00BB31FC" w:rsidRPr="00BB31FC" w:rsidRDefault="00BB31FC" w:rsidP="00BB31FC">
            <w:pPr>
              <w:spacing w:line="276" w:lineRule="auto"/>
              <w:jc w:val="both"/>
              <w:rPr>
                <w:rFonts w:ascii="Arial" w:eastAsia="Times New Roman" w:hAnsi="Arial" w:cs="Arial"/>
                <w:color w:val="000000"/>
                <w:lang w:val="en-IE" w:eastAsia="en-IE"/>
              </w:rPr>
            </w:pPr>
          </w:p>
          <w:p w14:paraId="197DC2FB" w14:textId="77777777" w:rsidR="00BB31FC" w:rsidRPr="00BB31FC" w:rsidRDefault="00BB31FC" w:rsidP="00BB31FC">
            <w:pPr>
              <w:spacing w:line="276" w:lineRule="auto"/>
              <w:jc w:val="both"/>
              <w:rPr>
                <w:rFonts w:ascii="Arial" w:eastAsia="Times New Roman" w:hAnsi="Arial" w:cs="Arial"/>
                <w:color w:val="000000"/>
                <w:lang w:val="en-IE" w:eastAsia="en-IE"/>
              </w:rPr>
            </w:pPr>
            <w:r w:rsidRPr="00BB31FC">
              <w:rPr>
                <w:rFonts w:ascii="Arial" w:eastAsia="Times New Roman" w:hAnsi="Arial" w:cs="Arial"/>
                <w:color w:val="000000"/>
                <w:lang w:val="en-IE" w:eastAsia="en-IE"/>
              </w:rPr>
              <w:t xml:space="preserve">One specific example is an ETF with approx. 20% in Gold and Silver ETCs. The fund is replicating the Bloomberg Commodities </w:t>
            </w:r>
            <w:r w:rsidRPr="00BB31FC">
              <w:rPr>
                <w:rFonts w:ascii="Arial" w:eastAsia="Times New Roman" w:hAnsi="Arial" w:cs="Arial"/>
                <w:color w:val="000000"/>
                <w:lang w:val="en-IE" w:eastAsia="en-IE"/>
              </w:rPr>
              <w:lastRenderedPageBreak/>
              <w:t>(“</w:t>
            </w:r>
            <w:r w:rsidRPr="00BB31FC">
              <w:rPr>
                <w:rFonts w:ascii="Arial" w:eastAsia="Times New Roman" w:hAnsi="Arial" w:cs="Arial"/>
                <w:b/>
                <w:bCs/>
                <w:color w:val="000000"/>
                <w:lang w:val="en-IE" w:eastAsia="en-IE"/>
              </w:rPr>
              <w:t>BCOM”</w:t>
            </w:r>
            <w:r w:rsidRPr="00BB31FC">
              <w:rPr>
                <w:rFonts w:ascii="Arial" w:eastAsia="Times New Roman" w:hAnsi="Arial" w:cs="Arial"/>
                <w:color w:val="000000"/>
                <w:lang w:val="en-IE" w:eastAsia="en-IE"/>
              </w:rPr>
              <w:t>) index. While most competition uses a swap on the BCOM index for replication, the fund replicates the precious metals portion of the index using ETCs. This avoids roll cost and swap fees inherent in a futures-based index and leads to an outperformance of the fund versus competition.</w:t>
            </w:r>
          </w:p>
          <w:p w14:paraId="6B699379" w14:textId="77777777" w:rsidR="00B33432" w:rsidRPr="006252AD" w:rsidRDefault="00B33432" w:rsidP="00B33432">
            <w:pPr>
              <w:spacing w:after="250" w:line="276" w:lineRule="auto"/>
              <w:jc w:val="both"/>
              <w:rPr>
                <w:rFonts w:ascii="Arial" w:hAnsi="Arial" w:cs="Arial"/>
                <w:color w:val="181818"/>
              </w:rPr>
            </w:pPr>
          </w:p>
        </w:tc>
        <w:tc>
          <w:tcPr>
            <w:tcW w:w="1706" w:type="dxa"/>
          </w:tcPr>
          <w:p w14:paraId="4EC064D0" w14:textId="77777777" w:rsidR="00BB31FC" w:rsidRPr="00BB31FC" w:rsidRDefault="00BB31FC" w:rsidP="00BB31FC">
            <w:pPr>
              <w:spacing w:line="276" w:lineRule="auto"/>
              <w:jc w:val="both"/>
              <w:rPr>
                <w:rFonts w:ascii="Arial" w:eastAsia="Times New Roman" w:hAnsi="Arial" w:cs="Arial"/>
                <w:color w:val="000000"/>
                <w:lang w:val="en-IE" w:eastAsia="en-IE"/>
              </w:rPr>
            </w:pPr>
            <w:r w:rsidRPr="00BB31FC">
              <w:rPr>
                <w:rFonts w:ascii="Arial" w:eastAsia="Times New Roman" w:hAnsi="Arial" w:cs="Arial"/>
                <w:color w:val="000000" w:themeColor="text1"/>
                <w:lang w:val="en-IE" w:eastAsia="en-IE"/>
              </w:rPr>
              <w:lastRenderedPageBreak/>
              <w:t xml:space="preserve">ETCs are debt securities typically issued by an (investment vehicle) that track the performance of a single underlying commodity or a group of associated commodities. ETCs are generally listed /traded on a regulated market. </w:t>
            </w:r>
          </w:p>
          <w:p w14:paraId="45E85774" w14:textId="77777777" w:rsidR="00BB31FC" w:rsidRPr="00BB31FC" w:rsidRDefault="00BB31FC" w:rsidP="00BB31FC">
            <w:pPr>
              <w:spacing w:line="276" w:lineRule="auto"/>
              <w:jc w:val="both"/>
              <w:rPr>
                <w:rFonts w:ascii="Arial" w:eastAsia="Times New Roman" w:hAnsi="Arial" w:cs="Arial"/>
                <w:color w:val="000000"/>
                <w:lang w:val="en-IE" w:eastAsia="en-IE"/>
              </w:rPr>
            </w:pPr>
          </w:p>
          <w:p w14:paraId="7D6FD973"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ETCs may be collateralised by the underlying asset (e.g., Gold) or they may obtain exposure to the relevant commodity through a financial contract referencing the commodity or an index.</w:t>
            </w:r>
          </w:p>
          <w:p w14:paraId="46F60896"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p>
          <w:p w14:paraId="67B44D6A" w14:textId="77777777" w:rsidR="00BB31FC" w:rsidRPr="00BB31FC" w:rsidRDefault="00BB31FC" w:rsidP="00BB31FC">
            <w:pPr>
              <w:spacing w:line="276" w:lineRule="auto"/>
              <w:jc w:val="both"/>
              <w:rPr>
                <w:rFonts w:ascii="Arial" w:eastAsia="Times New Roman" w:hAnsi="Arial" w:cs="Arial"/>
                <w:color w:val="000000"/>
                <w:lang w:val="en-IE" w:eastAsia="en-IE"/>
              </w:rPr>
            </w:pPr>
            <w:r w:rsidRPr="00BB31FC">
              <w:rPr>
                <w:rFonts w:ascii="Arial" w:eastAsia="Times New Roman" w:hAnsi="Arial" w:cs="Arial"/>
                <w:color w:val="000000"/>
                <w:lang w:val="en-IE" w:eastAsia="en-IE"/>
              </w:rPr>
              <w:lastRenderedPageBreak/>
              <w:t>The issuance and redemption process of an ETC is similar to that on a daily UCITS product, in that there is a daily NAV and an ability to create and redeem the product on a daily basis leading to prices on exchange tracking the NAV of the product very closely.</w:t>
            </w:r>
          </w:p>
          <w:p w14:paraId="3FE9F23F" w14:textId="77777777" w:rsidR="00B33432" w:rsidRPr="006252AD" w:rsidRDefault="00B33432" w:rsidP="00B33432">
            <w:pPr>
              <w:spacing w:after="250" w:line="276" w:lineRule="auto"/>
              <w:jc w:val="both"/>
              <w:rPr>
                <w:rFonts w:ascii="Arial" w:hAnsi="Arial" w:cs="Arial"/>
                <w:color w:val="181818"/>
              </w:rPr>
            </w:pPr>
          </w:p>
        </w:tc>
      </w:tr>
      <w:tr w:rsidR="00B33432" w:rsidRPr="006252AD" w14:paraId="241FBBEE" w14:textId="77777777" w:rsidTr="00F278BC">
        <w:tc>
          <w:tcPr>
            <w:tcW w:w="2095" w:type="dxa"/>
          </w:tcPr>
          <w:p w14:paraId="168EC9A2" w14:textId="77777777" w:rsidR="00B33432" w:rsidRPr="006252AD" w:rsidRDefault="00B33432" w:rsidP="00B33432">
            <w:pPr>
              <w:spacing w:after="250" w:line="276" w:lineRule="auto"/>
              <w:rPr>
                <w:rFonts w:ascii="Arial" w:hAnsi="Arial" w:cs="Arial"/>
              </w:rPr>
            </w:pPr>
            <w:r w:rsidRPr="006252AD">
              <w:rPr>
                <w:rFonts w:ascii="Arial" w:hAnsi="Arial" w:cs="Arial"/>
              </w:rPr>
              <w:lastRenderedPageBreak/>
              <w:t>10. Real estate</w:t>
            </w:r>
          </w:p>
        </w:tc>
        <w:tc>
          <w:tcPr>
            <w:tcW w:w="1683" w:type="dxa"/>
          </w:tcPr>
          <w:p w14:paraId="5D7C1F14" w14:textId="77777777" w:rsidR="00BB31FC" w:rsidRPr="00BB31FC" w:rsidRDefault="00BB31FC" w:rsidP="00BB31FC">
            <w:pPr>
              <w:spacing w:line="276" w:lineRule="auto"/>
              <w:rPr>
                <w:rFonts w:ascii="Arial" w:eastAsiaTheme="minorEastAsia" w:hAnsi="Arial" w:cs="Arial"/>
                <w:lang w:val="en-IE" w:eastAsia="en-IE"/>
              </w:rPr>
            </w:pPr>
            <w:r w:rsidRPr="00BB31FC">
              <w:rPr>
                <w:rFonts w:ascii="Arial" w:eastAsiaTheme="minorEastAsia" w:hAnsi="Arial" w:cs="Arial"/>
                <w:lang w:val="en-IE" w:eastAsia="en-IE"/>
              </w:rPr>
              <w:t xml:space="preserve">It is important to note the provision of additional choice to investors allows for improved returns and diversification of market risk without significant additional risks. </w:t>
            </w:r>
          </w:p>
          <w:p w14:paraId="1F72F646" w14:textId="77777777" w:rsidR="00B33432" w:rsidRPr="006252AD" w:rsidRDefault="00B33432" w:rsidP="00B33432">
            <w:pPr>
              <w:spacing w:after="250" w:line="276" w:lineRule="auto"/>
              <w:jc w:val="both"/>
              <w:rPr>
                <w:rFonts w:ascii="Arial" w:hAnsi="Arial" w:cs="Arial"/>
                <w:color w:val="181818"/>
              </w:rPr>
            </w:pPr>
          </w:p>
        </w:tc>
        <w:tc>
          <w:tcPr>
            <w:tcW w:w="1776" w:type="dxa"/>
          </w:tcPr>
          <w:p w14:paraId="20F46A5A"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See asset 11 below regarding indirect exposure to real estate through REITs.</w:t>
            </w:r>
          </w:p>
          <w:p w14:paraId="5BA0B9F6"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p>
          <w:p w14:paraId="400B0635" w14:textId="77777777" w:rsidR="00BB31FC" w:rsidRPr="00BB31FC" w:rsidRDefault="00BB31FC" w:rsidP="00BB31FC">
            <w:pPr>
              <w:spacing w:line="276" w:lineRule="auto"/>
              <w:jc w:val="both"/>
              <w:rPr>
                <w:rFonts w:ascii="Arial" w:eastAsiaTheme="minorEastAsia" w:hAnsi="Arial" w:cs="Arial"/>
                <w:lang w:val="en-US"/>
              </w:rPr>
            </w:pPr>
            <w:r w:rsidRPr="00BB31FC">
              <w:rPr>
                <w:rFonts w:ascii="Arial" w:eastAsia="Times New Roman" w:hAnsi="Arial" w:cs="Arial"/>
                <w:color w:val="000000" w:themeColor="text1"/>
                <w:lang w:val="en-IE" w:eastAsia="en-IE"/>
              </w:rPr>
              <w:t>The allowing of indirect UCITS exposures to this asset type under the following should be permissible if reliable valuation, liquidity and safekeeping are in line with those of other UCITS assets:</w:t>
            </w:r>
          </w:p>
          <w:p w14:paraId="01F9F20E" w14:textId="77777777" w:rsidR="00BB31FC" w:rsidRPr="00BB31FC" w:rsidRDefault="00BB31FC" w:rsidP="00BB31FC">
            <w:pPr>
              <w:spacing w:line="276" w:lineRule="auto"/>
              <w:jc w:val="both"/>
              <w:rPr>
                <w:rFonts w:ascii="Arial" w:eastAsia="Times New Roman" w:hAnsi="Arial" w:cs="Arial"/>
                <w:color w:val="000000"/>
                <w:lang w:val="en-IE" w:eastAsia="en-IE"/>
              </w:rPr>
            </w:pPr>
          </w:p>
          <w:p w14:paraId="6CC7AB8B" w14:textId="77777777" w:rsidR="00BB31FC" w:rsidRPr="00BB31FC" w:rsidRDefault="00BB31FC" w:rsidP="00BB31FC">
            <w:pPr>
              <w:spacing w:line="276" w:lineRule="auto"/>
              <w:jc w:val="both"/>
              <w:rPr>
                <w:rFonts w:ascii="Arial" w:eastAsia="Times New Roman" w:hAnsi="Arial" w:cs="Arial"/>
                <w:color w:val="000000"/>
                <w:lang w:val="en-IE" w:eastAsia="en-IE"/>
              </w:rPr>
            </w:pPr>
            <w:r w:rsidRPr="00BB31FC">
              <w:rPr>
                <w:rFonts w:ascii="Arial" w:eastAsia="Times New Roman" w:hAnsi="Arial" w:cs="Arial"/>
                <w:color w:val="000000" w:themeColor="text1"/>
                <w:lang w:val="en-IE" w:eastAsia="en-IE"/>
              </w:rPr>
              <w:t xml:space="preserve">For ETPs and Derivatives (Exchange Traded), there is reliable </w:t>
            </w:r>
            <w:r w:rsidRPr="00BB31FC">
              <w:rPr>
                <w:rFonts w:ascii="Arial" w:eastAsia="Times New Roman" w:hAnsi="Arial" w:cs="Arial"/>
                <w:color w:val="000000" w:themeColor="text1"/>
                <w:lang w:val="en-IE" w:eastAsia="en-IE"/>
              </w:rPr>
              <w:lastRenderedPageBreak/>
              <w:t>valuation (exchange) and liquidity should be assessed on a case-by-case basis on the basis of traded volumes (i.e. their liquidity does not compromise the ability of the UCITS to comply with Article 37 of Directive 85/611/EEC). There are no safekeeping concerns.</w:t>
            </w:r>
          </w:p>
          <w:p w14:paraId="430CF6FF" w14:textId="77777777" w:rsidR="00BB31FC" w:rsidRPr="00BB31FC" w:rsidRDefault="00BB31FC" w:rsidP="00BB31FC">
            <w:pPr>
              <w:spacing w:line="276" w:lineRule="auto"/>
              <w:jc w:val="both"/>
              <w:rPr>
                <w:rFonts w:ascii="Arial" w:eastAsiaTheme="minorEastAsia" w:hAnsi="Arial" w:cs="Arial"/>
                <w:lang w:val="en-US"/>
              </w:rPr>
            </w:pPr>
          </w:p>
          <w:p w14:paraId="636C7D03"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For OTC Derivatives, there is reliable valuation through counterparty valuation with verification using models etc. On liquidity and safekeeping, there are no concerns.</w:t>
            </w:r>
          </w:p>
          <w:p w14:paraId="5404B6E7" w14:textId="77777777" w:rsidR="00BB31FC" w:rsidRPr="00BB31FC" w:rsidRDefault="00BB31FC" w:rsidP="00BB31FC">
            <w:pPr>
              <w:spacing w:line="276" w:lineRule="auto"/>
              <w:jc w:val="both"/>
              <w:rPr>
                <w:rFonts w:ascii="Arial" w:eastAsiaTheme="minorEastAsia" w:hAnsi="Arial" w:cs="Arial"/>
                <w:lang w:val="en-US"/>
              </w:rPr>
            </w:pPr>
            <w:r w:rsidRPr="00BB31FC">
              <w:rPr>
                <w:rFonts w:ascii="Arial" w:eastAsia="Times New Roman" w:hAnsi="Arial" w:cs="Arial"/>
                <w:color w:val="000000" w:themeColor="text1"/>
                <w:lang w:val="en-IE" w:eastAsia="en-IE"/>
              </w:rPr>
              <w:t xml:space="preserve"> </w:t>
            </w:r>
          </w:p>
          <w:p w14:paraId="53E99B73"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 xml:space="preserve">For AIFs (EU) the valuations are independently produced by a Regulated Administrator. Further for EU AIFs that are ETFs, reliable valuations are available </w:t>
            </w:r>
            <w:r w:rsidRPr="00BB31FC">
              <w:rPr>
                <w:rFonts w:ascii="Arial" w:eastAsia="Times New Roman" w:hAnsi="Arial" w:cs="Arial"/>
                <w:color w:val="000000" w:themeColor="text1"/>
                <w:lang w:val="en-IE" w:eastAsia="en-IE"/>
              </w:rPr>
              <w:lastRenderedPageBreak/>
              <w:t>through the exchange price. As for liquidity, this should be assessed on a case-by-case basis on the basis of dealing frequency, notice periods, lock ins etc (i.e. their liquidity does not compromise the ability of the UCITS to comply with Article 37 of Directive 85/611/EEC). This is unlikely for non-ETF property AIFs. Further, for EU ETF AIFs the trading volumes should be assessed to determine liquidity profile to ensure it matches the redemption profile of the investing UCITS. As for safekeeping, there are no concerns.</w:t>
            </w:r>
          </w:p>
          <w:p w14:paraId="43FD7B52" w14:textId="77777777" w:rsidR="00BB31FC" w:rsidRPr="00BB31FC" w:rsidRDefault="00BB31FC" w:rsidP="00BB31FC">
            <w:pPr>
              <w:spacing w:line="276" w:lineRule="auto"/>
              <w:jc w:val="both"/>
              <w:rPr>
                <w:rFonts w:ascii="Arial" w:eastAsia="Times New Roman" w:hAnsi="Arial" w:cs="Arial"/>
                <w:color w:val="000000"/>
                <w:lang w:val="en-IE" w:eastAsia="en-IE"/>
              </w:rPr>
            </w:pPr>
            <w:r w:rsidRPr="00BB31FC">
              <w:rPr>
                <w:rFonts w:ascii="Arial" w:eastAsia="Times New Roman" w:hAnsi="Arial" w:cs="Arial"/>
                <w:color w:val="000000" w:themeColor="text1"/>
                <w:lang w:val="en-IE" w:eastAsia="en-IE"/>
              </w:rPr>
              <w:t xml:space="preserve"> </w:t>
            </w:r>
          </w:p>
          <w:p w14:paraId="08CE6F91" w14:textId="6E70CBE2" w:rsidR="00B33432" w:rsidRPr="006252AD" w:rsidRDefault="00BB31FC" w:rsidP="00BB31FC">
            <w:pPr>
              <w:spacing w:after="250" w:line="276" w:lineRule="auto"/>
              <w:jc w:val="both"/>
              <w:rPr>
                <w:rFonts w:ascii="Arial" w:hAnsi="Arial" w:cs="Arial"/>
                <w:color w:val="181818"/>
              </w:rPr>
            </w:pPr>
            <w:r w:rsidRPr="006252AD">
              <w:rPr>
                <w:rFonts w:ascii="Arial" w:eastAsia="Times New Roman" w:hAnsi="Arial" w:cs="Arial"/>
                <w:color w:val="000000" w:themeColor="text1"/>
                <w:lang w:val="en-IE" w:eastAsia="en-IE"/>
              </w:rPr>
              <w:t>For AIF (Non-EU), the valuations are independently produced by a Regulated Administrator. Further for non-</w:t>
            </w:r>
            <w:r w:rsidRPr="006252AD">
              <w:rPr>
                <w:rFonts w:ascii="Arial" w:eastAsia="Times New Roman" w:hAnsi="Arial" w:cs="Arial"/>
                <w:color w:val="000000" w:themeColor="text1"/>
                <w:lang w:val="en-IE" w:eastAsia="en-IE"/>
              </w:rPr>
              <w:lastRenderedPageBreak/>
              <w:t>EU AIFs that are ETFs, reliable valuations are available through the exchange price. As for liquidity, this should be assessed on a case-by-case basis on the basis of dealing frequency, notice periods, lock ins etc (i.e. their liquidity does not compromise the ability of the UCITS to comply with Article 37 of Directive 85/611/EEC). This is unlikely for non-ETF property AIFs. Further, for non-EU ETF AIFs the trading volumes should be assessed to determine liquidity profile to ensure it matches the redemption profile of the investing.</w:t>
            </w:r>
            <w:r w:rsidRPr="006252AD">
              <w:rPr>
                <w:rFonts w:ascii="Arial" w:eastAsiaTheme="minorEastAsia" w:hAnsi="Arial" w:cs="Arial"/>
                <w:lang w:val="en-US"/>
              </w:rPr>
              <w:br/>
            </w:r>
          </w:p>
        </w:tc>
        <w:tc>
          <w:tcPr>
            <w:tcW w:w="2060" w:type="dxa"/>
          </w:tcPr>
          <w:p w14:paraId="632BE70F"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lastRenderedPageBreak/>
              <w:t xml:space="preserve">For indirect exposure to real estate via REITs, see asset 11 below. </w:t>
            </w:r>
          </w:p>
          <w:p w14:paraId="61CDCEAD" w14:textId="77777777" w:rsidR="00B33432" w:rsidRPr="006252AD" w:rsidRDefault="00B33432" w:rsidP="00B33432">
            <w:pPr>
              <w:spacing w:after="250" w:line="276" w:lineRule="auto"/>
              <w:jc w:val="both"/>
              <w:rPr>
                <w:rFonts w:ascii="Arial" w:hAnsi="Arial" w:cs="Arial"/>
                <w:color w:val="181818"/>
              </w:rPr>
            </w:pPr>
          </w:p>
        </w:tc>
        <w:tc>
          <w:tcPr>
            <w:tcW w:w="1706" w:type="dxa"/>
          </w:tcPr>
          <w:p w14:paraId="143F00CF"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 xml:space="preserve">Given the liquidity profile of this asset class it would not appear to be a suitable investment class for a UCITS directly, however, where the exposure is attained indirectly, through an eligible asset (with appropriate liquidity, valuation reliability and safekeeping) which gains exposure to this asset class would be permissible. Any limits on the </w:t>
            </w:r>
            <w:r w:rsidRPr="00BB31FC">
              <w:rPr>
                <w:rFonts w:ascii="Arial" w:eastAsia="Times New Roman" w:hAnsi="Arial" w:cs="Arial"/>
                <w:color w:val="000000" w:themeColor="text1"/>
                <w:lang w:val="en-IE" w:eastAsia="en-IE"/>
              </w:rPr>
              <w:lastRenderedPageBreak/>
              <w:t xml:space="preserve">exposure (direct or indirect) to specific asset types (due to concerns on volatilities etc.) could be dealt with through contribution to </w:t>
            </w:r>
            <w:proofErr w:type="spellStart"/>
            <w:r w:rsidRPr="00BB31FC">
              <w:rPr>
                <w:rFonts w:ascii="Arial" w:eastAsia="Times New Roman" w:hAnsi="Arial" w:cs="Arial"/>
                <w:color w:val="000000" w:themeColor="text1"/>
                <w:lang w:val="en-IE" w:eastAsia="en-IE"/>
              </w:rPr>
              <w:t>VaR</w:t>
            </w:r>
            <w:proofErr w:type="spellEnd"/>
            <w:r w:rsidRPr="00BB31FC">
              <w:rPr>
                <w:rFonts w:ascii="Arial" w:eastAsia="Times New Roman" w:hAnsi="Arial" w:cs="Arial"/>
                <w:color w:val="000000" w:themeColor="text1"/>
                <w:lang w:val="en-IE" w:eastAsia="en-IE"/>
              </w:rPr>
              <w:t xml:space="preserve"> or other restrictions within the investment borrowing powers.</w:t>
            </w:r>
          </w:p>
          <w:p w14:paraId="6BB9E253" w14:textId="77777777" w:rsidR="00B33432" w:rsidRPr="006252AD" w:rsidRDefault="00B33432" w:rsidP="00B33432">
            <w:pPr>
              <w:spacing w:after="250" w:line="276" w:lineRule="auto"/>
              <w:jc w:val="both"/>
              <w:rPr>
                <w:rFonts w:ascii="Arial" w:hAnsi="Arial" w:cs="Arial"/>
                <w:color w:val="181818"/>
              </w:rPr>
            </w:pPr>
          </w:p>
        </w:tc>
      </w:tr>
      <w:tr w:rsidR="00B33432" w:rsidRPr="006252AD" w14:paraId="7FD6362C" w14:textId="77777777" w:rsidTr="00F278BC">
        <w:tc>
          <w:tcPr>
            <w:tcW w:w="2095" w:type="dxa"/>
          </w:tcPr>
          <w:p w14:paraId="146B0B65" w14:textId="77777777" w:rsidR="00B33432" w:rsidRPr="006252AD" w:rsidRDefault="00B33432" w:rsidP="00B33432">
            <w:pPr>
              <w:spacing w:after="250" w:line="276" w:lineRule="auto"/>
              <w:rPr>
                <w:rFonts w:ascii="Arial" w:hAnsi="Arial" w:cs="Arial"/>
              </w:rPr>
            </w:pPr>
            <w:r w:rsidRPr="006252AD">
              <w:rPr>
                <w:rFonts w:ascii="Arial" w:hAnsi="Arial" w:cs="Arial"/>
              </w:rPr>
              <w:lastRenderedPageBreak/>
              <w:t>11. Real Estate Investment Trusts (‘REITs’)</w:t>
            </w:r>
          </w:p>
        </w:tc>
        <w:tc>
          <w:tcPr>
            <w:tcW w:w="1683" w:type="dxa"/>
          </w:tcPr>
          <w:p w14:paraId="5BD51EAE" w14:textId="77777777" w:rsidR="00BB31FC" w:rsidRPr="006252AD" w:rsidRDefault="00BB31FC" w:rsidP="00BB31FC">
            <w:pPr>
              <w:spacing w:line="276" w:lineRule="auto"/>
              <w:jc w:val="both"/>
              <w:rPr>
                <w:rFonts w:ascii="Arial" w:eastAsia="Times New Roman" w:hAnsi="Arial" w:cs="Arial"/>
                <w:color w:val="000000" w:themeColor="text1"/>
                <w:lang w:val="en-IE" w:eastAsia="en-IE"/>
              </w:rPr>
            </w:pPr>
            <w:r w:rsidRPr="006252AD">
              <w:rPr>
                <w:rFonts w:ascii="Arial" w:eastAsia="Times New Roman" w:hAnsi="Arial" w:cs="Arial"/>
                <w:color w:val="000000" w:themeColor="text1"/>
                <w:lang w:val="en-IE" w:eastAsia="en-IE"/>
              </w:rPr>
              <w:t>For REITs traded on a Regulated Market, reliable valuations are available through the exchange. As for liquidity, this should be assessed on a case-by-</w:t>
            </w:r>
            <w:r w:rsidRPr="006252AD">
              <w:rPr>
                <w:rFonts w:ascii="Arial" w:eastAsia="Times New Roman" w:hAnsi="Arial" w:cs="Arial"/>
                <w:color w:val="000000" w:themeColor="text1"/>
                <w:lang w:val="en-IE" w:eastAsia="en-IE"/>
              </w:rPr>
              <w:lastRenderedPageBreak/>
              <w:t>case basis on the basis of traded volumes (i.e. their liquidity does not compromise the ability of the UCITS to comply with Article 37 of Directive 85/611/EEC). The size of the REITS market is approximately $2 trillion covering most developed markets globally</w:t>
            </w:r>
            <w:r w:rsidRPr="006252AD">
              <w:rPr>
                <w:rStyle w:val="FootnoteReference"/>
                <w:rFonts w:ascii="Arial" w:eastAsia="Times New Roman" w:hAnsi="Arial" w:cs="Arial"/>
                <w:color w:val="000000" w:themeColor="text1"/>
                <w:lang w:val="en-IE" w:eastAsia="en-IE"/>
              </w:rPr>
              <w:footnoteReference w:id="39"/>
            </w:r>
            <w:r w:rsidRPr="006252AD">
              <w:rPr>
                <w:rFonts w:ascii="Arial" w:eastAsia="Times New Roman" w:hAnsi="Arial" w:cs="Arial"/>
                <w:color w:val="000000" w:themeColor="text1"/>
                <w:lang w:val="en-IE" w:eastAsia="en-IE"/>
              </w:rPr>
              <w:t>. There are no issues with safekeeping for this asset class.</w:t>
            </w:r>
          </w:p>
          <w:p w14:paraId="1A06D0F4" w14:textId="77777777" w:rsidR="00BB31FC" w:rsidRPr="006252AD" w:rsidRDefault="00BB31FC" w:rsidP="00BB31FC">
            <w:pPr>
              <w:spacing w:line="276" w:lineRule="auto"/>
              <w:jc w:val="both"/>
              <w:rPr>
                <w:rFonts w:ascii="Arial" w:eastAsia="Times New Roman" w:hAnsi="Arial" w:cs="Arial"/>
                <w:color w:val="000000" w:themeColor="text1"/>
                <w:lang w:val="en-IE" w:eastAsia="en-IE"/>
              </w:rPr>
            </w:pPr>
            <w:r w:rsidRPr="006252AD">
              <w:rPr>
                <w:rFonts w:ascii="Arial" w:eastAsia="Times New Roman" w:hAnsi="Arial" w:cs="Arial"/>
                <w:color w:val="000000" w:themeColor="text1"/>
                <w:lang w:val="en-IE" w:eastAsia="en-IE"/>
              </w:rPr>
              <w:t xml:space="preserve"> </w:t>
            </w:r>
          </w:p>
          <w:p w14:paraId="128AEF05" w14:textId="77777777" w:rsidR="00BB31FC" w:rsidRPr="006252AD" w:rsidRDefault="00BB31FC" w:rsidP="00BB31FC">
            <w:pPr>
              <w:spacing w:line="276" w:lineRule="auto"/>
              <w:jc w:val="both"/>
              <w:rPr>
                <w:rFonts w:ascii="Arial" w:eastAsia="Times New Roman" w:hAnsi="Arial" w:cs="Arial"/>
                <w:color w:val="000000" w:themeColor="text1"/>
                <w:lang w:val="en-IE" w:eastAsia="en-IE"/>
              </w:rPr>
            </w:pPr>
            <w:r w:rsidRPr="006252AD">
              <w:rPr>
                <w:rFonts w:ascii="Arial" w:eastAsia="Times New Roman" w:hAnsi="Arial" w:cs="Arial"/>
                <w:color w:val="000000" w:themeColor="text1"/>
                <w:lang w:val="en-IE" w:eastAsia="en-IE"/>
              </w:rPr>
              <w:t xml:space="preserve">It is important to note the provision of additional choice to investors allows for improved returns and diversification of market risk without significant additional risks. </w:t>
            </w:r>
          </w:p>
          <w:p w14:paraId="23DE523C" w14:textId="77777777" w:rsidR="00B33432" w:rsidRPr="006252AD" w:rsidRDefault="00B33432" w:rsidP="00B33432">
            <w:pPr>
              <w:spacing w:after="250" w:line="276" w:lineRule="auto"/>
              <w:jc w:val="both"/>
              <w:rPr>
                <w:rFonts w:ascii="Arial" w:hAnsi="Arial" w:cs="Arial"/>
                <w:color w:val="181818"/>
              </w:rPr>
            </w:pPr>
          </w:p>
        </w:tc>
        <w:tc>
          <w:tcPr>
            <w:tcW w:w="1776" w:type="dxa"/>
          </w:tcPr>
          <w:p w14:paraId="64572170"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lastRenderedPageBreak/>
              <w:t xml:space="preserve">The allowing of indirect UCITS Exposures to this asset type under the following should be permissible if </w:t>
            </w:r>
            <w:r w:rsidRPr="00BB31FC">
              <w:rPr>
                <w:rFonts w:ascii="Arial" w:eastAsia="Times New Roman" w:hAnsi="Arial" w:cs="Arial"/>
                <w:color w:val="000000" w:themeColor="text1"/>
                <w:lang w:val="en-IE" w:eastAsia="en-IE"/>
              </w:rPr>
              <w:lastRenderedPageBreak/>
              <w:t>reliable valuation, liquidity and safekeeping are in line with those of other UCITS assets:</w:t>
            </w:r>
          </w:p>
          <w:p w14:paraId="7DAAA97D"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p>
          <w:p w14:paraId="17351E84"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Many of the merits for REITs are similar to Real Estate (asset 10 above).</w:t>
            </w:r>
          </w:p>
          <w:p w14:paraId="6BE07C67"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p>
          <w:p w14:paraId="1E115C14" w14:textId="77777777" w:rsidR="00BB31FC" w:rsidRPr="00BB31FC" w:rsidRDefault="00BB31FC" w:rsidP="00BB31FC">
            <w:pPr>
              <w:spacing w:line="276" w:lineRule="auto"/>
              <w:jc w:val="both"/>
              <w:rPr>
                <w:rFonts w:ascii="Arial" w:eastAsia="Times New Roman" w:hAnsi="Arial" w:cs="Arial"/>
                <w:color w:val="000000"/>
                <w:lang w:val="en-IE" w:eastAsia="en-IE"/>
              </w:rPr>
            </w:pPr>
            <w:r w:rsidRPr="00BB31FC">
              <w:rPr>
                <w:rFonts w:ascii="Arial" w:eastAsia="Times New Roman" w:hAnsi="Arial" w:cs="Arial"/>
                <w:color w:val="000000" w:themeColor="text1"/>
                <w:lang w:val="en-IE" w:eastAsia="en-IE"/>
              </w:rPr>
              <w:t>For ETPs and Derivatives (Exchange Traded), there is reliable valuation (exchange) and liquidity should be assessed on a case-by-case basis on the basis of traded volumes (i.e. their liquidity does not compromise the ability of the UCITS to comply with Article 37 of Directive 85/611/EEC). There are no safekeeping concerns.</w:t>
            </w:r>
          </w:p>
          <w:p w14:paraId="1B062B08" w14:textId="77777777" w:rsidR="00BB31FC" w:rsidRPr="00BB31FC" w:rsidRDefault="00BB31FC" w:rsidP="00BB31FC">
            <w:pPr>
              <w:spacing w:line="276" w:lineRule="auto"/>
              <w:jc w:val="both"/>
              <w:rPr>
                <w:rFonts w:ascii="Arial" w:eastAsia="Times New Roman" w:hAnsi="Arial" w:cs="Arial"/>
                <w:color w:val="000000"/>
                <w:lang w:val="en-IE" w:eastAsia="en-IE"/>
              </w:rPr>
            </w:pPr>
          </w:p>
          <w:p w14:paraId="56AD9B7C"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 xml:space="preserve">For OTC Derivatives, there is reliable valuation through counterparty </w:t>
            </w:r>
            <w:r w:rsidRPr="00BB31FC">
              <w:rPr>
                <w:rFonts w:ascii="Arial" w:eastAsia="Times New Roman" w:hAnsi="Arial" w:cs="Arial"/>
                <w:color w:val="000000" w:themeColor="text1"/>
                <w:lang w:val="en-IE" w:eastAsia="en-IE"/>
              </w:rPr>
              <w:lastRenderedPageBreak/>
              <w:t>valuation with verification using models etc. On liquidity and safekeeping, there are no concerns.</w:t>
            </w:r>
          </w:p>
          <w:p w14:paraId="5D32CC1F" w14:textId="77777777" w:rsidR="00BB31FC" w:rsidRPr="00BB31FC" w:rsidRDefault="00BB31FC" w:rsidP="00BB31FC">
            <w:pPr>
              <w:spacing w:line="276" w:lineRule="auto"/>
              <w:jc w:val="both"/>
              <w:rPr>
                <w:rFonts w:ascii="Arial" w:eastAsia="Times New Roman" w:hAnsi="Arial" w:cs="Arial"/>
                <w:color w:val="000000"/>
                <w:lang w:val="en-IE" w:eastAsia="en-IE"/>
              </w:rPr>
            </w:pPr>
            <w:r w:rsidRPr="00BB31FC">
              <w:rPr>
                <w:rFonts w:ascii="Arial" w:eastAsia="Times New Roman" w:hAnsi="Arial" w:cs="Arial"/>
                <w:color w:val="000000" w:themeColor="text1"/>
                <w:lang w:val="en-IE" w:eastAsia="en-IE"/>
              </w:rPr>
              <w:t xml:space="preserve"> </w:t>
            </w:r>
          </w:p>
          <w:p w14:paraId="00CDA692" w14:textId="77777777" w:rsidR="00BB31FC" w:rsidRPr="00BB31FC" w:rsidRDefault="00BB31FC" w:rsidP="00BB31FC">
            <w:pPr>
              <w:spacing w:line="276" w:lineRule="auto"/>
              <w:jc w:val="both"/>
              <w:rPr>
                <w:rFonts w:ascii="Arial" w:eastAsia="Times New Roman" w:hAnsi="Arial" w:cs="Arial"/>
                <w:color w:val="000000"/>
                <w:lang w:val="en-IE" w:eastAsia="en-IE"/>
              </w:rPr>
            </w:pPr>
            <w:r w:rsidRPr="00BB31FC">
              <w:rPr>
                <w:rFonts w:ascii="Arial" w:eastAsia="Times New Roman" w:hAnsi="Arial" w:cs="Arial"/>
                <w:color w:val="000000" w:themeColor="text1"/>
                <w:lang w:val="en-IE" w:eastAsia="en-IE"/>
              </w:rPr>
              <w:t xml:space="preserve">For AIFs (EU) the valuations are independently produced by a Regulated Administrator. Further for EU AIFs that are ETFs, reliable valuations are available through the exchange price. As for liquidity, this should be assessed on a case-by-case basis on the basis of dealing frequency, notice periods, lock ins etc (i.e. their liquidity does not compromise the ability of the UCITS to comply with Article 37 of Directive 85/611/EEC). This is unlikely for non-ETF property AIFs. Further, for EU ETF AIFs the trading volumes should be </w:t>
            </w:r>
            <w:r w:rsidRPr="00BB31FC">
              <w:rPr>
                <w:rFonts w:ascii="Arial" w:eastAsia="Times New Roman" w:hAnsi="Arial" w:cs="Arial"/>
                <w:color w:val="000000" w:themeColor="text1"/>
                <w:lang w:val="en-IE" w:eastAsia="en-IE"/>
              </w:rPr>
              <w:lastRenderedPageBreak/>
              <w:t>assessed to determine liquidity profile to ensure it matches the redemption profile of the investing UCITS. As for safekeeping, there are no concerns.</w:t>
            </w:r>
          </w:p>
          <w:p w14:paraId="6C7BD254" w14:textId="77777777" w:rsidR="00BB31FC" w:rsidRPr="00BB31FC" w:rsidRDefault="00BB31FC" w:rsidP="00BB31FC">
            <w:pPr>
              <w:spacing w:line="276" w:lineRule="auto"/>
              <w:jc w:val="both"/>
              <w:rPr>
                <w:rFonts w:ascii="Arial" w:eastAsia="Times New Roman" w:hAnsi="Arial" w:cs="Arial"/>
                <w:color w:val="000000"/>
                <w:lang w:val="en-IE" w:eastAsia="en-IE"/>
              </w:rPr>
            </w:pPr>
          </w:p>
          <w:p w14:paraId="52E56223" w14:textId="6540CF8F" w:rsidR="00B33432" w:rsidRPr="006252AD" w:rsidRDefault="00BB31FC" w:rsidP="00BB31FC">
            <w:pPr>
              <w:spacing w:after="250" w:line="276" w:lineRule="auto"/>
              <w:jc w:val="both"/>
              <w:rPr>
                <w:rFonts w:ascii="Arial" w:hAnsi="Arial" w:cs="Arial"/>
                <w:color w:val="181818"/>
              </w:rPr>
            </w:pPr>
            <w:r w:rsidRPr="006252AD">
              <w:rPr>
                <w:rFonts w:ascii="Arial" w:eastAsia="Times New Roman" w:hAnsi="Arial" w:cs="Arial"/>
                <w:color w:val="000000" w:themeColor="text1"/>
                <w:lang w:val="en-IE" w:eastAsia="en-IE"/>
              </w:rPr>
              <w:t xml:space="preserve">For AIF (Non-EU), the valuations are independently produced by a Regulated Administrator. Further for non-EU AIFs that are ETFs, reliable valuations are available through the exchange price. As for liquidity, this should be assessed on a case-by-case basis on the basis of dealing frequency, notice periods, lock ins etc (i.e. their liquidity does not compromise the ability of the UCITS to comply with Article 37 of Directive 85/611/EEC). This is unlikely for non-ETF property AIFs. </w:t>
            </w:r>
            <w:r w:rsidRPr="006252AD">
              <w:rPr>
                <w:rFonts w:ascii="Arial" w:eastAsia="Times New Roman" w:hAnsi="Arial" w:cs="Arial"/>
                <w:color w:val="000000" w:themeColor="text1"/>
                <w:lang w:val="en-IE" w:eastAsia="en-IE"/>
              </w:rPr>
              <w:lastRenderedPageBreak/>
              <w:t xml:space="preserve">Further, for non-EU ETF AIFs the trading volumes should be assessed to determine liquidity profile to ensure it matches the redemption profile of the investing. </w:t>
            </w:r>
            <w:r w:rsidRPr="006252AD">
              <w:rPr>
                <w:rFonts w:ascii="Arial" w:eastAsiaTheme="minorEastAsia" w:hAnsi="Arial" w:cs="Arial"/>
                <w:lang w:val="en-US"/>
              </w:rPr>
              <w:br/>
            </w:r>
          </w:p>
        </w:tc>
        <w:tc>
          <w:tcPr>
            <w:tcW w:w="2060" w:type="dxa"/>
          </w:tcPr>
          <w:p w14:paraId="69FE4E6E"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lastRenderedPageBreak/>
              <w:t xml:space="preserve">Looking at approx. 90 funds, the majority (approx. 80 funds) have less than 10% exposure to REITs. The </w:t>
            </w:r>
            <w:r w:rsidRPr="00BB31FC">
              <w:rPr>
                <w:rFonts w:ascii="Arial" w:eastAsia="Times New Roman" w:hAnsi="Arial" w:cs="Arial"/>
                <w:color w:val="000000" w:themeColor="text1"/>
                <w:lang w:val="en-IE" w:eastAsia="en-IE"/>
              </w:rPr>
              <w:lastRenderedPageBreak/>
              <w:t xml:space="preserve">remaining funds have exposures ranging from 10% up to 100%. </w:t>
            </w:r>
          </w:p>
          <w:p w14:paraId="5C13C114" w14:textId="77777777" w:rsidR="00BB31FC" w:rsidRPr="00BB31FC" w:rsidRDefault="00BB31FC" w:rsidP="00BB31FC">
            <w:pPr>
              <w:spacing w:line="276" w:lineRule="auto"/>
              <w:jc w:val="both"/>
              <w:rPr>
                <w:rFonts w:ascii="Arial" w:eastAsia="Times New Roman" w:hAnsi="Arial" w:cs="Arial"/>
                <w:color w:val="000000"/>
                <w:lang w:val="en-IE" w:eastAsia="en-IE"/>
              </w:rPr>
            </w:pPr>
          </w:p>
          <w:p w14:paraId="7CE3046A"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As for indirect, there is little to no exposure.</w:t>
            </w:r>
          </w:p>
          <w:p w14:paraId="07547A01" w14:textId="77777777" w:rsidR="00B33432" w:rsidRPr="006252AD" w:rsidRDefault="00B33432" w:rsidP="00B33432">
            <w:pPr>
              <w:spacing w:after="250" w:line="276" w:lineRule="auto"/>
              <w:jc w:val="both"/>
              <w:rPr>
                <w:rFonts w:ascii="Arial" w:hAnsi="Arial" w:cs="Arial"/>
                <w:color w:val="181818"/>
              </w:rPr>
            </w:pPr>
          </w:p>
        </w:tc>
        <w:tc>
          <w:tcPr>
            <w:tcW w:w="1706" w:type="dxa"/>
          </w:tcPr>
          <w:p w14:paraId="2B857748"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lastRenderedPageBreak/>
              <w:t xml:space="preserve">Given the (potential) liquidity profile of this asset class it would appear to be a suitable </w:t>
            </w:r>
            <w:r w:rsidRPr="00BB31FC">
              <w:rPr>
                <w:rFonts w:ascii="Arial" w:eastAsia="Times New Roman" w:hAnsi="Arial" w:cs="Arial"/>
                <w:color w:val="000000" w:themeColor="text1"/>
                <w:lang w:val="en-IE" w:eastAsia="en-IE"/>
              </w:rPr>
              <w:lastRenderedPageBreak/>
              <w:t>investment class for a UCITS both directly and indirectly, (i.e. their liquidity does not compromise the ability of the UCITS to comply with Article 37 of Directive 85/611/EEC, valuation reliability and safekeeping). This asset type (or at least certain assets within this class) would appear to currently meet the definition of a transferable security.</w:t>
            </w:r>
          </w:p>
          <w:p w14:paraId="5043CB0F" w14:textId="77777777" w:rsidR="00B33432" w:rsidRPr="006252AD" w:rsidRDefault="00B33432" w:rsidP="00B33432">
            <w:pPr>
              <w:spacing w:after="250" w:line="276" w:lineRule="auto"/>
              <w:jc w:val="both"/>
              <w:rPr>
                <w:rFonts w:ascii="Arial" w:hAnsi="Arial" w:cs="Arial"/>
                <w:color w:val="181818"/>
              </w:rPr>
            </w:pPr>
          </w:p>
        </w:tc>
      </w:tr>
      <w:tr w:rsidR="00B33432" w:rsidRPr="006252AD" w14:paraId="585437CF" w14:textId="77777777" w:rsidTr="00F278BC">
        <w:tc>
          <w:tcPr>
            <w:tcW w:w="2095" w:type="dxa"/>
          </w:tcPr>
          <w:p w14:paraId="17F5DE1B" w14:textId="77777777" w:rsidR="00B33432" w:rsidRPr="006252AD" w:rsidRDefault="00B33432" w:rsidP="00B33432">
            <w:pPr>
              <w:spacing w:after="250" w:line="276" w:lineRule="auto"/>
              <w:rPr>
                <w:rFonts w:ascii="Arial" w:hAnsi="Arial" w:cs="Arial"/>
              </w:rPr>
            </w:pPr>
            <w:r w:rsidRPr="006252AD">
              <w:rPr>
                <w:rFonts w:ascii="Arial" w:hAnsi="Arial" w:cs="Arial"/>
              </w:rPr>
              <w:lastRenderedPageBreak/>
              <w:t>12. Special Purpose Acquisition Companies (‘SPACs’)</w:t>
            </w:r>
          </w:p>
        </w:tc>
        <w:tc>
          <w:tcPr>
            <w:tcW w:w="1683" w:type="dxa"/>
          </w:tcPr>
          <w:p w14:paraId="07459315" w14:textId="794D18F6" w:rsidR="00B33432" w:rsidRPr="006252AD" w:rsidRDefault="00BB31FC" w:rsidP="00B33432">
            <w:pPr>
              <w:spacing w:after="250" w:line="276" w:lineRule="auto"/>
              <w:jc w:val="both"/>
              <w:rPr>
                <w:rFonts w:ascii="Arial" w:hAnsi="Arial" w:cs="Arial"/>
                <w:color w:val="181818"/>
              </w:rPr>
            </w:pPr>
            <w:r w:rsidRPr="006252AD">
              <w:rPr>
                <w:rFonts w:ascii="Arial" w:eastAsia="Times New Roman" w:hAnsi="Arial" w:cs="Arial"/>
                <w:color w:val="000000" w:themeColor="text1"/>
                <w:lang w:val="en-IE" w:eastAsia="en-IE"/>
              </w:rPr>
              <w:t>For SPACs traded on a Regulated Market, reliable valuations are available through the exchange. As for liquidity, this is assessed on a case-by-case basis on the basis of traded volumes (i.e. their liquidity does not compromise the ability of the UCITS to comply with Article 37 of Directive 85/611/EEC).</w:t>
            </w:r>
          </w:p>
        </w:tc>
        <w:tc>
          <w:tcPr>
            <w:tcW w:w="1776" w:type="dxa"/>
          </w:tcPr>
          <w:p w14:paraId="19730A82"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Many of the merits for SPACs are similar to Real Estate (asset 10) and REITs (asset 11) above.</w:t>
            </w:r>
          </w:p>
          <w:p w14:paraId="6D66CBFB"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p>
          <w:p w14:paraId="1BAC4336" w14:textId="77777777" w:rsidR="00BB31FC" w:rsidRPr="00BB31FC" w:rsidRDefault="00BB31FC" w:rsidP="00BB31FC">
            <w:pPr>
              <w:spacing w:line="276" w:lineRule="auto"/>
              <w:jc w:val="both"/>
              <w:rPr>
                <w:rFonts w:ascii="Arial" w:eastAsia="Times New Roman" w:hAnsi="Arial" w:cs="Arial"/>
                <w:color w:val="000000"/>
                <w:lang w:val="en-IE" w:eastAsia="en-IE"/>
              </w:rPr>
            </w:pPr>
            <w:r w:rsidRPr="00BB31FC">
              <w:rPr>
                <w:rFonts w:ascii="Arial" w:eastAsia="Times New Roman" w:hAnsi="Arial" w:cs="Arial"/>
                <w:color w:val="000000" w:themeColor="text1"/>
                <w:lang w:val="en-IE" w:eastAsia="en-IE"/>
              </w:rPr>
              <w:t>For ETPs and Derivatives (Exchange Traded), there is reliable valuation (exchange) and liquidity should be assessed on a case-by-case basis of traded volumes (i.e. their liquidity does not compromise the ability of the UCITS to comply with Article 37 of Directive 85/611/EEC). There are no safekeeping concerns.</w:t>
            </w:r>
          </w:p>
          <w:p w14:paraId="3A9B3F2A" w14:textId="77777777" w:rsidR="00BB31FC" w:rsidRPr="00BB31FC" w:rsidRDefault="00BB31FC" w:rsidP="00BB31FC">
            <w:pPr>
              <w:spacing w:line="276" w:lineRule="auto"/>
              <w:jc w:val="both"/>
              <w:rPr>
                <w:rFonts w:ascii="Arial" w:eastAsia="Times New Roman" w:hAnsi="Arial" w:cs="Arial"/>
                <w:color w:val="000000"/>
                <w:lang w:val="en-IE" w:eastAsia="en-IE"/>
              </w:rPr>
            </w:pPr>
          </w:p>
          <w:p w14:paraId="70D31236"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 xml:space="preserve">For OTC Derivatives, there is reliable valuation through counterparty valuation with verification using models etc. On liquidity and safekeeping, there are no concerns. </w:t>
            </w:r>
          </w:p>
          <w:p w14:paraId="6C6E874B" w14:textId="77777777" w:rsidR="00BB31FC" w:rsidRPr="00BB31FC" w:rsidRDefault="00BB31FC" w:rsidP="00BB31FC">
            <w:pPr>
              <w:spacing w:line="276" w:lineRule="auto"/>
              <w:jc w:val="both"/>
              <w:rPr>
                <w:rFonts w:ascii="Arial" w:eastAsia="Times New Roman" w:hAnsi="Arial" w:cs="Arial"/>
                <w:color w:val="000000"/>
                <w:lang w:val="en-IE" w:eastAsia="en-IE"/>
              </w:rPr>
            </w:pPr>
          </w:p>
          <w:p w14:paraId="674934D1" w14:textId="77777777" w:rsidR="00BB31FC" w:rsidRPr="00BB31FC" w:rsidRDefault="00BB31FC" w:rsidP="00BB31FC">
            <w:pPr>
              <w:spacing w:line="276" w:lineRule="auto"/>
              <w:jc w:val="both"/>
              <w:rPr>
                <w:rFonts w:ascii="Arial" w:eastAsia="Times New Roman" w:hAnsi="Arial" w:cs="Arial"/>
                <w:color w:val="000000"/>
                <w:lang w:val="en-IE" w:eastAsia="en-IE"/>
              </w:rPr>
            </w:pPr>
            <w:r w:rsidRPr="00BB31FC">
              <w:rPr>
                <w:rFonts w:ascii="Arial" w:eastAsia="Times New Roman" w:hAnsi="Arial" w:cs="Arial"/>
                <w:color w:val="000000" w:themeColor="text1"/>
                <w:lang w:val="en-IE" w:eastAsia="en-IE"/>
              </w:rPr>
              <w:t xml:space="preserve">For AIFs (EU) the valuations are independently produced by a Regulated Administrator. Further for EU AIFs that are ETFs, reliable valuations are available through the exchange price. As for liquidity, this should be assessed on a case-by-case basis on the basis of dealing frequency, notice periods, lock ins etc (i.e. their liquidity does not compromise the ability of the UCITS to comply with </w:t>
            </w:r>
            <w:r w:rsidRPr="00BB31FC">
              <w:rPr>
                <w:rFonts w:ascii="Arial" w:eastAsia="Times New Roman" w:hAnsi="Arial" w:cs="Arial"/>
                <w:color w:val="000000" w:themeColor="text1"/>
                <w:lang w:val="en-IE" w:eastAsia="en-IE"/>
              </w:rPr>
              <w:lastRenderedPageBreak/>
              <w:t>Article 37 of Directive 85/611/EEC). This is Unlikely for non-ETF property AIFs. Further, for EU ETF AIFs the trading volumes should be assessed to determine liquidity profile to ensure it matches the redemption profile of the investing UCITS. As for safekeeping, there are no concerns.</w:t>
            </w:r>
          </w:p>
          <w:p w14:paraId="7E7C1767" w14:textId="77777777" w:rsidR="00BB31FC" w:rsidRPr="00BB31FC" w:rsidRDefault="00BB31FC" w:rsidP="00BB31FC">
            <w:pPr>
              <w:spacing w:line="276" w:lineRule="auto"/>
              <w:jc w:val="both"/>
              <w:rPr>
                <w:rFonts w:ascii="Arial" w:eastAsia="Times New Roman" w:hAnsi="Arial" w:cs="Arial"/>
                <w:color w:val="000000"/>
                <w:lang w:val="en-IE" w:eastAsia="en-IE"/>
              </w:rPr>
            </w:pPr>
          </w:p>
          <w:p w14:paraId="799AD6AE"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 xml:space="preserve">For AIF (Non-EU), the valuations are independently produced by a Regulated Administrator. Further for non-EU AIFs that are ETFs, reliable valuations are available through the exchange price. As for liquidity, this should be assessed on a case-by-case basis on the basis of dealing frequency, notice periods, lock ins etc (i.e. their liquidity does not </w:t>
            </w:r>
            <w:r w:rsidRPr="00BB31FC">
              <w:rPr>
                <w:rFonts w:ascii="Arial" w:eastAsia="Times New Roman" w:hAnsi="Arial" w:cs="Arial"/>
                <w:color w:val="000000" w:themeColor="text1"/>
                <w:lang w:val="en-IE" w:eastAsia="en-IE"/>
              </w:rPr>
              <w:lastRenderedPageBreak/>
              <w:t>compromise the ability of the UCITS to comply with Article 37 of Directive 85/611/EEC). This is unlikely for non- ETF property AIFs. Further, for non-EU ETF AIFs the trading volumes should be assessed to determine liquidity profile to ensure it matches the redemption profile of the investing.</w:t>
            </w:r>
          </w:p>
          <w:p w14:paraId="6537F28F" w14:textId="77777777" w:rsidR="00B33432" w:rsidRPr="006252AD" w:rsidRDefault="00B33432" w:rsidP="00B33432">
            <w:pPr>
              <w:spacing w:after="250" w:line="276" w:lineRule="auto"/>
              <w:jc w:val="both"/>
              <w:rPr>
                <w:rFonts w:ascii="Arial" w:hAnsi="Arial" w:cs="Arial"/>
                <w:color w:val="181818"/>
              </w:rPr>
            </w:pPr>
          </w:p>
        </w:tc>
        <w:tc>
          <w:tcPr>
            <w:tcW w:w="2060" w:type="dxa"/>
          </w:tcPr>
          <w:p w14:paraId="6905685D" w14:textId="77777777" w:rsidR="00BB31FC" w:rsidRPr="006252AD" w:rsidRDefault="00BB31FC" w:rsidP="00BB31FC">
            <w:pPr>
              <w:spacing w:line="276" w:lineRule="auto"/>
              <w:jc w:val="both"/>
              <w:rPr>
                <w:rFonts w:ascii="Arial" w:eastAsia="Times New Roman" w:hAnsi="Arial" w:cs="Arial"/>
                <w:color w:val="000000" w:themeColor="text1"/>
                <w:lang w:val="en-IE" w:eastAsia="en-IE"/>
              </w:rPr>
            </w:pPr>
            <w:r w:rsidRPr="006252AD">
              <w:rPr>
                <w:rFonts w:ascii="Arial" w:eastAsia="Times New Roman" w:hAnsi="Arial" w:cs="Arial"/>
                <w:color w:val="000000" w:themeColor="text1"/>
                <w:lang w:val="en-IE" w:eastAsia="en-IE"/>
              </w:rPr>
              <w:lastRenderedPageBreak/>
              <w:t>The size of the SPACs market is in excess of $100 billion</w:t>
            </w:r>
            <w:r w:rsidRPr="006252AD">
              <w:rPr>
                <w:rStyle w:val="FootnoteReference"/>
                <w:rFonts w:ascii="Arial" w:eastAsia="Times New Roman" w:hAnsi="Arial" w:cs="Arial"/>
                <w:color w:val="000000" w:themeColor="text1"/>
                <w:lang w:val="en-IE" w:eastAsia="en-IE"/>
              </w:rPr>
              <w:footnoteReference w:id="40"/>
            </w:r>
            <w:r w:rsidRPr="006252AD">
              <w:rPr>
                <w:rFonts w:ascii="Arial" w:eastAsia="Times New Roman" w:hAnsi="Arial" w:cs="Arial"/>
                <w:color w:val="000000" w:themeColor="text1"/>
                <w:lang w:val="en-IE" w:eastAsia="en-IE"/>
              </w:rPr>
              <w:t xml:space="preserve">. Only 2 of the funds surveyed had up to 10% direct exposure to SPACs. </w:t>
            </w:r>
          </w:p>
          <w:p w14:paraId="6DFB9E20" w14:textId="77777777" w:rsidR="00B33432" w:rsidRPr="006252AD" w:rsidRDefault="00B33432" w:rsidP="00B33432">
            <w:pPr>
              <w:spacing w:after="250" w:line="276" w:lineRule="auto"/>
              <w:jc w:val="both"/>
              <w:rPr>
                <w:rFonts w:ascii="Arial" w:hAnsi="Arial" w:cs="Arial"/>
                <w:color w:val="181818"/>
              </w:rPr>
            </w:pPr>
          </w:p>
        </w:tc>
        <w:tc>
          <w:tcPr>
            <w:tcW w:w="1706" w:type="dxa"/>
          </w:tcPr>
          <w:p w14:paraId="00A8DE99" w14:textId="77777777" w:rsidR="00BB31FC" w:rsidRPr="006252AD" w:rsidRDefault="00BB31FC" w:rsidP="00BB31FC">
            <w:pPr>
              <w:spacing w:line="276" w:lineRule="auto"/>
              <w:jc w:val="both"/>
              <w:rPr>
                <w:rFonts w:ascii="Arial" w:eastAsia="Times New Roman" w:hAnsi="Arial" w:cs="Arial"/>
                <w:color w:val="000000" w:themeColor="text1"/>
                <w:lang w:val="en-IE" w:eastAsia="en-IE"/>
              </w:rPr>
            </w:pPr>
            <w:r w:rsidRPr="006252AD">
              <w:rPr>
                <w:rFonts w:ascii="Arial" w:eastAsia="Times New Roman" w:hAnsi="Arial" w:cs="Arial"/>
                <w:color w:val="000000" w:themeColor="text1"/>
                <w:lang w:val="en-IE" w:eastAsia="en-IE"/>
              </w:rPr>
              <w:t>Given the (potential) liquidity profile of this asset class, it would appear to be a suitable investment class for a UCITS both directly and indirectly, (i.e. their liquidity does not compromise the ability of the UCITS to comply with Article 37 of Directive 85/611/EEC, valuation reliability and safekeeping). This asset type (or at least certain assets within this class) would appear to currently meet the definition of transferable security.</w:t>
            </w:r>
          </w:p>
          <w:p w14:paraId="697036B9" w14:textId="77777777" w:rsidR="00BB31FC" w:rsidRPr="006252AD" w:rsidRDefault="00BB31FC" w:rsidP="00BB31FC">
            <w:pPr>
              <w:spacing w:line="276" w:lineRule="auto"/>
              <w:jc w:val="both"/>
              <w:rPr>
                <w:rFonts w:ascii="Arial" w:eastAsia="Times New Roman" w:hAnsi="Arial" w:cs="Arial"/>
                <w:color w:val="000000" w:themeColor="text1"/>
                <w:lang w:val="en-IE" w:eastAsia="en-IE"/>
              </w:rPr>
            </w:pPr>
          </w:p>
          <w:p w14:paraId="10F03852" w14:textId="77777777" w:rsidR="00BB31FC" w:rsidRPr="006252AD" w:rsidRDefault="00BB31FC" w:rsidP="00BB31FC">
            <w:pPr>
              <w:spacing w:line="276" w:lineRule="auto"/>
              <w:jc w:val="both"/>
              <w:rPr>
                <w:rFonts w:ascii="Arial" w:eastAsia="Times New Roman" w:hAnsi="Arial" w:cs="Arial"/>
                <w:color w:val="000000" w:themeColor="text1"/>
                <w:lang w:eastAsia="en-IE"/>
              </w:rPr>
            </w:pPr>
            <w:r w:rsidRPr="006252AD">
              <w:rPr>
                <w:rFonts w:ascii="Arial" w:eastAsia="Times New Roman" w:hAnsi="Arial" w:cs="Arial"/>
                <w:color w:val="000000" w:themeColor="text1"/>
                <w:lang w:val="en-IE" w:eastAsia="en-IE"/>
              </w:rPr>
              <w:t xml:space="preserve">It is relevant to note that in Ireland, there is a </w:t>
            </w:r>
            <w:r w:rsidRPr="006252AD">
              <w:rPr>
                <w:rFonts w:ascii="Arial" w:eastAsia="Times New Roman" w:hAnsi="Arial" w:cs="Arial"/>
                <w:color w:val="000000" w:themeColor="text1"/>
                <w:lang w:eastAsia="en-IE"/>
              </w:rPr>
              <w:t>10% limit for a sub-fund based on general prospectus investment restriction subject to any differing limit being referenced in the relevant investment policy for a fund</w:t>
            </w:r>
            <w:r w:rsidRPr="006252AD">
              <w:rPr>
                <w:rStyle w:val="FootnoteReference"/>
                <w:rFonts w:ascii="Arial" w:eastAsia="Times New Roman" w:hAnsi="Arial" w:cs="Arial"/>
                <w:color w:val="000000" w:themeColor="text1"/>
                <w:lang w:eastAsia="en-IE"/>
              </w:rPr>
              <w:footnoteReference w:id="41"/>
            </w:r>
            <w:r w:rsidRPr="006252AD">
              <w:rPr>
                <w:rFonts w:ascii="Arial" w:eastAsia="Times New Roman" w:hAnsi="Arial" w:cs="Arial"/>
                <w:color w:val="000000" w:themeColor="text1"/>
                <w:lang w:eastAsia="en-IE"/>
              </w:rPr>
              <w:t xml:space="preserve">. </w:t>
            </w:r>
          </w:p>
          <w:p w14:paraId="70DF9E56" w14:textId="77777777" w:rsidR="00B33432" w:rsidRPr="006252AD" w:rsidRDefault="00B33432" w:rsidP="00B33432">
            <w:pPr>
              <w:spacing w:after="250" w:line="276" w:lineRule="auto"/>
              <w:jc w:val="both"/>
              <w:rPr>
                <w:rFonts w:ascii="Arial" w:hAnsi="Arial" w:cs="Arial"/>
                <w:color w:val="181818"/>
              </w:rPr>
            </w:pPr>
          </w:p>
        </w:tc>
      </w:tr>
      <w:tr w:rsidR="00B33432" w:rsidRPr="006252AD" w14:paraId="72D194A9" w14:textId="77777777" w:rsidTr="00F278BC">
        <w:tc>
          <w:tcPr>
            <w:tcW w:w="2095" w:type="dxa"/>
          </w:tcPr>
          <w:p w14:paraId="31158681" w14:textId="77777777" w:rsidR="00B33432" w:rsidRPr="006252AD" w:rsidRDefault="00B33432" w:rsidP="00B33432">
            <w:pPr>
              <w:spacing w:after="250" w:line="276" w:lineRule="auto"/>
              <w:rPr>
                <w:rFonts w:ascii="Arial" w:hAnsi="Arial" w:cs="Arial"/>
              </w:rPr>
            </w:pPr>
            <w:r w:rsidRPr="006252AD">
              <w:rPr>
                <w:rFonts w:ascii="Arial" w:hAnsi="Arial" w:cs="Arial"/>
              </w:rPr>
              <w:lastRenderedPageBreak/>
              <w:t>13. EU AIFs</w:t>
            </w:r>
            <w:r w:rsidRPr="006252AD">
              <w:rPr>
                <w:rFonts w:ascii="Arial" w:hAnsi="Arial" w:cs="Arial"/>
                <w:vertAlign w:val="superscript"/>
              </w:rPr>
              <w:footnoteReference w:id="42"/>
            </w:r>
          </w:p>
        </w:tc>
        <w:tc>
          <w:tcPr>
            <w:tcW w:w="1683" w:type="dxa"/>
          </w:tcPr>
          <w:p w14:paraId="1AC8E10B" w14:textId="77777777" w:rsidR="00BB31FC" w:rsidRPr="006252AD" w:rsidRDefault="00BB31FC" w:rsidP="00BB31FC">
            <w:pPr>
              <w:spacing w:line="276" w:lineRule="auto"/>
              <w:jc w:val="both"/>
              <w:rPr>
                <w:rFonts w:ascii="Arial" w:eastAsia="Times New Roman" w:hAnsi="Arial" w:cs="Arial"/>
                <w:color w:val="000000"/>
                <w:lang w:val="en-IE" w:eastAsia="en-IE"/>
              </w:rPr>
            </w:pPr>
            <w:r w:rsidRPr="006252AD">
              <w:rPr>
                <w:rFonts w:ascii="Arial" w:eastAsia="Times New Roman" w:hAnsi="Arial" w:cs="Arial"/>
                <w:color w:val="000000" w:themeColor="text1"/>
                <w:lang w:val="en-IE" w:eastAsia="en-IE"/>
              </w:rPr>
              <w:t xml:space="preserve">For EU AIFs, the valuations are independently produced by a Regulated Administrator. Further for EU AIFs that are ETFs, reliable valuations are available through the exchange price. </w:t>
            </w:r>
          </w:p>
          <w:p w14:paraId="276E2635" w14:textId="77777777" w:rsidR="00BB31FC" w:rsidRPr="006252AD" w:rsidRDefault="00BB31FC" w:rsidP="00BB31FC">
            <w:pPr>
              <w:spacing w:line="276" w:lineRule="auto"/>
              <w:jc w:val="both"/>
              <w:rPr>
                <w:rFonts w:ascii="Arial" w:eastAsia="Times New Roman" w:hAnsi="Arial" w:cs="Arial"/>
                <w:color w:val="000000" w:themeColor="text1"/>
                <w:lang w:val="en-IE" w:eastAsia="en-IE"/>
              </w:rPr>
            </w:pPr>
          </w:p>
          <w:p w14:paraId="47BC9678" w14:textId="77777777" w:rsidR="00BB31FC" w:rsidRPr="006252AD" w:rsidRDefault="00BB31FC" w:rsidP="00BB31FC">
            <w:pPr>
              <w:spacing w:line="276" w:lineRule="auto"/>
              <w:jc w:val="both"/>
              <w:rPr>
                <w:rFonts w:ascii="Arial" w:eastAsia="Times New Roman" w:hAnsi="Arial" w:cs="Arial"/>
                <w:color w:val="000000" w:themeColor="text1"/>
                <w:lang w:val="en-IE" w:eastAsia="en-IE"/>
              </w:rPr>
            </w:pPr>
            <w:r w:rsidRPr="006252AD">
              <w:rPr>
                <w:rFonts w:ascii="Arial" w:eastAsia="Times New Roman" w:hAnsi="Arial" w:cs="Arial"/>
                <w:color w:val="000000" w:themeColor="text1"/>
                <w:lang w:val="en-IE" w:eastAsia="en-IE"/>
              </w:rPr>
              <w:t xml:space="preserve">As for liquidity, this should be assessed on a case-by-case basis on the basis of dealing frequency, notice periods, lock ins etc (i.e. their liquidity does not compromise the ability of the UCITS to comply with Article 37 of Directive 85/611/EEC). Further, for EU ETF AIFs </w:t>
            </w:r>
            <w:r w:rsidRPr="006252AD">
              <w:rPr>
                <w:rFonts w:ascii="Arial" w:eastAsia="Times New Roman" w:hAnsi="Arial" w:cs="Arial"/>
                <w:color w:val="000000" w:themeColor="text1"/>
                <w:lang w:val="en-IE" w:eastAsia="en-IE"/>
              </w:rPr>
              <w:lastRenderedPageBreak/>
              <w:t>the trading volumes should be assessed to determine liquidity profile to ensure it matches the redemption profile of the investing UCITS. The size of the EU AIFs market is in excess of €6 trillion</w:t>
            </w:r>
            <w:r w:rsidRPr="006252AD">
              <w:rPr>
                <w:rStyle w:val="FootnoteReference"/>
                <w:rFonts w:ascii="Arial" w:eastAsia="Times New Roman" w:hAnsi="Arial" w:cs="Arial"/>
                <w:color w:val="000000" w:themeColor="text1"/>
                <w:lang w:val="en-IE" w:eastAsia="en-IE"/>
              </w:rPr>
              <w:footnoteReference w:id="43"/>
            </w:r>
            <w:r w:rsidRPr="006252AD">
              <w:rPr>
                <w:rFonts w:ascii="Arial" w:eastAsia="Times New Roman" w:hAnsi="Arial" w:cs="Arial"/>
                <w:color w:val="000000" w:themeColor="text1"/>
                <w:lang w:val="en-IE" w:eastAsia="en-IE"/>
              </w:rPr>
              <w:t>.</w:t>
            </w:r>
          </w:p>
          <w:p w14:paraId="28E563EB" w14:textId="77777777" w:rsidR="00BB31FC" w:rsidRPr="006252AD" w:rsidRDefault="00BB31FC" w:rsidP="00BB31FC">
            <w:pPr>
              <w:spacing w:line="276" w:lineRule="auto"/>
              <w:jc w:val="both"/>
              <w:rPr>
                <w:rFonts w:ascii="Arial" w:eastAsia="Times New Roman" w:hAnsi="Arial" w:cs="Arial"/>
                <w:color w:val="000000"/>
                <w:lang w:val="en-IE" w:eastAsia="en-IE"/>
              </w:rPr>
            </w:pPr>
          </w:p>
          <w:p w14:paraId="0336FE8C" w14:textId="77777777" w:rsidR="00BB31FC" w:rsidRPr="006252AD" w:rsidRDefault="00BB31FC" w:rsidP="00BB31FC">
            <w:pPr>
              <w:spacing w:line="276" w:lineRule="auto"/>
              <w:jc w:val="both"/>
              <w:rPr>
                <w:rFonts w:ascii="Arial" w:eastAsia="Times New Roman" w:hAnsi="Arial" w:cs="Arial"/>
                <w:color w:val="000000" w:themeColor="text1"/>
                <w:lang w:val="en-IE" w:eastAsia="en-IE"/>
              </w:rPr>
            </w:pPr>
            <w:r w:rsidRPr="006252AD">
              <w:rPr>
                <w:rFonts w:ascii="Arial" w:eastAsia="Times New Roman" w:hAnsi="Arial" w:cs="Arial"/>
                <w:color w:val="000000" w:themeColor="text1"/>
                <w:lang w:val="en-IE" w:eastAsia="en-IE"/>
              </w:rPr>
              <w:t>As for safekeeping, there are no concerns relating to the safekeeping of EU AIFs (in all material respects like a UCITS from designated countries) versus those of a UCITS.</w:t>
            </w:r>
          </w:p>
          <w:p w14:paraId="6FD001F8" w14:textId="77777777" w:rsidR="00BB31FC" w:rsidRPr="006252AD" w:rsidRDefault="00BB31FC" w:rsidP="00BB31FC">
            <w:pPr>
              <w:spacing w:line="276" w:lineRule="auto"/>
              <w:jc w:val="both"/>
              <w:rPr>
                <w:rFonts w:ascii="Arial" w:hAnsi="Arial" w:cs="Arial"/>
                <w:lang w:val="en-IE" w:eastAsia="en-IE"/>
              </w:rPr>
            </w:pPr>
          </w:p>
          <w:p w14:paraId="19E88162" w14:textId="77777777" w:rsidR="00BB31FC" w:rsidRPr="006252AD" w:rsidRDefault="00BB31FC" w:rsidP="00BB31FC">
            <w:pPr>
              <w:spacing w:line="276" w:lineRule="auto"/>
              <w:jc w:val="both"/>
              <w:rPr>
                <w:rFonts w:ascii="Arial" w:eastAsia="Times New Roman" w:hAnsi="Arial" w:cs="Arial"/>
                <w:color w:val="000000" w:themeColor="text1"/>
                <w:lang w:val="en-IE" w:eastAsia="en-IE"/>
              </w:rPr>
            </w:pPr>
            <w:r w:rsidRPr="006252AD">
              <w:rPr>
                <w:rFonts w:ascii="Arial" w:eastAsia="Times New Roman" w:hAnsi="Arial" w:cs="Arial"/>
                <w:color w:val="000000" w:themeColor="text1"/>
                <w:lang w:val="en-IE" w:eastAsia="en-IE"/>
              </w:rPr>
              <w:t>As mentioned above, provision of additional choice to investors allows for improved returns and diversification of market risk without significant additional risks provided the AIFs are like a UCITS in all material respects.</w:t>
            </w:r>
          </w:p>
          <w:p w14:paraId="44E871BC" w14:textId="77777777" w:rsidR="00B33432" w:rsidRPr="006252AD" w:rsidRDefault="00B33432" w:rsidP="00B33432">
            <w:pPr>
              <w:spacing w:after="250" w:line="276" w:lineRule="auto"/>
              <w:jc w:val="both"/>
              <w:rPr>
                <w:rFonts w:ascii="Arial" w:hAnsi="Arial" w:cs="Arial"/>
                <w:color w:val="181818"/>
              </w:rPr>
            </w:pPr>
          </w:p>
        </w:tc>
        <w:tc>
          <w:tcPr>
            <w:tcW w:w="1776" w:type="dxa"/>
          </w:tcPr>
          <w:p w14:paraId="7CCCF825"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lastRenderedPageBreak/>
              <w:t>The allowing of indirect UCITS exposures to this asset type should be permissible if reliable valuation, liquidity and safekeeping are in line with those of other UCITS assets.</w:t>
            </w:r>
          </w:p>
          <w:p w14:paraId="144A5D23" w14:textId="77777777" w:rsidR="00B33432" w:rsidRPr="006252AD" w:rsidRDefault="00B33432" w:rsidP="00B33432">
            <w:pPr>
              <w:spacing w:after="250" w:line="276" w:lineRule="auto"/>
              <w:jc w:val="both"/>
              <w:rPr>
                <w:rFonts w:ascii="Arial" w:hAnsi="Arial" w:cs="Arial"/>
                <w:color w:val="181818"/>
              </w:rPr>
            </w:pPr>
          </w:p>
        </w:tc>
        <w:tc>
          <w:tcPr>
            <w:tcW w:w="2060" w:type="dxa"/>
          </w:tcPr>
          <w:p w14:paraId="499FA912" w14:textId="77777777" w:rsidR="00BB31FC" w:rsidRPr="00BB31FC" w:rsidRDefault="00BB31FC" w:rsidP="00BB31FC">
            <w:pPr>
              <w:spacing w:line="276" w:lineRule="auto"/>
              <w:jc w:val="both"/>
              <w:rPr>
                <w:rFonts w:ascii="Arial" w:eastAsia="Times New Roman" w:hAnsi="Arial" w:cs="Arial"/>
                <w:color w:val="000000"/>
                <w:lang w:val="en-IE" w:eastAsia="en-IE"/>
              </w:rPr>
            </w:pPr>
            <w:r w:rsidRPr="00BB31FC">
              <w:rPr>
                <w:rFonts w:ascii="Arial" w:eastAsia="Times New Roman" w:hAnsi="Arial" w:cs="Arial"/>
                <w:color w:val="000000"/>
                <w:lang w:val="en-IE" w:eastAsia="en-IE"/>
              </w:rPr>
              <w:t xml:space="preserve">Only a handful of funds have up to 10% exposure to EU AIFs, in line with the 30% limit per the UCITS Directive. Some funds also gain indirect exposure to these funds through the use of structured notes. </w:t>
            </w:r>
          </w:p>
          <w:p w14:paraId="738610EB" w14:textId="77777777" w:rsidR="00B33432" w:rsidRPr="006252AD" w:rsidRDefault="00B33432" w:rsidP="00B33432">
            <w:pPr>
              <w:spacing w:after="250" w:line="276" w:lineRule="auto"/>
              <w:jc w:val="both"/>
              <w:rPr>
                <w:rFonts w:ascii="Arial" w:hAnsi="Arial" w:cs="Arial"/>
                <w:color w:val="181818"/>
              </w:rPr>
            </w:pPr>
          </w:p>
        </w:tc>
        <w:tc>
          <w:tcPr>
            <w:tcW w:w="1706" w:type="dxa"/>
          </w:tcPr>
          <w:p w14:paraId="6DF96FDC"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 xml:space="preserve">Given the (potential) liquidity profile of this asset class it would appear to be a suitable investment class for a UCITS both directly and indirectly, (i.e. their liquidity does not compromise the ability of the UCITS to comply with Article 37 of Directive 85/611/EEC, valuation </w:t>
            </w:r>
            <w:r w:rsidRPr="00BB31FC">
              <w:rPr>
                <w:rFonts w:ascii="Arial" w:eastAsia="Times New Roman" w:hAnsi="Arial" w:cs="Arial"/>
                <w:color w:val="000000" w:themeColor="text1"/>
                <w:lang w:val="en-IE" w:eastAsia="en-IE"/>
              </w:rPr>
              <w:lastRenderedPageBreak/>
              <w:t>reliability and safekeeping). This asset type (or at least certain assets within this class) would appear to currently meet the definition of a transferable security.</w:t>
            </w:r>
          </w:p>
          <w:p w14:paraId="637805D2" w14:textId="77777777" w:rsidR="00B33432" w:rsidRPr="006252AD" w:rsidRDefault="00B33432" w:rsidP="00B33432">
            <w:pPr>
              <w:spacing w:after="250" w:line="276" w:lineRule="auto"/>
              <w:jc w:val="both"/>
              <w:rPr>
                <w:rFonts w:ascii="Arial" w:hAnsi="Arial" w:cs="Arial"/>
                <w:color w:val="181818"/>
              </w:rPr>
            </w:pPr>
          </w:p>
        </w:tc>
      </w:tr>
      <w:tr w:rsidR="00B33432" w:rsidRPr="006252AD" w14:paraId="50B47933" w14:textId="77777777" w:rsidTr="00F278BC">
        <w:tc>
          <w:tcPr>
            <w:tcW w:w="2095" w:type="dxa"/>
          </w:tcPr>
          <w:p w14:paraId="5B21E6DB" w14:textId="77777777" w:rsidR="00B33432" w:rsidRPr="006252AD" w:rsidRDefault="00B33432" w:rsidP="00B33432">
            <w:pPr>
              <w:spacing w:after="250" w:line="276" w:lineRule="auto"/>
              <w:rPr>
                <w:rFonts w:ascii="Arial" w:hAnsi="Arial" w:cs="Arial"/>
              </w:rPr>
            </w:pPr>
            <w:r w:rsidRPr="006252AD">
              <w:rPr>
                <w:rFonts w:ascii="Arial" w:hAnsi="Arial" w:cs="Arial"/>
              </w:rPr>
              <w:lastRenderedPageBreak/>
              <w:t>14. Non-EU AIFs</w:t>
            </w:r>
          </w:p>
        </w:tc>
        <w:tc>
          <w:tcPr>
            <w:tcW w:w="1683" w:type="dxa"/>
          </w:tcPr>
          <w:p w14:paraId="274F272D"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 xml:space="preserve">On reliable valuation information, it is important to highlight that the valuations are independently produced by an Administrator. Further for non-EU AIFs (e.g. US, UK) that are ETFs, reliable valuations are available through the exchange price. </w:t>
            </w:r>
          </w:p>
          <w:p w14:paraId="229EA717" w14:textId="77777777" w:rsidR="00BB31FC" w:rsidRPr="00BB31FC" w:rsidRDefault="00BB31FC" w:rsidP="00BB31FC">
            <w:pPr>
              <w:spacing w:line="276" w:lineRule="auto"/>
              <w:jc w:val="both"/>
              <w:rPr>
                <w:rFonts w:ascii="Arial" w:eastAsia="Times New Roman" w:hAnsi="Arial" w:cs="Arial"/>
                <w:color w:val="000000"/>
                <w:lang w:val="en-IE" w:eastAsia="en-IE"/>
              </w:rPr>
            </w:pPr>
          </w:p>
          <w:p w14:paraId="3B7CEA9B"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lang w:val="en-IE" w:eastAsia="en-IE"/>
              </w:rPr>
              <w:t>As for liquidity, as positioned above, t</w:t>
            </w:r>
            <w:r w:rsidRPr="00BB31FC">
              <w:rPr>
                <w:rFonts w:ascii="Arial" w:eastAsia="Times New Roman" w:hAnsi="Arial" w:cs="Arial"/>
                <w:color w:val="000000" w:themeColor="text1"/>
                <w:lang w:val="en-IE" w:eastAsia="en-IE"/>
              </w:rPr>
              <w:t xml:space="preserve">his should be assessed on a </w:t>
            </w:r>
            <w:r w:rsidRPr="00BB31FC">
              <w:rPr>
                <w:rFonts w:ascii="Arial" w:eastAsia="Times New Roman" w:hAnsi="Arial" w:cs="Arial"/>
                <w:color w:val="000000" w:themeColor="text1"/>
                <w:lang w:val="en-IE" w:eastAsia="en-IE"/>
              </w:rPr>
              <w:lastRenderedPageBreak/>
              <w:t>case-by-case basis on the basis of dealing frequency, notice periods, lock ins etc (i.e. their liquidity does not compromise the ability of the UCITS to comply with Article 37 of Directive 85/611/EEC). Further, for non-EU ETF AIFs the trading volumes should be assessed to determine liquidity profile to ensure it matches the redemption profile of the investing UCITS. The size of the non-EU AIFs market is in excess of €45 trillion.</w:t>
            </w:r>
          </w:p>
          <w:p w14:paraId="42412090" w14:textId="77777777" w:rsidR="00BB31FC" w:rsidRPr="00BB31FC" w:rsidRDefault="00BB31FC" w:rsidP="00BB31FC">
            <w:pPr>
              <w:spacing w:line="276" w:lineRule="auto"/>
              <w:jc w:val="both"/>
              <w:rPr>
                <w:rFonts w:ascii="Arial" w:eastAsia="Times New Roman" w:hAnsi="Arial" w:cs="Arial"/>
                <w:color w:val="000000"/>
                <w:lang w:val="en-IE" w:eastAsia="en-IE"/>
              </w:rPr>
            </w:pPr>
          </w:p>
          <w:p w14:paraId="578B0F80" w14:textId="77777777" w:rsidR="00BB31FC" w:rsidRPr="00BB31FC" w:rsidRDefault="00BB31FC" w:rsidP="00BB31FC">
            <w:pPr>
              <w:spacing w:line="276" w:lineRule="auto"/>
              <w:jc w:val="both"/>
              <w:rPr>
                <w:rFonts w:ascii="Arial" w:eastAsia="Times New Roman" w:hAnsi="Arial" w:cs="Arial"/>
                <w:color w:val="000000"/>
                <w:lang w:val="en-IE" w:eastAsia="en-IE"/>
              </w:rPr>
            </w:pPr>
            <w:r w:rsidRPr="00BB31FC">
              <w:rPr>
                <w:rFonts w:ascii="Arial" w:eastAsia="Times New Roman" w:hAnsi="Arial" w:cs="Arial"/>
                <w:color w:val="000000"/>
                <w:lang w:val="en-IE" w:eastAsia="en-IE"/>
              </w:rPr>
              <w:t>Regarding safekeeping, t</w:t>
            </w:r>
            <w:r w:rsidRPr="00BB31FC">
              <w:rPr>
                <w:rFonts w:ascii="Arial" w:eastAsia="Times New Roman" w:hAnsi="Arial" w:cs="Arial"/>
                <w:color w:val="000000" w:themeColor="text1"/>
                <w:lang w:val="en-IE" w:eastAsia="en-IE"/>
              </w:rPr>
              <w:t>here are no concerns relating to the safekeeping of non-EU AIFs (in all material respects like a UCITS from designated countries) versus those of a UCITS.</w:t>
            </w:r>
          </w:p>
          <w:p w14:paraId="0CDE7D84"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p>
          <w:p w14:paraId="4E81E687" w14:textId="77777777" w:rsidR="00BB31FC" w:rsidRPr="00BB31FC" w:rsidRDefault="00BB31FC" w:rsidP="00BB31FC">
            <w:pPr>
              <w:spacing w:line="276" w:lineRule="auto"/>
              <w:jc w:val="both"/>
              <w:rPr>
                <w:rFonts w:ascii="Arial" w:eastAsia="Times New Roman" w:hAnsi="Arial" w:cs="Arial"/>
                <w:color w:val="000000"/>
                <w:lang w:val="en-IE" w:eastAsia="en-IE"/>
              </w:rPr>
            </w:pPr>
            <w:r w:rsidRPr="00BB31FC">
              <w:rPr>
                <w:rFonts w:ascii="Arial" w:eastAsia="Times New Roman" w:hAnsi="Arial" w:cs="Arial"/>
                <w:color w:val="000000" w:themeColor="text1"/>
                <w:lang w:val="en-IE" w:eastAsia="en-IE"/>
              </w:rPr>
              <w:t>Finally, the provision of additional choice to investors allows for improved returns and diversification of market risk without significant additional risks provided the AIFs are like a UCITS in all material respects.</w:t>
            </w:r>
          </w:p>
          <w:p w14:paraId="463F29E8" w14:textId="77777777" w:rsidR="00B33432" w:rsidRPr="006252AD" w:rsidRDefault="00B33432" w:rsidP="00B33432">
            <w:pPr>
              <w:spacing w:after="250" w:line="276" w:lineRule="auto"/>
              <w:jc w:val="both"/>
              <w:rPr>
                <w:rFonts w:ascii="Arial" w:hAnsi="Arial" w:cs="Arial"/>
                <w:color w:val="181818"/>
              </w:rPr>
            </w:pPr>
          </w:p>
        </w:tc>
        <w:tc>
          <w:tcPr>
            <w:tcW w:w="1776" w:type="dxa"/>
          </w:tcPr>
          <w:p w14:paraId="61D07286" w14:textId="77777777" w:rsidR="00BB31FC" w:rsidRPr="00BB31FC" w:rsidRDefault="00BB31FC" w:rsidP="00BB31FC">
            <w:pPr>
              <w:spacing w:line="276" w:lineRule="auto"/>
              <w:jc w:val="both"/>
              <w:rPr>
                <w:rFonts w:ascii="Arial" w:eastAsia="Times New Roman" w:hAnsi="Arial" w:cs="Arial"/>
                <w:color w:val="000000"/>
                <w:lang w:val="en-IE" w:eastAsia="en-IE"/>
              </w:rPr>
            </w:pPr>
            <w:r w:rsidRPr="00BB31FC">
              <w:rPr>
                <w:rFonts w:ascii="Arial" w:eastAsia="Times New Roman" w:hAnsi="Arial" w:cs="Arial"/>
                <w:color w:val="000000" w:themeColor="text1"/>
                <w:lang w:val="en-IE" w:eastAsia="en-IE"/>
              </w:rPr>
              <w:lastRenderedPageBreak/>
              <w:t>The allowing of indirect UCITS Exposures to this asset type should be permissible if reliable valuation, liquidity and safekeeping are in line with those of other UCITS assets.</w:t>
            </w:r>
          </w:p>
          <w:p w14:paraId="14C661D0" w14:textId="77777777" w:rsidR="00BB31FC" w:rsidRPr="00BB31FC" w:rsidRDefault="00BB31FC" w:rsidP="00BB31FC">
            <w:pPr>
              <w:spacing w:line="276" w:lineRule="auto"/>
              <w:jc w:val="both"/>
              <w:rPr>
                <w:rFonts w:ascii="Arial" w:eastAsia="Times New Roman" w:hAnsi="Arial" w:cs="Arial"/>
                <w:color w:val="000000"/>
                <w:lang w:val="en-IE" w:eastAsia="en-IE"/>
              </w:rPr>
            </w:pPr>
          </w:p>
          <w:p w14:paraId="19A327F4"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lastRenderedPageBreak/>
              <w:t>The provision of additional choice to investors allows for improved returns and diversification of market risk without significant additional risks.</w:t>
            </w:r>
          </w:p>
          <w:p w14:paraId="3B7B4B86" w14:textId="77777777" w:rsidR="00B33432" w:rsidRPr="006252AD" w:rsidRDefault="00B33432" w:rsidP="00B33432">
            <w:pPr>
              <w:spacing w:after="250" w:line="276" w:lineRule="auto"/>
              <w:jc w:val="both"/>
              <w:rPr>
                <w:rFonts w:ascii="Arial" w:hAnsi="Arial" w:cs="Arial"/>
                <w:color w:val="181818"/>
              </w:rPr>
            </w:pPr>
          </w:p>
        </w:tc>
        <w:tc>
          <w:tcPr>
            <w:tcW w:w="2060" w:type="dxa"/>
          </w:tcPr>
          <w:p w14:paraId="078DA14A"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lastRenderedPageBreak/>
              <w:t xml:space="preserve">A small number of funds invest up to 30% in non-EU AIFs in accordance with the diversification limits. These non-EU AIFs are all UK UCITS and </w:t>
            </w:r>
            <w:r w:rsidRPr="00BB31FC">
              <w:rPr>
                <w:rFonts w:ascii="Arial" w:eastAsia="Times New Roman" w:hAnsi="Arial" w:cs="Arial"/>
                <w:color w:val="000000" w:themeColor="text1"/>
                <w:lang w:eastAsia="en-IE"/>
              </w:rPr>
              <w:t>Non-UCITS Retail Schemes</w:t>
            </w:r>
            <w:r w:rsidRPr="00BB31FC">
              <w:rPr>
                <w:rFonts w:ascii="Arial" w:eastAsia="Times New Roman" w:hAnsi="Arial" w:cs="Arial"/>
                <w:color w:val="000000" w:themeColor="text1"/>
                <w:lang w:val="en-IE" w:eastAsia="en-IE"/>
              </w:rPr>
              <w:t xml:space="preserve"> (“</w:t>
            </w:r>
            <w:r w:rsidRPr="00BB31FC">
              <w:rPr>
                <w:rFonts w:ascii="Arial" w:eastAsia="Times New Roman" w:hAnsi="Arial" w:cs="Arial"/>
                <w:b/>
                <w:bCs/>
                <w:color w:val="000000" w:themeColor="text1"/>
                <w:lang w:val="en-IE" w:eastAsia="en-IE"/>
              </w:rPr>
              <w:t>NURS</w:t>
            </w:r>
            <w:r w:rsidRPr="00BB31FC">
              <w:rPr>
                <w:rFonts w:ascii="Arial" w:eastAsia="Times New Roman" w:hAnsi="Arial" w:cs="Arial"/>
                <w:color w:val="000000" w:themeColor="text1"/>
                <w:lang w:val="en-IE" w:eastAsia="en-IE"/>
              </w:rPr>
              <w:t>”) funds.</w:t>
            </w:r>
          </w:p>
          <w:p w14:paraId="3A0FF5F2" w14:textId="77777777" w:rsidR="00B33432" w:rsidRPr="006252AD" w:rsidRDefault="00B33432" w:rsidP="00B33432">
            <w:pPr>
              <w:spacing w:after="250" w:line="276" w:lineRule="auto"/>
              <w:jc w:val="both"/>
              <w:rPr>
                <w:rFonts w:ascii="Arial" w:hAnsi="Arial" w:cs="Arial"/>
                <w:color w:val="181818"/>
              </w:rPr>
            </w:pPr>
          </w:p>
        </w:tc>
        <w:tc>
          <w:tcPr>
            <w:tcW w:w="1706" w:type="dxa"/>
          </w:tcPr>
          <w:p w14:paraId="6B8ACB6F"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 xml:space="preserve">Given the (potential) liquidity profile of this asset class it would appear to be a suitable investment class for a UCITS both directly and indirectly, (i.e. their liquidity does not compromise the </w:t>
            </w:r>
            <w:r w:rsidRPr="00BB31FC">
              <w:rPr>
                <w:rFonts w:ascii="Arial" w:eastAsia="Times New Roman" w:hAnsi="Arial" w:cs="Arial"/>
                <w:color w:val="000000" w:themeColor="text1"/>
                <w:lang w:val="en-IE" w:eastAsia="en-IE"/>
              </w:rPr>
              <w:lastRenderedPageBreak/>
              <w:t>ability of the UCITS to comply with Article 37 of Directive 85/611/EEC, valuation reliability and safekeeping). The current limit of 30% does not appear to be based on any measurable additional risk between an eligible non-EU AIF (e.g. US 1940 Act with appropriate self-imposed restrictions - 10% borrowing and 10% in CIS disclosed appropriately) and UCITS.</w:t>
            </w:r>
          </w:p>
          <w:p w14:paraId="5630AD66" w14:textId="77777777" w:rsidR="00B33432" w:rsidRPr="006252AD" w:rsidRDefault="00B33432" w:rsidP="00B33432">
            <w:pPr>
              <w:spacing w:after="250" w:line="276" w:lineRule="auto"/>
              <w:jc w:val="both"/>
              <w:rPr>
                <w:rFonts w:ascii="Arial" w:hAnsi="Arial" w:cs="Arial"/>
                <w:color w:val="181818"/>
              </w:rPr>
            </w:pPr>
          </w:p>
        </w:tc>
      </w:tr>
      <w:tr w:rsidR="00B33432" w:rsidRPr="006252AD" w14:paraId="5A25875C" w14:textId="77777777" w:rsidTr="00F278BC">
        <w:tc>
          <w:tcPr>
            <w:tcW w:w="2095" w:type="dxa"/>
          </w:tcPr>
          <w:p w14:paraId="0BD070FC" w14:textId="77777777" w:rsidR="00B33432" w:rsidRPr="006252AD" w:rsidRDefault="00B33432" w:rsidP="00B33432">
            <w:pPr>
              <w:spacing w:after="250" w:line="276" w:lineRule="auto"/>
              <w:rPr>
                <w:rFonts w:ascii="Arial" w:hAnsi="Arial" w:cs="Arial"/>
              </w:rPr>
            </w:pPr>
            <w:r w:rsidRPr="006252AD">
              <w:rPr>
                <w:rFonts w:ascii="Arial" w:hAnsi="Arial" w:cs="Arial"/>
              </w:rPr>
              <w:lastRenderedPageBreak/>
              <w:t>15. Emission allowances</w:t>
            </w:r>
          </w:p>
        </w:tc>
        <w:tc>
          <w:tcPr>
            <w:tcW w:w="1683" w:type="dxa"/>
          </w:tcPr>
          <w:p w14:paraId="333E795D" w14:textId="77777777" w:rsidR="00BB31FC" w:rsidRPr="00BB31FC" w:rsidRDefault="00BB31FC" w:rsidP="00BB31FC">
            <w:pPr>
              <w:spacing w:line="276" w:lineRule="auto"/>
              <w:jc w:val="both"/>
              <w:rPr>
                <w:rFonts w:ascii="Arial" w:eastAsia="Times New Roman" w:hAnsi="Arial" w:cs="Arial"/>
                <w:color w:val="000000" w:themeColor="text1"/>
                <w:lang w:val="en-US" w:eastAsia="en-IE"/>
              </w:rPr>
            </w:pPr>
            <w:r w:rsidRPr="00BB31FC">
              <w:rPr>
                <w:rFonts w:ascii="Arial" w:eastAsia="Times New Roman" w:hAnsi="Arial" w:cs="Arial"/>
                <w:color w:val="000000" w:themeColor="text1"/>
                <w:lang w:val="en-IE" w:eastAsia="en-IE"/>
              </w:rPr>
              <w:t xml:space="preserve">The merits for emission allowances are the same as those detailed on commodities (i.e. </w:t>
            </w:r>
            <w:r w:rsidRPr="00BB31FC">
              <w:rPr>
                <w:rFonts w:ascii="Arial" w:eastAsia="Times New Roman" w:hAnsi="Arial" w:cs="Arial"/>
                <w:color w:val="000000" w:themeColor="text1"/>
                <w:lang w:val="en-US" w:eastAsia="en-IE"/>
              </w:rPr>
              <w:t xml:space="preserve">diversification, inflation </w:t>
            </w:r>
            <w:r w:rsidRPr="00BB31FC">
              <w:rPr>
                <w:rFonts w:ascii="Arial" w:eastAsia="Times New Roman" w:hAnsi="Arial" w:cs="Arial"/>
                <w:color w:val="000000" w:themeColor="text1"/>
                <w:lang w:val="en-US" w:eastAsia="en-IE"/>
              </w:rPr>
              <w:lastRenderedPageBreak/>
              <w:t>hedge, etc.) – see asset 8 above. These assets are generally expected to have positive performance given EU climate policies.</w:t>
            </w:r>
          </w:p>
          <w:p w14:paraId="61829076" w14:textId="77777777" w:rsidR="00B33432" w:rsidRPr="006252AD" w:rsidRDefault="00B33432" w:rsidP="00B33432">
            <w:pPr>
              <w:spacing w:after="250" w:line="276" w:lineRule="auto"/>
              <w:jc w:val="both"/>
              <w:rPr>
                <w:rFonts w:ascii="Arial" w:hAnsi="Arial" w:cs="Arial"/>
                <w:color w:val="181818"/>
              </w:rPr>
            </w:pPr>
          </w:p>
        </w:tc>
        <w:tc>
          <w:tcPr>
            <w:tcW w:w="1776" w:type="dxa"/>
          </w:tcPr>
          <w:p w14:paraId="2BA226A1" w14:textId="77777777" w:rsidR="00B33432" w:rsidRPr="006252AD" w:rsidRDefault="00B33432" w:rsidP="00B33432">
            <w:pPr>
              <w:spacing w:after="250" w:line="276" w:lineRule="auto"/>
              <w:jc w:val="both"/>
              <w:rPr>
                <w:rFonts w:ascii="Arial" w:hAnsi="Arial" w:cs="Arial"/>
                <w:color w:val="181818"/>
              </w:rPr>
            </w:pPr>
          </w:p>
        </w:tc>
        <w:tc>
          <w:tcPr>
            <w:tcW w:w="2060" w:type="dxa"/>
          </w:tcPr>
          <w:p w14:paraId="448220DE"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 xml:space="preserve">Irish Funds members have indirect exposure only through FDI (swaps) on </w:t>
            </w:r>
            <w:r w:rsidRPr="00BB31FC">
              <w:rPr>
                <w:rFonts w:ascii="Arial" w:eastAsia="Times New Roman" w:hAnsi="Arial" w:cs="Arial"/>
                <w:color w:val="000000" w:themeColor="text1"/>
                <w:lang w:val="en-IE" w:eastAsia="en-IE"/>
              </w:rPr>
              <w:lastRenderedPageBreak/>
              <w:t>financial index with emission allowance as constituent.</w:t>
            </w:r>
          </w:p>
          <w:p w14:paraId="17AD93B2" w14:textId="77777777" w:rsidR="00B33432" w:rsidRPr="006252AD" w:rsidRDefault="00B33432" w:rsidP="00B33432">
            <w:pPr>
              <w:spacing w:after="250" w:line="276" w:lineRule="auto"/>
              <w:jc w:val="both"/>
              <w:rPr>
                <w:rFonts w:ascii="Arial" w:hAnsi="Arial" w:cs="Arial"/>
                <w:color w:val="181818"/>
              </w:rPr>
            </w:pPr>
          </w:p>
        </w:tc>
        <w:tc>
          <w:tcPr>
            <w:tcW w:w="1706" w:type="dxa"/>
          </w:tcPr>
          <w:p w14:paraId="2DB88A6E" w14:textId="77777777" w:rsidR="00BB31FC" w:rsidRPr="006252AD" w:rsidRDefault="00BB31FC" w:rsidP="00BB31FC">
            <w:pPr>
              <w:spacing w:line="276" w:lineRule="auto"/>
              <w:jc w:val="both"/>
              <w:rPr>
                <w:rFonts w:ascii="Arial" w:eastAsia="Times New Roman" w:hAnsi="Arial" w:cs="Arial"/>
                <w:color w:val="000000" w:themeColor="text1"/>
                <w:lang w:val="en-IE" w:eastAsia="en-IE"/>
              </w:rPr>
            </w:pPr>
            <w:r w:rsidRPr="006252AD">
              <w:rPr>
                <w:rFonts w:ascii="Arial" w:eastAsia="Times New Roman" w:hAnsi="Arial" w:cs="Arial"/>
                <w:color w:val="000000" w:themeColor="text1"/>
                <w:lang w:val="en-IE" w:eastAsia="en-IE"/>
              </w:rPr>
              <w:lastRenderedPageBreak/>
              <w:t>Irish Funds understand that current CBI view</w:t>
            </w:r>
            <w:r w:rsidRPr="006252AD">
              <w:rPr>
                <w:rStyle w:val="FootnoteReference"/>
                <w:rFonts w:ascii="Arial" w:eastAsia="Times New Roman" w:hAnsi="Arial" w:cs="Arial"/>
                <w:color w:val="000000" w:themeColor="text1"/>
                <w:lang w:val="en-IE" w:eastAsia="en-IE"/>
              </w:rPr>
              <w:footnoteReference w:id="44"/>
            </w:r>
            <w:r w:rsidRPr="006252AD">
              <w:rPr>
                <w:rFonts w:ascii="Arial" w:eastAsia="Times New Roman" w:hAnsi="Arial" w:cs="Arial"/>
                <w:color w:val="000000" w:themeColor="text1"/>
                <w:lang w:val="en-IE" w:eastAsia="en-IE"/>
              </w:rPr>
              <w:t xml:space="preserve"> is that indirect </w:t>
            </w:r>
            <w:r w:rsidRPr="006252AD">
              <w:rPr>
                <w:rFonts w:ascii="Arial" w:eastAsia="Times New Roman" w:hAnsi="Arial" w:cs="Arial"/>
                <w:color w:val="000000" w:themeColor="text1"/>
                <w:lang w:val="en-IE" w:eastAsia="en-IE"/>
              </w:rPr>
              <w:lastRenderedPageBreak/>
              <w:t>exposure through a financial index or SFI is acceptable but not direct exposure.</w:t>
            </w:r>
          </w:p>
          <w:p w14:paraId="0DE4B5B7" w14:textId="77777777" w:rsidR="00B33432" w:rsidRPr="006252AD" w:rsidRDefault="00B33432" w:rsidP="00B33432">
            <w:pPr>
              <w:spacing w:after="250" w:line="276" w:lineRule="auto"/>
              <w:jc w:val="both"/>
              <w:rPr>
                <w:rFonts w:ascii="Arial" w:hAnsi="Arial" w:cs="Arial"/>
                <w:color w:val="181818"/>
              </w:rPr>
            </w:pPr>
          </w:p>
        </w:tc>
      </w:tr>
      <w:tr w:rsidR="00B33432" w:rsidRPr="006252AD" w14:paraId="4663360E" w14:textId="77777777" w:rsidTr="00F278BC">
        <w:tc>
          <w:tcPr>
            <w:tcW w:w="2095" w:type="dxa"/>
          </w:tcPr>
          <w:p w14:paraId="556F47DB" w14:textId="77777777" w:rsidR="00B33432" w:rsidRPr="006252AD" w:rsidRDefault="00B33432" w:rsidP="00B33432">
            <w:pPr>
              <w:spacing w:after="250" w:line="276" w:lineRule="auto"/>
              <w:rPr>
                <w:rFonts w:ascii="Arial" w:hAnsi="Arial" w:cs="Arial"/>
              </w:rPr>
            </w:pPr>
            <w:r w:rsidRPr="006252AD">
              <w:rPr>
                <w:rFonts w:ascii="Arial" w:hAnsi="Arial" w:cs="Arial"/>
              </w:rPr>
              <w:lastRenderedPageBreak/>
              <w:t>16. Delta-one instruments</w:t>
            </w:r>
          </w:p>
        </w:tc>
        <w:tc>
          <w:tcPr>
            <w:tcW w:w="1683" w:type="dxa"/>
          </w:tcPr>
          <w:p w14:paraId="019BC544" w14:textId="77777777" w:rsidR="00BB31FC" w:rsidRPr="00BB31FC" w:rsidRDefault="00BB31FC" w:rsidP="00BB31FC">
            <w:pPr>
              <w:spacing w:line="276" w:lineRule="auto"/>
              <w:jc w:val="both"/>
              <w:rPr>
                <w:rFonts w:ascii="Arial" w:eastAsia="Times New Roman" w:hAnsi="Arial" w:cs="Arial"/>
                <w:lang w:val="en-US"/>
              </w:rPr>
            </w:pPr>
            <w:r w:rsidRPr="00BB31FC">
              <w:rPr>
                <w:rFonts w:ascii="Arial" w:eastAsia="Times New Roman" w:hAnsi="Arial" w:cs="Arial"/>
                <w:lang w:val="en-US"/>
              </w:rPr>
              <w:t xml:space="preserve">Delta-one instruments offer a range of benefits that enhance the investment landscape, particularly for UCITS funds and their investors. These financial instruments allow for indirect exposure to assets that might not be directly accessible to UCITS funds, thereby broadening the investment universe and opportunities available to investors. This feature is particularly advantageous in jurisdictions where delta-one instruments are permitted on the basis that they do not incorporate a derivative component, thus facilitating a more straightforward investment process. </w:t>
            </w:r>
          </w:p>
          <w:p w14:paraId="4FEB7507" w14:textId="77777777" w:rsidR="00BB31FC" w:rsidRPr="00BB31FC" w:rsidRDefault="00BB31FC" w:rsidP="00BB31FC">
            <w:pPr>
              <w:spacing w:line="276" w:lineRule="auto"/>
              <w:jc w:val="both"/>
              <w:rPr>
                <w:rFonts w:ascii="Arial" w:eastAsia="Times New Roman" w:hAnsi="Arial" w:cs="Arial"/>
                <w:lang w:val="en-US"/>
              </w:rPr>
            </w:pPr>
          </w:p>
          <w:p w14:paraId="16F577A5" w14:textId="77777777" w:rsidR="00BB31FC" w:rsidRPr="00BB31FC" w:rsidRDefault="00BB31FC" w:rsidP="00BB31FC">
            <w:pPr>
              <w:spacing w:after="240" w:line="276" w:lineRule="auto"/>
              <w:jc w:val="both"/>
              <w:rPr>
                <w:rFonts w:ascii="Arial" w:eastAsia="Times New Roman" w:hAnsi="Arial" w:cs="Arial"/>
                <w:lang w:val="en-US"/>
              </w:rPr>
            </w:pPr>
            <w:r w:rsidRPr="00BB31FC">
              <w:rPr>
                <w:rFonts w:ascii="Arial" w:eastAsia="Times New Roman" w:hAnsi="Arial" w:cs="Arial"/>
                <w:lang w:val="en-US"/>
              </w:rPr>
              <w:t xml:space="preserve">One of the key advantages of utilizing delta-one instruments is the diversification they offer to investment portfolios. By providing access to a wider range of assets, these instruments can help protect investors during </w:t>
            </w:r>
            <w:r w:rsidRPr="00BB31FC">
              <w:rPr>
                <w:rFonts w:ascii="Arial" w:eastAsia="Times New Roman" w:hAnsi="Arial" w:cs="Arial"/>
                <w:lang w:val="en-US"/>
              </w:rPr>
              <w:lastRenderedPageBreak/>
              <w:t xml:space="preserve">market volatility, offering uncorrelated returns when traditional asset classes exhibit similar market movements. This diversification is crucial for risk management and for achieving a more stable investment performance over time. Moreover, delta-one instruments come with the added benefit of institutional-grade product due diligence. This encompasses a thorough assessment of legal, operational, and service provider arrangements, as well as a detailed evaluation of the underlying assets, including custody arrangements. Such rigorous due diligence ensures that investments are made with a comprehensive understanding of all associated risks and operational intricacies, thereby enhancing the security and reliability of investments made through delta-one instruments. </w:t>
            </w:r>
          </w:p>
          <w:p w14:paraId="61FBBBAC" w14:textId="77777777" w:rsidR="00BB31FC" w:rsidRPr="00BB31FC" w:rsidRDefault="00BB31FC" w:rsidP="00BB31FC">
            <w:pPr>
              <w:spacing w:after="240" w:line="276" w:lineRule="auto"/>
              <w:jc w:val="both"/>
              <w:rPr>
                <w:rFonts w:ascii="Arial" w:eastAsiaTheme="minorEastAsia" w:hAnsi="Arial" w:cs="Arial"/>
                <w:lang w:val="en-US"/>
              </w:rPr>
            </w:pPr>
            <w:r w:rsidRPr="00BB31FC">
              <w:rPr>
                <w:rFonts w:ascii="Arial" w:eastAsiaTheme="minorEastAsia" w:hAnsi="Arial" w:cs="Arial"/>
                <w:lang w:val="en-US"/>
              </w:rPr>
              <w:t xml:space="preserve">In certain circumstances, it may be more cost efficient to obtain exposure to certain assets through delta-one instruments rather than direct investment or via indirect investment through other access </w:t>
            </w:r>
            <w:r w:rsidRPr="00BB31FC">
              <w:rPr>
                <w:rFonts w:ascii="Arial" w:eastAsiaTheme="minorEastAsia" w:hAnsi="Arial" w:cs="Arial"/>
                <w:lang w:val="en-US"/>
              </w:rPr>
              <w:lastRenderedPageBreak/>
              <w:t>vehicles such as mutual funds or derivatives.</w:t>
            </w:r>
          </w:p>
          <w:p w14:paraId="66204FF1" w14:textId="115BA14F" w:rsidR="00B33432" w:rsidRPr="006252AD" w:rsidRDefault="00BB31FC" w:rsidP="00BB31FC">
            <w:pPr>
              <w:spacing w:after="250" w:line="276" w:lineRule="auto"/>
              <w:jc w:val="both"/>
              <w:rPr>
                <w:rFonts w:ascii="Arial" w:hAnsi="Arial" w:cs="Arial"/>
                <w:color w:val="181818"/>
              </w:rPr>
            </w:pPr>
            <w:r w:rsidRPr="006252AD">
              <w:rPr>
                <w:rFonts w:ascii="Arial" w:eastAsia="Times New Roman" w:hAnsi="Arial" w:cs="Arial"/>
                <w:lang w:val="en-US"/>
              </w:rPr>
              <w:t>Additionally, Delta-one instruments listed or traded on a regulated market contribute to the liquidity and efficiency of Exchange-Traded Products investments. By facilitating easier access to a variety of assets, these instruments can improve the market's overall liquidity, making it simpler for investors to enter and exit positions. This increased market efficiency is beneficial not only to individual investors but also to the broader financial ecosystem.</w:t>
            </w:r>
          </w:p>
        </w:tc>
        <w:tc>
          <w:tcPr>
            <w:tcW w:w="1776" w:type="dxa"/>
          </w:tcPr>
          <w:p w14:paraId="63BF8011" w14:textId="77777777" w:rsidR="00BB31FC" w:rsidRPr="00BB31FC" w:rsidRDefault="00BB31FC" w:rsidP="00BB31FC">
            <w:pPr>
              <w:spacing w:line="276" w:lineRule="auto"/>
              <w:jc w:val="both"/>
              <w:rPr>
                <w:rFonts w:ascii="Arial" w:eastAsia="Times New Roman" w:hAnsi="Arial" w:cs="Arial"/>
                <w:color w:val="000000"/>
                <w:lang w:val="en-IE" w:eastAsia="en-IE"/>
              </w:rPr>
            </w:pPr>
            <w:r w:rsidRPr="00BB31FC">
              <w:rPr>
                <w:rFonts w:ascii="Arial" w:eastAsia="Times New Roman" w:hAnsi="Arial" w:cs="Arial"/>
                <w:color w:val="000000"/>
                <w:lang w:val="en-IE" w:eastAsia="en-IE"/>
              </w:rPr>
              <w:lastRenderedPageBreak/>
              <w:t>Similar merits to direct exposure but generally not observed given additional costs incurred.</w:t>
            </w:r>
          </w:p>
          <w:p w14:paraId="2DBF0D7D" w14:textId="77777777" w:rsidR="00B33432" w:rsidRPr="006252AD" w:rsidRDefault="00B33432" w:rsidP="00B33432">
            <w:pPr>
              <w:spacing w:after="250" w:line="276" w:lineRule="auto"/>
              <w:jc w:val="both"/>
              <w:rPr>
                <w:rFonts w:ascii="Arial" w:hAnsi="Arial" w:cs="Arial"/>
                <w:color w:val="181818"/>
              </w:rPr>
            </w:pPr>
          </w:p>
        </w:tc>
        <w:tc>
          <w:tcPr>
            <w:tcW w:w="2060" w:type="dxa"/>
          </w:tcPr>
          <w:p w14:paraId="33E876DC" w14:textId="77777777" w:rsidR="00BB31FC" w:rsidRPr="00BB31FC" w:rsidRDefault="00BB31FC" w:rsidP="00BB31FC">
            <w:pPr>
              <w:spacing w:line="276" w:lineRule="auto"/>
              <w:jc w:val="both"/>
              <w:rPr>
                <w:rFonts w:ascii="Arial" w:eastAsia="Times New Roman" w:hAnsi="Arial" w:cs="Arial"/>
                <w:color w:val="000000"/>
                <w:lang w:val="en-US" w:eastAsia="en-IE"/>
              </w:rPr>
            </w:pPr>
            <w:r w:rsidRPr="00BB31FC">
              <w:rPr>
                <w:rFonts w:ascii="Arial" w:eastAsia="Times New Roman" w:hAnsi="Arial" w:cs="Arial"/>
                <w:color w:val="000000" w:themeColor="text1"/>
                <w:lang w:val="en-US" w:eastAsia="en-IE"/>
              </w:rPr>
              <w:t>We are aware of many UCITS using ETCs and ETNs, but it is difficult to assess the whole European market.</w:t>
            </w:r>
          </w:p>
          <w:p w14:paraId="78249C6D" w14:textId="77777777" w:rsidR="00BB31FC" w:rsidRPr="00BB31FC" w:rsidRDefault="00BB31FC" w:rsidP="00BB31FC">
            <w:pPr>
              <w:spacing w:line="276" w:lineRule="auto"/>
              <w:jc w:val="both"/>
              <w:rPr>
                <w:rFonts w:ascii="Arial" w:eastAsia="Times New Roman" w:hAnsi="Arial" w:cs="Arial"/>
                <w:color w:val="000000"/>
                <w:lang w:val="en-IE" w:eastAsia="en-IE"/>
              </w:rPr>
            </w:pPr>
          </w:p>
          <w:p w14:paraId="2F91FEE1" w14:textId="77777777" w:rsidR="00BB31FC" w:rsidRPr="00BB31FC" w:rsidRDefault="00BB31FC" w:rsidP="00BB31FC">
            <w:pPr>
              <w:spacing w:line="276" w:lineRule="auto"/>
              <w:jc w:val="both"/>
              <w:rPr>
                <w:rFonts w:ascii="Arial" w:eastAsia="Times New Roman" w:hAnsi="Arial" w:cs="Arial"/>
                <w:color w:val="000000"/>
                <w:lang w:val="en-IE" w:eastAsia="en-IE"/>
              </w:rPr>
            </w:pPr>
            <w:r w:rsidRPr="00BB31FC">
              <w:rPr>
                <w:rFonts w:ascii="Arial" w:eastAsia="Times New Roman" w:hAnsi="Arial" w:cs="Arial"/>
                <w:color w:val="000000" w:themeColor="text1"/>
                <w:lang w:val="en-IE" w:eastAsia="en-IE"/>
              </w:rPr>
              <w:t xml:space="preserve">The market for delta-one instruments is vast and, depending on the exact definition, may include commonly accepted instruments such as </w:t>
            </w:r>
            <w:r w:rsidRPr="00BB31FC">
              <w:rPr>
                <w:rFonts w:ascii="Arial" w:eastAsia="Times New Roman" w:hAnsi="Arial" w:cs="Arial"/>
                <w:color w:val="000000" w:themeColor="text1"/>
                <w:lang w:val="en-US" w:eastAsia="en-IE"/>
              </w:rPr>
              <w:t>American depositary receipt</w:t>
            </w:r>
            <w:r w:rsidRPr="00BB31FC">
              <w:rPr>
                <w:rFonts w:ascii="Arial" w:eastAsia="Times New Roman" w:hAnsi="Arial" w:cs="Arial"/>
                <w:color w:val="000000" w:themeColor="text1"/>
                <w:lang w:val="en-IE" w:eastAsia="en-IE"/>
              </w:rPr>
              <w:t xml:space="preserve"> (“</w:t>
            </w:r>
            <w:r w:rsidRPr="00BB31FC">
              <w:rPr>
                <w:rFonts w:ascii="Arial" w:eastAsia="Times New Roman" w:hAnsi="Arial" w:cs="Arial"/>
                <w:b/>
                <w:bCs/>
                <w:color w:val="000000" w:themeColor="text1"/>
                <w:lang w:val="en-IE" w:eastAsia="en-IE"/>
              </w:rPr>
              <w:t>ADRs</w:t>
            </w:r>
            <w:r w:rsidRPr="00BB31FC">
              <w:rPr>
                <w:rFonts w:ascii="Arial" w:eastAsia="Times New Roman" w:hAnsi="Arial" w:cs="Arial"/>
                <w:color w:val="000000" w:themeColor="text1"/>
                <w:lang w:val="en-IE" w:eastAsia="en-IE"/>
              </w:rPr>
              <w:t>”) and Global Depositary receipts (“</w:t>
            </w:r>
            <w:r w:rsidRPr="00BB31FC">
              <w:rPr>
                <w:rFonts w:ascii="Arial" w:eastAsia="Times New Roman" w:hAnsi="Arial" w:cs="Arial"/>
                <w:b/>
                <w:bCs/>
                <w:color w:val="000000" w:themeColor="text1"/>
                <w:lang w:val="en-IE" w:eastAsia="en-IE"/>
              </w:rPr>
              <w:t>GDRs</w:t>
            </w:r>
            <w:r w:rsidRPr="00BB31FC">
              <w:rPr>
                <w:rFonts w:ascii="Arial" w:eastAsia="Times New Roman" w:hAnsi="Arial" w:cs="Arial"/>
                <w:color w:val="000000" w:themeColor="text1"/>
                <w:lang w:val="en-IE" w:eastAsia="en-IE"/>
              </w:rPr>
              <w:t>”). Market research (of one of Irish Funds members as an issuer of such instruments) covers delta-one instruments on crypto underlying and carbon allowances.</w:t>
            </w:r>
          </w:p>
          <w:p w14:paraId="0EEBCC31" w14:textId="77777777" w:rsidR="00BB31FC" w:rsidRPr="00BB31FC" w:rsidRDefault="00BB31FC" w:rsidP="00BB31FC">
            <w:pPr>
              <w:spacing w:line="276" w:lineRule="auto"/>
              <w:jc w:val="both"/>
              <w:rPr>
                <w:rFonts w:ascii="Arial" w:eastAsia="Times New Roman" w:hAnsi="Arial" w:cs="Arial"/>
                <w:color w:val="000000"/>
                <w:lang w:val="en-IE" w:eastAsia="en-IE"/>
              </w:rPr>
            </w:pPr>
          </w:p>
          <w:p w14:paraId="07052E19" w14:textId="77777777" w:rsidR="00BB31FC" w:rsidRPr="00BB31FC" w:rsidRDefault="00BB31FC" w:rsidP="00BB31FC">
            <w:pPr>
              <w:spacing w:line="276" w:lineRule="auto"/>
              <w:jc w:val="both"/>
              <w:rPr>
                <w:rFonts w:ascii="Arial" w:eastAsia="Times New Roman" w:hAnsi="Arial" w:cs="Arial"/>
                <w:color w:val="000000"/>
                <w:lang w:val="en-IE" w:eastAsia="en-IE"/>
              </w:rPr>
            </w:pPr>
            <w:r w:rsidRPr="00BB31FC">
              <w:rPr>
                <w:rFonts w:ascii="Arial" w:eastAsia="Times New Roman" w:hAnsi="Arial" w:cs="Arial"/>
                <w:color w:val="000000" w:themeColor="text1"/>
                <w:lang w:val="en-IE" w:eastAsia="en-IE"/>
              </w:rPr>
              <w:t>The Assets Under Management (“</w:t>
            </w:r>
            <w:r w:rsidRPr="00BB31FC">
              <w:rPr>
                <w:rFonts w:ascii="Arial" w:eastAsia="Times New Roman" w:hAnsi="Arial" w:cs="Arial"/>
                <w:b/>
                <w:bCs/>
                <w:color w:val="000000" w:themeColor="text1"/>
                <w:lang w:val="en-IE" w:eastAsia="en-IE"/>
              </w:rPr>
              <w:t>AUM</w:t>
            </w:r>
            <w:r w:rsidRPr="00BB31FC">
              <w:rPr>
                <w:rFonts w:ascii="Arial" w:eastAsia="Times New Roman" w:hAnsi="Arial" w:cs="Arial"/>
                <w:color w:val="000000" w:themeColor="text1"/>
                <w:lang w:val="en-IE" w:eastAsia="en-IE"/>
              </w:rPr>
              <w:t xml:space="preserve">”) of Crypto ETPs listed across European exchanges </w:t>
            </w:r>
            <w:r w:rsidRPr="00BB31FC">
              <w:rPr>
                <w:rFonts w:ascii="Arial" w:eastAsia="Times New Roman" w:hAnsi="Arial" w:cs="Arial"/>
                <w:color w:val="000000" w:themeColor="text1"/>
                <w:lang w:val="en-IE" w:eastAsia="en-IE"/>
              </w:rPr>
              <w:lastRenderedPageBreak/>
              <w:t>currently amounts to approx. $12bn</w:t>
            </w:r>
            <w:r w:rsidRPr="00BB31FC">
              <w:rPr>
                <w:rFonts w:ascii="Arial" w:eastAsia="Times New Roman" w:hAnsi="Arial" w:cs="Arial"/>
                <w:color w:val="000000" w:themeColor="text1"/>
                <w:vertAlign w:val="superscript"/>
                <w:lang w:val="en-IE" w:eastAsia="en-IE"/>
              </w:rPr>
              <w:footnoteReference w:id="45"/>
            </w:r>
            <w:r w:rsidRPr="00BB31FC">
              <w:rPr>
                <w:rFonts w:ascii="Arial" w:eastAsia="Times New Roman" w:hAnsi="Arial" w:cs="Arial"/>
                <w:color w:val="000000" w:themeColor="text1"/>
                <w:lang w:val="en-IE" w:eastAsia="en-IE"/>
              </w:rPr>
              <w:t>. While the majority of this market seems to be attributed to retail investors, there is increasing institutional demand for these products including UCITS funds, mainly out of Germany who seem to be using the asset class for diversification purposes.</w:t>
            </w:r>
          </w:p>
          <w:p w14:paraId="6CC634B2" w14:textId="77777777" w:rsidR="00BB31FC" w:rsidRPr="00BB31FC" w:rsidRDefault="00BB31FC" w:rsidP="00BB31FC">
            <w:pPr>
              <w:spacing w:line="276" w:lineRule="auto"/>
              <w:jc w:val="both"/>
              <w:rPr>
                <w:rFonts w:ascii="Arial" w:eastAsia="Times New Roman" w:hAnsi="Arial" w:cs="Arial"/>
                <w:color w:val="000000"/>
                <w:lang w:val="en-IE" w:eastAsia="en-IE"/>
              </w:rPr>
            </w:pPr>
          </w:p>
          <w:p w14:paraId="0AE072AD" w14:textId="77777777" w:rsidR="00BB31FC" w:rsidRPr="00BB31FC" w:rsidRDefault="00BB31FC" w:rsidP="00BB31FC">
            <w:pPr>
              <w:spacing w:line="276" w:lineRule="auto"/>
              <w:jc w:val="both"/>
              <w:rPr>
                <w:rFonts w:ascii="Arial" w:eastAsia="Times New Roman" w:hAnsi="Arial" w:cs="Arial"/>
                <w:color w:val="000000"/>
                <w:lang w:val="en-IE" w:eastAsia="en-IE"/>
              </w:rPr>
            </w:pPr>
            <w:r w:rsidRPr="00BB31FC">
              <w:rPr>
                <w:rFonts w:ascii="Arial" w:eastAsia="Times New Roman" w:hAnsi="Arial" w:cs="Arial"/>
                <w:color w:val="000000" w:themeColor="text1"/>
                <w:lang w:val="en-IE" w:eastAsia="en-IE"/>
              </w:rPr>
              <w:t>The market for delta-one instruments tracking the price of carbon allowances is approximately $1bn</w:t>
            </w:r>
            <w:r w:rsidRPr="00BB31FC">
              <w:rPr>
                <w:rFonts w:ascii="Arial" w:eastAsia="Times New Roman" w:hAnsi="Arial" w:cs="Arial"/>
                <w:color w:val="000000" w:themeColor="text1"/>
                <w:vertAlign w:val="superscript"/>
                <w:lang w:val="en-IE" w:eastAsia="en-IE"/>
              </w:rPr>
              <w:footnoteReference w:id="46"/>
            </w:r>
            <w:r w:rsidRPr="00BB31FC">
              <w:rPr>
                <w:rFonts w:ascii="Arial" w:eastAsia="Times New Roman" w:hAnsi="Arial" w:cs="Arial"/>
                <w:color w:val="000000" w:themeColor="text1"/>
                <w:lang w:val="en-IE" w:eastAsia="en-IE"/>
              </w:rPr>
              <w:t>.</w:t>
            </w:r>
          </w:p>
          <w:p w14:paraId="5F9BFA70" w14:textId="77777777" w:rsidR="00BB31FC" w:rsidRPr="00BB31FC" w:rsidRDefault="00BB31FC" w:rsidP="00BB31FC">
            <w:pPr>
              <w:spacing w:line="276" w:lineRule="auto"/>
              <w:jc w:val="both"/>
              <w:rPr>
                <w:rFonts w:ascii="Arial" w:eastAsia="Times New Roman" w:hAnsi="Arial" w:cs="Arial"/>
                <w:color w:val="000000"/>
                <w:lang w:val="en-IE" w:eastAsia="en-IE"/>
              </w:rPr>
            </w:pPr>
          </w:p>
          <w:p w14:paraId="7DE37F3D"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 xml:space="preserve">As for ETCs, the market for crypto ETPs and ETPs tracking the price of carbon allowances is very liquid and transparent, given the transparent structure of these instruments and the well-established trading model on the relevant regulated exchanges.       </w:t>
            </w:r>
          </w:p>
          <w:p w14:paraId="6B62F1B3" w14:textId="77777777" w:rsidR="00B33432" w:rsidRPr="006252AD" w:rsidRDefault="00B33432" w:rsidP="00B33432">
            <w:pPr>
              <w:spacing w:after="250" w:line="276" w:lineRule="auto"/>
              <w:jc w:val="both"/>
              <w:rPr>
                <w:rFonts w:ascii="Arial" w:hAnsi="Arial" w:cs="Arial"/>
                <w:color w:val="181818"/>
              </w:rPr>
            </w:pPr>
          </w:p>
        </w:tc>
        <w:tc>
          <w:tcPr>
            <w:tcW w:w="1706" w:type="dxa"/>
          </w:tcPr>
          <w:p w14:paraId="10240DBA"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lastRenderedPageBreak/>
              <w:t xml:space="preserve">Delta-one instruments are debt securities typically issued by a credit institution that provide non-leveraged economic exposure to underlying reference asset(s). Delta-one instruments may or may not be listed or traded on a regulated market / multilateral trading facility. The more liquid of the Delta-one instruments are ETCs and ETNs. </w:t>
            </w:r>
          </w:p>
          <w:p w14:paraId="02F2C34E" w14:textId="77777777" w:rsidR="00B33432" w:rsidRPr="006252AD" w:rsidRDefault="00B33432" w:rsidP="00B33432">
            <w:pPr>
              <w:spacing w:after="250" w:line="276" w:lineRule="auto"/>
              <w:jc w:val="both"/>
              <w:rPr>
                <w:rFonts w:ascii="Arial" w:hAnsi="Arial" w:cs="Arial"/>
                <w:color w:val="181818"/>
              </w:rPr>
            </w:pPr>
          </w:p>
        </w:tc>
      </w:tr>
      <w:tr w:rsidR="00B33432" w:rsidRPr="006252AD" w14:paraId="6004F4E8" w14:textId="77777777" w:rsidTr="00F278BC">
        <w:tc>
          <w:tcPr>
            <w:tcW w:w="2095" w:type="dxa"/>
          </w:tcPr>
          <w:p w14:paraId="73D5771C" w14:textId="77777777" w:rsidR="00B33432" w:rsidRPr="006252AD" w:rsidRDefault="00B33432" w:rsidP="00B33432">
            <w:pPr>
              <w:spacing w:after="250" w:line="276" w:lineRule="auto"/>
              <w:rPr>
                <w:rFonts w:ascii="Arial" w:hAnsi="Arial" w:cs="Arial"/>
              </w:rPr>
            </w:pPr>
            <w:r w:rsidRPr="006252AD">
              <w:rPr>
                <w:rFonts w:ascii="Arial" w:hAnsi="Arial" w:cs="Arial"/>
              </w:rPr>
              <w:lastRenderedPageBreak/>
              <w:t>17. Exchange-traded notes (‘ETNs’)</w:t>
            </w:r>
          </w:p>
        </w:tc>
        <w:tc>
          <w:tcPr>
            <w:tcW w:w="1683" w:type="dxa"/>
          </w:tcPr>
          <w:p w14:paraId="0EC6F321" w14:textId="77777777" w:rsidR="00BB31FC" w:rsidRPr="00BB31FC" w:rsidRDefault="00BB31FC" w:rsidP="00BB31FC">
            <w:pPr>
              <w:spacing w:line="276" w:lineRule="auto"/>
              <w:jc w:val="both"/>
              <w:rPr>
                <w:rFonts w:ascii="Arial" w:eastAsia="Times New Roman" w:hAnsi="Arial" w:cs="Arial"/>
                <w:color w:val="000000"/>
                <w:lang w:val="en-IE" w:eastAsia="en-IE"/>
              </w:rPr>
            </w:pPr>
            <w:r w:rsidRPr="00BB31FC">
              <w:rPr>
                <w:rFonts w:ascii="Arial" w:eastAsia="Times New Roman" w:hAnsi="Arial" w:cs="Arial"/>
                <w:color w:val="000000"/>
                <w:lang w:val="en-IE" w:eastAsia="en-IE"/>
              </w:rPr>
              <w:t>Same merits as detailed for Delta-one instruments above.</w:t>
            </w:r>
          </w:p>
          <w:p w14:paraId="680A4E5D" w14:textId="77777777" w:rsidR="00B33432" w:rsidRPr="006252AD" w:rsidRDefault="00B33432" w:rsidP="00B33432">
            <w:pPr>
              <w:spacing w:after="250" w:line="276" w:lineRule="auto"/>
              <w:jc w:val="both"/>
              <w:rPr>
                <w:rFonts w:ascii="Arial" w:hAnsi="Arial" w:cs="Arial"/>
                <w:color w:val="181818"/>
              </w:rPr>
            </w:pPr>
          </w:p>
        </w:tc>
        <w:tc>
          <w:tcPr>
            <w:tcW w:w="1776" w:type="dxa"/>
          </w:tcPr>
          <w:p w14:paraId="0D80DD0F" w14:textId="77777777" w:rsidR="00BB31FC" w:rsidRPr="00BB31FC" w:rsidRDefault="00BB31FC" w:rsidP="00BB31FC">
            <w:pPr>
              <w:spacing w:line="276" w:lineRule="auto"/>
              <w:jc w:val="both"/>
              <w:rPr>
                <w:rFonts w:ascii="Arial" w:eastAsia="Times New Roman" w:hAnsi="Arial" w:cs="Arial"/>
                <w:color w:val="000000"/>
                <w:lang w:val="en-IE" w:eastAsia="en-IE"/>
              </w:rPr>
            </w:pPr>
            <w:r w:rsidRPr="00BB31FC">
              <w:rPr>
                <w:rFonts w:ascii="Arial" w:eastAsia="Times New Roman" w:hAnsi="Arial" w:cs="Arial"/>
                <w:color w:val="000000"/>
                <w:lang w:val="en-IE" w:eastAsia="en-IE"/>
              </w:rPr>
              <w:t>Same merits as detailed for Delta-one instruments above.</w:t>
            </w:r>
          </w:p>
          <w:p w14:paraId="19219836" w14:textId="77777777" w:rsidR="00B33432" w:rsidRPr="006252AD" w:rsidRDefault="00B33432" w:rsidP="00B33432">
            <w:pPr>
              <w:spacing w:after="250" w:line="276" w:lineRule="auto"/>
              <w:jc w:val="both"/>
              <w:rPr>
                <w:rFonts w:ascii="Arial" w:hAnsi="Arial" w:cs="Arial"/>
                <w:color w:val="181818"/>
              </w:rPr>
            </w:pPr>
          </w:p>
        </w:tc>
        <w:tc>
          <w:tcPr>
            <w:tcW w:w="2060" w:type="dxa"/>
          </w:tcPr>
          <w:p w14:paraId="296FEF7D" w14:textId="77777777" w:rsidR="00B33432" w:rsidRPr="006252AD" w:rsidRDefault="00B33432" w:rsidP="00B33432">
            <w:pPr>
              <w:spacing w:after="250" w:line="276" w:lineRule="auto"/>
              <w:jc w:val="both"/>
              <w:rPr>
                <w:rFonts w:ascii="Arial" w:hAnsi="Arial" w:cs="Arial"/>
                <w:color w:val="181818"/>
              </w:rPr>
            </w:pPr>
          </w:p>
        </w:tc>
        <w:tc>
          <w:tcPr>
            <w:tcW w:w="1706" w:type="dxa"/>
          </w:tcPr>
          <w:p w14:paraId="4CC9B1F8"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 xml:space="preserve">ETNs are debt securities typically issued by an investment vehicle that track the performance of or provide non-leveraged economic exposure to underlying reference asset(s). ETNs are listed or traded on a regulated market / multilateral trading facility. </w:t>
            </w:r>
          </w:p>
          <w:p w14:paraId="7194DBDC" w14:textId="77777777" w:rsidR="00B33432" w:rsidRPr="006252AD" w:rsidRDefault="00B33432" w:rsidP="00B33432">
            <w:pPr>
              <w:spacing w:after="250" w:line="276" w:lineRule="auto"/>
              <w:jc w:val="both"/>
              <w:rPr>
                <w:rFonts w:ascii="Arial" w:hAnsi="Arial" w:cs="Arial"/>
                <w:color w:val="181818"/>
              </w:rPr>
            </w:pPr>
          </w:p>
        </w:tc>
      </w:tr>
      <w:tr w:rsidR="00B33432" w:rsidRPr="006252AD" w14:paraId="66BB473F" w14:textId="77777777" w:rsidTr="00F278BC">
        <w:tc>
          <w:tcPr>
            <w:tcW w:w="2095" w:type="dxa"/>
          </w:tcPr>
          <w:p w14:paraId="08FCC5EB" w14:textId="77777777" w:rsidR="00B33432" w:rsidRPr="006252AD" w:rsidRDefault="00B33432" w:rsidP="00B33432">
            <w:pPr>
              <w:spacing w:after="250" w:line="276" w:lineRule="auto"/>
              <w:rPr>
                <w:rFonts w:ascii="Arial" w:hAnsi="Arial" w:cs="Arial"/>
              </w:rPr>
            </w:pPr>
            <w:r w:rsidRPr="006252AD">
              <w:rPr>
                <w:rFonts w:ascii="Arial" w:hAnsi="Arial" w:cs="Arial"/>
              </w:rPr>
              <w:lastRenderedPageBreak/>
              <w:t>18. Asset-backed securities (‘ABS’) including mortgage-backed securities (‘MBS’)</w:t>
            </w:r>
          </w:p>
        </w:tc>
        <w:tc>
          <w:tcPr>
            <w:tcW w:w="1683" w:type="dxa"/>
          </w:tcPr>
          <w:p w14:paraId="390B1FE8" w14:textId="77777777" w:rsidR="00BB31FC" w:rsidRPr="00BB31FC" w:rsidRDefault="00BB31FC" w:rsidP="00BB31FC">
            <w:pPr>
              <w:spacing w:line="276" w:lineRule="auto"/>
              <w:jc w:val="both"/>
              <w:rPr>
                <w:rFonts w:ascii="Arial" w:eastAsiaTheme="minorEastAsia" w:hAnsi="Arial" w:cs="Arial"/>
                <w:lang w:val="en-US"/>
              </w:rPr>
            </w:pPr>
            <w:r w:rsidRPr="00BB31FC">
              <w:rPr>
                <w:rFonts w:ascii="Arial" w:eastAsiaTheme="minorEastAsia" w:hAnsi="Arial" w:cs="Arial"/>
                <w:lang w:val="en-US"/>
              </w:rPr>
              <w:t xml:space="preserve">Structured credit is a $3.3 trillion USD subset of global fixed-income market that is highly diverse in terms of structures, quality, yields, maturities and collateral types. </w:t>
            </w:r>
            <w:r w:rsidRPr="00BB31FC">
              <w:rPr>
                <w:rFonts w:ascii="Arial" w:eastAsiaTheme="minorEastAsia" w:hAnsi="Arial" w:cs="Arial"/>
                <w:lang w:val="en-US"/>
              </w:rPr>
              <w:br/>
            </w:r>
          </w:p>
          <w:p w14:paraId="7AD3DE0C" w14:textId="77777777" w:rsidR="00BB31FC" w:rsidRPr="00BB31FC" w:rsidRDefault="00BB31FC" w:rsidP="00BB31FC">
            <w:pPr>
              <w:spacing w:line="276" w:lineRule="auto"/>
              <w:jc w:val="both"/>
              <w:rPr>
                <w:rFonts w:ascii="Arial" w:eastAsiaTheme="minorEastAsia" w:hAnsi="Arial" w:cs="Arial"/>
                <w:lang w:val="en-US"/>
              </w:rPr>
            </w:pPr>
            <w:r w:rsidRPr="00BB31FC">
              <w:rPr>
                <w:rFonts w:ascii="Arial" w:eastAsiaTheme="minorEastAsia" w:hAnsi="Arial" w:cs="Arial"/>
                <w:lang w:val="en-US"/>
              </w:rPr>
              <w:t>Structured credit can be broken out into three main categories: Residential Mortgage-Backed Securities (RMBS), Commercial Mortgage-Backed Securities (CMBS) and Asset Backed Securities (ABS).</w:t>
            </w:r>
          </w:p>
          <w:p w14:paraId="2CFA593D" w14:textId="77777777" w:rsidR="00BB31FC" w:rsidRPr="00BB31FC" w:rsidRDefault="00BB31FC" w:rsidP="00BB31FC">
            <w:pPr>
              <w:spacing w:line="276" w:lineRule="auto"/>
              <w:jc w:val="both"/>
              <w:rPr>
                <w:rFonts w:ascii="Arial" w:eastAsiaTheme="minorEastAsia" w:hAnsi="Arial" w:cs="Arial"/>
                <w:lang w:val="en-US"/>
              </w:rPr>
            </w:pPr>
            <w:r w:rsidRPr="00BB31FC">
              <w:rPr>
                <w:rFonts w:ascii="Arial" w:eastAsiaTheme="minorEastAsia" w:hAnsi="Arial" w:cs="Arial"/>
                <w:lang w:val="en-US"/>
              </w:rPr>
              <w:t xml:space="preserve"> </w:t>
            </w:r>
            <w:r w:rsidRPr="00BB31FC">
              <w:rPr>
                <w:rFonts w:ascii="Arial" w:eastAsiaTheme="minorEastAsia" w:hAnsi="Arial" w:cs="Arial"/>
                <w:lang w:val="en-US"/>
              </w:rPr>
              <w:br/>
              <w:t>Structured credit is a broad term encompassing debt instruments backed by a pool of assets held in a bankruptcy remote trust that generate a stream of financial payments (interest, principal and loan prepayments).</w:t>
            </w:r>
          </w:p>
          <w:p w14:paraId="1B3E3BC6" w14:textId="77777777" w:rsidR="00BB31FC" w:rsidRPr="00BB31FC" w:rsidRDefault="00BB31FC" w:rsidP="00BB31FC">
            <w:pPr>
              <w:spacing w:line="276" w:lineRule="auto"/>
              <w:jc w:val="both"/>
              <w:rPr>
                <w:rFonts w:ascii="Arial" w:eastAsiaTheme="minorEastAsia" w:hAnsi="Arial" w:cs="Arial"/>
                <w:lang w:val="en-US"/>
              </w:rPr>
            </w:pPr>
            <w:r w:rsidRPr="00BB31FC">
              <w:rPr>
                <w:rFonts w:ascii="Arial" w:eastAsiaTheme="minorEastAsia" w:hAnsi="Arial" w:cs="Arial"/>
                <w:lang w:val="en-US"/>
              </w:rPr>
              <w:t xml:space="preserve"> </w:t>
            </w:r>
            <w:r w:rsidRPr="00BB31FC">
              <w:rPr>
                <w:rFonts w:ascii="Arial" w:eastAsiaTheme="minorEastAsia" w:hAnsi="Arial" w:cs="Arial"/>
                <w:lang w:val="en-US"/>
              </w:rPr>
              <w:br/>
              <w:t xml:space="preserve">The cash flows are then redistributed, often into different tranches of securities that reallocate the risks emanating from the underlying pool of assets, for example, by average life or by credit risk. Tranches vary in yields, ratings, credit enhancements, and liquidity profiles, covering the spectrum from AAA (lower risk and return potential) to below-investment-grade </w:t>
            </w:r>
            <w:r w:rsidRPr="00BB31FC">
              <w:rPr>
                <w:rFonts w:ascii="Arial" w:eastAsiaTheme="minorEastAsia" w:hAnsi="Arial" w:cs="Arial"/>
                <w:lang w:val="en-US"/>
              </w:rPr>
              <w:lastRenderedPageBreak/>
              <w:t>(higher risk and return potential).</w:t>
            </w:r>
          </w:p>
          <w:p w14:paraId="3D87E0C3" w14:textId="77777777" w:rsidR="00BB31FC" w:rsidRPr="00BB31FC" w:rsidRDefault="00BB31FC" w:rsidP="00BB31FC">
            <w:pPr>
              <w:spacing w:line="276" w:lineRule="auto"/>
              <w:jc w:val="both"/>
              <w:rPr>
                <w:rFonts w:ascii="Arial" w:eastAsiaTheme="minorEastAsia" w:hAnsi="Arial" w:cs="Arial"/>
                <w:lang w:val="en-US"/>
              </w:rPr>
            </w:pPr>
          </w:p>
          <w:p w14:paraId="20C67DC5" w14:textId="77777777" w:rsidR="00BB31FC" w:rsidRPr="00BB31FC" w:rsidRDefault="00BB31FC" w:rsidP="00BB31FC">
            <w:pPr>
              <w:spacing w:line="276" w:lineRule="auto"/>
              <w:jc w:val="both"/>
              <w:rPr>
                <w:rFonts w:ascii="Arial" w:eastAsiaTheme="minorEastAsia" w:hAnsi="Arial" w:cs="Arial"/>
                <w:lang w:val="en-US"/>
              </w:rPr>
            </w:pPr>
            <w:r w:rsidRPr="00BB31FC">
              <w:rPr>
                <w:rFonts w:ascii="Arial" w:eastAsiaTheme="minorEastAsia" w:hAnsi="Arial" w:cs="Arial"/>
                <w:lang w:val="en-US"/>
              </w:rPr>
              <w:t>Structured credit includes many types of investment opportunities that offer income diversification and higher yield potential compared to traditional fixed-income sectors. In addition structured credit has a relatively low correlation to other fixed-income sectors.</w:t>
            </w:r>
          </w:p>
          <w:p w14:paraId="79D3BBBD" w14:textId="77777777" w:rsidR="00BB31FC" w:rsidRPr="00BB31FC" w:rsidRDefault="00BB31FC" w:rsidP="00BB31FC">
            <w:pPr>
              <w:spacing w:line="276" w:lineRule="auto"/>
              <w:jc w:val="both"/>
              <w:rPr>
                <w:rFonts w:ascii="Arial" w:eastAsiaTheme="minorEastAsia" w:hAnsi="Arial" w:cs="Arial"/>
                <w:lang w:val="en-US"/>
              </w:rPr>
            </w:pPr>
            <w:r w:rsidRPr="00BB31FC">
              <w:rPr>
                <w:rFonts w:ascii="Arial" w:eastAsiaTheme="minorEastAsia" w:hAnsi="Arial" w:cs="Arial"/>
                <w:lang w:val="en-US"/>
              </w:rPr>
              <w:t xml:space="preserve"> </w:t>
            </w:r>
            <w:r w:rsidRPr="00BB31FC">
              <w:rPr>
                <w:rFonts w:ascii="Arial" w:eastAsiaTheme="minorEastAsia" w:hAnsi="Arial" w:cs="Arial"/>
                <w:lang w:val="en-US"/>
              </w:rPr>
              <w:br/>
              <w:t xml:space="preserve">Lending standards today are by far more stringent, and investor friendly compared to the loosely underwritten subprime mortgage lending that contributed to the financial crisis.  As a result of government intervention and the creation of various lending regulations such as the Dodd-Frank Act of 2010 as well as the “Ability to Repay” (ATR) requirement, mortgage lenders are now required to verify critical borrower financial information. In addition to strictly regulated underwriting requirements, bond issuers must retain a portion of the bonds they sell to the market (US and EU Risk Retention requirements). By requiring lenders and issuers to stand behind their practice and put their own capital to work, the interest of both </w:t>
            </w:r>
            <w:r w:rsidRPr="00BB31FC">
              <w:rPr>
                <w:rFonts w:ascii="Arial" w:eastAsiaTheme="minorEastAsia" w:hAnsi="Arial" w:cs="Arial"/>
                <w:lang w:val="en-US"/>
              </w:rPr>
              <w:lastRenderedPageBreak/>
              <w:t>investors and issuers are more align than they had been in the past.</w:t>
            </w:r>
          </w:p>
          <w:p w14:paraId="4AD6454F"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p>
          <w:p w14:paraId="192DC716" w14:textId="77777777" w:rsidR="00BB31FC" w:rsidRPr="00BB31FC" w:rsidRDefault="00BB31FC" w:rsidP="00BB31FC">
            <w:pPr>
              <w:spacing w:line="276" w:lineRule="auto"/>
              <w:jc w:val="both"/>
              <w:rPr>
                <w:rFonts w:ascii="Arial" w:eastAsia="Times New Roman" w:hAnsi="Arial" w:cs="Arial"/>
                <w:color w:val="000000"/>
                <w:lang w:val="en-IE" w:eastAsia="en-IE"/>
              </w:rPr>
            </w:pPr>
            <w:r w:rsidRPr="00BB31FC">
              <w:rPr>
                <w:rFonts w:ascii="Arial" w:eastAsia="Times New Roman" w:hAnsi="Arial" w:cs="Arial"/>
                <w:color w:val="000000" w:themeColor="text1"/>
                <w:lang w:val="en-IE" w:eastAsia="en-IE"/>
              </w:rPr>
              <w:t>Transparency information on ABS and MBS is readily available. This includes information on the underlying pools and collateral forming the ABS/MBS transaction. For example, in the US, data on agency-backed MBS is available from government sponsored agencies such as Fannie Mae and Freddie Mac. This data includes, inter alia, at-issuance and monthly data, legal documents, properly valuation methods, loan performance trends, prepayment information and forbearance/delinquency metrics. This data allows investment managers to fully assess the risk-reward profile of the investment.</w:t>
            </w:r>
          </w:p>
          <w:p w14:paraId="0C3B533D"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p>
          <w:p w14:paraId="5AF50022" w14:textId="77777777" w:rsidR="00BB31FC" w:rsidRPr="00BB31FC" w:rsidRDefault="00BB31FC" w:rsidP="00BB31FC">
            <w:pPr>
              <w:spacing w:line="276" w:lineRule="auto"/>
              <w:jc w:val="both"/>
              <w:rPr>
                <w:rFonts w:ascii="Arial" w:eastAsiaTheme="minorEastAsia" w:hAnsi="Arial" w:cs="Arial"/>
                <w:lang w:val="en-US"/>
              </w:rPr>
            </w:pPr>
            <w:r w:rsidRPr="00BB31FC">
              <w:rPr>
                <w:rFonts w:ascii="Arial" w:eastAsiaTheme="minorEastAsia" w:hAnsi="Arial" w:cs="Arial"/>
                <w:lang w:val="en-US"/>
              </w:rPr>
              <w:t xml:space="preserve">Agency mortgage-backed securities offer additional yield with lower duration relative to US Treasuries with limited credit risk due to the explicit or implicit government guarantee. Investors are exposed to prepayment risk, but little credit risk (as government guaranteed). The sector is also the most liquid within structured credit, </w:t>
            </w:r>
            <w:r w:rsidRPr="00BB31FC">
              <w:rPr>
                <w:rFonts w:ascii="Arial" w:eastAsiaTheme="minorEastAsia" w:hAnsi="Arial" w:cs="Arial"/>
                <w:lang w:val="en-US"/>
              </w:rPr>
              <w:lastRenderedPageBreak/>
              <w:t>so liquidity risk is modest compared to other subsectors.</w:t>
            </w:r>
          </w:p>
          <w:p w14:paraId="0413024E"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p>
          <w:p w14:paraId="684C17AA" w14:textId="77777777" w:rsidR="00BB31FC" w:rsidRPr="00BB31FC" w:rsidRDefault="00BB31FC" w:rsidP="00BB31FC">
            <w:pPr>
              <w:spacing w:line="276" w:lineRule="auto"/>
              <w:jc w:val="both"/>
              <w:rPr>
                <w:rFonts w:ascii="Arial" w:eastAsiaTheme="minorEastAsia" w:hAnsi="Arial" w:cs="Arial"/>
                <w:color w:val="000000" w:themeColor="text1"/>
                <w:lang w:val="en-IE" w:eastAsia="en-IE"/>
              </w:rPr>
            </w:pPr>
            <w:r w:rsidRPr="00BB31FC">
              <w:rPr>
                <w:rFonts w:ascii="Arial" w:eastAsia="Times New Roman" w:hAnsi="Arial" w:cs="Arial"/>
                <w:color w:val="000000" w:themeColor="text1"/>
                <w:lang w:val="en-IE" w:eastAsia="en-IE"/>
              </w:rPr>
              <w:t xml:space="preserve">Reliable liquidity and valuation information is available for US traded ABS/MBS. </w:t>
            </w:r>
            <w:r w:rsidRPr="00BB31FC">
              <w:rPr>
                <w:rFonts w:ascii="Arial" w:eastAsia="Times New Roman" w:hAnsi="Arial" w:cs="Arial"/>
                <w:color w:val="000000" w:themeColor="text1"/>
                <w:lang w:eastAsia="en-IE"/>
              </w:rPr>
              <w:t>Trade Reporting and Compliance Engine</w:t>
            </w:r>
            <w:r w:rsidRPr="00BB31FC">
              <w:rPr>
                <w:rFonts w:ascii="Arial" w:eastAsia="Times New Roman" w:hAnsi="Arial" w:cs="Arial"/>
                <w:color w:val="000000" w:themeColor="text1"/>
                <w:lang w:val="en-IE" w:eastAsia="en-IE"/>
              </w:rPr>
              <w:t xml:space="preserve"> (“</w:t>
            </w:r>
            <w:r w:rsidRPr="00BB31FC">
              <w:rPr>
                <w:rFonts w:ascii="Arial" w:eastAsia="Times New Roman" w:hAnsi="Arial" w:cs="Arial"/>
                <w:b/>
                <w:bCs/>
                <w:color w:val="000000" w:themeColor="text1"/>
                <w:lang w:val="en-IE" w:eastAsia="en-IE"/>
              </w:rPr>
              <w:t>TRACE</w:t>
            </w:r>
            <w:r w:rsidRPr="00BB31FC">
              <w:rPr>
                <w:rFonts w:ascii="Arial" w:eastAsia="Times New Roman" w:hAnsi="Arial" w:cs="Arial"/>
                <w:color w:val="000000" w:themeColor="text1"/>
                <w:lang w:val="en-IE" w:eastAsia="en-IE"/>
              </w:rPr>
              <w:t xml:space="preserve">”) reporting provides investors with trade prices, volume and settlement practices. As an asset class, the MBS market is very liquid particularly rated investment grade. Many parts of ABS market are also highly liquid and offer yield and diversification to investors. </w:t>
            </w:r>
            <w:r w:rsidRPr="00BB31FC">
              <w:rPr>
                <w:rFonts w:ascii="Arial" w:eastAsiaTheme="minorEastAsia" w:hAnsi="Arial" w:cs="Arial"/>
                <w:lang w:val="en-US"/>
              </w:rPr>
              <w:t>Reliable valuations are also available on an ongoing basis from multiple sources - market data providers, market makers, dealers, investment banks.</w:t>
            </w:r>
          </w:p>
          <w:p w14:paraId="4A34D0D7"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p>
          <w:p w14:paraId="673C9A26"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Additionally, sub-sets of the MBS/ABS market  tend to be floating rate and have shorter maturities and are useful to utilise in terms of a UCITS asset allocation due to having less duration risk and more certainty on cash flows.</w:t>
            </w:r>
          </w:p>
          <w:p w14:paraId="1AF2A00A"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p>
          <w:p w14:paraId="68F25940" w14:textId="77777777" w:rsidR="00BB31FC" w:rsidRPr="00BB31FC" w:rsidRDefault="00BB31FC" w:rsidP="00BB31FC">
            <w:pPr>
              <w:spacing w:line="276" w:lineRule="auto"/>
              <w:jc w:val="both"/>
              <w:rPr>
                <w:rFonts w:ascii="Arial" w:eastAsiaTheme="minorEastAsia" w:hAnsi="Arial" w:cs="Arial"/>
                <w:lang w:val="en-US"/>
              </w:rPr>
            </w:pPr>
            <w:r w:rsidRPr="00BB31FC">
              <w:rPr>
                <w:rFonts w:ascii="Arial" w:eastAsiaTheme="minorEastAsia" w:hAnsi="Arial" w:cs="Arial"/>
                <w:lang w:val="en-US"/>
              </w:rPr>
              <w:t xml:space="preserve">Mortgage and consumer credit spreads and yields have repriced significantly and are well wide of the levels seen pre-COVID and in </w:t>
            </w:r>
            <w:r w:rsidRPr="00BB31FC">
              <w:rPr>
                <w:rFonts w:ascii="Arial" w:eastAsiaTheme="minorEastAsia" w:hAnsi="Arial" w:cs="Arial"/>
                <w:lang w:val="en-US"/>
              </w:rPr>
              <w:lastRenderedPageBreak/>
              <w:t>December 2018, the last time the Fed hiked the US economy into an economic slowdown.</w:t>
            </w:r>
          </w:p>
          <w:p w14:paraId="3456E03D" w14:textId="77777777" w:rsidR="00BB31FC" w:rsidRPr="00BB31FC" w:rsidRDefault="00BB31FC" w:rsidP="00BB31FC">
            <w:pPr>
              <w:spacing w:line="276" w:lineRule="auto"/>
              <w:jc w:val="both"/>
              <w:rPr>
                <w:rFonts w:ascii="Arial" w:eastAsiaTheme="minorEastAsia" w:hAnsi="Arial" w:cs="Arial"/>
                <w:lang w:val="en-US"/>
              </w:rPr>
            </w:pPr>
            <w:r w:rsidRPr="00BB31FC">
              <w:rPr>
                <w:rFonts w:ascii="Arial" w:eastAsiaTheme="minorEastAsia" w:hAnsi="Arial" w:cs="Arial"/>
                <w:lang w:val="en-US"/>
              </w:rPr>
              <w:t xml:space="preserve"> </w:t>
            </w:r>
            <w:r w:rsidRPr="00BB31FC">
              <w:rPr>
                <w:rFonts w:ascii="Arial" w:eastAsiaTheme="minorEastAsia" w:hAnsi="Arial" w:cs="Arial"/>
                <w:lang w:val="en-US"/>
              </w:rPr>
              <w:br/>
              <w:t>The MBS/ABS sector is more dependent on US domestic growth and more sheltered from global economic developments.  Focus on floating rate securities and active management of duration provides some immunity in a rate rising environment.</w:t>
            </w:r>
          </w:p>
          <w:p w14:paraId="0454EAF7"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eastAsia="en-IE"/>
              </w:rPr>
              <w:t>Within the ABS/MBS asset class, there are a variety of sub-sets of securities where the foregoing merits of allowing direct UCITS exposure also apply. For example, collateralised mortgage obligations (“</w:t>
            </w:r>
            <w:r w:rsidRPr="00BB31FC">
              <w:rPr>
                <w:rFonts w:ascii="Arial" w:eastAsia="Times New Roman" w:hAnsi="Arial" w:cs="Arial"/>
                <w:b/>
                <w:bCs/>
                <w:color w:val="000000" w:themeColor="text1"/>
                <w:lang w:eastAsia="en-IE"/>
              </w:rPr>
              <w:t>CMOs</w:t>
            </w:r>
            <w:r w:rsidRPr="00BB31FC">
              <w:rPr>
                <w:rFonts w:ascii="Arial" w:eastAsia="Times New Roman" w:hAnsi="Arial" w:cs="Arial"/>
                <w:color w:val="000000" w:themeColor="text1"/>
                <w:lang w:eastAsia="en-IE"/>
              </w:rPr>
              <w:t>”) offer exposure to the housing market particularly in the United States, which benefits from positive home price appreciation and healthy homeowner finances due to long term loan mortgage rates for existing homeowners. CMOs are offered in a variety of structures that provide investors, including UCITS, with flexibility to manage a range of risks including credit, interest rate and/or prepayment risk and to pursue relative value opportunities. CMOs also provide portfolio diversification from</w:t>
            </w:r>
            <w:r w:rsidRPr="00BB31FC">
              <w:rPr>
                <w:rFonts w:ascii="Arial" w:eastAsia="Times New Roman" w:hAnsi="Arial" w:cs="Arial"/>
                <w:color w:val="000000" w:themeColor="text1"/>
                <w:lang w:val="en-US" w:eastAsia="en-IE"/>
              </w:rPr>
              <w:t xml:space="preserve"> sovereign and </w:t>
            </w:r>
            <w:r w:rsidRPr="00BB31FC">
              <w:rPr>
                <w:rFonts w:ascii="Arial" w:eastAsia="Times New Roman" w:hAnsi="Arial" w:cs="Arial"/>
                <w:color w:val="000000" w:themeColor="text1"/>
                <w:lang w:val="en-US" w:eastAsia="en-IE"/>
              </w:rPr>
              <w:lastRenderedPageBreak/>
              <w:t>corporate credit and have a strong issuance pipeline and are widely traded, making them highly liquid investments. US$8.9 billion of agency CMOs and US$1 billion of non-agency CMOs were issued net of maturities in June 2024 with US$1.05 trillion of agency CMOs and US$615 billion of non-agency CMOs outstanding as at the end of June 2024</w:t>
            </w:r>
            <w:r w:rsidRPr="00BB31FC">
              <w:rPr>
                <w:rFonts w:ascii="Arial" w:eastAsia="Times New Roman" w:hAnsi="Arial" w:cs="Arial"/>
                <w:color w:val="000000" w:themeColor="text1"/>
                <w:vertAlign w:val="superscript"/>
                <w:lang w:val="en-US" w:eastAsia="en-IE"/>
              </w:rPr>
              <w:footnoteReference w:id="47"/>
            </w:r>
            <w:r w:rsidRPr="00BB31FC">
              <w:rPr>
                <w:rFonts w:ascii="Arial" w:eastAsia="Times New Roman" w:hAnsi="Arial" w:cs="Arial"/>
                <w:color w:val="000000" w:themeColor="text1"/>
                <w:lang w:val="en-US" w:eastAsia="en-IE"/>
              </w:rPr>
              <w:t>.</w:t>
            </w:r>
          </w:p>
          <w:p w14:paraId="769D0D3C" w14:textId="77777777" w:rsidR="00B33432" w:rsidRPr="006252AD" w:rsidRDefault="00B33432" w:rsidP="00B33432">
            <w:pPr>
              <w:spacing w:after="250" w:line="276" w:lineRule="auto"/>
              <w:jc w:val="both"/>
              <w:rPr>
                <w:rFonts w:ascii="Arial" w:hAnsi="Arial" w:cs="Arial"/>
                <w:color w:val="181818"/>
              </w:rPr>
            </w:pPr>
          </w:p>
        </w:tc>
        <w:tc>
          <w:tcPr>
            <w:tcW w:w="1776" w:type="dxa"/>
          </w:tcPr>
          <w:p w14:paraId="749A8FE4"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lastRenderedPageBreak/>
              <w:t>Indirect exposure should be allowed on the basis that direct exposure is permitted.</w:t>
            </w:r>
          </w:p>
          <w:p w14:paraId="54CD245A" w14:textId="77777777" w:rsidR="00B33432" w:rsidRPr="006252AD" w:rsidRDefault="00B33432" w:rsidP="00B33432">
            <w:pPr>
              <w:spacing w:after="250" w:line="276" w:lineRule="auto"/>
              <w:jc w:val="both"/>
              <w:rPr>
                <w:rFonts w:ascii="Arial" w:hAnsi="Arial" w:cs="Arial"/>
                <w:color w:val="181818"/>
              </w:rPr>
            </w:pPr>
          </w:p>
        </w:tc>
        <w:tc>
          <w:tcPr>
            <w:tcW w:w="2060" w:type="dxa"/>
          </w:tcPr>
          <w:p w14:paraId="779F781B"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 xml:space="preserve">Funds domiciled in Ireland have a wide range of exposure, via both direct and indirect exposure, to ABS and MBS based on the sample analysed. The exposure seems to be relatively small (&gt;10%) for the majority of these funds with the remaining portion ranging from 10% to 100% in one instance.  </w:t>
            </w:r>
          </w:p>
          <w:p w14:paraId="1231BE67" w14:textId="77777777" w:rsidR="00B33432" w:rsidRPr="006252AD" w:rsidRDefault="00B33432" w:rsidP="00B33432">
            <w:pPr>
              <w:spacing w:after="250" w:line="276" w:lineRule="auto"/>
              <w:jc w:val="both"/>
              <w:rPr>
                <w:rFonts w:ascii="Arial" w:hAnsi="Arial" w:cs="Arial"/>
                <w:color w:val="181818"/>
              </w:rPr>
            </w:pPr>
          </w:p>
        </w:tc>
        <w:tc>
          <w:tcPr>
            <w:tcW w:w="1706" w:type="dxa"/>
          </w:tcPr>
          <w:p w14:paraId="36FEB5B0" w14:textId="77777777" w:rsidR="00B33432" w:rsidRPr="006252AD" w:rsidRDefault="00B33432" w:rsidP="00B33432">
            <w:pPr>
              <w:spacing w:after="250" w:line="276" w:lineRule="auto"/>
              <w:jc w:val="both"/>
              <w:rPr>
                <w:rFonts w:ascii="Arial" w:hAnsi="Arial" w:cs="Arial"/>
                <w:color w:val="181818"/>
              </w:rPr>
            </w:pPr>
          </w:p>
        </w:tc>
      </w:tr>
      <w:tr w:rsidR="00B33432" w:rsidRPr="006252AD" w14:paraId="16623728" w14:textId="77777777" w:rsidTr="00F278BC">
        <w:tc>
          <w:tcPr>
            <w:tcW w:w="2095" w:type="dxa"/>
          </w:tcPr>
          <w:p w14:paraId="2D5FBB9B" w14:textId="77777777" w:rsidR="00B33432" w:rsidRPr="006252AD" w:rsidRDefault="00B33432" w:rsidP="00B33432">
            <w:pPr>
              <w:spacing w:after="250" w:line="276" w:lineRule="auto"/>
              <w:rPr>
                <w:rFonts w:ascii="Arial" w:hAnsi="Arial" w:cs="Arial"/>
              </w:rPr>
            </w:pPr>
            <w:r w:rsidRPr="006252AD">
              <w:rPr>
                <w:rFonts w:ascii="Arial" w:hAnsi="Arial" w:cs="Arial"/>
              </w:rPr>
              <w:lastRenderedPageBreak/>
              <w:t>19. Other relevant asset classes (please specify)</w:t>
            </w:r>
          </w:p>
        </w:tc>
        <w:tc>
          <w:tcPr>
            <w:tcW w:w="1683" w:type="dxa"/>
          </w:tcPr>
          <w:p w14:paraId="404AC33A" w14:textId="77777777" w:rsidR="00BB31FC" w:rsidRPr="00BB31FC" w:rsidRDefault="00BB31FC" w:rsidP="00BB31FC">
            <w:pPr>
              <w:spacing w:line="276" w:lineRule="auto"/>
              <w:jc w:val="both"/>
              <w:rPr>
                <w:rFonts w:ascii="Arial" w:eastAsiaTheme="minorEastAsia" w:hAnsi="Arial" w:cs="Arial"/>
                <w:lang w:val="en-US"/>
              </w:rPr>
            </w:pPr>
            <w:r w:rsidRPr="00BB31FC">
              <w:rPr>
                <w:rFonts w:ascii="Arial" w:eastAsiaTheme="minorEastAsia" w:hAnsi="Arial" w:cs="Arial"/>
                <w:lang w:val="en-US"/>
              </w:rPr>
              <w:t xml:space="preserve">We believe that </w:t>
            </w:r>
            <w:r w:rsidRPr="00BB31FC">
              <w:rPr>
                <w:rFonts w:ascii="Arial" w:eastAsiaTheme="minorEastAsia" w:hAnsi="Arial" w:cs="Arial"/>
                <w:b/>
                <w:bCs/>
                <w:lang w:val="en-US"/>
              </w:rPr>
              <w:t>Collateralized Loan Obligations</w:t>
            </w:r>
            <w:r w:rsidRPr="00BB31FC">
              <w:rPr>
                <w:rFonts w:ascii="Arial" w:eastAsiaTheme="minorEastAsia" w:hAnsi="Arial" w:cs="Arial"/>
                <w:lang w:val="en-US"/>
              </w:rPr>
              <w:t xml:space="preserve"> (“</w:t>
            </w:r>
            <w:r w:rsidRPr="00BB31FC">
              <w:rPr>
                <w:rFonts w:ascii="Arial" w:eastAsiaTheme="minorEastAsia" w:hAnsi="Arial" w:cs="Arial"/>
                <w:b/>
                <w:bCs/>
                <w:lang w:val="en-US"/>
              </w:rPr>
              <w:t>CLOs</w:t>
            </w:r>
            <w:r w:rsidRPr="00BB31FC">
              <w:rPr>
                <w:rFonts w:ascii="Arial" w:eastAsiaTheme="minorEastAsia" w:hAnsi="Arial" w:cs="Arial"/>
                <w:lang w:val="en-US"/>
              </w:rPr>
              <w:t xml:space="preserve">”) should remain UCITS eligible and that investing in CLOs via the UCITS structure can facilitate broad investor participation in a unique and, for many investor needs, attractive asset class that has an underlying market of meaningful size. Specific limits should not be imposed on CLO investments as it would be for the investment manager of the fund to determine the suitable levels of exposure of the fund to this asset class, in line with the investment strategy of the fund. </w:t>
            </w:r>
          </w:p>
          <w:p w14:paraId="0F305BC5" w14:textId="77777777" w:rsidR="00BB31FC" w:rsidRPr="00BB31FC" w:rsidRDefault="00BB31FC" w:rsidP="00BB31FC">
            <w:pPr>
              <w:spacing w:line="276" w:lineRule="auto"/>
              <w:jc w:val="both"/>
              <w:rPr>
                <w:rFonts w:ascii="Arial" w:eastAsiaTheme="minorEastAsia" w:hAnsi="Arial" w:cs="Arial"/>
                <w:lang w:val="en-US"/>
              </w:rPr>
            </w:pPr>
          </w:p>
          <w:p w14:paraId="4D3D43EC" w14:textId="77777777" w:rsidR="00BB31FC" w:rsidRPr="00BB31FC" w:rsidRDefault="00BB31FC" w:rsidP="00BB31FC">
            <w:pPr>
              <w:spacing w:line="276" w:lineRule="auto"/>
              <w:jc w:val="both"/>
              <w:rPr>
                <w:rFonts w:ascii="Arial" w:eastAsiaTheme="minorEastAsia" w:hAnsi="Arial" w:cs="Arial"/>
                <w:lang w:val="en-US"/>
              </w:rPr>
            </w:pPr>
            <w:r w:rsidRPr="00BB31FC">
              <w:rPr>
                <w:rFonts w:ascii="Arial" w:eastAsiaTheme="minorEastAsia" w:hAnsi="Arial" w:cs="Arial"/>
                <w:lang w:val="en-US"/>
              </w:rPr>
              <w:t xml:space="preserve">We also believe it is essential that any </w:t>
            </w:r>
            <w:r w:rsidRPr="00BB31FC">
              <w:rPr>
                <w:rFonts w:ascii="Arial" w:eastAsiaTheme="minorEastAsia" w:hAnsi="Arial" w:cs="Arial"/>
                <w:lang w:val="en-US"/>
              </w:rPr>
              <w:lastRenderedPageBreak/>
              <w:t xml:space="preserve">consideration of the use of CLOs in a UCITS structure differentiates between different tranches of CLOs as they have dramatically different risk profiles. Failing to recognize this and treating CLOs as though they were a homogenous asset class is as inaccurate as treating large-cap stocks and micro-cap stocks as indifferentiable types of “equities”, or AAA-rated bonds and junk bonds as simply “bonds”. </w:t>
            </w:r>
          </w:p>
          <w:p w14:paraId="426386C8" w14:textId="77777777" w:rsidR="00BB31FC" w:rsidRPr="00BB31FC" w:rsidRDefault="00BB31FC" w:rsidP="00BB31FC">
            <w:pPr>
              <w:spacing w:line="276" w:lineRule="auto"/>
              <w:jc w:val="both"/>
              <w:rPr>
                <w:rFonts w:ascii="Arial" w:eastAsiaTheme="minorEastAsia" w:hAnsi="Arial" w:cs="Arial"/>
                <w:lang w:val="en-US"/>
              </w:rPr>
            </w:pPr>
          </w:p>
          <w:p w14:paraId="7F367C85" w14:textId="77777777" w:rsidR="00BB31FC" w:rsidRPr="00BB31FC" w:rsidRDefault="00BB31FC" w:rsidP="00BB31FC">
            <w:pPr>
              <w:spacing w:line="276" w:lineRule="auto"/>
              <w:jc w:val="both"/>
              <w:rPr>
                <w:rFonts w:ascii="Arial" w:eastAsiaTheme="minorEastAsia" w:hAnsi="Arial" w:cs="Arial"/>
                <w:lang w:val="en-US"/>
              </w:rPr>
            </w:pPr>
            <w:r w:rsidRPr="00BB31FC">
              <w:rPr>
                <w:rFonts w:ascii="Arial" w:eastAsiaTheme="minorEastAsia" w:hAnsi="Arial" w:cs="Arial"/>
                <w:lang w:val="en-US"/>
              </w:rPr>
              <w:t>CLOs have a number of attractive characteristics for investors:</w:t>
            </w:r>
          </w:p>
          <w:p w14:paraId="685400A9" w14:textId="77777777" w:rsidR="00BB31FC" w:rsidRPr="00BB31FC" w:rsidRDefault="00BB31FC" w:rsidP="00BB31FC">
            <w:pPr>
              <w:spacing w:line="276" w:lineRule="auto"/>
              <w:jc w:val="both"/>
              <w:rPr>
                <w:rFonts w:ascii="Arial" w:eastAsiaTheme="minorEastAsia" w:hAnsi="Arial" w:cs="Arial"/>
                <w:lang w:val="en-US"/>
              </w:rPr>
            </w:pPr>
          </w:p>
          <w:p w14:paraId="79AA4775" w14:textId="77777777" w:rsidR="00BB31FC" w:rsidRPr="00BB31FC" w:rsidRDefault="00BB31FC" w:rsidP="00BB31FC">
            <w:pPr>
              <w:numPr>
                <w:ilvl w:val="0"/>
                <w:numId w:val="2"/>
              </w:numPr>
              <w:spacing w:line="276" w:lineRule="auto"/>
              <w:ind w:left="243" w:hanging="243"/>
              <w:contextualSpacing/>
              <w:jc w:val="both"/>
              <w:rPr>
                <w:rFonts w:ascii="Arial" w:eastAsia="MS Mincho" w:hAnsi="Arial" w:cs="Arial"/>
                <w:i/>
                <w:iCs/>
                <w:lang w:val="en-US" w:eastAsia="ja-JP"/>
              </w:rPr>
            </w:pPr>
            <w:r w:rsidRPr="00BB31FC">
              <w:rPr>
                <w:rFonts w:ascii="Arial" w:eastAsia="MS Mincho" w:hAnsi="Arial" w:cs="Arial"/>
                <w:i/>
                <w:iCs/>
                <w:lang w:val="en-US" w:eastAsia="ja-JP"/>
              </w:rPr>
              <w:t>High income to risk ratio</w:t>
            </w:r>
          </w:p>
          <w:p w14:paraId="14843B35" w14:textId="77777777" w:rsidR="00BB31FC" w:rsidRPr="00BB31FC" w:rsidRDefault="00BB31FC" w:rsidP="00BB31FC">
            <w:pPr>
              <w:spacing w:line="276" w:lineRule="auto"/>
              <w:ind w:left="720"/>
              <w:contextualSpacing/>
              <w:jc w:val="both"/>
              <w:rPr>
                <w:rFonts w:ascii="Arial" w:eastAsia="MS Mincho" w:hAnsi="Arial" w:cs="Arial"/>
                <w:i/>
                <w:iCs/>
                <w:lang w:val="en-US" w:eastAsia="ja-JP"/>
              </w:rPr>
            </w:pPr>
          </w:p>
          <w:p w14:paraId="739FB132" w14:textId="77777777" w:rsidR="00BB31FC" w:rsidRPr="006252AD" w:rsidRDefault="00BB31FC" w:rsidP="00BB31FC">
            <w:pPr>
              <w:numPr>
                <w:ilvl w:val="1"/>
                <w:numId w:val="2"/>
              </w:numPr>
              <w:spacing w:line="276" w:lineRule="auto"/>
              <w:ind w:left="527" w:hanging="284"/>
              <w:contextualSpacing/>
              <w:jc w:val="both"/>
              <w:rPr>
                <w:rFonts w:ascii="Arial" w:eastAsia="MS Mincho" w:hAnsi="Arial" w:cs="Arial"/>
                <w:lang w:val="en-US" w:eastAsia="ja-JP"/>
              </w:rPr>
            </w:pPr>
            <w:r w:rsidRPr="00BB31FC">
              <w:rPr>
                <w:rFonts w:ascii="Arial" w:eastAsia="MS Mincho" w:hAnsi="Arial" w:cs="Arial"/>
                <w:lang w:val="en-US" w:eastAsia="ja-JP"/>
              </w:rPr>
              <w:t>Potential for consistent monthly income</w:t>
            </w:r>
          </w:p>
          <w:p w14:paraId="61DCD3D4" w14:textId="03C33A49" w:rsidR="00BB31FC" w:rsidRPr="00BB31FC" w:rsidRDefault="00BB31FC" w:rsidP="00BB31FC">
            <w:pPr>
              <w:numPr>
                <w:ilvl w:val="1"/>
                <w:numId w:val="2"/>
              </w:numPr>
              <w:spacing w:line="276" w:lineRule="auto"/>
              <w:ind w:left="527" w:hanging="284"/>
              <w:contextualSpacing/>
              <w:jc w:val="both"/>
              <w:rPr>
                <w:rFonts w:ascii="Arial" w:eastAsia="MS Mincho" w:hAnsi="Arial" w:cs="Arial"/>
                <w:lang w:val="en-US" w:eastAsia="ja-JP"/>
              </w:rPr>
            </w:pPr>
            <w:r w:rsidRPr="00BB31FC">
              <w:rPr>
                <w:rFonts w:ascii="Arial" w:eastAsia="MS Mincho" w:hAnsi="Arial" w:cs="Arial"/>
                <w:lang w:val="en-US" w:eastAsia="ja-JP"/>
              </w:rPr>
              <w:t>CLO notes are structured with a “cashflow waterfall”, which, particularly in the higher rater tranches, provides the opportunity for very consistent monthly income, at yields that have been consistently higher than other similarly rated fixed income instruments.</w:t>
            </w:r>
          </w:p>
          <w:p w14:paraId="6FB75ECE" w14:textId="77777777" w:rsidR="00BB31FC" w:rsidRPr="00BB31FC" w:rsidRDefault="00BB31FC" w:rsidP="00BB31FC">
            <w:pPr>
              <w:spacing w:line="276" w:lineRule="auto"/>
              <w:ind w:left="1440"/>
              <w:contextualSpacing/>
              <w:jc w:val="both"/>
              <w:rPr>
                <w:rFonts w:ascii="Arial" w:eastAsia="MS Mincho" w:hAnsi="Arial" w:cs="Arial"/>
                <w:lang w:val="en-US" w:eastAsia="ja-JP"/>
              </w:rPr>
            </w:pPr>
          </w:p>
          <w:p w14:paraId="68BCE92A" w14:textId="77777777" w:rsidR="00BB31FC" w:rsidRPr="00BB31FC" w:rsidRDefault="00BB31FC" w:rsidP="00BB31FC">
            <w:pPr>
              <w:numPr>
                <w:ilvl w:val="0"/>
                <w:numId w:val="2"/>
              </w:numPr>
              <w:spacing w:line="276" w:lineRule="auto"/>
              <w:ind w:left="243" w:hanging="243"/>
              <w:contextualSpacing/>
              <w:jc w:val="both"/>
              <w:rPr>
                <w:rFonts w:ascii="Arial" w:eastAsia="MS Mincho" w:hAnsi="Arial" w:cs="Arial"/>
                <w:lang w:val="en-US" w:eastAsia="ja-JP"/>
              </w:rPr>
            </w:pPr>
            <w:r w:rsidRPr="00BB31FC">
              <w:rPr>
                <w:rFonts w:ascii="Arial" w:eastAsia="MS Mincho" w:hAnsi="Arial" w:cs="Arial"/>
                <w:i/>
                <w:iCs/>
                <w:lang w:val="en-US" w:eastAsia="ja-JP"/>
              </w:rPr>
              <w:t xml:space="preserve">AAA rated CLO notes have historically </w:t>
            </w:r>
            <w:r w:rsidRPr="00BB31FC">
              <w:rPr>
                <w:rFonts w:ascii="Arial" w:eastAsia="MS Mincho" w:hAnsi="Arial" w:cs="Arial"/>
                <w:i/>
                <w:iCs/>
                <w:lang w:val="en-US" w:eastAsia="ja-JP"/>
              </w:rPr>
              <w:lastRenderedPageBreak/>
              <w:t>never experienced a default</w:t>
            </w:r>
            <w:r w:rsidRPr="00BB31FC">
              <w:rPr>
                <w:rFonts w:ascii="Arial" w:eastAsia="MS Mincho" w:hAnsi="Arial" w:cs="Arial"/>
                <w:i/>
                <w:iCs/>
                <w:vertAlign w:val="superscript"/>
                <w:lang w:val="en-US" w:eastAsia="ja-JP"/>
              </w:rPr>
              <w:footnoteReference w:id="48"/>
            </w:r>
            <w:r w:rsidRPr="00BB31FC">
              <w:rPr>
                <w:rFonts w:ascii="Arial" w:eastAsia="MS Mincho" w:hAnsi="Arial" w:cs="Arial"/>
                <w:i/>
                <w:iCs/>
                <w:lang w:val="en-US" w:eastAsia="ja-JP"/>
              </w:rPr>
              <w:t>, even during periods of significant market stress</w:t>
            </w:r>
            <w:r w:rsidRPr="00BB31FC">
              <w:rPr>
                <w:rFonts w:ascii="Arial" w:eastAsia="MS Mincho" w:hAnsi="Arial" w:cs="Arial"/>
                <w:lang w:val="en-US" w:eastAsia="ja-JP"/>
              </w:rPr>
              <w:t xml:space="preserve"> (e.g., GFC, March 2020 COVID volatility)</w:t>
            </w:r>
          </w:p>
          <w:p w14:paraId="3249D27D" w14:textId="77777777" w:rsidR="00BB31FC" w:rsidRPr="00BB31FC" w:rsidRDefault="00BB31FC" w:rsidP="00BB31FC">
            <w:pPr>
              <w:spacing w:line="276" w:lineRule="auto"/>
              <w:ind w:left="720"/>
              <w:contextualSpacing/>
              <w:jc w:val="both"/>
              <w:rPr>
                <w:rFonts w:ascii="Arial" w:eastAsia="MS Mincho" w:hAnsi="Arial" w:cs="Arial"/>
                <w:lang w:val="en-US" w:eastAsia="ja-JP"/>
              </w:rPr>
            </w:pPr>
          </w:p>
          <w:p w14:paraId="551CE445" w14:textId="77777777" w:rsidR="00BB31FC" w:rsidRPr="00BB31FC" w:rsidRDefault="00BB31FC" w:rsidP="00BB31FC">
            <w:pPr>
              <w:numPr>
                <w:ilvl w:val="1"/>
                <w:numId w:val="2"/>
              </w:numPr>
              <w:spacing w:line="276" w:lineRule="auto"/>
              <w:ind w:left="527" w:hanging="284"/>
              <w:contextualSpacing/>
              <w:jc w:val="both"/>
              <w:rPr>
                <w:rFonts w:ascii="Arial" w:eastAsia="MS Mincho" w:hAnsi="Arial" w:cs="Arial"/>
                <w:lang w:val="en-US" w:eastAsia="ja-JP"/>
              </w:rPr>
            </w:pPr>
            <w:r w:rsidRPr="00BB31FC">
              <w:rPr>
                <w:rFonts w:ascii="Arial" w:eastAsia="MS Mincho" w:hAnsi="Arial" w:cs="Arial"/>
                <w:lang w:val="en-US" w:eastAsia="ja-JP"/>
              </w:rPr>
              <w:t>CLOs have various asset coverage and collateral quality tests which create a self-correcting structure that can automatically redirect cashflows to de-lever the CLO in periods of stress, protecting senior notes.</w:t>
            </w:r>
          </w:p>
          <w:p w14:paraId="506E0342" w14:textId="77777777" w:rsidR="00BB31FC" w:rsidRPr="00BB31FC" w:rsidRDefault="00BB31FC" w:rsidP="00BB31FC">
            <w:pPr>
              <w:spacing w:line="276" w:lineRule="auto"/>
              <w:ind w:left="1440"/>
              <w:contextualSpacing/>
              <w:jc w:val="both"/>
              <w:rPr>
                <w:rFonts w:ascii="Arial" w:eastAsia="MS Mincho" w:hAnsi="Arial" w:cs="Arial"/>
                <w:lang w:val="en-US" w:eastAsia="ja-JP"/>
              </w:rPr>
            </w:pPr>
          </w:p>
          <w:p w14:paraId="277FCCCD" w14:textId="77777777" w:rsidR="00BB31FC" w:rsidRPr="00BB31FC" w:rsidRDefault="00BB31FC" w:rsidP="00BB31FC">
            <w:pPr>
              <w:numPr>
                <w:ilvl w:val="0"/>
                <w:numId w:val="2"/>
              </w:numPr>
              <w:spacing w:line="276" w:lineRule="auto"/>
              <w:ind w:left="243" w:hanging="243"/>
              <w:contextualSpacing/>
              <w:jc w:val="both"/>
              <w:rPr>
                <w:rFonts w:ascii="Arial" w:eastAsia="MS Mincho" w:hAnsi="Arial" w:cs="Arial"/>
                <w:i/>
                <w:iCs/>
                <w:lang w:val="en-US" w:eastAsia="ja-JP"/>
              </w:rPr>
            </w:pPr>
            <w:r w:rsidRPr="00BB31FC">
              <w:rPr>
                <w:rFonts w:ascii="Arial" w:eastAsia="MS Mincho" w:hAnsi="Arial" w:cs="Arial"/>
                <w:i/>
                <w:iCs/>
                <w:lang w:val="en-US" w:eastAsia="ja-JP"/>
              </w:rPr>
              <w:t>Diversification potential</w:t>
            </w:r>
          </w:p>
          <w:p w14:paraId="6CE0956F" w14:textId="77777777" w:rsidR="00BB31FC" w:rsidRPr="00BB31FC" w:rsidRDefault="00BB31FC" w:rsidP="00BB31FC">
            <w:pPr>
              <w:spacing w:line="276" w:lineRule="auto"/>
              <w:ind w:left="720"/>
              <w:contextualSpacing/>
              <w:jc w:val="both"/>
              <w:rPr>
                <w:rFonts w:ascii="Arial" w:eastAsia="MS Mincho" w:hAnsi="Arial" w:cs="Arial"/>
                <w:i/>
                <w:iCs/>
                <w:lang w:val="en-US" w:eastAsia="ja-JP"/>
              </w:rPr>
            </w:pPr>
          </w:p>
          <w:p w14:paraId="26866F35" w14:textId="77777777" w:rsidR="00BB31FC" w:rsidRPr="006252AD" w:rsidRDefault="00BB31FC" w:rsidP="00BB31FC">
            <w:pPr>
              <w:numPr>
                <w:ilvl w:val="1"/>
                <w:numId w:val="2"/>
              </w:numPr>
              <w:spacing w:line="276" w:lineRule="auto"/>
              <w:ind w:left="527" w:hanging="284"/>
              <w:contextualSpacing/>
              <w:jc w:val="both"/>
              <w:rPr>
                <w:rFonts w:ascii="Arial" w:eastAsia="MS Mincho" w:hAnsi="Arial" w:cs="Arial"/>
                <w:lang w:val="en-US" w:eastAsia="ja-JP"/>
              </w:rPr>
            </w:pPr>
            <w:r w:rsidRPr="00BB31FC">
              <w:rPr>
                <w:rFonts w:ascii="Arial" w:eastAsia="MS Mincho" w:hAnsi="Arial" w:cs="Arial"/>
                <w:lang w:val="en-US" w:eastAsia="ja-JP"/>
              </w:rPr>
              <w:t>CLOs are floating rate assets with limited interest rate/duration risk leads to relatively lower volatility and portfolio diversification potential</w:t>
            </w:r>
          </w:p>
          <w:p w14:paraId="0CA725AA" w14:textId="77777777" w:rsidR="00BB31FC" w:rsidRPr="006252AD" w:rsidRDefault="00BB31FC" w:rsidP="00BB31FC">
            <w:pPr>
              <w:numPr>
                <w:ilvl w:val="1"/>
                <w:numId w:val="2"/>
              </w:numPr>
              <w:spacing w:line="276" w:lineRule="auto"/>
              <w:ind w:left="527" w:hanging="284"/>
              <w:contextualSpacing/>
              <w:jc w:val="both"/>
              <w:rPr>
                <w:rFonts w:ascii="Arial" w:eastAsia="MS Mincho" w:hAnsi="Arial" w:cs="Arial"/>
                <w:lang w:val="en-US" w:eastAsia="ja-JP"/>
              </w:rPr>
            </w:pPr>
            <w:r w:rsidRPr="00BB31FC">
              <w:rPr>
                <w:rFonts w:ascii="Arial" w:eastAsia="MS Mincho" w:hAnsi="Arial" w:cs="Arial"/>
                <w:lang w:val="en-US" w:eastAsia="ja-JP"/>
              </w:rPr>
              <w:t xml:space="preserve">CLOs’ provide attractive diversification relative to traditional investment grade fixed income.  For example, the historical correlation between Euro AAA-rated CLOs and the Bloomberg Euro Aggregate </w:t>
            </w:r>
            <w:r w:rsidRPr="00BB31FC">
              <w:rPr>
                <w:rFonts w:ascii="Arial" w:eastAsia="MS Mincho" w:hAnsi="Arial" w:cs="Arial"/>
                <w:lang w:val="en-US" w:eastAsia="ja-JP"/>
              </w:rPr>
              <w:lastRenderedPageBreak/>
              <w:t>AAA Bond Index</w:t>
            </w:r>
            <w:r w:rsidRPr="00BB31FC">
              <w:rPr>
                <w:rFonts w:ascii="Arial" w:eastAsia="MS Mincho" w:hAnsi="Arial" w:cs="Arial"/>
                <w:vertAlign w:val="superscript"/>
                <w:lang w:val="en-US" w:eastAsia="ja-JP"/>
              </w:rPr>
              <w:footnoteReference w:id="49"/>
            </w:r>
            <w:r w:rsidRPr="00BB31FC">
              <w:rPr>
                <w:rFonts w:ascii="Arial" w:eastAsia="MS Mincho" w:hAnsi="Arial" w:cs="Arial"/>
                <w:lang w:val="en-US" w:eastAsia="ja-JP"/>
              </w:rPr>
              <w:t xml:space="preserve"> is -0.03 (based on daily total returns over trailing three-year period)</w:t>
            </w:r>
          </w:p>
          <w:p w14:paraId="1C99D9B9" w14:textId="06C69DFA" w:rsidR="00BB31FC" w:rsidRPr="00BB31FC" w:rsidRDefault="00BB31FC" w:rsidP="00BB31FC">
            <w:pPr>
              <w:numPr>
                <w:ilvl w:val="1"/>
                <w:numId w:val="2"/>
              </w:numPr>
              <w:spacing w:line="276" w:lineRule="auto"/>
              <w:ind w:left="527" w:hanging="284"/>
              <w:contextualSpacing/>
              <w:jc w:val="both"/>
              <w:rPr>
                <w:rFonts w:ascii="Arial" w:eastAsia="MS Mincho" w:hAnsi="Arial" w:cs="Arial"/>
                <w:lang w:val="en-US" w:eastAsia="ja-JP"/>
              </w:rPr>
            </w:pPr>
            <w:r w:rsidRPr="00BB31FC">
              <w:rPr>
                <w:rFonts w:ascii="Arial" w:eastAsia="MS Mincho" w:hAnsi="Arial" w:cs="Arial"/>
                <w:lang w:val="en-US" w:eastAsia="ja-JP"/>
              </w:rPr>
              <w:t>Historically, a portfolio of traditional investment grade fixed income investments would have seen reduced volatility and better risk adjusted returns in returns when CLO AAAs are added to the portfolio.</w:t>
            </w:r>
          </w:p>
          <w:p w14:paraId="119FA773" w14:textId="77777777" w:rsidR="00BB31FC" w:rsidRPr="006252AD" w:rsidRDefault="00BB31FC" w:rsidP="00BB31FC">
            <w:pPr>
              <w:spacing w:line="276" w:lineRule="auto"/>
              <w:jc w:val="both"/>
              <w:rPr>
                <w:rFonts w:ascii="Arial" w:eastAsiaTheme="minorEastAsia" w:hAnsi="Arial" w:cs="Arial"/>
                <w:lang w:val="en-US"/>
              </w:rPr>
            </w:pPr>
          </w:p>
          <w:p w14:paraId="554244AE" w14:textId="035C93D3" w:rsidR="00BB31FC" w:rsidRPr="00BB31FC" w:rsidRDefault="00BB31FC" w:rsidP="00BB31FC">
            <w:pPr>
              <w:spacing w:line="276" w:lineRule="auto"/>
              <w:jc w:val="both"/>
              <w:rPr>
                <w:rFonts w:ascii="Arial" w:eastAsiaTheme="minorEastAsia" w:hAnsi="Arial" w:cs="Arial"/>
                <w:u w:val="single"/>
                <w:lang w:val="en-US"/>
              </w:rPr>
            </w:pPr>
            <w:r w:rsidRPr="00BB31FC">
              <w:rPr>
                <w:rFonts w:ascii="Arial" w:eastAsiaTheme="minorEastAsia" w:hAnsi="Arial" w:cs="Arial"/>
                <w:lang w:val="en-US"/>
              </w:rPr>
              <w:t xml:space="preserve">A CLO is a portfolio of leveraged loans that are </w:t>
            </w:r>
            <w:proofErr w:type="spellStart"/>
            <w:r w:rsidRPr="00BB31FC">
              <w:rPr>
                <w:rFonts w:ascii="Arial" w:eastAsiaTheme="minorEastAsia" w:hAnsi="Arial" w:cs="Arial"/>
                <w:lang w:val="en-US"/>
              </w:rPr>
              <w:t>securitised</w:t>
            </w:r>
            <w:proofErr w:type="spellEnd"/>
            <w:r w:rsidRPr="00BB31FC">
              <w:rPr>
                <w:rFonts w:ascii="Arial" w:eastAsiaTheme="minorEastAsia" w:hAnsi="Arial" w:cs="Arial"/>
                <w:lang w:val="en-US"/>
              </w:rPr>
              <w:t xml:space="preserve"> and actively managed, similar to a fund. Each CLO consists of rated debt tranches that pay interest, as well as a lowest-level “equity tranche”. Each tranche has a different risk/return profile based on its priority claim on the cash flows. Debt tranches are rated AAA to BB. The more senior and higher rated the tranche, the higher its priority claim on cash flows (i.e. AAA tranches have highest priority claim to any cashflows). AAA tranches have the lowest risk/return profile as they sit at the top of the capital structure, and thus enjoy the strongest </w:t>
            </w:r>
            <w:r w:rsidRPr="00BB31FC">
              <w:rPr>
                <w:rFonts w:ascii="Arial" w:eastAsiaTheme="minorEastAsia" w:hAnsi="Arial" w:cs="Arial"/>
                <w:lang w:val="en-US"/>
              </w:rPr>
              <w:lastRenderedPageBreak/>
              <w:t>structural protections. The lower rated tranches are afforded higher levels of income to compensate investors for the increased risk. The CLO makes payments to the various tranches based on seniority (AAA tranche receives payments first, AA second etc.). As a result, the equity tranche is leveraged to the performance of the underlying assets. Like equities, there are different types of CLOs with different characteristics.</w:t>
            </w:r>
            <w:r w:rsidRPr="00BB31FC">
              <w:rPr>
                <w:rFonts w:ascii="Arial" w:eastAsiaTheme="minorEastAsia" w:hAnsi="Arial" w:cs="Arial"/>
                <w:u w:val="single"/>
                <w:lang w:val="en-US"/>
              </w:rPr>
              <w:t xml:space="preserve"> </w:t>
            </w:r>
          </w:p>
          <w:p w14:paraId="6A51A312" w14:textId="77777777" w:rsidR="00BB31FC" w:rsidRPr="00BB31FC" w:rsidRDefault="00BB31FC" w:rsidP="00BB31FC">
            <w:pPr>
              <w:spacing w:line="276" w:lineRule="auto"/>
              <w:jc w:val="both"/>
              <w:rPr>
                <w:rFonts w:ascii="Arial" w:eastAsiaTheme="minorEastAsia" w:hAnsi="Arial" w:cs="Arial"/>
                <w:lang w:val="en-US"/>
              </w:rPr>
            </w:pPr>
          </w:p>
          <w:p w14:paraId="58E9DDE7" w14:textId="77777777" w:rsidR="00BB31FC" w:rsidRPr="00BB31FC" w:rsidRDefault="00BB31FC" w:rsidP="00BB31FC">
            <w:pPr>
              <w:spacing w:line="276" w:lineRule="auto"/>
              <w:jc w:val="both"/>
              <w:rPr>
                <w:rFonts w:ascii="Arial" w:eastAsiaTheme="minorEastAsia" w:hAnsi="Arial" w:cs="Arial"/>
                <w:lang w:val="en-US"/>
              </w:rPr>
            </w:pPr>
            <w:r w:rsidRPr="00BB31FC">
              <w:rPr>
                <w:rFonts w:ascii="Arial" w:eastAsiaTheme="minorEastAsia" w:hAnsi="Arial" w:cs="Arial"/>
                <w:lang w:val="en-US"/>
              </w:rPr>
              <w:t>Senior rated tranches benefit from par subordination and structural support as strict thresholds, which are enforced monthly by Coverage tests at each CLO tranche level. Coverage tests take two main forms:</w:t>
            </w:r>
          </w:p>
          <w:p w14:paraId="1EF2C422" w14:textId="77777777" w:rsidR="00BB31FC" w:rsidRPr="00BB31FC" w:rsidRDefault="00BB31FC" w:rsidP="00BB31FC">
            <w:pPr>
              <w:spacing w:line="276" w:lineRule="auto"/>
              <w:jc w:val="both"/>
              <w:rPr>
                <w:rFonts w:ascii="Arial" w:eastAsiaTheme="minorEastAsia" w:hAnsi="Arial" w:cs="Arial"/>
              </w:rPr>
            </w:pPr>
          </w:p>
          <w:p w14:paraId="30CF6E6A" w14:textId="77777777" w:rsidR="00BB31FC" w:rsidRPr="006252AD" w:rsidRDefault="00BB31FC" w:rsidP="00BB31FC">
            <w:pPr>
              <w:numPr>
                <w:ilvl w:val="1"/>
                <w:numId w:val="3"/>
              </w:numPr>
              <w:spacing w:line="276" w:lineRule="auto"/>
              <w:ind w:left="325"/>
              <w:jc w:val="both"/>
              <w:rPr>
                <w:rFonts w:ascii="Arial" w:eastAsiaTheme="minorEastAsia" w:hAnsi="Arial" w:cs="Arial"/>
                <w:lang w:val="en-US"/>
              </w:rPr>
            </w:pPr>
            <w:r w:rsidRPr="00BB31FC">
              <w:rPr>
                <w:rFonts w:ascii="Arial" w:eastAsiaTheme="minorEastAsia" w:hAnsi="Arial" w:cs="Arial"/>
                <w:i/>
                <w:iCs/>
                <w:lang w:val="en-US"/>
              </w:rPr>
              <w:t>Overcollateralization tests (OC tests):</w:t>
            </w:r>
            <w:r w:rsidRPr="00BB31FC">
              <w:rPr>
                <w:rFonts w:ascii="Arial" w:eastAsiaTheme="minorEastAsia" w:hAnsi="Arial" w:cs="Arial"/>
                <w:lang w:val="en-US"/>
              </w:rPr>
              <w:t xml:space="preserve"> ensures that the principal value of a CLO’s underlying bank loan pool exceeds the total principal value of the outstanding notes issued by various CLO tranches</w:t>
            </w:r>
          </w:p>
          <w:p w14:paraId="57DBBC46" w14:textId="5D7D73C7" w:rsidR="00BB31FC" w:rsidRPr="00BB31FC" w:rsidRDefault="00BB31FC" w:rsidP="00BB31FC">
            <w:pPr>
              <w:numPr>
                <w:ilvl w:val="1"/>
                <w:numId w:val="3"/>
              </w:numPr>
              <w:spacing w:line="276" w:lineRule="auto"/>
              <w:ind w:left="325"/>
              <w:jc w:val="both"/>
              <w:rPr>
                <w:rFonts w:ascii="Arial" w:eastAsiaTheme="minorEastAsia" w:hAnsi="Arial" w:cs="Arial"/>
                <w:lang w:val="en-US"/>
              </w:rPr>
            </w:pPr>
            <w:r w:rsidRPr="00BB31FC">
              <w:rPr>
                <w:rFonts w:ascii="Arial" w:eastAsiaTheme="minorEastAsia" w:hAnsi="Arial" w:cs="Arial"/>
                <w:i/>
                <w:iCs/>
                <w:lang w:val="en-US"/>
              </w:rPr>
              <w:t>Interest Coverage tests (IC tests):</w:t>
            </w:r>
            <w:r w:rsidRPr="00BB31FC">
              <w:rPr>
                <w:rFonts w:ascii="Arial" w:eastAsiaTheme="minorEastAsia" w:hAnsi="Arial" w:cs="Arial"/>
                <w:b/>
                <w:bCs/>
                <w:lang w:val="en-US"/>
              </w:rPr>
              <w:t xml:space="preserve"> </w:t>
            </w:r>
            <w:r w:rsidRPr="00BB31FC">
              <w:rPr>
                <w:rFonts w:ascii="Arial" w:eastAsiaTheme="minorEastAsia" w:hAnsi="Arial" w:cs="Arial"/>
                <w:lang w:val="en-US"/>
              </w:rPr>
              <w:t xml:space="preserve">measures the ratio of total interest income generated by the </w:t>
            </w:r>
            <w:r w:rsidRPr="00BB31FC">
              <w:rPr>
                <w:rFonts w:ascii="Arial" w:eastAsiaTheme="minorEastAsia" w:hAnsi="Arial" w:cs="Arial"/>
                <w:lang w:val="en-US"/>
              </w:rPr>
              <w:lastRenderedPageBreak/>
              <w:t>underlying pool of assets to the total interest due on the outstanding debt tranches.</w:t>
            </w:r>
          </w:p>
          <w:p w14:paraId="3DBFFD75" w14:textId="77777777" w:rsidR="00BB31FC" w:rsidRPr="006252AD" w:rsidRDefault="00BB31FC" w:rsidP="00BB31FC">
            <w:pPr>
              <w:spacing w:line="276" w:lineRule="auto"/>
              <w:jc w:val="both"/>
              <w:rPr>
                <w:rFonts w:ascii="Arial" w:eastAsiaTheme="minorEastAsia" w:hAnsi="Arial" w:cs="Arial"/>
                <w:lang w:val="en-US"/>
              </w:rPr>
            </w:pPr>
          </w:p>
          <w:p w14:paraId="23D2A884" w14:textId="20CB992C" w:rsidR="00BB31FC" w:rsidRPr="00BB31FC" w:rsidRDefault="00BB31FC" w:rsidP="00BB31FC">
            <w:pPr>
              <w:spacing w:line="276" w:lineRule="auto"/>
              <w:jc w:val="both"/>
              <w:rPr>
                <w:rFonts w:ascii="Arial" w:eastAsiaTheme="minorEastAsia" w:hAnsi="Arial" w:cs="Arial"/>
                <w:lang w:val="en-US"/>
              </w:rPr>
            </w:pPr>
            <w:r w:rsidRPr="00BB31FC">
              <w:rPr>
                <w:rFonts w:ascii="Arial" w:eastAsiaTheme="minorEastAsia" w:hAnsi="Arial" w:cs="Arial"/>
                <w:lang w:val="en-US"/>
              </w:rPr>
              <w:t xml:space="preserve">CLOs are non-mark-to-market, term-financed vehicles. Assets held in the CLO are marked at par unless the pool of loans exceeds a predetermined CCC threshold, which results in the Coverage tests marking these assets at their market value (opposed to par). Thus, CLOs </w:t>
            </w:r>
            <w:proofErr w:type="spellStart"/>
            <w:r w:rsidRPr="00BB31FC">
              <w:rPr>
                <w:rFonts w:ascii="Arial" w:eastAsiaTheme="minorEastAsia" w:hAnsi="Arial" w:cs="Arial"/>
                <w:lang w:val="en-US"/>
              </w:rPr>
              <w:t>penalise</w:t>
            </w:r>
            <w:proofErr w:type="spellEnd"/>
            <w:r w:rsidRPr="00BB31FC">
              <w:rPr>
                <w:rFonts w:ascii="Arial" w:eastAsiaTheme="minorEastAsia" w:hAnsi="Arial" w:cs="Arial"/>
                <w:lang w:val="en-US"/>
              </w:rPr>
              <w:t xml:space="preserve"> higher levels of CCC exposure and defaulted assets.</w:t>
            </w:r>
          </w:p>
          <w:p w14:paraId="639796AF" w14:textId="77777777" w:rsidR="00BB31FC" w:rsidRPr="00BB31FC" w:rsidRDefault="00BB31FC" w:rsidP="00BB31FC">
            <w:pPr>
              <w:spacing w:line="276" w:lineRule="auto"/>
              <w:jc w:val="both"/>
              <w:rPr>
                <w:rFonts w:ascii="Arial" w:eastAsiaTheme="minorEastAsia" w:hAnsi="Arial" w:cs="Arial"/>
              </w:rPr>
            </w:pPr>
          </w:p>
          <w:p w14:paraId="497CA365" w14:textId="77777777" w:rsidR="00BB31FC" w:rsidRPr="00BB31FC" w:rsidRDefault="00BB31FC" w:rsidP="00BB31FC">
            <w:pPr>
              <w:spacing w:line="276" w:lineRule="auto"/>
              <w:jc w:val="both"/>
              <w:rPr>
                <w:rFonts w:ascii="Arial" w:eastAsiaTheme="minorEastAsia" w:hAnsi="Arial" w:cs="Arial"/>
                <w:lang w:val="en-US"/>
              </w:rPr>
            </w:pPr>
            <w:r w:rsidRPr="00BB31FC">
              <w:rPr>
                <w:rFonts w:ascii="Arial" w:eastAsiaTheme="minorEastAsia" w:hAnsi="Arial" w:cs="Arial"/>
                <w:lang w:val="en-US"/>
              </w:rPr>
              <w:t xml:space="preserve">If a CLO fails a Coverage test, cashflows are then diverted away from structurally subordinate tranches and used to </w:t>
            </w:r>
            <w:proofErr w:type="spellStart"/>
            <w:r w:rsidRPr="00BB31FC">
              <w:rPr>
                <w:rFonts w:ascii="Arial" w:eastAsiaTheme="minorEastAsia" w:hAnsi="Arial" w:cs="Arial"/>
                <w:lang w:val="en-US"/>
              </w:rPr>
              <w:t>amortise</w:t>
            </w:r>
            <w:proofErr w:type="spellEnd"/>
            <w:r w:rsidRPr="00BB31FC">
              <w:rPr>
                <w:rFonts w:ascii="Arial" w:eastAsiaTheme="minorEastAsia" w:hAnsi="Arial" w:cs="Arial"/>
                <w:lang w:val="en-US"/>
              </w:rPr>
              <w:t xml:space="preserve"> the senior tranches of the CLO, de-levering the structure until the CLO passes the Coverage test.</w:t>
            </w:r>
          </w:p>
          <w:p w14:paraId="4D954224" w14:textId="77777777" w:rsidR="00BB31FC" w:rsidRPr="00BB31FC" w:rsidRDefault="00BB31FC" w:rsidP="00BB31FC">
            <w:pPr>
              <w:spacing w:line="276" w:lineRule="auto"/>
              <w:jc w:val="both"/>
              <w:rPr>
                <w:rFonts w:ascii="Arial" w:eastAsiaTheme="minorEastAsia" w:hAnsi="Arial" w:cs="Arial"/>
                <w:lang w:val="en-US"/>
              </w:rPr>
            </w:pPr>
          </w:p>
          <w:p w14:paraId="721740DB" w14:textId="77777777" w:rsidR="00BB31FC" w:rsidRPr="00BB31FC" w:rsidRDefault="00BB31FC" w:rsidP="00BB31FC">
            <w:pPr>
              <w:spacing w:line="276" w:lineRule="auto"/>
              <w:jc w:val="both"/>
              <w:rPr>
                <w:rFonts w:ascii="Arial" w:eastAsiaTheme="minorEastAsia" w:hAnsi="Arial" w:cs="Arial"/>
                <w:lang w:val="en-US"/>
              </w:rPr>
            </w:pPr>
            <w:r w:rsidRPr="00BB31FC">
              <w:rPr>
                <w:rFonts w:ascii="Arial" w:eastAsiaTheme="minorEastAsia" w:hAnsi="Arial" w:cs="Arial"/>
                <w:lang w:val="en-US"/>
              </w:rPr>
              <w:t>These Coverage tests enable CLO tranches to withstand losses well in excess of their subordination levels. These structural protections would typically require constant annual default rates of 8% or higher to cause a principal loss on a BB Tranche</w:t>
            </w:r>
            <w:r w:rsidRPr="00BB31FC">
              <w:rPr>
                <w:rFonts w:ascii="Arial" w:eastAsiaTheme="minorEastAsia" w:hAnsi="Arial" w:cs="Arial"/>
                <w:vertAlign w:val="superscript"/>
                <w:lang w:val="en-US"/>
              </w:rPr>
              <w:footnoteReference w:id="50"/>
            </w:r>
            <w:r w:rsidRPr="00BB31FC">
              <w:rPr>
                <w:rFonts w:ascii="Arial" w:eastAsiaTheme="minorEastAsia" w:hAnsi="Arial" w:cs="Arial"/>
                <w:lang w:val="en-US"/>
              </w:rPr>
              <w:t xml:space="preserve">. AAA would typically require default rates of &gt;30% for several </w:t>
            </w:r>
            <w:r w:rsidRPr="00BB31FC">
              <w:rPr>
                <w:rFonts w:ascii="Arial" w:eastAsiaTheme="minorEastAsia" w:hAnsi="Arial" w:cs="Arial"/>
                <w:lang w:val="en-US"/>
              </w:rPr>
              <w:lastRenderedPageBreak/>
              <w:t>years in a row before any principle loss.</w:t>
            </w:r>
          </w:p>
          <w:p w14:paraId="01201357" w14:textId="77777777" w:rsidR="00BB31FC" w:rsidRPr="00BB31FC" w:rsidRDefault="00BB31FC" w:rsidP="00BB31FC">
            <w:pPr>
              <w:spacing w:line="276" w:lineRule="auto"/>
              <w:jc w:val="both"/>
              <w:rPr>
                <w:rFonts w:ascii="Arial" w:eastAsiaTheme="minorEastAsia" w:hAnsi="Arial" w:cs="Arial"/>
                <w:lang w:val="en-US"/>
              </w:rPr>
            </w:pPr>
          </w:p>
          <w:p w14:paraId="469294CC" w14:textId="77777777" w:rsidR="00BB31FC" w:rsidRPr="00BB31FC" w:rsidRDefault="00BB31FC" w:rsidP="00BB31FC">
            <w:pPr>
              <w:tabs>
                <w:tab w:val="num" w:pos="720"/>
              </w:tabs>
              <w:spacing w:line="276" w:lineRule="auto"/>
              <w:jc w:val="both"/>
              <w:rPr>
                <w:rFonts w:ascii="Arial" w:eastAsiaTheme="minorEastAsia" w:hAnsi="Arial" w:cs="Arial"/>
                <w:lang w:val="en-US"/>
              </w:rPr>
            </w:pPr>
            <w:r w:rsidRPr="00BB31FC">
              <w:rPr>
                <w:rFonts w:ascii="Arial" w:eastAsiaTheme="minorEastAsia" w:hAnsi="Arial" w:cs="Arial"/>
                <w:lang w:val="en-US"/>
              </w:rPr>
              <w:t>The Global CLO market has grown tremendously over the last 10 years, passing $1T in size in 2022. While not as large as the US market, the European CLO market has accelerated its growth, doubling in size over the last four years, and outpacing the US market in terms of rate of growth. Total assets in Euro-denominated CLOs now exceed $250bn, which exceeds that of many other UCITS-eligible asset classes, and liquidity – especially in the higher-rated tranches – is more than sufficient to support the daily requirements of UCITS vehicles.</w:t>
            </w:r>
          </w:p>
          <w:p w14:paraId="006325B0" w14:textId="77777777" w:rsidR="00BB31FC" w:rsidRPr="00BB31FC" w:rsidRDefault="00BB31FC" w:rsidP="00BB31FC">
            <w:pPr>
              <w:tabs>
                <w:tab w:val="num" w:pos="720"/>
              </w:tabs>
              <w:spacing w:line="276" w:lineRule="auto"/>
              <w:jc w:val="both"/>
              <w:rPr>
                <w:rFonts w:ascii="Arial" w:eastAsiaTheme="minorEastAsia" w:hAnsi="Arial" w:cs="Arial"/>
                <w:lang w:val="en-US"/>
              </w:rPr>
            </w:pPr>
          </w:p>
          <w:p w14:paraId="76A98C21" w14:textId="77777777" w:rsidR="00BB31FC" w:rsidRPr="00BB31FC" w:rsidRDefault="00BB31FC" w:rsidP="00BB31FC">
            <w:pPr>
              <w:spacing w:line="276" w:lineRule="auto"/>
              <w:jc w:val="both"/>
              <w:rPr>
                <w:rFonts w:ascii="Arial" w:eastAsiaTheme="minorEastAsia" w:hAnsi="Arial" w:cs="Arial"/>
                <w:lang w:val="en-US"/>
              </w:rPr>
            </w:pPr>
            <w:r w:rsidRPr="00BB31FC">
              <w:rPr>
                <w:rFonts w:ascii="Arial" w:eastAsiaTheme="minorEastAsia" w:hAnsi="Arial" w:cs="Arial"/>
                <w:lang w:val="en-US"/>
              </w:rPr>
              <w:t>The increased size of the CLO market, both in the US and Europe, is being driven by tremendous investor demand, both from the institutional market and from more retail focused vehicles such as ETFs which have become increasingly popular in the US market, with over $10 billion allocated to these investments (as of June 30, 2024) and numerous new CLO Note ETFs entering the market, both in the AAA tranche as well as lower rated notes.</w:t>
            </w:r>
          </w:p>
          <w:p w14:paraId="6171BADC" w14:textId="77777777" w:rsidR="00BB31FC" w:rsidRPr="00BB31FC" w:rsidRDefault="00BB31FC" w:rsidP="00BB31FC">
            <w:pPr>
              <w:spacing w:line="276" w:lineRule="auto"/>
              <w:jc w:val="both"/>
              <w:rPr>
                <w:rFonts w:ascii="Arial" w:eastAsiaTheme="minorEastAsia" w:hAnsi="Arial" w:cs="Arial"/>
                <w:lang w:val="en-US"/>
              </w:rPr>
            </w:pPr>
          </w:p>
          <w:p w14:paraId="631A6F4C" w14:textId="77777777" w:rsidR="00BB31FC" w:rsidRPr="00BB31FC" w:rsidRDefault="00BB31FC" w:rsidP="00BB31FC">
            <w:pPr>
              <w:spacing w:line="276" w:lineRule="auto"/>
              <w:jc w:val="both"/>
              <w:rPr>
                <w:rFonts w:ascii="Arial" w:eastAsiaTheme="minorEastAsia" w:hAnsi="Arial" w:cs="Arial"/>
                <w:lang w:val="en-US"/>
              </w:rPr>
            </w:pPr>
            <w:r w:rsidRPr="00BB31FC">
              <w:rPr>
                <w:rFonts w:ascii="Arial" w:eastAsiaTheme="minorEastAsia" w:hAnsi="Arial" w:cs="Arial"/>
                <w:lang w:val="en-US"/>
              </w:rPr>
              <w:t xml:space="preserve">Investors are drawn to the attractive risk-return features that CLO notes offer relative to similarly rated instruments such as corporate bonds, loans or other </w:t>
            </w:r>
            <w:proofErr w:type="spellStart"/>
            <w:r w:rsidRPr="00BB31FC">
              <w:rPr>
                <w:rFonts w:ascii="Arial" w:eastAsiaTheme="minorEastAsia" w:hAnsi="Arial" w:cs="Arial"/>
                <w:lang w:val="en-US"/>
              </w:rPr>
              <w:t>securitised</w:t>
            </w:r>
            <w:proofErr w:type="spellEnd"/>
            <w:r w:rsidRPr="00BB31FC">
              <w:rPr>
                <w:rFonts w:ascii="Arial" w:eastAsiaTheme="minorEastAsia" w:hAnsi="Arial" w:cs="Arial"/>
                <w:lang w:val="en-US"/>
              </w:rPr>
              <w:t xml:space="preserve"> products.</w:t>
            </w:r>
          </w:p>
          <w:p w14:paraId="082CAD99" w14:textId="77777777" w:rsidR="00BB31FC" w:rsidRPr="00BB31FC" w:rsidRDefault="00BB31FC" w:rsidP="00BB31FC">
            <w:pPr>
              <w:spacing w:line="276" w:lineRule="auto"/>
              <w:jc w:val="both"/>
              <w:rPr>
                <w:rFonts w:ascii="Arial" w:eastAsiaTheme="minorEastAsia" w:hAnsi="Arial" w:cs="Arial"/>
                <w:lang w:val="en-US"/>
              </w:rPr>
            </w:pPr>
          </w:p>
          <w:p w14:paraId="350C8B24" w14:textId="77777777" w:rsidR="00BB31FC" w:rsidRPr="00BB31FC" w:rsidRDefault="00BB31FC" w:rsidP="00BB31FC">
            <w:pPr>
              <w:tabs>
                <w:tab w:val="num" w:pos="720"/>
              </w:tabs>
              <w:spacing w:line="276" w:lineRule="auto"/>
              <w:jc w:val="both"/>
              <w:rPr>
                <w:rFonts w:ascii="Arial" w:eastAsiaTheme="minorEastAsia" w:hAnsi="Arial" w:cs="Arial"/>
                <w:lang w:val="en-US"/>
              </w:rPr>
            </w:pPr>
            <w:r w:rsidRPr="00BB31FC">
              <w:rPr>
                <w:rFonts w:ascii="Arial" w:eastAsiaTheme="minorEastAsia" w:hAnsi="Arial" w:cs="Arial"/>
                <w:lang w:val="en-US"/>
              </w:rPr>
              <w:t>While global CLO creation remained robust during 2023, 2024 pace is already surpassing 2023 levels driven by the increased global demand. Increased demand has driven both new issuance as well as reset activity in both markets. The increased availability and increased demand/popularity has enhanced liquidity for the asset class, specifically the AAA tranches.</w:t>
            </w:r>
          </w:p>
          <w:p w14:paraId="3D42C5A3" w14:textId="77777777" w:rsidR="00BB31FC" w:rsidRPr="00BB31FC" w:rsidRDefault="00BB31FC" w:rsidP="00BB31FC">
            <w:pPr>
              <w:tabs>
                <w:tab w:val="num" w:pos="720"/>
              </w:tabs>
              <w:spacing w:line="276" w:lineRule="auto"/>
              <w:jc w:val="both"/>
              <w:rPr>
                <w:rFonts w:ascii="Arial" w:eastAsiaTheme="minorEastAsia" w:hAnsi="Arial" w:cs="Arial"/>
                <w:lang w:val="en-US"/>
              </w:rPr>
            </w:pPr>
          </w:p>
          <w:p w14:paraId="45A4C4B9" w14:textId="77777777" w:rsidR="00BB31FC" w:rsidRPr="00BB31FC" w:rsidRDefault="00BB31FC" w:rsidP="00BB31FC">
            <w:pPr>
              <w:spacing w:line="276" w:lineRule="auto"/>
              <w:jc w:val="both"/>
              <w:rPr>
                <w:rFonts w:ascii="Arial" w:eastAsiaTheme="minorEastAsia" w:hAnsi="Arial" w:cs="Arial"/>
                <w:lang w:val="en-US"/>
              </w:rPr>
            </w:pPr>
            <w:r w:rsidRPr="00BB31FC">
              <w:rPr>
                <w:rFonts w:ascii="Arial" w:eastAsiaTheme="minorEastAsia" w:hAnsi="Arial" w:cs="Arial"/>
                <w:lang w:val="en-US"/>
              </w:rPr>
              <w:t xml:space="preserve">As a floating rate asset class with little interest rate duration risk, interest rate movements have a muted effect on CLO Note pricing, only affecting their coupon levels. This muted effect has enabled overall volatility in the asset class to be comparatively low compared to other Fixed Income classes, which saw tremendous drawdowns in 2022 and have seen increased volatility in 2023 and YTD 2024 as interest rate uncertainty has </w:t>
            </w:r>
            <w:r w:rsidRPr="00BB31FC">
              <w:rPr>
                <w:rFonts w:ascii="Arial" w:eastAsiaTheme="minorEastAsia" w:hAnsi="Arial" w:cs="Arial"/>
                <w:lang w:val="en-US"/>
              </w:rPr>
              <w:lastRenderedPageBreak/>
              <w:t>gripped the global market.</w:t>
            </w:r>
          </w:p>
          <w:p w14:paraId="5D1BC41F" w14:textId="77777777" w:rsidR="00BB31FC" w:rsidRPr="00BB31FC" w:rsidRDefault="00BB31FC" w:rsidP="00BB31FC">
            <w:pPr>
              <w:spacing w:line="276" w:lineRule="auto"/>
              <w:jc w:val="both"/>
              <w:rPr>
                <w:rFonts w:ascii="Arial" w:eastAsiaTheme="minorEastAsia" w:hAnsi="Arial" w:cs="Arial"/>
                <w:lang w:val="en-US"/>
              </w:rPr>
            </w:pPr>
          </w:p>
          <w:p w14:paraId="307EA808" w14:textId="037C9A59" w:rsidR="00B33432" w:rsidRPr="006252AD" w:rsidRDefault="00BB31FC" w:rsidP="00BB31FC">
            <w:pPr>
              <w:spacing w:line="276" w:lineRule="auto"/>
              <w:jc w:val="both"/>
              <w:rPr>
                <w:rFonts w:ascii="Arial" w:eastAsiaTheme="minorEastAsia" w:hAnsi="Arial" w:cs="Arial"/>
                <w:lang w:val="en-US"/>
              </w:rPr>
            </w:pPr>
            <w:r w:rsidRPr="00BB31FC">
              <w:rPr>
                <w:rFonts w:ascii="Arial" w:eastAsiaTheme="minorEastAsia" w:hAnsi="Arial" w:cs="Arial"/>
                <w:lang w:val="en-US"/>
              </w:rPr>
              <w:t>Historically low volatility of AAA-rated Euro CLOs, with historical performance implying an SRRI rating of 3 (up to a max of 7), which is consistent with other comparable investment exposures (see tabl</w:t>
            </w:r>
            <w:r w:rsidRPr="006252AD">
              <w:rPr>
                <w:rFonts w:ascii="Arial" w:eastAsiaTheme="minorEastAsia" w:hAnsi="Arial" w:cs="Arial"/>
                <w:lang w:val="en-US"/>
              </w:rPr>
              <w:t>e in Appendix 2</w:t>
            </w:r>
            <w:r w:rsidRPr="00BB31FC">
              <w:rPr>
                <w:rFonts w:ascii="Arial" w:eastAsiaTheme="minorEastAsia" w:hAnsi="Arial" w:cs="Arial"/>
                <w:lang w:val="en-US"/>
              </w:rPr>
              <w:t>).</w:t>
            </w:r>
          </w:p>
          <w:p w14:paraId="6FC359C9" w14:textId="77777777" w:rsidR="00BB31FC" w:rsidRPr="006252AD" w:rsidRDefault="00BB31FC" w:rsidP="00BB31FC">
            <w:pPr>
              <w:spacing w:line="276" w:lineRule="auto"/>
              <w:jc w:val="both"/>
              <w:rPr>
                <w:rFonts w:ascii="Arial" w:eastAsiaTheme="minorEastAsia" w:hAnsi="Arial" w:cs="Arial"/>
                <w:lang w:val="en-US"/>
              </w:rPr>
            </w:pPr>
          </w:p>
          <w:p w14:paraId="3ADA2BAC" w14:textId="77777777" w:rsidR="00BB31FC" w:rsidRPr="00BB31FC" w:rsidRDefault="00BB31FC" w:rsidP="00BB31FC">
            <w:pPr>
              <w:spacing w:line="276" w:lineRule="auto"/>
              <w:jc w:val="both"/>
              <w:rPr>
                <w:rFonts w:ascii="Arial" w:eastAsiaTheme="minorEastAsia" w:hAnsi="Arial" w:cs="Arial"/>
                <w:lang w:val="en-US"/>
              </w:rPr>
            </w:pPr>
            <w:r w:rsidRPr="00BB31FC">
              <w:rPr>
                <w:rFonts w:ascii="Arial" w:eastAsiaTheme="minorEastAsia" w:hAnsi="Arial" w:cs="Arial"/>
                <w:lang w:val="en-US"/>
              </w:rPr>
              <w:t>The risk of investing in CLOs is arguably easier for investors to understand as price fluctuations are primarily driven by a single factor, which is investors’ perception of the risk of default by the underlying borrowers. This compares with traditional credit portfolios which combine both default risk (“spread”) and a nuanced sensitivity to anticipated changes in government interest rates several years into the future (“duration”).</w:t>
            </w:r>
          </w:p>
          <w:p w14:paraId="5ECA3DAC" w14:textId="77777777" w:rsidR="00BB31FC" w:rsidRPr="00BB31FC" w:rsidRDefault="00BB31FC" w:rsidP="00BB31FC">
            <w:pPr>
              <w:spacing w:line="276" w:lineRule="auto"/>
              <w:jc w:val="both"/>
              <w:rPr>
                <w:rFonts w:ascii="Arial" w:eastAsiaTheme="minorEastAsia" w:hAnsi="Arial" w:cs="Arial"/>
                <w:lang w:val="en-US"/>
              </w:rPr>
            </w:pPr>
          </w:p>
          <w:p w14:paraId="0FACE7AC" w14:textId="77777777" w:rsidR="00BB31FC" w:rsidRPr="00BB31FC" w:rsidRDefault="00BB31FC" w:rsidP="00BB31FC">
            <w:pPr>
              <w:tabs>
                <w:tab w:val="num" w:pos="720"/>
              </w:tabs>
              <w:spacing w:line="276" w:lineRule="auto"/>
              <w:jc w:val="both"/>
              <w:rPr>
                <w:rFonts w:ascii="Arial" w:eastAsiaTheme="minorEastAsia" w:hAnsi="Arial" w:cs="Arial"/>
                <w:lang w:val="en-US"/>
              </w:rPr>
            </w:pPr>
            <w:r w:rsidRPr="00BB31FC">
              <w:rPr>
                <w:rFonts w:ascii="Arial" w:eastAsiaTheme="minorEastAsia" w:hAnsi="Arial" w:cs="Arial"/>
                <w:lang w:val="en-US"/>
              </w:rPr>
              <w:t xml:space="preserve">Senior loans, CLOs underlying asset class, are loans issued by below-investment grade companies that are senior secured, top of the capital stack. While these loans are from below IG companies, fundamentals in the senior loan markets have remained strong and default rates are still </w:t>
            </w:r>
            <w:r w:rsidRPr="00BB31FC">
              <w:rPr>
                <w:rFonts w:ascii="Arial" w:eastAsiaTheme="minorEastAsia" w:hAnsi="Arial" w:cs="Arial"/>
                <w:lang w:val="en-US"/>
              </w:rPr>
              <w:lastRenderedPageBreak/>
              <w:t>under long term averages.</w:t>
            </w:r>
          </w:p>
          <w:p w14:paraId="77407272" w14:textId="77777777" w:rsidR="00BB31FC" w:rsidRPr="00BB31FC" w:rsidRDefault="00BB31FC" w:rsidP="00BB31FC">
            <w:pPr>
              <w:tabs>
                <w:tab w:val="num" w:pos="720"/>
              </w:tabs>
              <w:spacing w:line="276" w:lineRule="auto"/>
              <w:jc w:val="both"/>
              <w:rPr>
                <w:rFonts w:ascii="Arial" w:eastAsiaTheme="minorEastAsia" w:hAnsi="Arial" w:cs="Arial"/>
              </w:rPr>
            </w:pPr>
          </w:p>
          <w:p w14:paraId="7E736BC2" w14:textId="77777777" w:rsidR="00BB31FC" w:rsidRPr="00BB31FC" w:rsidRDefault="00BB31FC" w:rsidP="00BB31FC">
            <w:pPr>
              <w:tabs>
                <w:tab w:val="num" w:pos="720"/>
              </w:tabs>
              <w:spacing w:line="276" w:lineRule="auto"/>
              <w:jc w:val="both"/>
              <w:rPr>
                <w:rFonts w:ascii="Arial" w:eastAsiaTheme="minorEastAsia" w:hAnsi="Arial" w:cs="Arial"/>
                <w:lang w:val="en-US"/>
              </w:rPr>
            </w:pPr>
            <w:r w:rsidRPr="00BB31FC">
              <w:rPr>
                <w:rFonts w:ascii="Arial" w:eastAsiaTheme="minorEastAsia" w:hAnsi="Arial" w:cs="Arial"/>
                <w:lang w:val="en-US"/>
              </w:rPr>
              <w:t>A lack of defaults, and strong underlying market flows into the CLO market, strengthens each CLOs position and cashflow health. Such high default rates have never been observed historically, with defaults with the Euro loan market having recorded 1.6% defaults in 2023, 2.6% during peak covid in 2020, and just 10.5% during the 2008 financial crisis, when the CLO market was far less well-established than it is today.</w:t>
            </w:r>
          </w:p>
          <w:p w14:paraId="2CF9E47E" w14:textId="77777777" w:rsidR="00BB31FC" w:rsidRPr="00BB31FC" w:rsidRDefault="00BB31FC" w:rsidP="00BB31FC">
            <w:pPr>
              <w:tabs>
                <w:tab w:val="num" w:pos="720"/>
              </w:tabs>
              <w:spacing w:line="276" w:lineRule="auto"/>
              <w:jc w:val="both"/>
              <w:rPr>
                <w:rFonts w:ascii="Arial" w:eastAsiaTheme="minorEastAsia" w:hAnsi="Arial" w:cs="Arial"/>
                <w:lang w:val="en-US"/>
              </w:rPr>
            </w:pPr>
          </w:p>
          <w:p w14:paraId="09BF88B9" w14:textId="77777777" w:rsidR="00BB31FC" w:rsidRPr="00BB31FC" w:rsidRDefault="00BB31FC" w:rsidP="00BB31FC">
            <w:pPr>
              <w:spacing w:line="276" w:lineRule="auto"/>
              <w:jc w:val="both"/>
              <w:rPr>
                <w:rFonts w:ascii="Arial" w:eastAsiaTheme="minorEastAsia" w:hAnsi="Arial" w:cs="Arial"/>
                <w:lang w:val="en-US"/>
              </w:rPr>
            </w:pPr>
            <w:r w:rsidRPr="00BB31FC">
              <w:rPr>
                <w:rFonts w:ascii="Arial" w:eastAsiaTheme="minorEastAsia" w:hAnsi="Arial" w:cs="Arial"/>
                <w:lang w:val="en-US"/>
              </w:rPr>
              <w:t>CLOs feature very low default rates across all tranches, even for speculative grade, due to the self-healing mechanism of CLOs. Downgrades for CLOs are sparse given the well diversified nature of the underlying pool of investments and strength of the underlying asset class. This is in stark contrast to the corporate market where a flurry of downgrades are common during periods of market stress.</w:t>
            </w:r>
          </w:p>
          <w:p w14:paraId="13ECD79C" w14:textId="77777777" w:rsidR="00BB31FC" w:rsidRPr="00BB31FC" w:rsidRDefault="00BB31FC" w:rsidP="00BB31FC">
            <w:pPr>
              <w:spacing w:line="276" w:lineRule="auto"/>
              <w:jc w:val="both"/>
              <w:rPr>
                <w:rFonts w:ascii="Arial" w:eastAsiaTheme="minorEastAsia" w:hAnsi="Arial" w:cs="Arial"/>
                <w:lang w:val="en-US"/>
              </w:rPr>
            </w:pPr>
          </w:p>
          <w:p w14:paraId="00182A35" w14:textId="77777777" w:rsidR="00BB31FC" w:rsidRPr="00BB31FC" w:rsidRDefault="00BB31FC" w:rsidP="00BB31FC">
            <w:pPr>
              <w:spacing w:line="276" w:lineRule="auto"/>
              <w:jc w:val="both"/>
              <w:rPr>
                <w:rFonts w:ascii="Arial" w:eastAsiaTheme="minorEastAsia" w:hAnsi="Arial" w:cs="Arial"/>
                <w:lang w:val="en-US"/>
              </w:rPr>
            </w:pPr>
            <w:r w:rsidRPr="00BB31FC">
              <w:rPr>
                <w:rFonts w:ascii="Arial" w:eastAsiaTheme="minorEastAsia" w:hAnsi="Arial" w:cs="Arial"/>
                <w:lang w:val="en-US"/>
              </w:rPr>
              <w:t xml:space="preserve">Fixed Income transactions are made up of bid wanted in competition (BWIC) and non-BWIC trading. </w:t>
            </w:r>
            <w:r w:rsidRPr="00BB31FC">
              <w:rPr>
                <w:rFonts w:ascii="Arial" w:eastAsiaTheme="minorEastAsia" w:hAnsi="Arial" w:cs="Arial"/>
                <w:lang w:val="en-US"/>
              </w:rPr>
              <w:lastRenderedPageBreak/>
              <w:t xml:space="preserve">BWIC is a formal request for bids on a package of securities, submitted to a number of securities dealers, with trackable data. Non-BWIC transactions are OTC and not tracked on a </w:t>
            </w:r>
            <w:proofErr w:type="spellStart"/>
            <w:r w:rsidRPr="00BB31FC">
              <w:rPr>
                <w:rFonts w:ascii="Arial" w:eastAsiaTheme="minorEastAsia" w:hAnsi="Arial" w:cs="Arial"/>
                <w:lang w:val="en-US"/>
              </w:rPr>
              <w:t>centralised</w:t>
            </w:r>
            <w:proofErr w:type="spellEnd"/>
            <w:r w:rsidRPr="00BB31FC">
              <w:rPr>
                <w:rFonts w:ascii="Arial" w:eastAsiaTheme="minorEastAsia" w:hAnsi="Arial" w:cs="Arial"/>
                <w:lang w:val="en-US"/>
              </w:rPr>
              <w:t xml:space="preserve"> basis. 2023 saw €5 billion of BWIC CLO AAA supply. Liquidity has historically been available during both normal periods as well as stressed periods. In the last 5 years, the markets have seen two periods of stress, COVID and the UK LDI crisis. During each of these periods, liquidity was available for the AAA CLO Note market.</w:t>
            </w:r>
          </w:p>
          <w:p w14:paraId="3A17DF03" w14:textId="77777777" w:rsidR="00BB31FC" w:rsidRPr="00BB31FC" w:rsidRDefault="00BB31FC" w:rsidP="00BB31FC">
            <w:pPr>
              <w:spacing w:line="276" w:lineRule="auto"/>
              <w:jc w:val="both"/>
              <w:rPr>
                <w:rFonts w:ascii="Arial" w:eastAsia="Times New Roman" w:hAnsi="Arial" w:cs="Arial"/>
                <w:b/>
                <w:bCs/>
                <w:color w:val="000000" w:themeColor="text1"/>
                <w:lang w:val="en-IE" w:eastAsia="en-IE"/>
              </w:rPr>
            </w:pPr>
          </w:p>
          <w:p w14:paraId="40D352ED" w14:textId="77777777" w:rsidR="00BB31FC" w:rsidRPr="00BB31FC" w:rsidRDefault="00BB31FC" w:rsidP="00BB31FC">
            <w:pPr>
              <w:spacing w:line="276" w:lineRule="auto"/>
              <w:jc w:val="both"/>
              <w:rPr>
                <w:rFonts w:ascii="Arial" w:eastAsia="Times New Roman" w:hAnsi="Arial" w:cs="Arial"/>
                <w:color w:val="000000" w:themeColor="text1"/>
                <w:lang w:val="en-US" w:eastAsia="en-IE"/>
              </w:rPr>
            </w:pPr>
            <w:r w:rsidRPr="00BB31FC">
              <w:rPr>
                <w:rFonts w:ascii="Arial" w:eastAsia="Times New Roman" w:hAnsi="Arial" w:cs="Arial"/>
                <w:b/>
                <w:bCs/>
                <w:color w:val="000000" w:themeColor="text1"/>
                <w:lang w:val="en-US" w:eastAsia="en-IE"/>
              </w:rPr>
              <w:t>Exchange Traded Instruments</w:t>
            </w:r>
            <w:r w:rsidRPr="00BB31FC">
              <w:rPr>
                <w:rFonts w:ascii="Arial" w:eastAsia="Times New Roman" w:hAnsi="Arial" w:cs="Arial"/>
                <w:color w:val="000000" w:themeColor="text1"/>
                <w:lang w:val="en-US" w:eastAsia="en-IE"/>
              </w:rPr>
              <w:t xml:space="preserve"> (“</w:t>
            </w:r>
            <w:r w:rsidRPr="00BB31FC">
              <w:rPr>
                <w:rFonts w:ascii="Arial" w:eastAsia="Times New Roman" w:hAnsi="Arial" w:cs="Arial"/>
                <w:b/>
                <w:bCs/>
                <w:color w:val="000000" w:themeColor="text1"/>
                <w:lang w:val="en-US" w:eastAsia="en-IE"/>
              </w:rPr>
              <w:t>ETIs</w:t>
            </w:r>
            <w:r w:rsidRPr="00BB31FC">
              <w:rPr>
                <w:rFonts w:ascii="Arial" w:eastAsia="Times New Roman" w:hAnsi="Arial" w:cs="Arial"/>
                <w:color w:val="000000" w:themeColor="text1"/>
                <w:lang w:val="en-US" w:eastAsia="en-IE"/>
              </w:rPr>
              <w:t>”)</w:t>
            </w:r>
            <w:r w:rsidRPr="00BB31FC">
              <w:rPr>
                <w:rFonts w:ascii="Arial" w:eastAsia="Times New Roman" w:hAnsi="Arial" w:cs="Arial"/>
                <w:color w:val="000000" w:themeColor="text1"/>
                <w:vertAlign w:val="superscript"/>
                <w:lang w:val="en-US" w:eastAsia="en-IE"/>
              </w:rPr>
              <w:footnoteReference w:id="51"/>
            </w:r>
            <w:r w:rsidRPr="00BB31FC">
              <w:rPr>
                <w:rFonts w:ascii="Arial" w:eastAsia="Times New Roman" w:hAnsi="Arial" w:cs="Arial"/>
                <w:color w:val="000000" w:themeColor="text1"/>
                <w:lang w:val="en-US" w:eastAsia="en-IE"/>
              </w:rPr>
              <w:t xml:space="preserve"> or AMCs are an investment vehicle combining features of structured products and actively managed funds. It provides a “wrapper” for an investment strategy, or specific underlying assets. The certificate is sold to investors and the capital is used to implement the strategy.</w:t>
            </w:r>
          </w:p>
          <w:p w14:paraId="0621379A"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p>
          <w:p w14:paraId="435EB8D5"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 xml:space="preserve">They are exchange traded or privately placed depending on the underlying strategy, and liquidity can be provided </w:t>
            </w:r>
            <w:r w:rsidRPr="00BB31FC">
              <w:rPr>
                <w:rFonts w:ascii="Arial" w:eastAsia="Times New Roman" w:hAnsi="Arial" w:cs="Arial"/>
                <w:color w:val="000000" w:themeColor="text1"/>
                <w:lang w:val="en-IE" w:eastAsia="en-IE"/>
              </w:rPr>
              <w:lastRenderedPageBreak/>
              <w:t>either via the exchange or redeeming directly from the issuer.</w:t>
            </w:r>
          </w:p>
          <w:p w14:paraId="23E58B76"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p>
          <w:p w14:paraId="3823FDAB"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These are effective vehicles for accessing exposures without bearing the cost of having to trade the underlying strategy directly. Provided the underlying are eligible and the vehicle is not being used to circumvent the exposure limits on a UCITS.</w:t>
            </w:r>
          </w:p>
          <w:p w14:paraId="57C74DC1"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Merits include:</w:t>
            </w:r>
          </w:p>
          <w:p w14:paraId="13FECDA4"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p>
          <w:p w14:paraId="5F3B0156" w14:textId="77777777" w:rsidR="006252AD" w:rsidRPr="006252AD" w:rsidRDefault="00BB31FC" w:rsidP="006252AD">
            <w:pPr>
              <w:numPr>
                <w:ilvl w:val="0"/>
                <w:numId w:val="4"/>
              </w:numPr>
              <w:tabs>
                <w:tab w:val="clear" w:pos="720"/>
              </w:tabs>
              <w:spacing w:line="276" w:lineRule="auto"/>
              <w:ind w:left="297" w:hanging="284"/>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Access to more diverse strategies for investors;</w:t>
            </w:r>
          </w:p>
          <w:p w14:paraId="0657660E" w14:textId="77777777" w:rsidR="006252AD" w:rsidRPr="006252AD" w:rsidRDefault="00BB31FC" w:rsidP="006252AD">
            <w:pPr>
              <w:numPr>
                <w:ilvl w:val="0"/>
                <w:numId w:val="4"/>
              </w:numPr>
              <w:tabs>
                <w:tab w:val="clear" w:pos="720"/>
              </w:tabs>
              <w:spacing w:line="276" w:lineRule="auto"/>
              <w:ind w:left="297" w:hanging="284"/>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ETIs appear to meet the definition of a transferrable security (this should be assessed on a case-by-case basis); and</w:t>
            </w:r>
          </w:p>
          <w:p w14:paraId="2091268F" w14:textId="2E9E34AC" w:rsidR="00BB31FC" w:rsidRPr="00BB31FC" w:rsidRDefault="00BB31FC" w:rsidP="006252AD">
            <w:pPr>
              <w:numPr>
                <w:ilvl w:val="0"/>
                <w:numId w:val="4"/>
              </w:numPr>
              <w:tabs>
                <w:tab w:val="clear" w:pos="720"/>
              </w:tabs>
              <w:spacing w:line="276" w:lineRule="auto"/>
              <w:ind w:left="297" w:hanging="284"/>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Transparent valuations with daily listings.</w:t>
            </w:r>
          </w:p>
          <w:p w14:paraId="7B810C58"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p>
          <w:p w14:paraId="20C3885A"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color w:val="000000" w:themeColor="text1"/>
                <w:lang w:val="en-IE" w:eastAsia="en-IE"/>
              </w:rPr>
              <w:t>It is important to note that the merits are also captured under delta-one instruments (see asset 16 above).</w:t>
            </w:r>
          </w:p>
          <w:p w14:paraId="0852AC41" w14:textId="77777777" w:rsidR="00BB31FC" w:rsidRPr="00BB31FC" w:rsidRDefault="00BB31FC" w:rsidP="00BB31FC">
            <w:pPr>
              <w:spacing w:line="276" w:lineRule="auto"/>
              <w:jc w:val="both"/>
              <w:rPr>
                <w:rFonts w:ascii="Arial" w:eastAsia="Times New Roman" w:hAnsi="Arial" w:cs="Arial"/>
                <w:b/>
                <w:bCs/>
                <w:color w:val="000000"/>
                <w:lang w:val="en-IE" w:eastAsia="en-IE"/>
              </w:rPr>
            </w:pPr>
          </w:p>
          <w:p w14:paraId="66A6FEFF" w14:textId="77777777" w:rsidR="00BB31FC" w:rsidRPr="00BB31FC" w:rsidRDefault="00BB31FC" w:rsidP="00BB31FC">
            <w:pPr>
              <w:spacing w:line="276" w:lineRule="auto"/>
              <w:jc w:val="both"/>
              <w:rPr>
                <w:rFonts w:ascii="Arial" w:eastAsia="Times New Roman" w:hAnsi="Arial" w:cs="Arial"/>
                <w:color w:val="000000" w:themeColor="text1"/>
                <w:lang w:val="en-IE" w:eastAsia="en-IE"/>
              </w:rPr>
            </w:pPr>
            <w:r w:rsidRPr="00BB31FC">
              <w:rPr>
                <w:rFonts w:ascii="Arial" w:eastAsia="Times New Roman" w:hAnsi="Arial" w:cs="Arial"/>
                <w:b/>
                <w:bCs/>
                <w:color w:val="000000" w:themeColor="text1"/>
                <w:lang w:eastAsia="en-IE"/>
              </w:rPr>
              <w:t>Contract for difference</w:t>
            </w:r>
            <w:r w:rsidRPr="00BB31FC">
              <w:rPr>
                <w:rFonts w:ascii="Arial" w:eastAsia="Times New Roman" w:hAnsi="Arial" w:cs="Arial"/>
                <w:b/>
                <w:bCs/>
                <w:color w:val="000000" w:themeColor="text1"/>
                <w:lang w:val="en-US" w:eastAsia="en-IE"/>
              </w:rPr>
              <w:t xml:space="preserve"> </w:t>
            </w:r>
            <w:r w:rsidRPr="00BB31FC">
              <w:rPr>
                <w:rFonts w:ascii="Arial" w:eastAsia="Times New Roman" w:hAnsi="Arial" w:cs="Arial"/>
                <w:color w:val="000000" w:themeColor="text1"/>
                <w:lang w:val="en-IE" w:eastAsia="en-IE"/>
              </w:rPr>
              <w:t>(“</w:t>
            </w:r>
            <w:r w:rsidRPr="00BB31FC">
              <w:rPr>
                <w:rFonts w:ascii="Arial" w:eastAsia="Times New Roman" w:hAnsi="Arial" w:cs="Arial"/>
                <w:b/>
                <w:bCs/>
                <w:color w:val="000000" w:themeColor="text1"/>
                <w:lang w:val="en-IE" w:eastAsia="en-IE"/>
              </w:rPr>
              <w:t>CFDs</w:t>
            </w:r>
            <w:r w:rsidRPr="00BB31FC">
              <w:rPr>
                <w:rFonts w:ascii="Arial" w:eastAsia="Times New Roman" w:hAnsi="Arial" w:cs="Arial"/>
                <w:color w:val="000000" w:themeColor="text1"/>
                <w:lang w:val="en-IE" w:eastAsia="en-IE"/>
              </w:rPr>
              <w:t>”)</w:t>
            </w:r>
            <w:r w:rsidRPr="00BB31FC">
              <w:rPr>
                <w:rFonts w:ascii="Arial" w:eastAsia="Times New Roman" w:hAnsi="Arial" w:cs="Arial"/>
                <w:b/>
                <w:bCs/>
                <w:color w:val="000000" w:themeColor="text1"/>
                <w:lang w:val="en-US" w:eastAsia="en-IE"/>
              </w:rPr>
              <w:t xml:space="preserve"> </w:t>
            </w:r>
            <w:r w:rsidRPr="00BB31FC">
              <w:rPr>
                <w:rFonts w:ascii="Arial" w:eastAsia="Times New Roman" w:hAnsi="Arial" w:cs="Arial"/>
                <w:color w:val="000000" w:themeColor="text1"/>
                <w:lang w:val="en-US" w:eastAsia="en-IE"/>
              </w:rPr>
              <w:t xml:space="preserve">are </w:t>
            </w:r>
            <w:r w:rsidRPr="00BB31FC">
              <w:rPr>
                <w:rFonts w:ascii="Arial" w:eastAsia="Times New Roman" w:hAnsi="Arial" w:cs="Arial"/>
                <w:color w:val="000000" w:themeColor="text1"/>
                <w:lang w:val="en-IE" w:eastAsia="en-IE"/>
              </w:rPr>
              <w:t xml:space="preserve">currently used in UCITS particularly for long/short equity strategies (and have been for many years) mainly as a risk mitigation tool and as a cost efficient alternative to direct equity investment in certain </w:t>
            </w:r>
            <w:r w:rsidRPr="00BB31FC">
              <w:rPr>
                <w:rFonts w:ascii="Arial" w:eastAsia="Times New Roman" w:hAnsi="Arial" w:cs="Arial"/>
                <w:color w:val="000000" w:themeColor="text1"/>
                <w:lang w:val="en-IE" w:eastAsia="en-IE"/>
              </w:rPr>
              <w:lastRenderedPageBreak/>
              <w:t>markets.  These assets are cost efficient, transparent and a cost-effective derivative for UCITS funds with no particular liquidity concerns. CFDs are often the most appropriate instrument for gaining short exposure to individual stocks, given that the economics of a single stock CFD most closely replicate the economics of a physical short position in a stock (i.e. a 1:1 relationship between movement in the stock price and movement in the value of the CFD). They are similar to futures as they can provide long and short exposure to an underlying security. Additionally, from an investment and liquidity perspective, they are similar to other permitted exchange traded and OTC derivatives such as futures and swaps, as their exposure is limited by global exposure limits under the UCITS regulations. They have the same characteristics as directly investing in equities in terms of valuation and liquidity.</w:t>
            </w:r>
          </w:p>
          <w:p w14:paraId="2F915E1F" w14:textId="77777777" w:rsidR="00BB31FC" w:rsidRPr="00BB31FC" w:rsidRDefault="00BB31FC" w:rsidP="00BB31FC">
            <w:pPr>
              <w:spacing w:line="276" w:lineRule="auto"/>
              <w:jc w:val="both"/>
              <w:rPr>
                <w:rFonts w:ascii="Arial" w:eastAsia="Times New Roman" w:hAnsi="Arial" w:cs="Arial"/>
                <w:b/>
                <w:bCs/>
                <w:color w:val="000000"/>
                <w:lang w:val="en-IE" w:eastAsia="en-IE"/>
              </w:rPr>
            </w:pPr>
          </w:p>
          <w:p w14:paraId="76D48ACC" w14:textId="135F79B3" w:rsidR="00BB31FC" w:rsidRPr="006252AD" w:rsidRDefault="00BB31FC" w:rsidP="00BB31FC">
            <w:pPr>
              <w:spacing w:line="276" w:lineRule="auto"/>
              <w:jc w:val="both"/>
              <w:rPr>
                <w:rFonts w:ascii="Arial" w:eastAsia="Times New Roman" w:hAnsi="Arial" w:cs="Arial"/>
                <w:color w:val="000000"/>
                <w:lang w:val="en-IE" w:eastAsia="en-IE"/>
              </w:rPr>
            </w:pPr>
            <w:r w:rsidRPr="00BB31FC">
              <w:rPr>
                <w:rFonts w:ascii="Arial" w:eastAsia="Times New Roman" w:hAnsi="Arial" w:cs="Arial"/>
                <w:b/>
                <w:bCs/>
                <w:color w:val="000000"/>
                <w:lang w:val="en-IE" w:eastAsia="en-IE"/>
              </w:rPr>
              <w:t xml:space="preserve">Rule 144A securities </w:t>
            </w:r>
            <w:r w:rsidRPr="00BB31FC">
              <w:rPr>
                <w:rFonts w:ascii="Arial" w:eastAsia="Times New Roman" w:hAnsi="Arial" w:cs="Arial"/>
                <w:color w:val="000000"/>
                <w:lang w:val="en-IE" w:eastAsia="en-IE"/>
              </w:rPr>
              <w:t xml:space="preserve">have long been eligible investments for UCITS funds as transferable securities.  In terms of Rule 144A securities </w:t>
            </w:r>
            <w:r w:rsidRPr="00BB31FC">
              <w:rPr>
                <w:rFonts w:ascii="Arial" w:eastAsia="Times New Roman" w:hAnsi="Arial" w:cs="Arial"/>
                <w:color w:val="000000"/>
                <w:lang w:val="en-IE" w:eastAsia="en-IE"/>
              </w:rPr>
              <w:lastRenderedPageBreak/>
              <w:t>generally, Rule 144A securities are benchmark-eligible and held by most market participants, including institutional investors, UCITS funds, ETFs, mutual funds in the US, hedge funds and dealers.  Furthermore, Rule 144A securities are quoted and transacted in a similar way to registered bonds via dealers, portfolio trades, algorithmic / electronic trading platforms etc.  There has been a proliferation of Rule 144A securities issued in the US over the past decade.  For example, as can be observed from the following chart, the percentage of Rule 144A securities issued in the US high yield market increased from 22% in 2014 to approximately 75% in 2023</w:t>
            </w:r>
            <w:r w:rsidR="006252AD" w:rsidRPr="006252AD">
              <w:rPr>
                <w:rFonts w:ascii="Arial" w:eastAsia="Times New Roman" w:hAnsi="Arial" w:cs="Arial"/>
                <w:color w:val="000000"/>
                <w:lang w:val="en-IE" w:eastAsia="en-IE"/>
              </w:rPr>
              <w:t xml:space="preserve"> – see Appendix 3</w:t>
            </w:r>
            <w:r w:rsidRPr="00BB31FC">
              <w:rPr>
                <w:rFonts w:ascii="Arial" w:eastAsia="Times New Roman" w:hAnsi="Arial" w:cs="Arial"/>
                <w:color w:val="000000"/>
                <w:lang w:val="en-IE" w:eastAsia="en-IE"/>
              </w:rPr>
              <w:t>.</w:t>
            </w:r>
          </w:p>
          <w:p w14:paraId="424B55AF" w14:textId="77777777" w:rsidR="006252AD" w:rsidRPr="00BB31FC" w:rsidRDefault="006252AD" w:rsidP="00BB31FC">
            <w:pPr>
              <w:spacing w:line="276" w:lineRule="auto"/>
              <w:jc w:val="both"/>
              <w:rPr>
                <w:rFonts w:ascii="Arial" w:eastAsia="Times New Roman" w:hAnsi="Arial" w:cs="Arial"/>
                <w:color w:val="000000"/>
                <w:lang w:val="en-IE" w:eastAsia="en-IE"/>
              </w:rPr>
            </w:pPr>
          </w:p>
          <w:p w14:paraId="59DB75C6" w14:textId="19EB1A6A" w:rsidR="006252AD" w:rsidRPr="006252AD" w:rsidRDefault="006252AD" w:rsidP="006252AD">
            <w:pPr>
              <w:spacing w:line="276" w:lineRule="auto"/>
              <w:jc w:val="both"/>
              <w:rPr>
                <w:rFonts w:ascii="Arial" w:eastAsia="Times New Roman" w:hAnsi="Arial" w:cs="Arial"/>
                <w:color w:val="000000"/>
                <w:lang w:val="en-IE" w:eastAsia="en-IE"/>
              </w:rPr>
            </w:pPr>
            <w:r w:rsidRPr="006252AD">
              <w:rPr>
                <w:rFonts w:ascii="Arial" w:eastAsia="Times New Roman" w:hAnsi="Arial" w:cs="Arial"/>
                <w:color w:val="000000"/>
                <w:lang w:val="en-IE" w:eastAsia="en-IE"/>
              </w:rPr>
              <w:t>In terms of settlement, transacting in Rule 144A securities is part of a regular course of business with similar liquidity and identical T+1 settlement provisions as registered bonds.  For example, as outlined in the chart below, the majority of high yield trading volume in the US is in Rule 144A securities</w:t>
            </w:r>
            <w:r w:rsidRPr="006252AD">
              <w:rPr>
                <w:rFonts w:ascii="Arial" w:eastAsia="Times New Roman" w:hAnsi="Arial" w:cs="Arial"/>
                <w:color w:val="000000"/>
                <w:lang w:val="en-IE" w:eastAsia="en-IE"/>
              </w:rPr>
              <w:t xml:space="preserve"> – see Appendix 4.</w:t>
            </w:r>
          </w:p>
          <w:p w14:paraId="30D7AA69" w14:textId="77777777" w:rsidR="00BB31FC" w:rsidRPr="006252AD" w:rsidRDefault="00BB31FC" w:rsidP="00B33432">
            <w:pPr>
              <w:spacing w:after="250" w:line="276" w:lineRule="auto"/>
              <w:jc w:val="both"/>
              <w:rPr>
                <w:rFonts w:ascii="Arial" w:hAnsi="Arial" w:cs="Arial"/>
                <w:color w:val="181818"/>
              </w:rPr>
            </w:pPr>
          </w:p>
        </w:tc>
        <w:tc>
          <w:tcPr>
            <w:tcW w:w="1776" w:type="dxa"/>
          </w:tcPr>
          <w:p w14:paraId="413FFCB9" w14:textId="77777777" w:rsidR="006252AD" w:rsidRPr="006252AD" w:rsidRDefault="006252AD" w:rsidP="006252AD">
            <w:pPr>
              <w:spacing w:line="276" w:lineRule="auto"/>
              <w:rPr>
                <w:rFonts w:ascii="Arial" w:eastAsia="Times New Roman" w:hAnsi="Arial" w:cs="Arial"/>
                <w:color w:val="000000" w:themeColor="text1"/>
                <w:lang w:val="en-US" w:eastAsia="en-IE"/>
              </w:rPr>
            </w:pPr>
            <w:r w:rsidRPr="006252AD">
              <w:rPr>
                <w:rFonts w:ascii="Arial" w:eastAsia="Times New Roman" w:hAnsi="Arial" w:cs="Arial"/>
                <w:b/>
                <w:bCs/>
                <w:color w:val="000000" w:themeColor="text1"/>
                <w:lang w:val="en-IE" w:eastAsia="en-IE"/>
              </w:rPr>
              <w:lastRenderedPageBreak/>
              <w:t xml:space="preserve">Exchange Traded Instruments </w:t>
            </w:r>
            <w:r w:rsidRPr="006252AD">
              <w:rPr>
                <w:rFonts w:ascii="Arial" w:eastAsia="Times New Roman" w:hAnsi="Arial" w:cs="Arial"/>
                <w:color w:val="000000" w:themeColor="text1"/>
                <w:lang w:val="en-US" w:eastAsia="en-IE"/>
              </w:rPr>
              <w:t xml:space="preserve">are themselves an indirect exposure to an underlying strategy. </w:t>
            </w:r>
          </w:p>
          <w:p w14:paraId="7196D064" w14:textId="77777777" w:rsidR="00B33432" w:rsidRPr="006252AD" w:rsidRDefault="00B33432" w:rsidP="00B33432">
            <w:pPr>
              <w:spacing w:after="250" w:line="276" w:lineRule="auto"/>
              <w:jc w:val="both"/>
              <w:rPr>
                <w:rFonts w:ascii="Arial" w:hAnsi="Arial" w:cs="Arial"/>
                <w:color w:val="181818"/>
              </w:rPr>
            </w:pPr>
          </w:p>
        </w:tc>
        <w:tc>
          <w:tcPr>
            <w:tcW w:w="2060" w:type="dxa"/>
          </w:tcPr>
          <w:p w14:paraId="6A0231CF" w14:textId="77777777" w:rsidR="006252AD" w:rsidRPr="006252AD" w:rsidRDefault="006252AD" w:rsidP="006252AD">
            <w:pPr>
              <w:spacing w:line="276" w:lineRule="auto"/>
              <w:jc w:val="both"/>
              <w:rPr>
                <w:rFonts w:ascii="Arial" w:eastAsia="Times New Roman" w:hAnsi="Arial" w:cs="Arial"/>
                <w:b/>
                <w:bCs/>
                <w:color w:val="000000" w:themeColor="text1"/>
                <w:lang w:val="en-IE" w:eastAsia="en-IE"/>
              </w:rPr>
            </w:pPr>
            <w:r w:rsidRPr="006252AD">
              <w:rPr>
                <w:rFonts w:ascii="Arial" w:eastAsia="Times New Roman" w:hAnsi="Arial" w:cs="Arial"/>
                <w:color w:val="000000" w:themeColor="text1"/>
                <w:lang w:val="en-IE" w:eastAsia="en-IE"/>
              </w:rPr>
              <w:t xml:space="preserve">Regarding </w:t>
            </w:r>
            <w:r w:rsidRPr="006252AD">
              <w:rPr>
                <w:rFonts w:ascii="Arial" w:eastAsia="Times New Roman" w:hAnsi="Arial" w:cs="Arial"/>
                <w:b/>
                <w:bCs/>
                <w:color w:val="000000" w:themeColor="text1"/>
                <w:lang w:val="en-IE" w:eastAsia="en-IE"/>
              </w:rPr>
              <w:t>CLOs</w:t>
            </w:r>
            <w:r w:rsidRPr="006252AD">
              <w:rPr>
                <w:rFonts w:ascii="Arial" w:eastAsia="Times New Roman" w:hAnsi="Arial" w:cs="Arial"/>
                <w:color w:val="000000" w:themeColor="text1"/>
                <w:lang w:val="en-IE" w:eastAsia="en-IE"/>
              </w:rPr>
              <w:t xml:space="preserve">, we have encountered firms with 100% CLO exposures however, in terms of exposure in multi-sector fixed income portfolios, the cap exposure is at 10%. This 10% limit is generally self-imposed but accepted by the Central Bank in line with their enhanced scrutiny process. </w:t>
            </w:r>
          </w:p>
          <w:p w14:paraId="713DBB52" w14:textId="77777777" w:rsidR="006252AD" w:rsidRPr="006252AD" w:rsidRDefault="006252AD" w:rsidP="006252AD">
            <w:pPr>
              <w:spacing w:line="276" w:lineRule="auto"/>
              <w:jc w:val="both"/>
              <w:rPr>
                <w:rFonts w:ascii="Arial" w:eastAsia="Times New Roman" w:hAnsi="Arial" w:cs="Arial"/>
                <w:color w:val="000000"/>
                <w:lang w:val="en-IE" w:eastAsia="en-IE"/>
              </w:rPr>
            </w:pPr>
          </w:p>
          <w:p w14:paraId="684832EC" w14:textId="77777777" w:rsidR="006252AD" w:rsidRPr="006252AD" w:rsidRDefault="006252AD" w:rsidP="006252AD">
            <w:pPr>
              <w:spacing w:line="276" w:lineRule="auto"/>
              <w:jc w:val="both"/>
              <w:rPr>
                <w:rFonts w:ascii="Arial" w:eastAsia="Times New Roman" w:hAnsi="Arial" w:cs="Arial"/>
                <w:color w:val="000000"/>
                <w:lang w:val="en-IE" w:eastAsia="en-IE"/>
              </w:rPr>
            </w:pPr>
            <w:r w:rsidRPr="006252AD">
              <w:rPr>
                <w:rFonts w:ascii="Arial" w:eastAsia="Times New Roman" w:hAnsi="Arial" w:cs="Arial"/>
                <w:color w:val="000000"/>
                <w:lang w:val="en-IE" w:eastAsia="en-IE"/>
              </w:rPr>
              <w:t xml:space="preserve">For </w:t>
            </w:r>
            <w:r w:rsidRPr="006252AD">
              <w:rPr>
                <w:rFonts w:ascii="Arial" w:eastAsia="Times New Roman" w:hAnsi="Arial" w:cs="Arial"/>
                <w:b/>
                <w:bCs/>
                <w:color w:val="000000"/>
                <w:lang w:val="en-IE" w:eastAsia="en-IE"/>
              </w:rPr>
              <w:t>144A securities</w:t>
            </w:r>
            <w:r w:rsidRPr="006252AD">
              <w:rPr>
                <w:rFonts w:ascii="Arial" w:eastAsia="Times New Roman" w:hAnsi="Arial" w:cs="Arial"/>
                <w:color w:val="000000"/>
                <w:lang w:val="en-IE" w:eastAsia="en-IE"/>
              </w:rPr>
              <w:t xml:space="preserve">, depending on the strategy of the UCITS, a UCITS can invest up to 100% in Rule 144A securities </w:t>
            </w:r>
            <w:r w:rsidRPr="006252AD">
              <w:rPr>
                <w:rFonts w:ascii="Arial" w:eastAsia="Times New Roman" w:hAnsi="Arial" w:cs="Arial"/>
                <w:color w:val="000000"/>
                <w:lang w:val="en-IE" w:eastAsia="en-IE"/>
              </w:rPr>
              <w:lastRenderedPageBreak/>
              <w:t xml:space="preserve">subject to the usual UCITS diversification limits on the basis that the Rule 144A securities satisfy the definition of a transferable security.  </w:t>
            </w:r>
          </w:p>
          <w:p w14:paraId="34FF1C98" w14:textId="77777777" w:rsidR="00B33432" w:rsidRPr="006252AD" w:rsidRDefault="00B33432" w:rsidP="00B33432">
            <w:pPr>
              <w:spacing w:after="250" w:line="276" w:lineRule="auto"/>
              <w:jc w:val="both"/>
              <w:rPr>
                <w:rFonts w:ascii="Arial" w:hAnsi="Arial" w:cs="Arial"/>
                <w:color w:val="181818"/>
              </w:rPr>
            </w:pPr>
          </w:p>
        </w:tc>
        <w:tc>
          <w:tcPr>
            <w:tcW w:w="1706" w:type="dxa"/>
          </w:tcPr>
          <w:p w14:paraId="2FCDA960" w14:textId="77777777" w:rsidR="006252AD" w:rsidRPr="006252AD" w:rsidRDefault="006252AD" w:rsidP="006252AD">
            <w:pPr>
              <w:spacing w:line="276" w:lineRule="auto"/>
              <w:jc w:val="both"/>
              <w:rPr>
                <w:rFonts w:ascii="Arial" w:eastAsia="Times New Roman" w:hAnsi="Arial" w:cs="Arial"/>
                <w:color w:val="000000"/>
                <w:lang w:val="en-IE" w:eastAsia="en-IE"/>
              </w:rPr>
            </w:pPr>
            <w:r w:rsidRPr="006252AD">
              <w:rPr>
                <w:rFonts w:ascii="Arial" w:eastAsia="Times New Roman" w:hAnsi="Arial" w:cs="Arial"/>
                <w:lang w:val="en-IE" w:eastAsia="en-IE"/>
              </w:rPr>
              <w:lastRenderedPageBreak/>
              <w:t>In considering,</w:t>
            </w:r>
            <w:r w:rsidRPr="006252AD">
              <w:rPr>
                <w:rFonts w:ascii="Arial" w:eastAsia="Times New Roman" w:hAnsi="Arial" w:cs="Arial"/>
                <w:b/>
                <w:bCs/>
                <w:lang w:val="en-IE" w:eastAsia="en-IE"/>
              </w:rPr>
              <w:t xml:space="preserve"> Closed ended </w:t>
            </w:r>
            <w:proofErr w:type="spellStart"/>
            <w:r w:rsidRPr="006252AD">
              <w:rPr>
                <w:rFonts w:ascii="Arial" w:eastAsia="Times New Roman" w:hAnsi="Arial" w:cs="Arial"/>
                <w:b/>
                <w:bCs/>
                <w:lang w:val="en-IE" w:eastAsia="en-IE"/>
              </w:rPr>
              <w:t>unds</w:t>
            </w:r>
            <w:proofErr w:type="spellEnd"/>
            <w:r w:rsidRPr="006252AD">
              <w:rPr>
                <w:rFonts w:ascii="Arial" w:eastAsia="Times New Roman" w:hAnsi="Arial" w:cs="Arial"/>
                <w:b/>
                <w:bCs/>
                <w:lang w:val="en-IE" w:eastAsia="en-IE"/>
              </w:rPr>
              <w:t>,</w:t>
            </w:r>
            <w:r w:rsidRPr="006252AD">
              <w:rPr>
                <w:rFonts w:ascii="Arial" w:eastAsia="Times New Roman" w:hAnsi="Arial" w:cs="Arial"/>
                <w:lang w:val="en-IE" w:eastAsia="en-IE"/>
              </w:rPr>
              <w:t xml:space="preserve"> g</w:t>
            </w:r>
            <w:r w:rsidRPr="006252AD">
              <w:rPr>
                <w:rFonts w:ascii="Arial" w:eastAsia="Times New Roman" w:hAnsi="Arial" w:cs="Arial"/>
                <w:color w:val="000000" w:themeColor="text1"/>
                <w:lang w:val="en-IE" w:eastAsia="en-IE"/>
              </w:rPr>
              <w:t xml:space="preserve">iven the (potential) liquidity profile of this asset class it would appear to be a suitable investment class for a UCITS both directly and indirectly, (i.e. their liquidity does not compromise the ability of the UCITS to comply with Article 37 of Directive 85/611/EEC, valuation reliability and safekeeping). This asset type (or at least </w:t>
            </w:r>
            <w:r w:rsidRPr="006252AD">
              <w:rPr>
                <w:rFonts w:ascii="Arial" w:eastAsia="Times New Roman" w:hAnsi="Arial" w:cs="Arial"/>
                <w:color w:val="000000" w:themeColor="text1"/>
                <w:lang w:val="en-IE" w:eastAsia="en-IE"/>
              </w:rPr>
              <w:lastRenderedPageBreak/>
              <w:t>certain assets within this class) would appear to currently meet the definition of transferable security.</w:t>
            </w:r>
          </w:p>
          <w:p w14:paraId="6D072C0D" w14:textId="77777777" w:rsidR="00B33432" w:rsidRPr="006252AD" w:rsidRDefault="00B33432" w:rsidP="00B33432">
            <w:pPr>
              <w:spacing w:after="250" w:line="276" w:lineRule="auto"/>
              <w:jc w:val="both"/>
              <w:rPr>
                <w:rFonts w:ascii="Arial" w:hAnsi="Arial" w:cs="Arial"/>
                <w:color w:val="181818"/>
              </w:rPr>
            </w:pPr>
          </w:p>
        </w:tc>
      </w:tr>
    </w:tbl>
    <w:p w14:paraId="74F804F9" w14:textId="77777777" w:rsidR="006252AD" w:rsidRDefault="006252AD">
      <w:pPr>
        <w:rPr>
          <w:rFonts w:ascii="Arial" w:hAnsi="Arial" w:cs="Arial"/>
          <w:b/>
          <w:bCs/>
        </w:rPr>
      </w:pPr>
    </w:p>
    <w:p w14:paraId="1EAECB42" w14:textId="6E08E34B" w:rsidR="00A04D65" w:rsidRPr="00A04D65" w:rsidRDefault="00A04D65">
      <w:pPr>
        <w:rPr>
          <w:rFonts w:ascii="Arial" w:hAnsi="Arial" w:cs="Arial"/>
          <w:b/>
          <w:bCs/>
        </w:rPr>
      </w:pPr>
      <w:r w:rsidRPr="00A04D65">
        <w:rPr>
          <w:rFonts w:ascii="Arial" w:hAnsi="Arial" w:cs="Arial"/>
          <w:b/>
          <w:bCs/>
        </w:rPr>
        <w:t>Appendix 1</w:t>
      </w:r>
    </w:p>
    <w:p w14:paraId="4101A678" w14:textId="74490C1C" w:rsidR="00A04D65" w:rsidRPr="00A04D65" w:rsidRDefault="00A04D65" w:rsidP="00A04D65">
      <w:pPr>
        <w:spacing w:after="0" w:line="276" w:lineRule="auto"/>
        <w:jc w:val="center"/>
        <w:rPr>
          <w:rFonts w:ascii="Arial" w:eastAsiaTheme="minorEastAsia" w:hAnsi="Arial" w:cs="Arial"/>
          <w:lang w:val="en-US"/>
        </w:rPr>
      </w:pPr>
      <w:r w:rsidRPr="00A04D65">
        <w:rPr>
          <w:rFonts w:ascii="Arial" w:eastAsiaTheme="minorEastAsia" w:hAnsi="Arial" w:cs="Arial"/>
          <w:noProof/>
          <w:lang w:val="en-US"/>
        </w:rPr>
        <w:drawing>
          <wp:inline distT="0" distB="0" distL="0" distR="0" wp14:anchorId="642A2CB2" wp14:editId="1DFFAAD2">
            <wp:extent cx="4476750" cy="3225800"/>
            <wp:effectExtent l="0" t="0" r="0" b="0"/>
            <wp:docPr id="4" name="Picture 4" descr="A screenshot of a char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hart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6750" cy="3225800"/>
                    </a:xfrm>
                    <a:prstGeom prst="rect">
                      <a:avLst/>
                    </a:prstGeom>
                    <a:noFill/>
                    <a:ln>
                      <a:noFill/>
                    </a:ln>
                  </pic:spPr>
                </pic:pic>
              </a:graphicData>
            </a:graphic>
          </wp:inline>
        </w:drawing>
      </w:r>
    </w:p>
    <w:p w14:paraId="6890E701" w14:textId="77777777" w:rsidR="00A04D65" w:rsidRDefault="00A04D65"/>
    <w:p w14:paraId="51CCCB5C" w14:textId="78DDECBF" w:rsidR="00BB31FC" w:rsidRPr="006252AD" w:rsidRDefault="00BB31FC">
      <w:pPr>
        <w:rPr>
          <w:rFonts w:ascii="Arial" w:hAnsi="Arial" w:cs="Arial"/>
          <w:b/>
          <w:bCs/>
        </w:rPr>
      </w:pPr>
      <w:r w:rsidRPr="006252AD">
        <w:rPr>
          <w:rFonts w:ascii="Arial" w:hAnsi="Arial" w:cs="Arial"/>
          <w:b/>
          <w:bCs/>
        </w:rPr>
        <w:t>Appendix 2</w:t>
      </w:r>
      <w:r w:rsidRPr="006252AD">
        <w:rPr>
          <w:rStyle w:val="FootnoteReference"/>
          <w:rFonts w:ascii="Arial" w:hAnsi="Arial" w:cs="Arial"/>
          <w:b/>
          <w:bCs/>
        </w:rPr>
        <w:footnoteReference w:id="52"/>
      </w:r>
    </w:p>
    <w:p w14:paraId="0D3B94CE" w14:textId="662DC963" w:rsidR="00BB31FC" w:rsidRDefault="00BB31FC" w:rsidP="006252AD">
      <w:pPr>
        <w:jc w:val="center"/>
      </w:pPr>
      <w:r>
        <w:rPr>
          <w:noProof/>
        </w:rPr>
        <w:drawing>
          <wp:inline distT="0" distB="0" distL="0" distR="0" wp14:anchorId="0593D733" wp14:editId="13B37926">
            <wp:extent cx="3853180" cy="1314450"/>
            <wp:effectExtent l="0" t="0" r="0" b="0"/>
            <wp:docPr id="1693832822" name="Picture 4" descr="A screenshot of a black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832822" name="Picture 4" descr="A screenshot of a black screen&#10;&#10;Description automatically generated"/>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53180" cy="1314450"/>
                    </a:xfrm>
                    <a:prstGeom prst="rect">
                      <a:avLst/>
                    </a:prstGeom>
                    <a:noFill/>
                    <a:ln>
                      <a:noFill/>
                    </a:ln>
                  </pic:spPr>
                </pic:pic>
              </a:graphicData>
            </a:graphic>
          </wp:inline>
        </w:drawing>
      </w:r>
    </w:p>
    <w:p w14:paraId="2FF30ED5" w14:textId="77777777" w:rsidR="006252AD" w:rsidRDefault="006252AD"/>
    <w:p w14:paraId="26B79C8E" w14:textId="77777777" w:rsidR="006252AD" w:rsidRDefault="006252AD"/>
    <w:p w14:paraId="5D183ECA" w14:textId="77777777" w:rsidR="006252AD" w:rsidRDefault="006252AD"/>
    <w:p w14:paraId="2222369F" w14:textId="77777777" w:rsidR="006252AD" w:rsidRDefault="006252AD"/>
    <w:p w14:paraId="3C982167" w14:textId="77777777" w:rsidR="006252AD" w:rsidRDefault="006252AD"/>
    <w:p w14:paraId="696F7B44" w14:textId="77777777" w:rsidR="006252AD" w:rsidRDefault="006252AD"/>
    <w:p w14:paraId="3C6C3779" w14:textId="77777777" w:rsidR="006252AD" w:rsidRDefault="006252AD"/>
    <w:p w14:paraId="26FFC64F" w14:textId="6F7212B7" w:rsidR="006252AD" w:rsidRPr="006252AD" w:rsidRDefault="006252AD">
      <w:pPr>
        <w:rPr>
          <w:rFonts w:ascii="Arial" w:hAnsi="Arial" w:cs="Arial"/>
          <w:b/>
          <w:bCs/>
        </w:rPr>
      </w:pPr>
      <w:r w:rsidRPr="006252AD">
        <w:rPr>
          <w:rFonts w:ascii="Arial" w:hAnsi="Arial" w:cs="Arial"/>
          <w:b/>
          <w:bCs/>
        </w:rPr>
        <w:t>Appendix 3</w:t>
      </w:r>
    </w:p>
    <w:p w14:paraId="09B915FB" w14:textId="77777777" w:rsidR="006252AD" w:rsidRPr="006252AD" w:rsidRDefault="006252AD" w:rsidP="006252AD">
      <w:pPr>
        <w:spacing w:after="0" w:line="276" w:lineRule="auto"/>
        <w:jc w:val="both"/>
        <w:rPr>
          <w:rFonts w:ascii="Arial" w:eastAsia="Times New Roman" w:hAnsi="Arial" w:cs="Arial"/>
          <w:color w:val="000000"/>
          <w:lang w:val="en-IE" w:eastAsia="en-IE"/>
        </w:rPr>
      </w:pPr>
    </w:p>
    <w:p w14:paraId="1C8CF1E3" w14:textId="38DFC930" w:rsidR="006252AD" w:rsidRPr="006252AD" w:rsidRDefault="006252AD" w:rsidP="006252AD">
      <w:pPr>
        <w:spacing w:after="0" w:line="276" w:lineRule="auto"/>
        <w:jc w:val="center"/>
        <w:rPr>
          <w:rFonts w:ascii="Arial" w:eastAsia="Times New Roman" w:hAnsi="Arial" w:cs="Arial"/>
          <w:b/>
          <w:bCs/>
          <w:color w:val="000000"/>
          <w:lang w:val="en-IE" w:eastAsia="en-IE"/>
        </w:rPr>
      </w:pPr>
      <w:r w:rsidRPr="006252AD">
        <w:rPr>
          <w:rFonts w:ascii="Arial" w:eastAsia="Times New Roman" w:hAnsi="Arial" w:cs="Arial"/>
          <w:b/>
          <w:noProof/>
          <w:color w:val="000000"/>
          <w:lang w:val="en-IE" w:eastAsia="en-IE"/>
        </w:rPr>
        <w:drawing>
          <wp:inline distT="0" distB="0" distL="0" distR="0" wp14:anchorId="3A3225AD" wp14:editId="41E99401">
            <wp:extent cx="2260600" cy="952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0600" cy="95250"/>
                    </a:xfrm>
                    <a:prstGeom prst="rect">
                      <a:avLst/>
                    </a:prstGeom>
                    <a:noFill/>
                    <a:ln>
                      <a:noFill/>
                    </a:ln>
                  </pic:spPr>
                </pic:pic>
              </a:graphicData>
            </a:graphic>
          </wp:inline>
        </w:drawing>
      </w:r>
    </w:p>
    <w:p w14:paraId="662851AD" w14:textId="5C609B4F" w:rsidR="006252AD" w:rsidRDefault="006252AD" w:rsidP="006252AD">
      <w:pPr>
        <w:spacing w:after="0" w:line="276" w:lineRule="auto"/>
        <w:jc w:val="center"/>
        <w:rPr>
          <w:rFonts w:ascii="Arial" w:eastAsia="Times New Roman" w:hAnsi="Arial" w:cs="Arial"/>
          <w:b/>
          <w:bCs/>
          <w:color w:val="000000"/>
          <w:lang w:val="en-IE" w:eastAsia="en-IE"/>
        </w:rPr>
      </w:pPr>
      <w:r w:rsidRPr="006252AD">
        <w:rPr>
          <w:rFonts w:ascii="Arial" w:eastAsia="Times New Roman" w:hAnsi="Arial" w:cs="Arial"/>
          <w:b/>
          <w:noProof/>
          <w:color w:val="000000"/>
          <w:lang w:val="en-IE" w:eastAsia="en-IE"/>
        </w:rPr>
        <w:drawing>
          <wp:inline distT="0" distB="0" distL="0" distR="0" wp14:anchorId="30DC2D0D" wp14:editId="0BC9EB9D">
            <wp:extent cx="984250" cy="1270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4250" cy="127000"/>
                    </a:xfrm>
                    <a:prstGeom prst="rect">
                      <a:avLst/>
                    </a:prstGeom>
                    <a:noFill/>
                    <a:ln>
                      <a:noFill/>
                    </a:ln>
                  </pic:spPr>
                </pic:pic>
              </a:graphicData>
            </a:graphic>
          </wp:inline>
        </w:drawing>
      </w:r>
    </w:p>
    <w:p w14:paraId="4809E00F" w14:textId="77777777" w:rsidR="006252AD" w:rsidRPr="006252AD" w:rsidRDefault="006252AD" w:rsidP="006252AD">
      <w:pPr>
        <w:spacing w:after="0" w:line="276" w:lineRule="auto"/>
        <w:jc w:val="center"/>
        <w:rPr>
          <w:rFonts w:ascii="Arial" w:eastAsia="Times New Roman" w:hAnsi="Arial" w:cs="Arial"/>
          <w:b/>
          <w:bCs/>
          <w:color w:val="000000"/>
          <w:lang w:val="en-IE" w:eastAsia="en-IE"/>
        </w:rPr>
      </w:pPr>
    </w:p>
    <w:p w14:paraId="49F2348C" w14:textId="08BD903F" w:rsidR="006252AD" w:rsidRDefault="006252AD" w:rsidP="006252AD">
      <w:pPr>
        <w:jc w:val="center"/>
      </w:pPr>
      <w:r>
        <w:rPr>
          <w:noProof/>
        </w:rPr>
        <w:drawing>
          <wp:inline distT="0" distB="0" distL="0" distR="0" wp14:anchorId="6B537A94" wp14:editId="7C927AB8">
            <wp:extent cx="2721610" cy="1631315"/>
            <wp:effectExtent l="0" t="0" r="0" b="0"/>
            <wp:docPr id="701333139" name="Picture 7" descr="A graph with numbers and a number of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333139" name="Picture 7" descr="A graph with numbers and a number of numbers&#10;&#10;Description automatically generated with medium confidence"/>
                    <pic:cNvPicPr>
                      <a:picLocks noChangeAspect="1"/>
                    </pic:cNvPicPr>
                  </pic:nvPicPr>
                  <pic:blipFill rotWithShape="1">
                    <a:blip r:embed="rId17">
                      <a:extLst>
                        <a:ext uri="{28A0092B-C50C-407E-A947-70E740481C1C}">
                          <a14:useLocalDpi xmlns:a14="http://schemas.microsoft.com/office/drawing/2010/main" val="0"/>
                        </a:ext>
                      </a:extLst>
                    </a:blip>
                    <a:srcRect l="-1" t="2110" r="-2924" b="-1"/>
                    <a:stretch/>
                  </pic:blipFill>
                  <pic:spPr bwMode="auto">
                    <a:xfrm>
                      <a:off x="0" y="0"/>
                      <a:ext cx="2721610" cy="1631315"/>
                    </a:xfrm>
                    <a:prstGeom prst="rect">
                      <a:avLst/>
                    </a:prstGeom>
                    <a:noFill/>
                    <a:ln>
                      <a:noFill/>
                    </a:ln>
                    <a:extLst>
                      <a:ext uri="{53640926-AAD7-44D8-BBD7-CCE9431645EC}">
                        <a14:shadowObscured xmlns:a14="http://schemas.microsoft.com/office/drawing/2010/main"/>
                      </a:ext>
                    </a:extLst>
                  </pic:spPr>
                </pic:pic>
              </a:graphicData>
            </a:graphic>
          </wp:inline>
        </w:drawing>
      </w:r>
    </w:p>
    <w:p w14:paraId="27FE8BE4" w14:textId="77777777" w:rsidR="006252AD" w:rsidRDefault="006252AD"/>
    <w:p w14:paraId="63849DA5" w14:textId="043BFA60" w:rsidR="006252AD" w:rsidRDefault="006252AD">
      <w:pPr>
        <w:rPr>
          <w:rFonts w:ascii="Arial" w:hAnsi="Arial" w:cs="Arial"/>
          <w:b/>
          <w:bCs/>
        </w:rPr>
      </w:pPr>
      <w:r w:rsidRPr="006252AD">
        <w:rPr>
          <w:rFonts w:ascii="Arial" w:hAnsi="Arial" w:cs="Arial"/>
          <w:b/>
          <w:bCs/>
        </w:rPr>
        <w:t>Appendix 4</w:t>
      </w:r>
    </w:p>
    <w:p w14:paraId="07A8325C" w14:textId="77777777" w:rsidR="006252AD" w:rsidRPr="006252AD" w:rsidRDefault="006252AD">
      <w:pPr>
        <w:rPr>
          <w:rFonts w:ascii="Arial" w:hAnsi="Arial" w:cs="Arial"/>
          <w:b/>
          <w:bCs/>
        </w:rPr>
      </w:pPr>
    </w:p>
    <w:p w14:paraId="08956865" w14:textId="092961C3" w:rsidR="006252AD" w:rsidRPr="006252AD" w:rsidRDefault="006252AD" w:rsidP="006252AD">
      <w:pPr>
        <w:spacing w:after="0" w:line="276" w:lineRule="auto"/>
        <w:jc w:val="center"/>
        <w:rPr>
          <w:rFonts w:ascii="Arial" w:eastAsia="Times New Roman" w:hAnsi="Arial" w:cs="Arial"/>
          <w:b/>
          <w:bCs/>
          <w:color w:val="000000"/>
          <w:lang w:val="en-IE" w:eastAsia="en-IE"/>
        </w:rPr>
      </w:pPr>
      <w:r w:rsidRPr="006252AD">
        <w:rPr>
          <w:rFonts w:ascii="Arial" w:eastAsia="Times New Roman" w:hAnsi="Arial" w:cs="Arial"/>
          <w:b/>
          <w:noProof/>
          <w:color w:val="000000"/>
          <w:lang w:val="en-IE" w:eastAsia="en-IE"/>
        </w:rPr>
        <w:drawing>
          <wp:inline distT="0" distB="0" distL="0" distR="0" wp14:anchorId="6482CA3D" wp14:editId="23AB996B">
            <wp:extent cx="1720850" cy="2032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20850" cy="203200"/>
                    </a:xfrm>
                    <a:prstGeom prst="rect">
                      <a:avLst/>
                    </a:prstGeom>
                    <a:noFill/>
                    <a:ln>
                      <a:noFill/>
                    </a:ln>
                  </pic:spPr>
                </pic:pic>
              </a:graphicData>
            </a:graphic>
          </wp:inline>
        </w:drawing>
      </w:r>
    </w:p>
    <w:p w14:paraId="7DDA0DF6" w14:textId="31C76F5D" w:rsidR="006252AD" w:rsidRDefault="006252AD" w:rsidP="006252AD">
      <w:pPr>
        <w:jc w:val="center"/>
      </w:pPr>
      <w:r>
        <w:rPr>
          <w:noProof/>
        </w:rPr>
        <w:drawing>
          <wp:inline distT="0" distB="0" distL="0" distR="0" wp14:anchorId="4B08113C" wp14:editId="0F8A0B75">
            <wp:extent cx="2855595" cy="1533525"/>
            <wp:effectExtent l="0" t="0" r="0" b="0"/>
            <wp:docPr id="979174015" name="Picture 5" descr="A graph of numbers and a number of colum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174015" name="Picture 5" descr="A graph of numbers and a number of columns&#10;&#10;Description automatically generated with medium confidence"/>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5595" cy="1533525"/>
                    </a:xfrm>
                    <a:prstGeom prst="rect">
                      <a:avLst/>
                    </a:prstGeom>
                    <a:noFill/>
                    <a:ln>
                      <a:noFill/>
                    </a:ln>
                  </pic:spPr>
                </pic:pic>
              </a:graphicData>
            </a:graphic>
          </wp:inline>
        </w:drawing>
      </w:r>
    </w:p>
    <w:sectPr w:rsidR="006252AD">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2771B" w14:textId="77777777" w:rsidR="00C365B4" w:rsidRDefault="00C365B4" w:rsidP="00B33432">
      <w:pPr>
        <w:spacing w:after="0" w:line="240" w:lineRule="auto"/>
      </w:pPr>
      <w:r>
        <w:separator/>
      </w:r>
    </w:p>
  </w:endnote>
  <w:endnote w:type="continuationSeparator" w:id="0">
    <w:p w14:paraId="75EE4071" w14:textId="77777777" w:rsidR="00C365B4" w:rsidRDefault="00C365B4" w:rsidP="00B33432">
      <w:pPr>
        <w:spacing w:after="0" w:line="240" w:lineRule="auto"/>
      </w:pPr>
      <w:r>
        <w:continuationSeparator/>
      </w:r>
    </w:p>
  </w:endnote>
  <w:endnote w:type="continuationNotice" w:id="1">
    <w:p w14:paraId="22DD8C81" w14:textId="77777777" w:rsidR="00C365B4" w:rsidRDefault="00C365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B57A6" w14:textId="77777777" w:rsidR="00C365B4" w:rsidRDefault="00C365B4" w:rsidP="00B33432">
      <w:pPr>
        <w:spacing w:after="0" w:line="240" w:lineRule="auto"/>
      </w:pPr>
      <w:r>
        <w:separator/>
      </w:r>
    </w:p>
  </w:footnote>
  <w:footnote w:type="continuationSeparator" w:id="0">
    <w:p w14:paraId="128651FB" w14:textId="77777777" w:rsidR="00C365B4" w:rsidRDefault="00C365B4" w:rsidP="00B33432">
      <w:pPr>
        <w:spacing w:after="0" w:line="240" w:lineRule="auto"/>
      </w:pPr>
      <w:r>
        <w:continuationSeparator/>
      </w:r>
    </w:p>
  </w:footnote>
  <w:footnote w:type="continuationNotice" w:id="1">
    <w:p w14:paraId="1967645F" w14:textId="77777777" w:rsidR="00C365B4" w:rsidRDefault="00C365B4">
      <w:pPr>
        <w:spacing w:after="0" w:line="240" w:lineRule="auto"/>
      </w:pPr>
    </w:p>
  </w:footnote>
  <w:footnote w:id="2">
    <w:p w14:paraId="53A506E4" w14:textId="77777777" w:rsidR="00B33432" w:rsidRPr="00B37CA9" w:rsidRDefault="00B33432" w:rsidP="00332B8C">
      <w:pPr>
        <w:pStyle w:val="FootnoteText"/>
        <w:jc w:val="both"/>
        <w:rPr>
          <w:rFonts w:ascii="Arial" w:hAnsi="Arial" w:cs="Arial"/>
          <w:sz w:val="16"/>
          <w:szCs w:val="16"/>
        </w:rPr>
      </w:pPr>
      <w:r w:rsidRPr="00B37CA9">
        <w:rPr>
          <w:rStyle w:val="Ref1"/>
          <w:rFonts w:cs="Arial"/>
          <w:szCs w:val="16"/>
        </w:rPr>
        <w:footnoteRef/>
      </w:r>
      <w:r w:rsidRPr="00B37CA9">
        <w:rPr>
          <w:rFonts w:ascii="Arial" w:hAnsi="Arial" w:cs="Arial"/>
          <w:sz w:val="16"/>
          <w:szCs w:val="16"/>
        </w:rPr>
        <w:t xml:space="preserve"> ESMA acknowledges that most of the asset classes listed below have not been clearly defined in EU legislation and this might be a source of divergent interpretations and misunderstandings. Where possible, ESMA invites stakeholders to specify their understanding or definition of the relevant asset classes under the “additional comments” box.</w:t>
      </w:r>
    </w:p>
  </w:footnote>
  <w:footnote w:id="3">
    <w:p w14:paraId="5DF96E01" w14:textId="77777777" w:rsidR="00B33432" w:rsidRPr="00B37CA9" w:rsidRDefault="00B33432" w:rsidP="00332B8C">
      <w:pPr>
        <w:pStyle w:val="FootnoteText"/>
        <w:jc w:val="both"/>
        <w:rPr>
          <w:rFonts w:ascii="Arial" w:hAnsi="Arial" w:cs="Arial"/>
          <w:sz w:val="16"/>
          <w:szCs w:val="16"/>
        </w:rPr>
      </w:pPr>
      <w:r w:rsidRPr="00B37CA9">
        <w:rPr>
          <w:rStyle w:val="Ref1"/>
          <w:rFonts w:cs="Arial"/>
          <w:szCs w:val="16"/>
        </w:rPr>
        <w:footnoteRef/>
      </w:r>
      <w:r w:rsidRPr="00B37CA9">
        <w:rPr>
          <w:rFonts w:ascii="Arial" w:hAnsi="Arial" w:cs="Arial"/>
          <w:sz w:val="16"/>
          <w:szCs w:val="16"/>
        </w:rPr>
        <w:t xml:space="preserve"> Where relevant, please distinguish between indirect exposures via instruments such as delta-one instruments, exchange-traded products, derivatives, or AIFs (EU or non-EU). </w:t>
      </w:r>
    </w:p>
  </w:footnote>
  <w:footnote w:id="4">
    <w:p w14:paraId="0C264AC6" w14:textId="77777777" w:rsidR="00B33432" w:rsidRPr="00B37CA9" w:rsidRDefault="00B33432" w:rsidP="00332B8C">
      <w:pPr>
        <w:pStyle w:val="FootnoteText"/>
        <w:jc w:val="both"/>
        <w:rPr>
          <w:rFonts w:ascii="Arial" w:hAnsi="Arial" w:cs="Arial"/>
          <w:sz w:val="16"/>
          <w:szCs w:val="16"/>
        </w:rPr>
      </w:pPr>
      <w:r w:rsidRPr="00B37CA9">
        <w:rPr>
          <w:rStyle w:val="Ref1"/>
          <w:rFonts w:cs="Arial"/>
          <w:szCs w:val="16"/>
        </w:rPr>
        <w:footnoteRef/>
      </w:r>
      <w:r w:rsidRPr="00B37CA9">
        <w:rPr>
          <w:rFonts w:ascii="Arial" w:hAnsi="Arial" w:cs="Arial"/>
          <w:sz w:val="16"/>
          <w:szCs w:val="16"/>
        </w:rPr>
        <w:t xml:space="preserve"> Please share any available data or estimates that help to assess the amount or extent to which there are existing UCITS exposures (distinguishing between direct and indirect, where possible) to these asset classes. Where no reliable data is available, ESMA would appreciate receiving estimates in terms of numbers and/or percentages of UCITS exposed to these asset classes and what is the average proportion in the relevant portfolios. Any additional data and insights on strategies, techniques and instruments used to gain exposure to these asset classes would be also highly appreciated.</w:t>
      </w:r>
    </w:p>
  </w:footnote>
  <w:footnote w:id="5">
    <w:p w14:paraId="5718C342" w14:textId="77777777" w:rsidR="00B33432" w:rsidRPr="00B37CA9" w:rsidRDefault="00B33432" w:rsidP="00332B8C">
      <w:pPr>
        <w:pStyle w:val="FootnoteText"/>
        <w:jc w:val="both"/>
        <w:rPr>
          <w:rFonts w:ascii="Arial" w:hAnsi="Arial" w:cs="Arial"/>
          <w:sz w:val="16"/>
          <w:szCs w:val="16"/>
        </w:rPr>
      </w:pPr>
      <w:r w:rsidRPr="00B37CA9">
        <w:rPr>
          <w:rStyle w:val="Ref1"/>
          <w:rFonts w:cs="Arial"/>
          <w:szCs w:val="16"/>
        </w:rPr>
        <w:footnoteRef/>
      </w:r>
      <w:r w:rsidRPr="00B37CA9">
        <w:rPr>
          <w:rFonts w:ascii="Arial" w:hAnsi="Arial" w:cs="Arial"/>
          <w:sz w:val="16"/>
          <w:szCs w:val="16"/>
        </w:rPr>
        <w:t xml:space="preserve"> Please include under this column any other evidence or views that you would like to share. </w:t>
      </w:r>
    </w:p>
  </w:footnote>
  <w:footnote w:id="6">
    <w:p w14:paraId="34D4CF9B" w14:textId="77777777" w:rsidR="00B33432" w:rsidRPr="00B37CA9" w:rsidRDefault="00B33432" w:rsidP="00332B8C">
      <w:pPr>
        <w:pStyle w:val="FootnoteText"/>
        <w:jc w:val="both"/>
        <w:rPr>
          <w:rFonts w:ascii="Arial" w:hAnsi="Arial" w:cs="Arial"/>
          <w:sz w:val="16"/>
          <w:szCs w:val="16"/>
        </w:rPr>
      </w:pPr>
      <w:r w:rsidRPr="00B37CA9">
        <w:rPr>
          <w:rStyle w:val="Ref1"/>
          <w:rFonts w:cs="Arial"/>
          <w:szCs w:val="16"/>
        </w:rPr>
        <w:footnoteRef/>
      </w:r>
      <w:r w:rsidRPr="00B37CA9">
        <w:rPr>
          <w:rFonts w:ascii="Arial" w:hAnsi="Arial" w:cs="Arial"/>
          <w:sz w:val="16"/>
          <w:szCs w:val="16"/>
        </w:rPr>
        <w:t xml:space="preserve"> Where relevant, please distinguish between leveraged/structured loans, collateralised loan obligations (CLOs) and other types of loans or loan participations (please specify).</w:t>
      </w:r>
    </w:p>
  </w:footnote>
  <w:footnote w:id="7">
    <w:p w14:paraId="5677EFED" w14:textId="77777777" w:rsidR="004F77AE" w:rsidRPr="00B37CA9" w:rsidRDefault="004F77AE" w:rsidP="004F77AE">
      <w:pPr>
        <w:spacing w:after="0" w:line="240" w:lineRule="auto"/>
        <w:jc w:val="both"/>
        <w:rPr>
          <w:rFonts w:ascii="Arial" w:eastAsia="Times New Roman" w:hAnsi="Arial" w:cs="Arial"/>
          <w:i/>
          <w:iCs/>
          <w:sz w:val="16"/>
          <w:szCs w:val="16"/>
          <w:lang w:val="en-US"/>
        </w:rPr>
      </w:pPr>
      <w:r w:rsidRPr="00B37CA9">
        <w:rPr>
          <w:rStyle w:val="FootnoteReference"/>
          <w:rFonts w:ascii="Arial" w:hAnsi="Arial" w:cs="Arial"/>
          <w:sz w:val="16"/>
          <w:szCs w:val="16"/>
        </w:rPr>
        <w:footnoteRef/>
      </w:r>
      <w:r w:rsidRPr="00B37CA9">
        <w:rPr>
          <w:rFonts w:ascii="Arial" w:hAnsi="Arial" w:cs="Arial"/>
          <w:sz w:val="16"/>
          <w:szCs w:val="16"/>
        </w:rPr>
        <w:t xml:space="preserve"> </w:t>
      </w:r>
      <w:r w:rsidRPr="00B37CA9">
        <w:rPr>
          <w:rFonts w:ascii="Arial" w:hAnsi="Arial" w:cs="Arial"/>
          <w:sz w:val="16"/>
          <w:szCs w:val="16"/>
        </w:rPr>
        <w:t>The data provided in relation to the extent/amount of existing UCITS exposures for each of the asset classes listed below is based on a sample of ten Irish authorized UCITS management companies with an AUM of approximately $1.3 Trillion.</w:t>
      </w:r>
      <w:r w:rsidRPr="00B37CA9">
        <w:rPr>
          <w:rFonts w:ascii="Arial" w:eastAsia="Times New Roman" w:hAnsi="Arial" w:cs="Arial"/>
          <w:i/>
          <w:iCs/>
          <w:sz w:val="16"/>
          <w:szCs w:val="16"/>
          <w:lang w:val="en-US"/>
        </w:rPr>
        <w:t xml:space="preserve"> </w:t>
      </w:r>
    </w:p>
    <w:p w14:paraId="4DFC7570" w14:textId="523C43A0" w:rsidR="004F77AE" w:rsidRPr="004F77AE" w:rsidRDefault="004F77AE">
      <w:pPr>
        <w:pStyle w:val="FootnoteText"/>
        <w:rPr>
          <w:lang w:val="en-US"/>
        </w:rPr>
      </w:pPr>
    </w:p>
  </w:footnote>
  <w:footnote w:id="8">
    <w:p w14:paraId="0D3A8654" w14:textId="77777777" w:rsidR="00A04D65" w:rsidRDefault="00A04D65" w:rsidP="00A04D65">
      <w:pPr>
        <w:pStyle w:val="FootnoteText"/>
      </w:pPr>
      <w:r>
        <w:rPr>
          <w:rStyle w:val="FootnoteReference"/>
          <w:rFonts w:cs="Arial"/>
        </w:rPr>
        <w:footnoteRef/>
      </w:r>
      <w:r w:rsidRPr="007F3C43">
        <w:rPr>
          <w:lang w:val="en-IE"/>
        </w:rPr>
        <w:t xml:space="preserve"> </w:t>
      </w:r>
      <w:hyperlink r:id="rId1" w:history="1">
        <w:r w:rsidRPr="007F3C43">
          <w:rPr>
            <w:rStyle w:val="Hyperlink"/>
            <w:rFonts w:ascii="Arial" w:hAnsi="Arial" w:cs="Arial"/>
            <w:color w:val="0070C0"/>
            <w:sz w:val="16"/>
            <w:szCs w:val="16"/>
          </w:rPr>
          <w:t>https://www.artemis.bm/dashboard/catastrophe-bonds-ils-issued-and-outstanding-by-year</w:t>
        </w:r>
      </w:hyperlink>
      <w:r w:rsidRPr="007F3C43">
        <w:rPr>
          <w:rFonts w:ascii="Arial" w:hAnsi="Arial"/>
          <w:color w:val="0070C0"/>
          <w:sz w:val="16"/>
          <w:szCs w:val="16"/>
        </w:rPr>
        <w:t xml:space="preserve"> </w:t>
      </w:r>
    </w:p>
  </w:footnote>
  <w:footnote w:id="9">
    <w:p w14:paraId="193FF61F" w14:textId="77777777" w:rsidR="00A04D65" w:rsidRPr="00B37CA9" w:rsidRDefault="00A04D65" w:rsidP="00A04D65">
      <w:pPr>
        <w:pStyle w:val="FootnoteText"/>
        <w:rPr>
          <w:rFonts w:ascii="Arial" w:hAnsi="Arial" w:cs="Arial"/>
          <w:sz w:val="16"/>
          <w:szCs w:val="16"/>
        </w:rPr>
      </w:pPr>
      <w:r w:rsidRPr="00B37CA9">
        <w:rPr>
          <w:rStyle w:val="FootnoteReference"/>
          <w:rFonts w:ascii="Arial" w:hAnsi="Arial" w:cs="Arial"/>
          <w:sz w:val="16"/>
          <w:szCs w:val="16"/>
        </w:rPr>
        <w:footnoteRef/>
      </w:r>
      <w:r w:rsidRPr="00B37CA9">
        <w:rPr>
          <w:rFonts w:ascii="Arial" w:hAnsi="Arial" w:cs="Arial"/>
          <w:sz w:val="16"/>
          <w:szCs w:val="16"/>
        </w:rPr>
        <w:t xml:space="preserve"> </w:t>
      </w:r>
      <w:hyperlink r:id="rId2" w:history="1">
        <w:r w:rsidRPr="00B37CA9">
          <w:rPr>
            <w:rStyle w:val="Hyperlink"/>
            <w:rFonts w:ascii="Arial" w:hAnsi="Arial" w:cs="Arial"/>
            <w:color w:val="0070C0"/>
            <w:sz w:val="16"/>
            <w:szCs w:val="16"/>
          </w:rPr>
          <w:t>https://www.aon.com/reinsurance/thoughtleadership/default/reinsurance-market-dynamics-april-2024</w:t>
        </w:r>
      </w:hyperlink>
      <w:r w:rsidRPr="00B37CA9">
        <w:rPr>
          <w:rFonts w:ascii="Arial" w:hAnsi="Arial" w:cs="Arial"/>
          <w:color w:val="0070C0"/>
          <w:sz w:val="16"/>
          <w:szCs w:val="16"/>
        </w:rPr>
        <w:t xml:space="preserve"> </w:t>
      </w:r>
    </w:p>
  </w:footnote>
  <w:footnote w:id="10">
    <w:p w14:paraId="45D1C02E" w14:textId="77777777" w:rsidR="00A04D65" w:rsidRPr="00B37CA9" w:rsidRDefault="00A04D65" w:rsidP="00A04D65">
      <w:pPr>
        <w:pStyle w:val="FootnoteText"/>
        <w:rPr>
          <w:rFonts w:ascii="Arial" w:hAnsi="Arial" w:cs="Arial"/>
          <w:sz w:val="16"/>
          <w:szCs w:val="16"/>
        </w:rPr>
      </w:pPr>
      <w:r w:rsidRPr="00B37CA9">
        <w:rPr>
          <w:rStyle w:val="FootnoteReference"/>
          <w:rFonts w:ascii="Arial" w:hAnsi="Arial" w:cs="Arial"/>
          <w:sz w:val="16"/>
          <w:szCs w:val="16"/>
        </w:rPr>
        <w:footnoteRef/>
      </w:r>
      <w:r w:rsidRPr="00B37CA9">
        <w:rPr>
          <w:rFonts w:ascii="Arial" w:hAnsi="Arial" w:cs="Arial"/>
          <w:sz w:val="16"/>
          <w:szCs w:val="16"/>
        </w:rPr>
        <w:t xml:space="preserve"> </w:t>
      </w:r>
      <w:hyperlink r:id="rId3" w:history="1">
        <w:r w:rsidRPr="00B37CA9">
          <w:rPr>
            <w:rStyle w:val="Hyperlink"/>
            <w:rFonts w:ascii="Arial" w:hAnsi="Arial" w:cs="Arial"/>
            <w:color w:val="0070C0"/>
            <w:sz w:val="16"/>
            <w:szCs w:val="16"/>
          </w:rPr>
          <w:t>https://www.ecb.europa.eu/pub/pdf/other/ecb.policyoptions_EIOPA~c0adae58b7.en.pdf</w:t>
        </w:r>
      </w:hyperlink>
      <w:r w:rsidRPr="00B37CA9">
        <w:rPr>
          <w:rFonts w:ascii="Arial" w:hAnsi="Arial" w:cs="Arial"/>
          <w:color w:val="0070C0"/>
          <w:sz w:val="16"/>
          <w:szCs w:val="16"/>
        </w:rPr>
        <w:t xml:space="preserve"> </w:t>
      </w:r>
    </w:p>
  </w:footnote>
  <w:footnote w:id="11">
    <w:p w14:paraId="1AC6720A" w14:textId="77777777" w:rsidR="00A04D65" w:rsidRPr="00B37CA9" w:rsidRDefault="00A04D65" w:rsidP="00A04D65">
      <w:pPr>
        <w:pStyle w:val="FootnoteText"/>
        <w:rPr>
          <w:rFonts w:ascii="Arial" w:hAnsi="Arial" w:cs="Arial"/>
          <w:sz w:val="16"/>
          <w:szCs w:val="16"/>
        </w:rPr>
      </w:pPr>
      <w:r w:rsidRPr="00B37CA9">
        <w:rPr>
          <w:rStyle w:val="FootnoteReference"/>
          <w:rFonts w:ascii="Arial" w:hAnsi="Arial" w:cs="Arial"/>
          <w:sz w:val="16"/>
          <w:szCs w:val="16"/>
        </w:rPr>
        <w:footnoteRef/>
      </w:r>
      <w:r w:rsidRPr="00B37CA9">
        <w:rPr>
          <w:rFonts w:ascii="Arial" w:hAnsi="Arial" w:cs="Arial"/>
          <w:sz w:val="16"/>
          <w:szCs w:val="16"/>
        </w:rPr>
        <w:t xml:space="preserve"> </w:t>
      </w:r>
      <w:hyperlink r:id="rId4" w:history="1">
        <w:r w:rsidRPr="00B37CA9">
          <w:rPr>
            <w:rStyle w:val="Hyperlink"/>
            <w:rFonts w:ascii="Arial" w:hAnsi="Arial" w:cs="Arial"/>
            <w:color w:val="0070C0"/>
            <w:sz w:val="16"/>
            <w:szCs w:val="16"/>
          </w:rPr>
          <w:t>https://www.sec.gov/corpfin/securities-act-rules</w:t>
        </w:r>
      </w:hyperlink>
      <w:r w:rsidRPr="00B37CA9">
        <w:rPr>
          <w:rFonts w:ascii="Arial" w:hAnsi="Arial" w:cs="Arial"/>
          <w:color w:val="0070C0"/>
          <w:sz w:val="16"/>
          <w:szCs w:val="16"/>
        </w:rPr>
        <w:t xml:space="preserve">  </w:t>
      </w:r>
    </w:p>
  </w:footnote>
  <w:footnote w:id="12">
    <w:p w14:paraId="4A11AE7E" w14:textId="77777777" w:rsidR="00A04D65" w:rsidRPr="00B37CA9" w:rsidRDefault="00A04D65" w:rsidP="00A04D65">
      <w:pPr>
        <w:pStyle w:val="FootnoteText"/>
        <w:rPr>
          <w:rFonts w:ascii="Arial" w:hAnsi="Arial" w:cs="Arial"/>
          <w:sz w:val="16"/>
          <w:szCs w:val="16"/>
        </w:rPr>
      </w:pPr>
      <w:r w:rsidRPr="00B37CA9">
        <w:rPr>
          <w:rStyle w:val="FootnoteReference"/>
          <w:rFonts w:ascii="Arial" w:hAnsi="Arial" w:cs="Arial"/>
          <w:sz w:val="16"/>
          <w:szCs w:val="16"/>
        </w:rPr>
        <w:footnoteRef/>
      </w:r>
      <w:r w:rsidRPr="00B37CA9">
        <w:rPr>
          <w:rFonts w:ascii="Arial" w:hAnsi="Arial" w:cs="Arial"/>
          <w:sz w:val="16"/>
          <w:szCs w:val="16"/>
        </w:rPr>
        <w:t xml:space="preserve"> </w:t>
      </w:r>
      <w:hyperlink r:id="rId5" w:history="1">
        <w:r w:rsidRPr="00B37CA9">
          <w:rPr>
            <w:rStyle w:val="Hyperlink"/>
            <w:rFonts w:ascii="Arial" w:hAnsi="Arial" w:cs="Arial"/>
            <w:color w:val="0070C0"/>
            <w:sz w:val="16"/>
            <w:szCs w:val="16"/>
          </w:rPr>
          <w:t>https://www.artemis.bm/dashboard/catastrophe-bonds-ils-issued-and-outstanding-by-year/</w:t>
        </w:r>
      </w:hyperlink>
      <w:r w:rsidRPr="00B37CA9">
        <w:rPr>
          <w:rFonts w:ascii="Arial" w:hAnsi="Arial" w:cs="Arial"/>
          <w:color w:val="0070C0"/>
          <w:sz w:val="16"/>
          <w:szCs w:val="16"/>
        </w:rPr>
        <w:t xml:space="preserve"> </w:t>
      </w:r>
    </w:p>
  </w:footnote>
  <w:footnote w:id="13">
    <w:p w14:paraId="235FEED8" w14:textId="0299EB9D" w:rsidR="00A04D65" w:rsidRPr="00B37CA9" w:rsidRDefault="00A04D65" w:rsidP="00A04D65">
      <w:pPr>
        <w:pStyle w:val="FootnoteText"/>
        <w:rPr>
          <w:rFonts w:ascii="Arial" w:hAnsi="Arial" w:cs="Arial"/>
          <w:sz w:val="16"/>
          <w:szCs w:val="16"/>
        </w:rPr>
      </w:pPr>
      <w:r w:rsidRPr="00B37CA9">
        <w:rPr>
          <w:rStyle w:val="FootnoteReference"/>
          <w:rFonts w:ascii="Arial" w:hAnsi="Arial" w:cs="Arial"/>
          <w:sz w:val="16"/>
          <w:szCs w:val="16"/>
        </w:rPr>
        <w:footnoteRef/>
      </w:r>
      <w:r w:rsidRPr="00B37CA9">
        <w:rPr>
          <w:rFonts w:ascii="Arial" w:hAnsi="Arial" w:cs="Arial"/>
          <w:sz w:val="16"/>
          <w:szCs w:val="16"/>
        </w:rPr>
        <w:t xml:space="preserve"> </w:t>
      </w:r>
      <w:hyperlink r:id="rId6" w:history="1">
        <w:r w:rsidRPr="00B37CA9">
          <w:rPr>
            <w:rStyle w:val="Hyperlink"/>
            <w:rFonts w:ascii="Arial" w:hAnsi="Arial" w:cs="Arial"/>
            <w:color w:val="0070C0"/>
            <w:sz w:val="16"/>
            <w:szCs w:val="16"/>
          </w:rPr>
          <w:t>https://www.artemis.bm/ucits-catastrophe-bond-fund-assets/</w:t>
        </w:r>
      </w:hyperlink>
      <w:r w:rsidRPr="00B37CA9">
        <w:rPr>
          <w:rFonts w:ascii="Arial" w:hAnsi="Arial" w:cs="Arial"/>
          <w:color w:val="0070C0"/>
          <w:sz w:val="16"/>
          <w:szCs w:val="16"/>
        </w:rPr>
        <w:t xml:space="preserve"> </w:t>
      </w:r>
    </w:p>
  </w:footnote>
  <w:footnote w:id="14">
    <w:p w14:paraId="325A8A7E" w14:textId="77777777" w:rsidR="00A04D65" w:rsidRPr="00B37CA9" w:rsidRDefault="00A04D65" w:rsidP="00A04D65">
      <w:pPr>
        <w:pStyle w:val="FootnoteText"/>
        <w:rPr>
          <w:rFonts w:ascii="Arial" w:hAnsi="Arial" w:cs="Arial"/>
          <w:sz w:val="16"/>
          <w:szCs w:val="16"/>
        </w:rPr>
      </w:pPr>
      <w:r w:rsidRPr="00B37CA9">
        <w:rPr>
          <w:rStyle w:val="FootnoteReference"/>
          <w:rFonts w:ascii="Arial" w:hAnsi="Arial" w:cs="Arial"/>
          <w:sz w:val="16"/>
          <w:szCs w:val="16"/>
        </w:rPr>
        <w:footnoteRef/>
      </w:r>
      <w:r w:rsidRPr="00B37CA9">
        <w:rPr>
          <w:rFonts w:ascii="Arial" w:hAnsi="Arial" w:cs="Arial"/>
          <w:sz w:val="16"/>
          <w:szCs w:val="16"/>
        </w:rPr>
        <w:t xml:space="preserve"> see </w:t>
      </w:r>
      <w:hyperlink r:id="rId7" w:history="1">
        <w:r w:rsidRPr="00B37CA9">
          <w:rPr>
            <w:rStyle w:val="Hyperlink"/>
            <w:rFonts w:ascii="Arial" w:hAnsi="Arial" w:cs="Arial"/>
            <w:color w:val="0070C0"/>
            <w:sz w:val="16"/>
            <w:szCs w:val="16"/>
          </w:rPr>
          <w:t>https://www.artemis.bm/dashboard/catastrophe-bonds-ils-outstanding-by-sponsor/</w:t>
        </w:r>
      </w:hyperlink>
      <w:r w:rsidRPr="00B37CA9">
        <w:rPr>
          <w:rFonts w:ascii="Arial" w:hAnsi="Arial" w:cs="Arial"/>
          <w:color w:val="0070C0"/>
          <w:sz w:val="16"/>
          <w:szCs w:val="16"/>
        </w:rPr>
        <w:t xml:space="preserve"> </w:t>
      </w:r>
    </w:p>
  </w:footnote>
  <w:footnote w:id="15">
    <w:p w14:paraId="567FDC30" w14:textId="77777777" w:rsidR="00A04D65" w:rsidRPr="00B37CA9" w:rsidRDefault="00A04D65" w:rsidP="00A04D65">
      <w:pPr>
        <w:pStyle w:val="FootnoteText"/>
        <w:rPr>
          <w:rFonts w:ascii="Arial" w:hAnsi="Arial" w:cs="Arial"/>
          <w:sz w:val="16"/>
          <w:szCs w:val="16"/>
        </w:rPr>
      </w:pPr>
      <w:r w:rsidRPr="00B37CA9">
        <w:rPr>
          <w:rStyle w:val="FootnoteReference"/>
          <w:rFonts w:ascii="Arial" w:hAnsi="Arial" w:cs="Arial"/>
          <w:sz w:val="16"/>
          <w:szCs w:val="16"/>
        </w:rPr>
        <w:footnoteRef/>
      </w:r>
      <w:r w:rsidRPr="00B37CA9">
        <w:rPr>
          <w:rFonts w:ascii="Arial" w:hAnsi="Arial" w:cs="Arial"/>
          <w:sz w:val="16"/>
          <w:szCs w:val="16"/>
        </w:rPr>
        <w:t xml:space="preserve"> see </w:t>
      </w:r>
      <w:hyperlink r:id="rId8" w:history="1">
        <w:r w:rsidRPr="00B37CA9">
          <w:rPr>
            <w:rStyle w:val="Hyperlink"/>
            <w:rFonts w:ascii="Arial" w:hAnsi="Arial" w:cs="Arial"/>
            <w:color w:val="0070C0"/>
            <w:sz w:val="16"/>
            <w:szCs w:val="16"/>
          </w:rPr>
          <w:t>https://www.artemis.bm/dashboard/catastrophe-bonds-ils-issued-and-outstanding-by-year/</w:t>
        </w:r>
      </w:hyperlink>
      <w:r w:rsidRPr="00B37CA9">
        <w:rPr>
          <w:rFonts w:ascii="Arial" w:hAnsi="Arial" w:cs="Arial"/>
          <w:color w:val="0070C0"/>
          <w:sz w:val="16"/>
          <w:szCs w:val="16"/>
        </w:rPr>
        <w:t xml:space="preserve"> </w:t>
      </w:r>
    </w:p>
  </w:footnote>
  <w:footnote w:id="16">
    <w:p w14:paraId="022F042B" w14:textId="77777777" w:rsidR="00A04D65" w:rsidRDefault="00A04D65" w:rsidP="00A04D65">
      <w:pPr>
        <w:pStyle w:val="FootnoteText"/>
      </w:pPr>
      <w:r w:rsidRPr="00B37CA9">
        <w:rPr>
          <w:rStyle w:val="FootnoteReference"/>
          <w:rFonts w:ascii="Arial" w:hAnsi="Arial" w:cs="Arial"/>
          <w:sz w:val="16"/>
          <w:szCs w:val="16"/>
        </w:rPr>
        <w:footnoteRef/>
      </w:r>
      <w:r w:rsidRPr="00B37CA9">
        <w:rPr>
          <w:rFonts w:ascii="Arial" w:hAnsi="Arial" w:cs="Arial"/>
          <w:sz w:val="16"/>
          <w:szCs w:val="16"/>
        </w:rPr>
        <w:t xml:space="preserve"> </w:t>
      </w:r>
      <w:hyperlink r:id="rId9" w:history="1">
        <w:r w:rsidRPr="00B37CA9">
          <w:rPr>
            <w:rStyle w:val="Hyperlink"/>
            <w:rFonts w:ascii="Arial" w:hAnsi="Arial" w:cs="Arial"/>
            <w:color w:val="0070C0"/>
            <w:sz w:val="16"/>
            <w:szCs w:val="16"/>
          </w:rPr>
          <w:t>https://www.artemis.bm/dashboard/cat-bonds-ils-by-risk-or-peril/</w:t>
        </w:r>
      </w:hyperlink>
      <w:r w:rsidRPr="00EE771B">
        <w:rPr>
          <w:rFonts w:ascii="Arial" w:hAnsi="Arial"/>
          <w:color w:val="0070C0"/>
          <w:sz w:val="16"/>
          <w:szCs w:val="16"/>
        </w:rPr>
        <w:t xml:space="preserve"> </w:t>
      </w:r>
    </w:p>
  </w:footnote>
  <w:footnote w:id="17">
    <w:p w14:paraId="60BF9A38" w14:textId="77777777" w:rsidR="00A04D65" w:rsidRPr="00B37CA9" w:rsidRDefault="00A04D65" w:rsidP="00A04D65">
      <w:pPr>
        <w:pStyle w:val="FootnoteText"/>
        <w:rPr>
          <w:rFonts w:ascii="Arial" w:hAnsi="Arial" w:cs="Arial"/>
          <w:sz w:val="16"/>
          <w:szCs w:val="16"/>
        </w:rPr>
      </w:pPr>
      <w:r w:rsidRPr="00B37CA9">
        <w:rPr>
          <w:rStyle w:val="FootnoteReference"/>
          <w:rFonts w:ascii="Arial" w:hAnsi="Arial" w:cs="Arial"/>
          <w:sz w:val="16"/>
          <w:szCs w:val="16"/>
        </w:rPr>
        <w:footnoteRef/>
      </w:r>
      <w:r w:rsidRPr="00B37CA9">
        <w:rPr>
          <w:rFonts w:ascii="Arial" w:hAnsi="Arial" w:cs="Arial"/>
          <w:sz w:val="16"/>
          <w:szCs w:val="16"/>
        </w:rPr>
        <w:t xml:space="preserve"> </w:t>
      </w:r>
      <w:hyperlink r:id="rId10" w:history="1">
        <w:r w:rsidRPr="00B37CA9">
          <w:rPr>
            <w:rStyle w:val="Hyperlink"/>
            <w:rFonts w:ascii="Arial" w:hAnsi="Arial" w:cs="Arial"/>
            <w:color w:val="0070C0"/>
            <w:sz w:val="16"/>
            <w:szCs w:val="16"/>
          </w:rPr>
          <w:t>https://www.swissre.com/dam/jcr:091f842a-242e-40cf-a4e8-6188bf0594e1/ils-midyear-market-update2020.pdf</w:t>
        </w:r>
      </w:hyperlink>
      <w:r w:rsidRPr="00B37CA9">
        <w:rPr>
          <w:rFonts w:ascii="Arial" w:hAnsi="Arial" w:cs="Arial"/>
          <w:color w:val="0070C0"/>
          <w:sz w:val="16"/>
          <w:szCs w:val="16"/>
        </w:rPr>
        <w:t xml:space="preserve"> </w:t>
      </w:r>
    </w:p>
  </w:footnote>
  <w:footnote w:id="18">
    <w:p w14:paraId="318C43D1" w14:textId="77777777" w:rsidR="00A04D65" w:rsidRDefault="00A04D65" w:rsidP="00A04D65">
      <w:pPr>
        <w:pStyle w:val="FootnoteText"/>
      </w:pPr>
      <w:r w:rsidRPr="00B37CA9">
        <w:rPr>
          <w:rStyle w:val="FootnoteReference"/>
          <w:rFonts w:ascii="Arial" w:hAnsi="Arial" w:cs="Arial"/>
          <w:sz w:val="16"/>
          <w:szCs w:val="16"/>
        </w:rPr>
        <w:footnoteRef/>
      </w:r>
      <w:r w:rsidRPr="00B37CA9">
        <w:rPr>
          <w:rFonts w:ascii="Arial" w:hAnsi="Arial" w:cs="Arial"/>
          <w:sz w:val="16"/>
          <w:szCs w:val="16"/>
        </w:rPr>
        <w:t xml:space="preserve"> </w:t>
      </w:r>
      <w:hyperlink r:id="rId11" w:history="1">
        <w:r w:rsidRPr="00B37CA9">
          <w:rPr>
            <w:rStyle w:val="Hyperlink"/>
            <w:rFonts w:ascii="Arial" w:hAnsi="Arial" w:cs="Arial"/>
            <w:color w:val="0070C0"/>
            <w:sz w:val="16"/>
            <w:szCs w:val="16"/>
          </w:rPr>
          <w:t>https://www.swissre.com/dam/jcr:345b8b0e-c2ea-4dad-957b-7ba20658e8e2/2023-03-sr-ils-market-insights-march.pdf</w:t>
        </w:r>
      </w:hyperlink>
      <w:r w:rsidRPr="00EE771B">
        <w:rPr>
          <w:rFonts w:ascii="Arial" w:hAnsi="Arial"/>
          <w:color w:val="0070C0"/>
          <w:sz w:val="22"/>
          <w:szCs w:val="22"/>
        </w:rPr>
        <w:t xml:space="preserve"> </w:t>
      </w:r>
    </w:p>
  </w:footnote>
  <w:footnote w:id="19">
    <w:p w14:paraId="6D1281DD" w14:textId="77777777" w:rsidR="00A04D65" w:rsidRPr="00B37CA9" w:rsidRDefault="00A04D65" w:rsidP="00A04D65">
      <w:pPr>
        <w:pStyle w:val="FootnoteText"/>
        <w:rPr>
          <w:rFonts w:ascii="Arial" w:hAnsi="Arial" w:cs="Arial"/>
          <w:sz w:val="16"/>
          <w:szCs w:val="16"/>
        </w:rPr>
      </w:pPr>
      <w:r w:rsidRPr="00B37CA9">
        <w:rPr>
          <w:rStyle w:val="FootnoteReference"/>
          <w:rFonts w:ascii="Arial" w:hAnsi="Arial" w:cs="Arial"/>
          <w:sz w:val="16"/>
          <w:szCs w:val="16"/>
        </w:rPr>
        <w:footnoteRef/>
      </w:r>
      <w:r w:rsidRPr="00B37CA9">
        <w:rPr>
          <w:rFonts w:ascii="Arial" w:hAnsi="Arial" w:cs="Arial"/>
          <w:sz w:val="16"/>
          <w:szCs w:val="16"/>
        </w:rPr>
        <w:t xml:space="preserve"> e.g., see </w:t>
      </w:r>
      <w:hyperlink r:id="rId12" w:history="1">
        <w:r w:rsidRPr="00B37CA9">
          <w:rPr>
            <w:rStyle w:val="Hyperlink"/>
            <w:rFonts w:ascii="Arial" w:hAnsi="Arial" w:cs="Arial"/>
            <w:color w:val="0070C0"/>
            <w:sz w:val="16"/>
            <w:szCs w:val="16"/>
          </w:rPr>
          <w:t>https://www.morningstar.com/bonds/catastrophe-bonds-strategic-diversifier</w:t>
        </w:r>
      </w:hyperlink>
      <w:r w:rsidRPr="00B37CA9">
        <w:rPr>
          <w:rFonts w:ascii="Arial" w:hAnsi="Arial" w:cs="Arial"/>
          <w:sz w:val="16"/>
          <w:szCs w:val="16"/>
        </w:rPr>
        <w:t xml:space="preserve"> and </w:t>
      </w:r>
      <w:hyperlink r:id="rId13" w:history="1">
        <w:r w:rsidRPr="00B37CA9">
          <w:rPr>
            <w:rStyle w:val="Hyperlink"/>
            <w:rFonts w:ascii="Arial" w:hAnsi="Arial" w:cs="Arial"/>
            <w:color w:val="0070C0"/>
            <w:sz w:val="16"/>
            <w:szCs w:val="16"/>
          </w:rPr>
          <w:t>https://www.swissre.com/our-business/alternative-capital-partners/ils-market-update-january-2018.html</w:t>
        </w:r>
      </w:hyperlink>
      <w:r w:rsidRPr="00B37CA9">
        <w:rPr>
          <w:rFonts w:ascii="Arial" w:hAnsi="Arial" w:cs="Arial"/>
          <w:color w:val="0070C0"/>
          <w:sz w:val="16"/>
          <w:szCs w:val="16"/>
        </w:rPr>
        <w:t xml:space="preserve"> </w:t>
      </w:r>
    </w:p>
  </w:footnote>
  <w:footnote w:id="20">
    <w:p w14:paraId="19608F95" w14:textId="77777777" w:rsidR="00A04D65" w:rsidRPr="00B37CA9" w:rsidRDefault="00A04D65" w:rsidP="00A04D65">
      <w:pPr>
        <w:pStyle w:val="FootnoteText"/>
        <w:rPr>
          <w:rFonts w:ascii="Arial" w:hAnsi="Arial" w:cs="Arial"/>
          <w:sz w:val="16"/>
          <w:szCs w:val="16"/>
        </w:rPr>
      </w:pPr>
      <w:r w:rsidRPr="00B37CA9">
        <w:rPr>
          <w:rStyle w:val="FootnoteReference"/>
          <w:rFonts w:ascii="Arial" w:hAnsi="Arial" w:cs="Arial"/>
          <w:sz w:val="16"/>
          <w:szCs w:val="16"/>
        </w:rPr>
        <w:footnoteRef/>
      </w:r>
      <w:r w:rsidRPr="00B37CA9">
        <w:rPr>
          <w:rFonts w:ascii="Arial" w:hAnsi="Arial" w:cs="Arial"/>
          <w:sz w:val="16"/>
          <w:szCs w:val="16"/>
        </w:rPr>
        <w:t xml:space="preserve"> see ECB &amp; EIOPA: Policy options to reduce the climate insurance protection gap, April 2023 (page 22) </w:t>
      </w:r>
      <w:hyperlink r:id="rId14" w:history="1">
        <w:r w:rsidRPr="00B37CA9">
          <w:rPr>
            <w:rStyle w:val="Hyperlink"/>
            <w:rFonts w:ascii="Arial" w:hAnsi="Arial" w:cs="Arial"/>
            <w:color w:val="0070C0"/>
            <w:sz w:val="16"/>
            <w:szCs w:val="16"/>
          </w:rPr>
          <w:t>https://www.ecb.europa.eu/pub/pdf/other/ecb.policyoptions_EIOPA~c0adae58b7.el.pdf</w:t>
        </w:r>
      </w:hyperlink>
      <w:r w:rsidRPr="00B37CA9">
        <w:rPr>
          <w:rFonts w:ascii="Arial" w:hAnsi="Arial" w:cs="Arial"/>
          <w:color w:val="0070C0"/>
          <w:sz w:val="16"/>
          <w:szCs w:val="16"/>
        </w:rPr>
        <w:t xml:space="preserve"> </w:t>
      </w:r>
    </w:p>
  </w:footnote>
  <w:footnote w:id="21">
    <w:p w14:paraId="2871162E" w14:textId="77777777" w:rsidR="00A04D65" w:rsidRPr="00B37CA9" w:rsidRDefault="00A04D65" w:rsidP="00A04D65">
      <w:pPr>
        <w:pStyle w:val="FootnoteText"/>
        <w:rPr>
          <w:rFonts w:ascii="Arial" w:hAnsi="Arial" w:cs="Arial"/>
          <w:sz w:val="16"/>
          <w:szCs w:val="16"/>
        </w:rPr>
      </w:pPr>
      <w:r w:rsidRPr="00B37CA9">
        <w:rPr>
          <w:rStyle w:val="FootnoteReference"/>
          <w:rFonts w:ascii="Arial" w:hAnsi="Arial" w:cs="Arial"/>
          <w:sz w:val="16"/>
          <w:szCs w:val="16"/>
        </w:rPr>
        <w:footnoteRef/>
      </w:r>
      <w:r w:rsidRPr="00B37CA9">
        <w:rPr>
          <w:rFonts w:ascii="Arial" w:hAnsi="Arial" w:cs="Arial"/>
          <w:sz w:val="16"/>
          <w:szCs w:val="16"/>
        </w:rPr>
        <w:t xml:space="preserve"> </w:t>
      </w:r>
      <w:hyperlink r:id="rId15" w:history="1">
        <w:r w:rsidRPr="00B37CA9">
          <w:rPr>
            <w:rStyle w:val="Hyperlink"/>
            <w:rFonts w:ascii="Arial" w:hAnsi="Arial" w:cs="Arial"/>
            <w:color w:val="0070C0"/>
            <w:sz w:val="16"/>
            <w:szCs w:val="16"/>
          </w:rPr>
          <w:t>https://www.artemis.bm/news/world-bank-has-now-facilitated-over-us-4-8bn-in-catastrophe-bonds/</w:t>
        </w:r>
      </w:hyperlink>
    </w:p>
  </w:footnote>
  <w:footnote w:id="22">
    <w:p w14:paraId="0462772D" w14:textId="77777777" w:rsidR="00A04D65" w:rsidRPr="00B37CA9" w:rsidRDefault="00A04D65" w:rsidP="00A04D65">
      <w:pPr>
        <w:pStyle w:val="FootnoteText"/>
        <w:rPr>
          <w:rFonts w:ascii="Arial" w:hAnsi="Arial" w:cs="Arial"/>
          <w:sz w:val="16"/>
          <w:szCs w:val="16"/>
        </w:rPr>
      </w:pPr>
      <w:r w:rsidRPr="00B37CA9">
        <w:rPr>
          <w:rStyle w:val="FootnoteReference"/>
          <w:rFonts w:ascii="Arial" w:hAnsi="Arial" w:cs="Arial"/>
          <w:sz w:val="16"/>
          <w:szCs w:val="16"/>
        </w:rPr>
        <w:footnoteRef/>
      </w:r>
      <w:r w:rsidRPr="00B37CA9">
        <w:rPr>
          <w:rFonts w:ascii="Arial" w:hAnsi="Arial" w:cs="Arial"/>
          <w:sz w:val="16"/>
          <w:szCs w:val="16"/>
        </w:rPr>
        <w:t xml:space="preserve"> </w:t>
      </w:r>
      <w:hyperlink r:id="rId16" w:history="1">
        <w:r w:rsidRPr="00B37CA9">
          <w:rPr>
            <w:rStyle w:val="Hyperlink"/>
            <w:rFonts w:ascii="Arial" w:hAnsi="Arial" w:cs="Arial"/>
            <w:color w:val="0070C0"/>
            <w:sz w:val="16"/>
            <w:szCs w:val="16"/>
            <w:lang w:val="en-IE"/>
          </w:rPr>
          <w:t>https://www.artemis.bm/ucits-catastrophe-bond-fund-assets/</w:t>
        </w:r>
      </w:hyperlink>
      <w:r w:rsidRPr="00B37CA9">
        <w:rPr>
          <w:rFonts w:ascii="Arial" w:hAnsi="Arial" w:cs="Arial"/>
          <w:color w:val="0070C0"/>
          <w:sz w:val="16"/>
          <w:szCs w:val="16"/>
          <w:lang w:val="en-IE"/>
        </w:rPr>
        <w:t xml:space="preserve"> </w:t>
      </w:r>
    </w:p>
  </w:footnote>
  <w:footnote w:id="23">
    <w:p w14:paraId="2B55E577" w14:textId="77777777" w:rsidR="00BE031F" w:rsidRPr="00B37CA9" w:rsidRDefault="00BE031F" w:rsidP="00BE031F">
      <w:pPr>
        <w:pStyle w:val="FootnoteText"/>
        <w:rPr>
          <w:rFonts w:ascii="Arial" w:hAnsi="Arial" w:cs="Arial"/>
          <w:sz w:val="16"/>
          <w:szCs w:val="16"/>
        </w:rPr>
      </w:pPr>
      <w:r w:rsidRPr="00B37CA9">
        <w:rPr>
          <w:rStyle w:val="FootnoteReference"/>
          <w:rFonts w:ascii="Arial" w:hAnsi="Arial" w:cs="Arial"/>
          <w:sz w:val="16"/>
          <w:szCs w:val="16"/>
        </w:rPr>
        <w:footnoteRef/>
      </w:r>
      <w:r w:rsidRPr="00B37CA9">
        <w:rPr>
          <w:rFonts w:ascii="Arial" w:hAnsi="Arial" w:cs="Arial"/>
          <w:sz w:val="16"/>
          <w:szCs w:val="16"/>
        </w:rPr>
        <w:t xml:space="preserve"> Turnover figures are based on </w:t>
      </w:r>
      <w:proofErr w:type="spellStart"/>
      <w:r w:rsidRPr="00B37CA9">
        <w:rPr>
          <w:rFonts w:ascii="Arial" w:hAnsi="Arial" w:cs="Arial"/>
          <w:sz w:val="16"/>
          <w:szCs w:val="16"/>
        </w:rPr>
        <w:t>MarketAxess</w:t>
      </w:r>
      <w:proofErr w:type="spellEnd"/>
      <w:r w:rsidRPr="00B37CA9">
        <w:rPr>
          <w:rFonts w:ascii="Arial" w:hAnsi="Arial" w:cs="Arial"/>
          <w:sz w:val="16"/>
          <w:szCs w:val="16"/>
        </w:rPr>
        <w:t xml:space="preserve"> data provided by a member firm. </w:t>
      </w:r>
    </w:p>
  </w:footnote>
  <w:footnote w:id="24">
    <w:p w14:paraId="1950D3B6" w14:textId="77777777" w:rsidR="00BE031F" w:rsidRPr="00B37CA9" w:rsidRDefault="00BE031F" w:rsidP="00BE031F">
      <w:pPr>
        <w:pStyle w:val="FootnoteText"/>
        <w:rPr>
          <w:rFonts w:ascii="Arial" w:hAnsi="Arial" w:cs="Arial"/>
          <w:sz w:val="16"/>
          <w:szCs w:val="16"/>
        </w:rPr>
      </w:pPr>
      <w:r w:rsidRPr="00B37CA9">
        <w:rPr>
          <w:rStyle w:val="FootnoteReference"/>
          <w:rFonts w:ascii="Arial" w:hAnsi="Arial" w:cs="Arial"/>
          <w:sz w:val="16"/>
          <w:szCs w:val="16"/>
        </w:rPr>
        <w:footnoteRef/>
      </w:r>
      <w:r w:rsidRPr="00B37CA9">
        <w:rPr>
          <w:rFonts w:ascii="Arial" w:hAnsi="Arial" w:cs="Arial"/>
          <w:sz w:val="16"/>
          <w:szCs w:val="16"/>
        </w:rPr>
        <w:t xml:space="preserve"> Cover ratios are based on Bloomberg data with the analysis completed by a member firm. </w:t>
      </w:r>
    </w:p>
  </w:footnote>
  <w:footnote w:id="25">
    <w:p w14:paraId="4CD6998D" w14:textId="77777777" w:rsidR="00BE031F" w:rsidRPr="00B37CA9" w:rsidRDefault="00BE031F" w:rsidP="00BE031F">
      <w:pPr>
        <w:pStyle w:val="FootnoteText"/>
        <w:rPr>
          <w:rFonts w:ascii="Arial" w:hAnsi="Arial" w:cs="Arial"/>
          <w:sz w:val="16"/>
          <w:szCs w:val="16"/>
        </w:rPr>
      </w:pPr>
      <w:r w:rsidRPr="00B37CA9">
        <w:rPr>
          <w:rStyle w:val="FootnoteReference"/>
          <w:rFonts w:ascii="Arial" w:hAnsi="Arial" w:cs="Arial"/>
          <w:sz w:val="16"/>
          <w:szCs w:val="16"/>
        </w:rPr>
        <w:footnoteRef/>
      </w:r>
      <w:r w:rsidRPr="00B37CA9">
        <w:rPr>
          <w:rFonts w:ascii="Arial" w:hAnsi="Arial" w:cs="Arial"/>
          <w:color w:val="0070C0"/>
          <w:sz w:val="16"/>
          <w:szCs w:val="16"/>
        </w:rPr>
        <w:t xml:space="preserve"> </w:t>
      </w:r>
      <w:hyperlink r:id="rId17" w:history="1">
        <w:r w:rsidRPr="00B37CA9">
          <w:rPr>
            <w:rStyle w:val="Hyperlink"/>
            <w:rFonts w:ascii="Arial" w:hAnsi="Arial" w:cs="Arial"/>
            <w:color w:val="0070C0"/>
            <w:sz w:val="16"/>
            <w:szCs w:val="16"/>
          </w:rPr>
          <w:t>https://www.bankingsupervision.europa.eu/ecb/pub/pdf/ssm.Report_2023_Stress_Test%7E96bb5a3af8.en.pdf</w:t>
        </w:r>
      </w:hyperlink>
      <w:r w:rsidRPr="00B37CA9">
        <w:rPr>
          <w:rFonts w:ascii="Arial" w:hAnsi="Arial" w:cs="Arial"/>
          <w:color w:val="0070C0"/>
          <w:sz w:val="16"/>
          <w:szCs w:val="16"/>
        </w:rPr>
        <w:t xml:space="preserve"> </w:t>
      </w:r>
    </w:p>
  </w:footnote>
  <w:footnote w:id="26">
    <w:p w14:paraId="5FCD850C" w14:textId="77777777" w:rsidR="00BE031F" w:rsidRDefault="00BE031F" w:rsidP="00BE031F">
      <w:pPr>
        <w:pStyle w:val="FootnoteText"/>
      </w:pPr>
      <w:r w:rsidRPr="00B37CA9">
        <w:rPr>
          <w:rStyle w:val="FootnoteReference"/>
          <w:rFonts w:ascii="Arial" w:hAnsi="Arial" w:cs="Arial"/>
          <w:sz w:val="16"/>
          <w:szCs w:val="16"/>
        </w:rPr>
        <w:footnoteRef/>
      </w:r>
      <w:r w:rsidRPr="00B37CA9">
        <w:rPr>
          <w:rFonts w:ascii="Arial" w:hAnsi="Arial" w:cs="Arial"/>
          <w:sz w:val="16"/>
          <w:szCs w:val="16"/>
        </w:rPr>
        <w:t xml:space="preserve"> </w:t>
      </w:r>
      <w:hyperlink r:id="rId18" w:history="1">
        <w:r w:rsidRPr="00B37CA9">
          <w:rPr>
            <w:rStyle w:val="Hyperlink"/>
            <w:rFonts w:ascii="Arial" w:hAnsi="Arial" w:cs="Arial"/>
            <w:color w:val="0070C0"/>
            <w:sz w:val="16"/>
            <w:szCs w:val="16"/>
          </w:rPr>
          <w:t>https://www.bankofengland.co.uk/stress-testing/2023/bank-of-england-stress-testing-results</w:t>
        </w:r>
      </w:hyperlink>
      <w:r w:rsidRPr="00933770">
        <w:rPr>
          <w:color w:val="0070C0"/>
        </w:rPr>
        <w:t xml:space="preserve"> </w:t>
      </w:r>
    </w:p>
  </w:footnote>
  <w:footnote w:id="27">
    <w:p w14:paraId="6A75FA7E" w14:textId="62447C5B" w:rsidR="00BE031F" w:rsidRPr="00B37CA9" w:rsidRDefault="00BE031F" w:rsidP="00BE031F">
      <w:pPr>
        <w:pStyle w:val="FootnoteText"/>
        <w:rPr>
          <w:rFonts w:ascii="Arial" w:hAnsi="Arial" w:cs="Arial"/>
          <w:sz w:val="16"/>
          <w:szCs w:val="16"/>
        </w:rPr>
      </w:pPr>
      <w:r w:rsidRPr="00B37CA9">
        <w:rPr>
          <w:rStyle w:val="FootnoteReference"/>
          <w:rFonts w:ascii="Arial" w:hAnsi="Arial" w:cs="Arial"/>
          <w:sz w:val="16"/>
          <w:szCs w:val="16"/>
        </w:rPr>
        <w:footnoteRef/>
      </w:r>
      <w:r w:rsidR="00B37CA9">
        <w:rPr>
          <w:rFonts w:ascii="Arial" w:hAnsi="Arial" w:cs="Arial"/>
          <w:color w:val="0000FF"/>
          <w:sz w:val="16"/>
          <w:szCs w:val="16"/>
          <w:u w:val="single"/>
        </w:rPr>
        <w:t xml:space="preserve"> </w:t>
      </w:r>
      <w:hyperlink r:id="rId19" w:history="1">
        <w:r w:rsidR="00B37CA9" w:rsidRPr="00CF4805">
          <w:rPr>
            <w:rStyle w:val="Hyperlink"/>
            <w:rFonts w:ascii="Arial" w:hAnsi="Arial" w:cs="Arial"/>
            <w:sz w:val="16"/>
            <w:szCs w:val="16"/>
          </w:rPr>
          <w:t>https://www.bankingsupervision.europa.eu/press/pr/date/2024/html/ssm.pr240410~893f0389e1.en.html</w:t>
        </w:r>
      </w:hyperlink>
    </w:p>
  </w:footnote>
  <w:footnote w:id="28">
    <w:p w14:paraId="4B17AB82" w14:textId="77777777" w:rsidR="00BE031F" w:rsidRPr="00B37CA9" w:rsidRDefault="00BE031F" w:rsidP="00BE031F">
      <w:pPr>
        <w:pStyle w:val="FootnoteText"/>
        <w:rPr>
          <w:rFonts w:ascii="Arial" w:hAnsi="Arial" w:cs="Arial"/>
          <w:sz w:val="16"/>
          <w:szCs w:val="16"/>
        </w:rPr>
      </w:pPr>
      <w:r w:rsidRPr="00B37CA9">
        <w:rPr>
          <w:rStyle w:val="FootnoteReference"/>
          <w:rFonts w:ascii="Arial" w:hAnsi="Arial" w:cs="Arial"/>
          <w:sz w:val="16"/>
          <w:szCs w:val="16"/>
        </w:rPr>
        <w:footnoteRef/>
      </w:r>
      <w:r w:rsidRPr="00B37CA9">
        <w:rPr>
          <w:rFonts w:ascii="Arial" w:hAnsi="Arial" w:cs="Arial"/>
          <w:sz w:val="16"/>
          <w:szCs w:val="16"/>
        </w:rPr>
        <w:t xml:space="preserve"> This figure is based on Bloomberg data and was provided by a member firm. </w:t>
      </w:r>
    </w:p>
  </w:footnote>
  <w:footnote w:id="29">
    <w:p w14:paraId="48EF4E2A" w14:textId="77777777" w:rsidR="00B33432" w:rsidRPr="00B37CA9" w:rsidRDefault="00B33432" w:rsidP="00332B8C">
      <w:pPr>
        <w:pStyle w:val="FootnoteText"/>
        <w:jc w:val="both"/>
        <w:rPr>
          <w:rFonts w:ascii="Arial" w:hAnsi="Arial" w:cs="Arial"/>
          <w:sz w:val="16"/>
          <w:szCs w:val="16"/>
        </w:rPr>
      </w:pPr>
      <w:r w:rsidRPr="00B37CA9">
        <w:rPr>
          <w:rStyle w:val="Ref1"/>
          <w:rFonts w:cs="Arial"/>
          <w:szCs w:val="16"/>
        </w:rPr>
        <w:footnoteRef/>
      </w:r>
      <w:r w:rsidRPr="00B37CA9">
        <w:rPr>
          <w:rFonts w:ascii="Arial" w:hAnsi="Arial" w:cs="Arial"/>
          <w:sz w:val="16"/>
          <w:szCs w:val="16"/>
        </w:rPr>
        <w:t xml:space="preserve"> Where relevant, please distinguish between equity instruments issued by (1) </w:t>
      </w:r>
      <w:r w:rsidRPr="00B37CA9">
        <w:rPr>
          <w:rFonts w:ascii="Arial" w:hAnsi="Arial" w:cs="Arial"/>
          <w:sz w:val="16"/>
          <w:szCs w:val="16"/>
          <w:lang w:val="en-US"/>
        </w:rPr>
        <w:t>private companies and (2) shares in public companies that that are not listed.</w:t>
      </w:r>
    </w:p>
  </w:footnote>
  <w:footnote w:id="30">
    <w:p w14:paraId="156E5F12" w14:textId="77777777" w:rsidR="00B33432" w:rsidRPr="00B37CA9" w:rsidRDefault="00B33432" w:rsidP="00332B8C">
      <w:pPr>
        <w:pStyle w:val="FootnoteText"/>
        <w:jc w:val="both"/>
        <w:rPr>
          <w:rFonts w:ascii="Arial" w:hAnsi="Arial" w:cs="Arial"/>
          <w:sz w:val="16"/>
          <w:szCs w:val="16"/>
        </w:rPr>
      </w:pPr>
      <w:r w:rsidRPr="00B37CA9">
        <w:rPr>
          <w:rStyle w:val="Ref1"/>
          <w:rFonts w:cs="Arial"/>
          <w:szCs w:val="16"/>
        </w:rPr>
        <w:footnoteRef/>
      </w:r>
      <w:r w:rsidRPr="00B37CA9">
        <w:rPr>
          <w:rFonts w:ascii="Arial" w:hAnsi="Arial" w:cs="Arial"/>
          <w:sz w:val="16"/>
          <w:szCs w:val="16"/>
        </w:rPr>
        <w:t xml:space="preserve"> Where relevant, please specify what type of crypto assets and whether the implementation of MICA will change anything in terms of your assessment. </w:t>
      </w:r>
      <w:bookmarkStart w:id="0" w:name="_Hlk163456352"/>
      <w:r w:rsidRPr="00B37CA9">
        <w:rPr>
          <w:rFonts w:ascii="Arial" w:hAnsi="Arial" w:cs="Arial"/>
          <w:sz w:val="16"/>
          <w:szCs w:val="16"/>
        </w:rPr>
        <w:t xml:space="preserve">With respect to indirect exposures, ESMA is particularly interested in stakeholder input on exchange-traded products including ETFs with crypto assets as an underlying. </w:t>
      </w:r>
      <w:bookmarkEnd w:id="0"/>
    </w:p>
  </w:footnote>
  <w:footnote w:id="31">
    <w:p w14:paraId="41CEA007" w14:textId="77777777" w:rsidR="00BB31FC" w:rsidRPr="00B37CA9" w:rsidRDefault="00BB31FC" w:rsidP="00BB31FC">
      <w:pPr>
        <w:pStyle w:val="FootnoteText"/>
        <w:rPr>
          <w:rFonts w:ascii="Arial" w:hAnsi="Arial" w:cs="Arial"/>
          <w:sz w:val="16"/>
          <w:szCs w:val="16"/>
        </w:rPr>
      </w:pPr>
      <w:r w:rsidRPr="00B37CA9">
        <w:rPr>
          <w:rStyle w:val="FootnoteReference"/>
          <w:rFonts w:ascii="Arial" w:hAnsi="Arial" w:cs="Arial"/>
          <w:sz w:val="16"/>
          <w:szCs w:val="16"/>
        </w:rPr>
        <w:footnoteRef/>
      </w:r>
      <w:r w:rsidRPr="00B37CA9">
        <w:rPr>
          <w:rFonts w:ascii="Arial" w:hAnsi="Arial" w:cs="Arial"/>
          <w:sz w:val="16"/>
          <w:szCs w:val="16"/>
        </w:rPr>
        <w:t xml:space="preserve"> </w:t>
      </w:r>
      <w:hyperlink r:id="rId20" w:history="1">
        <w:r w:rsidRPr="00B37CA9">
          <w:rPr>
            <w:rStyle w:val="Hyperlink"/>
            <w:rFonts w:ascii="Arial" w:hAnsi="Arial" w:cs="Arial"/>
            <w:color w:val="0070C0"/>
            <w:sz w:val="16"/>
            <w:szCs w:val="16"/>
          </w:rPr>
          <w:t>40th-edition-ucits-qa.pdf (centralbank.ie)</w:t>
        </w:r>
      </w:hyperlink>
      <w:r w:rsidRPr="00B37CA9">
        <w:rPr>
          <w:rFonts w:ascii="Arial" w:hAnsi="Arial" w:cs="Arial"/>
          <w:color w:val="0070C0"/>
          <w:sz w:val="16"/>
          <w:szCs w:val="16"/>
        </w:rPr>
        <w:t>:</w:t>
      </w:r>
      <w:r w:rsidRPr="00B37CA9">
        <w:rPr>
          <w:rFonts w:ascii="Arial" w:hAnsi="Arial" w:cs="Arial"/>
          <w:color w:val="0070C0"/>
          <w:sz w:val="16"/>
          <w:szCs w:val="16"/>
          <w:lang w:val="en-IE"/>
        </w:rPr>
        <w:t xml:space="preserve"> </w:t>
      </w:r>
      <w:r w:rsidRPr="00B37CA9">
        <w:rPr>
          <w:rFonts w:ascii="Arial" w:hAnsi="Arial" w:cs="Arial"/>
          <w:sz w:val="16"/>
          <w:szCs w:val="16"/>
          <w:lang w:val="en-IE"/>
        </w:rPr>
        <w:t>ID1100</w:t>
      </w:r>
    </w:p>
  </w:footnote>
  <w:footnote w:id="32">
    <w:p w14:paraId="2EDDFE97" w14:textId="77777777" w:rsidR="00BB31FC" w:rsidRPr="00B37CA9" w:rsidRDefault="00BB31FC" w:rsidP="00BB31FC">
      <w:pPr>
        <w:pStyle w:val="FootnoteText"/>
        <w:rPr>
          <w:rFonts w:ascii="Arial" w:hAnsi="Arial" w:cs="Arial"/>
          <w:sz w:val="16"/>
          <w:szCs w:val="16"/>
        </w:rPr>
      </w:pPr>
      <w:r w:rsidRPr="00B37CA9">
        <w:rPr>
          <w:rStyle w:val="FootnoteReference"/>
          <w:rFonts w:ascii="Arial" w:hAnsi="Arial" w:cs="Arial"/>
          <w:sz w:val="16"/>
          <w:szCs w:val="16"/>
        </w:rPr>
        <w:footnoteRef/>
      </w:r>
      <w:r w:rsidRPr="00B37CA9">
        <w:rPr>
          <w:rFonts w:ascii="Arial" w:hAnsi="Arial" w:cs="Arial"/>
          <w:sz w:val="16"/>
          <w:szCs w:val="16"/>
        </w:rPr>
        <w:t xml:space="preserve"> </w:t>
      </w:r>
      <w:hyperlink r:id="rId21" w:history="1">
        <w:r w:rsidRPr="00B37CA9">
          <w:rPr>
            <w:rStyle w:val="Hyperlink"/>
            <w:rFonts w:ascii="Arial" w:hAnsi="Arial" w:cs="Arial"/>
            <w:sz w:val="16"/>
            <w:szCs w:val="16"/>
            <w:lang w:val="en-IE"/>
          </w:rPr>
          <w:t>https://blockworks.co/bitcoin-etf</w:t>
        </w:r>
      </w:hyperlink>
      <w:r w:rsidRPr="00B37CA9">
        <w:rPr>
          <w:rFonts w:ascii="Arial" w:hAnsi="Arial" w:cs="Arial"/>
          <w:color w:val="0070C0"/>
          <w:sz w:val="16"/>
          <w:szCs w:val="16"/>
        </w:rPr>
        <w:t xml:space="preserve"> </w:t>
      </w:r>
    </w:p>
  </w:footnote>
  <w:footnote w:id="33">
    <w:p w14:paraId="157CBCBA" w14:textId="77777777" w:rsidR="00BB31FC" w:rsidRPr="00B37CA9" w:rsidRDefault="00BB31FC" w:rsidP="00BB31FC">
      <w:pPr>
        <w:pStyle w:val="FootnoteText"/>
        <w:rPr>
          <w:rFonts w:ascii="Arial" w:hAnsi="Arial" w:cs="Arial"/>
          <w:sz w:val="16"/>
          <w:szCs w:val="16"/>
        </w:rPr>
      </w:pPr>
      <w:r w:rsidRPr="00B37CA9">
        <w:rPr>
          <w:rStyle w:val="FootnoteReference"/>
          <w:rFonts w:ascii="Arial" w:hAnsi="Arial" w:cs="Arial"/>
          <w:sz w:val="16"/>
          <w:szCs w:val="16"/>
        </w:rPr>
        <w:footnoteRef/>
      </w:r>
      <w:r w:rsidRPr="00B37CA9">
        <w:rPr>
          <w:rFonts w:ascii="Arial" w:hAnsi="Arial" w:cs="Arial"/>
          <w:sz w:val="16"/>
          <w:szCs w:val="16"/>
        </w:rPr>
        <w:t xml:space="preserve"> </w:t>
      </w:r>
      <w:hyperlink r:id="rId22" w:history="1">
        <w:proofErr w:type="spellStart"/>
        <w:r w:rsidRPr="00B37CA9">
          <w:rPr>
            <w:rStyle w:val="Hyperlink"/>
            <w:rFonts w:ascii="Arial" w:hAnsi="Arial" w:cs="Arial"/>
            <w:color w:val="0070C0"/>
            <w:sz w:val="16"/>
            <w:szCs w:val="16"/>
            <w:lang w:val="en-IE"/>
          </w:rPr>
          <w:t>Cryptoassets</w:t>
        </w:r>
        <w:proofErr w:type="spellEnd"/>
        <w:r w:rsidRPr="00B37CA9">
          <w:rPr>
            <w:rStyle w:val="Hyperlink"/>
            <w:rFonts w:ascii="Arial" w:hAnsi="Arial" w:cs="Arial"/>
            <w:color w:val="0070C0"/>
            <w:sz w:val="16"/>
            <w:szCs w:val="16"/>
            <w:lang w:val="en-IE"/>
          </w:rPr>
          <w:t>: The Guide to Bitcoin, Blockchain, and Cryptocurrency for Investment Professionals</w:t>
        </w:r>
      </w:hyperlink>
    </w:p>
  </w:footnote>
  <w:footnote w:id="34">
    <w:p w14:paraId="3B3E6E22" w14:textId="77777777" w:rsidR="00BB31FC" w:rsidRDefault="00BB31FC" w:rsidP="00BB31FC">
      <w:pPr>
        <w:pStyle w:val="FootnoteText"/>
      </w:pPr>
      <w:r w:rsidRPr="00B37CA9">
        <w:rPr>
          <w:rStyle w:val="FootnoteReference"/>
          <w:rFonts w:ascii="Arial" w:hAnsi="Arial" w:cs="Arial"/>
          <w:sz w:val="16"/>
          <w:szCs w:val="16"/>
        </w:rPr>
        <w:footnoteRef/>
      </w:r>
      <w:r w:rsidRPr="00B37CA9">
        <w:rPr>
          <w:rFonts w:ascii="Arial" w:hAnsi="Arial" w:cs="Arial"/>
          <w:sz w:val="16"/>
          <w:szCs w:val="16"/>
        </w:rPr>
        <w:t xml:space="preserve"> </w:t>
      </w:r>
      <w:hyperlink r:id="rId23" w:history="1">
        <w:proofErr w:type="spellStart"/>
        <w:r w:rsidRPr="00B37CA9">
          <w:rPr>
            <w:rStyle w:val="Hyperlink"/>
            <w:rFonts w:ascii="Arial" w:hAnsi="Arial" w:cs="Arial"/>
            <w:color w:val="0070C0"/>
            <w:sz w:val="16"/>
            <w:szCs w:val="16"/>
            <w:lang w:val="en-IE"/>
          </w:rPr>
          <w:t>Cryptoassets</w:t>
        </w:r>
        <w:proofErr w:type="spellEnd"/>
        <w:r w:rsidRPr="00B37CA9">
          <w:rPr>
            <w:rStyle w:val="Hyperlink"/>
            <w:rFonts w:ascii="Arial" w:hAnsi="Arial" w:cs="Arial"/>
            <w:color w:val="0070C0"/>
            <w:sz w:val="16"/>
            <w:szCs w:val="16"/>
            <w:lang w:val="en-IE"/>
          </w:rPr>
          <w:t>: The Guide to Bitcoin, Blockchain, and Cryptocurrency for Investment Professionals</w:t>
        </w:r>
      </w:hyperlink>
    </w:p>
  </w:footnote>
  <w:footnote w:id="35">
    <w:p w14:paraId="4A59E86A" w14:textId="77777777" w:rsidR="00B33432" w:rsidRPr="00B37CA9" w:rsidRDefault="00B33432" w:rsidP="00332B8C">
      <w:pPr>
        <w:pStyle w:val="FootnoteText"/>
        <w:jc w:val="both"/>
        <w:rPr>
          <w:rFonts w:ascii="Arial" w:hAnsi="Arial" w:cs="Arial"/>
          <w:sz w:val="16"/>
          <w:szCs w:val="16"/>
        </w:rPr>
      </w:pPr>
      <w:r w:rsidRPr="00B37CA9">
        <w:rPr>
          <w:rStyle w:val="Ref1"/>
          <w:rFonts w:cs="Arial"/>
          <w:szCs w:val="16"/>
        </w:rPr>
        <w:footnoteRef/>
      </w:r>
      <w:r w:rsidRPr="00B37CA9">
        <w:rPr>
          <w:rFonts w:ascii="Arial" w:hAnsi="Arial" w:cs="Arial"/>
          <w:sz w:val="16"/>
          <w:szCs w:val="16"/>
        </w:rPr>
        <w:t xml:space="preserve"> </w:t>
      </w:r>
      <w:bookmarkStart w:id="1" w:name="_Hlk163456407"/>
      <w:r w:rsidRPr="00B37CA9">
        <w:rPr>
          <w:rFonts w:ascii="Arial" w:hAnsi="Arial" w:cs="Arial"/>
          <w:sz w:val="16"/>
          <w:szCs w:val="16"/>
        </w:rPr>
        <w:t>With respect to indirect exposures, ESMA is particularly interested in stakeholder input on ETFs with commodities/precious metals as underlying.</w:t>
      </w:r>
      <w:bookmarkEnd w:id="1"/>
      <w:r w:rsidRPr="00B37CA9">
        <w:rPr>
          <w:rFonts w:ascii="Arial" w:hAnsi="Arial" w:cs="Arial"/>
          <w:sz w:val="16"/>
          <w:szCs w:val="16"/>
        </w:rPr>
        <w:t xml:space="preserve"> Please note that under the current UCITS rules, precious metals and certificates representing them are not eligible (Article 50(2)(b) of the UCITS Directive).</w:t>
      </w:r>
    </w:p>
  </w:footnote>
  <w:footnote w:id="36">
    <w:p w14:paraId="21967FE2" w14:textId="77777777" w:rsidR="00BB31FC" w:rsidRPr="00B37CA9" w:rsidRDefault="00BB31FC" w:rsidP="00BB31FC">
      <w:pPr>
        <w:pStyle w:val="FootnoteText"/>
        <w:rPr>
          <w:rFonts w:ascii="Arial" w:hAnsi="Arial" w:cs="Arial"/>
          <w:sz w:val="16"/>
          <w:szCs w:val="16"/>
        </w:rPr>
      </w:pPr>
      <w:r w:rsidRPr="00B37CA9">
        <w:rPr>
          <w:rStyle w:val="FootnoteReference"/>
          <w:rFonts w:ascii="Arial" w:hAnsi="Arial" w:cs="Arial"/>
          <w:sz w:val="16"/>
          <w:szCs w:val="16"/>
        </w:rPr>
        <w:footnoteRef/>
      </w:r>
      <w:r w:rsidRPr="00B37CA9">
        <w:rPr>
          <w:rFonts w:ascii="Arial" w:hAnsi="Arial" w:cs="Arial"/>
          <w:sz w:val="16"/>
          <w:szCs w:val="16"/>
        </w:rPr>
        <w:t xml:space="preserve"> </w:t>
      </w:r>
      <w:hyperlink r:id="rId24" w:history="1">
        <w:r w:rsidRPr="00B37CA9">
          <w:rPr>
            <w:rStyle w:val="Hyperlink"/>
            <w:rFonts w:ascii="Arial" w:hAnsi="Arial" w:cs="Arial"/>
            <w:sz w:val="16"/>
            <w:szCs w:val="16"/>
          </w:rPr>
          <w:t>Commodities and portfolio diversification: Myth or fact? - ScienceDirect</w:t>
        </w:r>
      </w:hyperlink>
    </w:p>
  </w:footnote>
  <w:footnote w:id="37">
    <w:p w14:paraId="280B2771" w14:textId="77777777" w:rsidR="00BB31FC" w:rsidRPr="00B37CA9" w:rsidRDefault="00BB31FC" w:rsidP="00BB31FC">
      <w:pPr>
        <w:pStyle w:val="FootnoteText"/>
        <w:rPr>
          <w:rFonts w:ascii="Arial" w:hAnsi="Arial" w:cs="Arial"/>
          <w:sz w:val="16"/>
          <w:szCs w:val="16"/>
        </w:rPr>
      </w:pPr>
      <w:r w:rsidRPr="00B37CA9">
        <w:rPr>
          <w:rStyle w:val="FootnoteReference"/>
          <w:rFonts w:ascii="Arial" w:hAnsi="Arial" w:cs="Arial"/>
          <w:sz w:val="16"/>
          <w:szCs w:val="16"/>
        </w:rPr>
        <w:footnoteRef/>
      </w:r>
      <w:r w:rsidRPr="00B37CA9">
        <w:rPr>
          <w:rFonts w:ascii="Arial" w:hAnsi="Arial" w:cs="Arial"/>
          <w:sz w:val="16"/>
          <w:szCs w:val="16"/>
        </w:rPr>
        <w:t xml:space="preserve"> Source – Morningstar as of May 2024. </w:t>
      </w:r>
    </w:p>
  </w:footnote>
  <w:footnote w:id="38">
    <w:p w14:paraId="08ADD2C1" w14:textId="77777777" w:rsidR="00BB31FC" w:rsidRPr="00B37CA9" w:rsidRDefault="00BB31FC" w:rsidP="00BB31FC">
      <w:pPr>
        <w:pStyle w:val="FootnoteText"/>
        <w:rPr>
          <w:rFonts w:ascii="Arial" w:hAnsi="Arial" w:cs="Arial"/>
          <w:sz w:val="16"/>
          <w:szCs w:val="16"/>
        </w:rPr>
      </w:pPr>
      <w:r w:rsidRPr="00B37CA9">
        <w:rPr>
          <w:rStyle w:val="FootnoteReference"/>
          <w:rFonts w:ascii="Arial" w:hAnsi="Arial" w:cs="Arial"/>
          <w:sz w:val="16"/>
          <w:szCs w:val="16"/>
        </w:rPr>
        <w:footnoteRef/>
      </w:r>
      <w:r w:rsidRPr="00B37CA9">
        <w:rPr>
          <w:rFonts w:ascii="Arial" w:hAnsi="Arial" w:cs="Arial"/>
          <w:sz w:val="16"/>
          <w:szCs w:val="16"/>
        </w:rPr>
        <w:t xml:space="preserve"> Source – Morningstar as of 31 May 2024. </w:t>
      </w:r>
    </w:p>
  </w:footnote>
  <w:footnote w:id="39">
    <w:p w14:paraId="608FBD2D" w14:textId="77777777" w:rsidR="00BB31FC" w:rsidRPr="00B37CA9" w:rsidRDefault="00BB31FC" w:rsidP="00BB31FC">
      <w:pPr>
        <w:pStyle w:val="FootnoteText"/>
        <w:rPr>
          <w:rFonts w:ascii="Arial" w:hAnsi="Arial" w:cs="Arial"/>
          <w:sz w:val="16"/>
          <w:szCs w:val="16"/>
        </w:rPr>
      </w:pPr>
      <w:r w:rsidRPr="00B37CA9">
        <w:rPr>
          <w:rStyle w:val="FootnoteReference"/>
          <w:rFonts w:ascii="Arial" w:hAnsi="Arial" w:cs="Arial"/>
          <w:sz w:val="16"/>
          <w:szCs w:val="16"/>
        </w:rPr>
        <w:footnoteRef/>
      </w:r>
      <w:r w:rsidRPr="00B37CA9">
        <w:rPr>
          <w:rFonts w:ascii="Arial" w:hAnsi="Arial" w:cs="Arial"/>
          <w:sz w:val="16"/>
          <w:szCs w:val="16"/>
        </w:rPr>
        <w:t xml:space="preserve"> </w:t>
      </w:r>
      <w:hyperlink r:id="rId25" w:history="1">
        <w:r w:rsidRPr="00B37CA9">
          <w:rPr>
            <w:rStyle w:val="Hyperlink"/>
            <w:rFonts w:ascii="Arial" w:hAnsi="Arial" w:cs="Arial"/>
            <w:sz w:val="16"/>
            <w:szCs w:val="16"/>
          </w:rPr>
          <w:t>Learn REITs, Investing, and Real Estate by the Numbers</w:t>
        </w:r>
      </w:hyperlink>
    </w:p>
  </w:footnote>
  <w:footnote w:id="40">
    <w:p w14:paraId="7E5F77DF" w14:textId="77777777" w:rsidR="00BB31FC" w:rsidRPr="00B37CA9" w:rsidRDefault="00BB31FC" w:rsidP="00BB31FC">
      <w:pPr>
        <w:pStyle w:val="FootnoteText"/>
        <w:rPr>
          <w:rFonts w:ascii="Arial" w:hAnsi="Arial" w:cs="Arial"/>
          <w:sz w:val="16"/>
          <w:szCs w:val="16"/>
        </w:rPr>
      </w:pPr>
      <w:r w:rsidRPr="00B37CA9">
        <w:rPr>
          <w:rStyle w:val="FootnoteReference"/>
          <w:rFonts w:ascii="Arial" w:hAnsi="Arial" w:cs="Arial"/>
          <w:sz w:val="16"/>
          <w:szCs w:val="16"/>
        </w:rPr>
        <w:footnoteRef/>
      </w:r>
      <w:r w:rsidRPr="00B37CA9">
        <w:rPr>
          <w:rFonts w:ascii="Arial" w:hAnsi="Arial" w:cs="Arial"/>
          <w:sz w:val="16"/>
          <w:szCs w:val="16"/>
        </w:rPr>
        <w:t xml:space="preserve"> </w:t>
      </w:r>
      <w:hyperlink r:id="rId26" w:history="1">
        <w:r w:rsidRPr="00B37CA9">
          <w:rPr>
            <w:rStyle w:val="Hyperlink"/>
            <w:rFonts w:ascii="Arial" w:hAnsi="Arial" w:cs="Arial"/>
            <w:sz w:val="16"/>
            <w:szCs w:val="16"/>
          </w:rPr>
          <w:t>Year of the SPAC | S&amp;P Global (spglobal.com)</w:t>
        </w:r>
      </w:hyperlink>
    </w:p>
  </w:footnote>
  <w:footnote w:id="41">
    <w:p w14:paraId="6AAD49F3" w14:textId="77777777" w:rsidR="00BB31FC" w:rsidRPr="00B37CA9" w:rsidRDefault="00BB31FC" w:rsidP="00BB31FC">
      <w:pPr>
        <w:pStyle w:val="FootnoteText"/>
        <w:rPr>
          <w:rFonts w:ascii="Arial" w:hAnsi="Arial" w:cs="Arial"/>
          <w:sz w:val="16"/>
          <w:szCs w:val="16"/>
        </w:rPr>
      </w:pPr>
      <w:r w:rsidRPr="00B37CA9">
        <w:rPr>
          <w:rStyle w:val="FootnoteReference"/>
          <w:rFonts w:ascii="Arial" w:hAnsi="Arial" w:cs="Arial"/>
          <w:sz w:val="16"/>
          <w:szCs w:val="16"/>
        </w:rPr>
        <w:footnoteRef/>
      </w:r>
      <w:r w:rsidRPr="00B37CA9">
        <w:rPr>
          <w:rFonts w:ascii="Arial" w:hAnsi="Arial" w:cs="Arial"/>
          <w:sz w:val="16"/>
          <w:szCs w:val="16"/>
        </w:rPr>
        <w:t xml:space="preserve"> </w:t>
      </w:r>
      <w:hyperlink r:id="rId27" w:history="1">
        <w:r w:rsidRPr="00B37CA9">
          <w:rPr>
            <w:rStyle w:val="Hyperlink"/>
            <w:rFonts w:ascii="Arial" w:hAnsi="Arial" w:cs="Arial"/>
            <w:color w:val="0070C0"/>
            <w:sz w:val="16"/>
            <w:szCs w:val="16"/>
          </w:rPr>
          <w:t>Securities Markets Risk Outlook Report 2021 (centralbank.ie)</w:t>
        </w:r>
      </w:hyperlink>
      <w:r w:rsidRPr="00B37CA9">
        <w:rPr>
          <w:rFonts w:ascii="Arial" w:hAnsi="Arial" w:cs="Arial"/>
          <w:sz w:val="16"/>
          <w:szCs w:val="16"/>
        </w:rPr>
        <w:t>: “Noting the concerns of ESMA and Regulators more generally with respect to the exposure of retail investors, the Central Bank has limited investments in SPACs to a maximum of 10% of the Net Asset Value (NAV) for retail investment funds.”</w:t>
      </w:r>
    </w:p>
  </w:footnote>
  <w:footnote w:id="42">
    <w:p w14:paraId="09998020" w14:textId="77777777" w:rsidR="00B33432" w:rsidRPr="00B37CA9" w:rsidRDefault="00B33432" w:rsidP="00332B8C">
      <w:pPr>
        <w:pStyle w:val="FootnoteText"/>
        <w:jc w:val="both"/>
        <w:rPr>
          <w:rFonts w:ascii="Arial" w:hAnsi="Arial" w:cs="Arial"/>
          <w:sz w:val="16"/>
          <w:szCs w:val="16"/>
        </w:rPr>
      </w:pPr>
      <w:r w:rsidRPr="00B37CA9">
        <w:rPr>
          <w:rStyle w:val="Ref1"/>
          <w:rFonts w:cs="Arial"/>
          <w:szCs w:val="16"/>
        </w:rPr>
        <w:footnoteRef/>
      </w:r>
      <w:r w:rsidRPr="00B37CA9">
        <w:rPr>
          <w:rFonts w:ascii="Arial" w:hAnsi="Arial" w:cs="Arial"/>
          <w:sz w:val="16"/>
          <w:szCs w:val="16"/>
        </w:rPr>
        <w:t xml:space="preserve"> Where relevant, please distinguish between different types of AIFs (e.g. open-ended, closed-ended) and investment strategies (e.g. real estate, private equity, hedge funds). </w:t>
      </w:r>
    </w:p>
  </w:footnote>
  <w:footnote w:id="43">
    <w:p w14:paraId="42B88E5A" w14:textId="77777777" w:rsidR="00BB31FC" w:rsidRPr="00B37CA9" w:rsidRDefault="00BB31FC" w:rsidP="00BB31FC">
      <w:pPr>
        <w:pStyle w:val="FootnoteText"/>
        <w:rPr>
          <w:rFonts w:ascii="Arial" w:hAnsi="Arial" w:cs="Arial"/>
          <w:sz w:val="16"/>
          <w:szCs w:val="16"/>
        </w:rPr>
      </w:pPr>
      <w:r w:rsidRPr="00B37CA9">
        <w:rPr>
          <w:rStyle w:val="FootnoteReference"/>
          <w:rFonts w:ascii="Arial" w:hAnsi="Arial" w:cs="Arial"/>
          <w:sz w:val="16"/>
          <w:szCs w:val="16"/>
        </w:rPr>
        <w:footnoteRef/>
      </w:r>
      <w:r w:rsidRPr="00B37CA9">
        <w:rPr>
          <w:rFonts w:ascii="Arial" w:hAnsi="Arial" w:cs="Arial"/>
          <w:sz w:val="16"/>
          <w:szCs w:val="16"/>
        </w:rPr>
        <w:t xml:space="preserve"> </w:t>
      </w:r>
      <w:hyperlink r:id="rId28" w:history="1">
        <w:r w:rsidRPr="00B37CA9">
          <w:rPr>
            <w:rStyle w:val="Hyperlink"/>
            <w:rFonts w:ascii="Arial" w:hAnsi="Arial" w:cs="Arial"/>
            <w:sz w:val="16"/>
            <w:szCs w:val="16"/>
          </w:rPr>
          <w:t>ESMA50-524821-3095 EU Alternative Investment Funds 2023 (europa.eu)</w:t>
        </w:r>
      </w:hyperlink>
    </w:p>
  </w:footnote>
  <w:footnote w:id="44">
    <w:p w14:paraId="1BA36AFD" w14:textId="77777777" w:rsidR="00BB31FC" w:rsidRPr="00B37CA9" w:rsidRDefault="00BB31FC" w:rsidP="00BB31FC">
      <w:pPr>
        <w:pStyle w:val="FootnoteText"/>
        <w:rPr>
          <w:rFonts w:ascii="Arial" w:hAnsi="Arial" w:cs="Arial"/>
          <w:sz w:val="16"/>
          <w:szCs w:val="16"/>
        </w:rPr>
      </w:pPr>
      <w:r w:rsidRPr="00B37CA9">
        <w:rPr>
          <w:rStyle w:val="FootnoteReference"/>
          <w:rFonts w:ascii="Arial" w:hAnsi="Arial" w:cs="Arial"/>
          <w:sz w:val="16"/>
          <w:szCs w:val="16"/>
        </w:rPr>
        <w:footnoteRef/>
      </w:r>
      <w:r w:rsidRPr="00B37CA9">
        <w:rPr>
          <w:rFonts w:ascii="Arial" w:hAnsi="Arial" w:cs="Arial"/>
          <w:color w:val="0070C0"/>
          <w:sz w:val="16"/>
          <w:szCs w:val="16"/>
        </w:rPr>
        <w:t xml:space="preserve"> </w:t>
      </w:r>
      <w:hyperlink r:id="rId29" w:history="1">
        <w:r w:rsidRPr="00B37CA9">
          <w:rPr>
            <w:rStyle w:val="Hyperlink"/>
            <w:rFonts w:ascii="Arial" w:hAnsi="Arial" w:cs="Arial"/>
            <w:color w:val="0070C0"/>
            <w:sz w:val="16"/>
            <w:szCs w:val="16"/>
          </w:rPr>
          <w:t>Re: Discretionary Commission Arrangements in motor finance arranged through hire-purchase agreements</w:t>
        </w:r>
      </w:hyperlink>
      <w:r w:rsidRPr="00B37CA9">
        <w:rPr>
          <w:rFonts w:ascii="Arial" w:hAnsi="Arial" w:cs="Arial"/>
          <w:color w:val="0070C0"/>
          <w:sz w:val="16"/>
          <w:szCs w:val="16"/>
        </w:rPr>
        <w:t xml:space="preserve">. </w:t>
      </w:r>
    </w:p>
  </w:footnote>
  <w:footnote w:id="45">
    <w:p w14:paraId="1B953E39" w14:textId="77777777" w:rsidR="00BB31FC" w:rsidRPr="00B37CA9" w:rsidRDefault="00BB31FC" w:rsidP="00BB31FC">
      <w:pPr>
        <w:pStyle w:val="FootnoteText"/>
        <w:rPr>
          <w:rFonts w:ascii="Arial" w:hAnsi="Arial" w:cs="Arial"/>
          <w:sz w:val="16"/>
          <w:szCs w:val="16"/>
        </w:rPr>
      </w:pPr>
      <w:r w:rsidRPr="00B37CA9">
        <w:rPr>
          <w:rStyle w:val="FootnoteReference"/>
          <w:rFonts w:ascii="Arial" w:hAnsi="Arial" w:cs="Arial"/>
          <w:sz w:val="16"/>
          <w:szCs w:val="16"/>
        </w:rPr>
        <w:footnoteRef/>
      </w:r>
      <w:r w:rsidRPr="00B37CA9">
        <w:rPr>
          <w:rFonts w:ascii="Arial" w:hAnsi="Arial" w:cs="Arial"/>
          <w:sz w:val="16"/>
          <w:szCs w:val="16"/>
        </w:rPr>
        <w:t xml:space="preserve"> Source – Morningstar as of 31 May 2024. </w:t>
      </w:r>
    </w:p>
  </w:footnote>
  <w:footnote w:id="46">
    <w:p w14:paraId="4780DC4F" w14:textId="77777777" w:rsidR="00BB31FC" w:rsidRDefault="00BB31FC" w:rsidP="00BB31FC">
      <w:pPr>
        <w:pStyle w:val="FootnoteText"/>
      </w:pPr>
      <w:r w:rsidRPr="00B37CA9">
        <w:rPr>
          <w:rStyle w:val="FootnoteReference"/>
          <w:rFonts w:ascii="Arial" w:hAnsi="Arial" w:cs="Arial"/>
          <w:sz w:val="16"/>
          <w:szCs w:val="16"/>
        </w:rPr>
        <w:footnoteRef/>
      </w:r>
      <w:r w:rsidRPr="00B37CA9">
        <w:rPr>
          <w:rFonts w:ascii="Arial" w:hAnsi="Arial" w:cs="Arial"/>
          <w:sz w:val="16"/>
          <w:szCs w:val="16"/>
        </w:rPr>
        <w:t xml:space="preserve"> Source – Bloomberg as of 31 May 2024.</w:t>
      </w:r>
      <w:r>
        <w:t xml:space="preserve"> </w:t>
      </w:r>
    </w:p>
  </w:footnote>
  <w:footnote w:id="47">
    <w:p w14:paraId="0999A4FE" w14:textId="77777777" w:rsidR="00BB31FC" w:rsidRDefault="00BB31FC" w:rsidP="00BB31FC">
      <w:pPr>
        <w:pStyle w:val="FootnoteText"/>
      </w:pPr>
      <w:r w:rsidRPr="00206F1B">
        <w:rPr>
          <w:rStyle w:val="FootnoteReference"/>
          <w:rFonts w:ascii="Arial" w:hAnsi="Arial" w:cs="Arial"/>
          <w:sz w:val="16"/>
          <w:szCs w:val="16"/>
        </w:rPr>
        <w:footnoteRef/>
      </w:r>
      <w:r w:rsidRPr="00206F1B">
        <w:rPr>
          <w:rFonts w:ascii="Arial" w:hAnsi="Arial"/>
          <w:sz w:val="16"/>
          <w:szCs w:val="16"/>
        </w:rPr>
        <w:t xml:space="preserve"> Per </w:t>
      </w:r>
      <w:proofErr w:type="spellStart"/>
      <w:r w:rsidRPr="00206F1B">
        <w:rPr>
          <w:rFonts w:ascii="Arial" w:hAnsi="Arial"/>
          <w:sz w:val="16"/>
          <w:szCs w:val="16"/>
        </w:rPr>
        <w:t>BoA</w:t>
      </w:r>
      <w:proofErr w:type="spellEnd"/>
      <w:r w:rsidRPr="00206F1B">
        <w:rPr>
          <w:rFonts w:ascii="Arial" w:hAnsi="Arial"/>
          <w:sz w:val="16"/>
          <w:szCs w:val="16"/>
        </w:rPr>
        <w:t xml:space="preserve"> Global Research </w:t>
      </w:r>
    </w:p>
  </w:footnote>
  <w:footnote w:id="48">
    <w:p w14:paraId="44D3D9C3" w14:textId="77777777" w:rsidR="00BB31FC" w:rsidRDefault="00BB31FC" w:rsidP="00BB31FC">
      <w:pPr>
        <w:pStyle w:val="FootnoteText"/>
        <w:jc w:val="both"/>
      </w:pPr>
      <w:r w:rsidRPr="00530B1E">
        <w:rPr>
          <w:rStyle w:val="FootnoteReference"/>
          <w:rFonts w:ascii="Arial" w:hAnsi="Arial" w:cs="Arial"/>
          <w:sz w:val="16"/>
          <w:szCs w:val="16"/>
        </w:rPr>
        <w:footnoteRef/>
      </w:r>
      <w:r w:rsidRPr="00530B1E">
        <w:rPr>
          <w:rFonts w:ascii="Arial" w:hAnsi="Arial"/>
          <w:sz w:val="16"/>
          <w:szCs w:val="16"/>
        </w:rPr>
        <w:t xml:space="preserve"> 1S&amp;P Global Ratings Credit Research &amp; Insights &amp; A&amp;P Global Market Intelligence </w:t>
      </w:r>
      <w:proofErr w:type="spellStart"/>
      <w:r w:rsidRPr="00530B1E">
        <w:rPr>
          <w:rFonts w:ascii="Arial" w:hAnsi="Arial"/>
          <w:sz w:val="16"/>
          <w:szCs w:val="16"/>
        </w:rPr>
        <w:t>CreditPro</w:t>
      </w:r>
      <w:proofErr w:type="spellEnd"/>
      <w:r w:rsidRPr="00530B1E">
        <w:rPr>
          <w:rFonts w:ascii="Arial" w:hAnsi="Arial"/>
          <w:sz w:val="16"/>
          <w:szCs w:val="16"/>
        </w:rPr>
        <w:t xml:space="preserve"> as of June 30, 2024. </w:t>
      </w:r>
    </w:p>
  </w:footnote>
  <w:footnote w:id="49">
    <w:p w14:paraId="0E55F266" w14:textId="77777777" w:rsidR="00BB31FC" w:rsidRPr="00530B1E" w:rsidRDefault="00BB31FC" w:rsidP="00BB31FC">
      <w:pPr>
        <w:pStyle w:val="FootnoteText"/>
        <w:jc w:val="both"/>
        <w:rPr>
          <w:rFonts w:ascii="Arial" w:hAnsi="Arial"/>
          <w:sz w:val="16"/>
          <w:szCs w:val="16"/>
        </w:rPr>
      </w:pPr>
      <w:r w:rsidRPr="00530B1E">
        <w:rPr>
          <w:rStyle w:val="FootnoteReference"/>
          <w:rFonts w:ascii="Arial" w:hAnsi="Arial" w:cs="Arial"/>
          <w:sz w:val="16"/>
          <w:szCs w:val="16"/>
        </w:rPr>
        <w:footnoteRef/>
      </w:r>
      <w:r w:rsidRPr="00530B1E">
        <w:rPr>
          <w:rFonts w:ascii="Arial" w:hAnsi="Arial"/>
          <w:sz w:val="16"/>
          <w:szCs w:val="16"/>
        </w:rPr>
        <w:t xml:space="preserve"> Bloomberg, JP Morgan as of 6/30/24 based on daily total returns over the trailing 3 years ended 30 June 2024. All Euro-based indices are hedged to EUR. An investment cannot be made directly in an index</w:t>
      </w:r>
    </w:p>
    <w:p w14:paraId="1240DD64" w14:textId="77777777" w:rsidR="00BB31FC" w:rsidRDefault="00BB31FC" w:rsidP="00BB31FC">
      <w:pPr>
        <w:pStyle w:val="FootnoteText"/>
        <w:jc w:val="both"/>
      </w:pPr>
    </w:p>
  </w:footnote>
  <w:footnote w:id="50">
    <w:p w14:paraId="5D7A10DB" w14:textId="77777777" w:rsidR="00BB31FC" w:rsidRDefault="00BB31FC" w:rsidP="00BB31FC">
      <w:pPr>
        <w:pStyle w:val="FootnoteText"/>
      </w:pPr>
      <w:r w:rsidRPr="00530B1E">
        <w:rPr>
          <w:rStyle w:val="FootnoteReference"/>
          <w:rFonts w:ascii="Arial" w:hAnsi="Arial" w:cs="Arial"/>
          <w:sz w:val="16"/>
          <w:szCs w:val="16"/>
        </w:rPr>
        <w:footnoteRef/>
      </w:r>
      <w:r w:rsidRPr="00530B1E">
        <w:rPr>
          <w:rFonts w:ascii="Arial" w:hAnsi="Arial"/>
          <w:sz w:val="16"/>
          <w:szCs w:val="16"/>
        </w:rPr>
        <w:t xml:space="preserve"> Wells Fargo Securities as of December 31, 2018. Figures based on par subordination. For illustrative purposes only.</w:t>
      </w:r>
    </w:p>
  </w:footnote>
  <w:footnote w:id="51">
    <w:p w14:paraId="101FADD0" w14:textId="77777777" w:rsidR="00BB31FC" w:rsidRPr="00B37CA9" w:rsidRDefault="00BB31FC" w:rsidP="00BB31FC">
      <w:pPr>
        <w:pStyle w:val="FootnoteText"/>
        <w:jc w:val="both"/>
        <w:rPr>
          <w:rFonts w:ascii="Arial" w:hAnsi="Arial" w:cs="Arial"/>
          <w:sz w:val="16"/>
          <w:szCs w:val="16"/>
        </w:rPr>
      </w:pPr>
      <w:r w:rsidRPr="00B37CA9">
        <w:rPr>
          <w:rStyle w:val="FootnoteReference"/>
          <w:rFonts w:ascii="Arial" w:hAnsi="Arial" w:cs="Arial"/>
          <w:sz w:val="16"/>
          <w:szCs w:val="16"/>
        </w:rPr>
        <w:footnoteRef/>
      </w:r>
      <w:r w:rsidRPr="00B37CA9">
        <w:rPr>
          <w:rFonts w:ascii="Arial" w:hAnsi="Arial" w:cs="Arial"/>
          <w:sz w:val="16"/>
          <w:szCs w:val="16"/>
        </w:rPr>
        <w:t xml:space="preserve"> </w:t>
      </w:r>
      <w:r w:rsidRPr="00B37CA9">
        <w:rPr>
          <w:rFonts w:ascii="Arial" w:hAnsi="Arial" w:cs="Arial"/>
          <w:sz w:val="16"/>
          <w:szCs w:val="16"/>
          <w:lang w:val="en-IE"/>
        </w:rPr>
        <w:t>ETIs are debt securities typically issued by a (credit institution) that track the performance of a pool of underlying reference asset(s) that are managed on a discretionary basis by an asset manager. ETIs are listed or traded on a regulated market / multilateral trading facility.</w:t>
      </w:r>
    </w:p>
  </w:footnote>
  <w:footnote w:id="52">
    <w:p w14:paraId="74D04A0E" w14:textId="623CC417" w:rsidR="00BB31FC" w:rsidRPr="00B37CA9" w:rsidRDefault="00BB31FC">
      <w:pPr>
        <w:pStyle w:val="FootnoteText"/>
        <w:rPr>
          <w:rFonts w:ascii="Arial" w:hAnsi="Arial" w:cs="Arial"/>
          <w:sz w:val="16"/>
          <w:szCs w:val="16"/>
          <w:lang w:val="en-US"/>
        </w:rPr>
      </w:pPr>
      <w:r w:rsidRPr="00B37CA9">
        <w:rPr>
          <w:rStyle w:val="FootnoteReference"/>
          <w:rFonts w:ascii="Arial" w:hAnsi="Arial" w:cs="Arial"/>
          <w:sz w:val="16"/>
          <w:szCs w:val="16"/>
        </w:rPr>
        <w:footnoteRef/>
      </w:r>
      <w:r w:rsidRPr="00B37CA9">
        <w:rPr>
          <w:rFonts w:ascii="Arial" w:hAnsi="Arial" w:cs="Arial"/>
          <w:sz w:val="16"/>
          <w:szCs w:val="16"/>
        </w:rPr>
        <w:t xml:space="preserve"> </w:t>
      </w:r>
      <w:r w:rsidRPr="00B37CA9">
        <w:rPr>
          <w:rFonts w:ascii="Arial" w:hAnsi="Arial" w:cs="Arial"/>
          <w:sz w:val="16"/>
          <w:szCs w:val="16"/>
        </w:rPr>
        <w:t>Euro CLO AAA Notes represented by J.P. Morgan Euro CLOIE Index. Euro IG 1-3yr by Euro-Aggregate: 1-3 Year Index. Euro Securitized AAA by Bloomberg Euro-Aggregate: Securitized - AAA Index. Euro Agg by Bloomberg Euro-Aggregate Index. Euro Corp IG by Bloomberg Euro-Aggregate: Corporate Index.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B383" w14:textId="77777777" w:rsidR="002D6186" w:rsidRPr="002D6186" w:rsidRDefault="002D6186" w:rsidP="002D6186">
    <w:pPr>
      <w:tabs>
        <w:tab w:val="center" w:pos="4513"/>
        <w:tab w:val="right" w:pos="9026"/>
      </w:tabs>
      <w:spacing w:after="0" w:line="240" w:lineRule="auto"/>
      <w:jc w:val="right"/>
      <w:rPr>
        <w:rFonts w:ascii="Arial" w:eastAsia="MS PGothic" w:hAnsi="Arial" w:cs="Arial"/>
        <w:bCs/>
        <w:caps/>
        <w:color w:val="FF0000"/>
        <w:szCs w:val="20"/>
      </w:rPr>
    </w:pPr>
    <w:r w:rsidRPr="002D6186">
      <w:rPr>
        <w:rFonts w:ascii="Arial" w:eastAsia="MS PGothic" w:hAnsi="Arial" w:cs="Arial"/>
        <w:bCs/>
        <w:caps/>
        <w:noProof/>
        <w:color w:val="FF0000"/>
        <w:szCs w:val="20"/>
      </w:rPr>
      <w:drawing>
        <wp:anchor distT="0" distB="0" distL="114300" distR="114300" simplePos="0" relativeHeight="251658240" behindDoc="0" locked="0" layoutInCell="1" allowOverlap="1" wp14:anchorId="6009BBBF" wp14:editId="70747D81">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Pr="002D6186">
      <w:rPr>
        <w:rFonts w:ascii="Arial" w:eastAsia="MS PGothic" w:hAnsi="Arial" w:cs="Arial"/>
        <w:color w:val="001B4F"/>
        <w:sz w:val="16"/>
        <w:szCs w:val="20"/>
      </w:rPr>
      <w:t>7 May 2024</w:t>
    </w:r>
  </w:p>
  <w:p w14:paraId="3E32722B" w14:textId="5F6683E2" w:rsidR="002D6186" w:rsidRPr="002D6186" w:rsidRDefault="002D6186" w:rsidP="002D6186">
    <w:pPr>
      <w:tabs>
        <w:tab w:val="center" w:pos="4513"/>
        <w:tab w:val="right" w:pos="9026"/>
      </w:tabs>
      <w:spacing w:after="0" w:line="240" w:lineRule="auto"/>
      <w:jc w:val="right"/>
      <w:rPr>
        <w:rFonts w:ascii="Arial" w:eastAsia="MS PGothic" w:hAnsi="Arial" w:cs="Arial"/>
        <w:color w:val="001B4F"/>
        <w:sz w:val="16"/>
        <w:szCs w:val="20"/>
      </w:rPr>
    </w:pPr>
    <w:r w:rsidRPr="002D6186">
      <w:rPr>
        <w:rFonts w:ascii="Arial" w:eastAsia="MS PGothic" w:hAnsi="Arial" w:cs="Arial"/>
        <w:color w:val="001B4F"/>
        <w:sz w:val="16"/>
        <w:szCs w:val="20"/>
      </w:rPr>
      <w:t>ESMA 34-1270380148-10</w:t>
    </w:r>
    <w:r w:rsidR="00AF55C3">
      <w:rPr>
        <w:rFonts w:ascii="Arial" w:eastAsia="MS PGothic" w:hAnsi="Arial" w:cs="Arial"/>
        <w:color w:val="001B4F"/>
        <w:sz w:val="16"/>
        <w:szCs w:val="20"/>
      </w:rPr>
      <w:t>66</w:t>
    </w:r>
  </w:p>
  <w:p w14:paraId="3052C3B3" w14:textId="77777777" w:rsidR="002D6186" w:rsidRPr="002D6186" w:rsidRDefault="002D6186" w:rsidP="002D6186">
    <w:pPr>
      <w:spacing w:after="250" w:line="276" w:lineRule="auto"/>
      <w:jc w:val="both"/>
      <w:rPr>
        <w:rFonts w:ascii="Arial" w:eastAsia="MS PGothic" w:hAnsi="Arial" w:cs="Arial"/>
        <w:color w:val="181818"/>
        <w:szCs w:val="20"/>
      </w:rPr>
    </w:pPr>
  </w:p>
  <w:p w14:paraId="722A68F7" w14:textId="77777777" w:rsidR="002D6186" w:rsidRPr="002D6186" w:rsidRDefault="002D6186" w:rsidP="002D6186">
    <w:pPr>
      <w:spacing w:after="250" w:line="276" w:lineRule="auto"/>
      <w:jc w:val="both"/>
      <w:rPr>
        <w:rFonts w:ascii="Arial" w:eastAsia="MS PGothic" w:hAnsi="Arial" w:cs="Arial"/>
        <w:color w:val="181818"/>
        <w:szCs w:val="20"/>
      </w:rPr>
    </w:pPr>
  </w:p>
  <w:p w14:paraId="74BAAB78" w14:textId="588A28CA" w:rsidR="002D6186" w:rsidRPr="002D6186" w:rsidRDefault="002D6186" w:rsidP="002D6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5D23"/>
    <w:multiLevelType w:val="hybridMultilevel"/>
    <w:tmpl w:val="FFFFFFFF"/>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1BC661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1B2E36"/>
    <w:multiLevelType w:val="hybridMultilevel"/>
    <w:tmpl w:val="FFFFFFFF"/>
    <w:lvl w:ilvl="0" w:tplc="1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07D5FC0"/>
    <w:multiLevelType w:val="hybridMultilevel"/>
    <w:tmpl w:val="FFFFFFFF"/>
    <w:lvl w:ilvl="0" w:tplc="E53CEA50">
      <w:start w:val="1"/>
      <w:numFmt w:val="bullet"/>
      <w:lvlText w:val="•"/>
      <w:lvlJc w:val="left"/>
      <w:pPr>
        <w:tabs>
          <w:tab w:val="num" w:pos="720"/>
        </w:tabs>
        <w:ind w:left="720" w:hanging="360"/>
      </w:pPr>
      <w:rPr>
        <w:rFonts w:ascii="Arial" w:hAnsi="Arial" w:hint="default"/>
      </w:rPr>
    </w:lvl>
    <w:lvl w:ilvl="1" w:tplc="18090001">
      <w:start w:val="1"/>
      <w:numFmt w:val="bullet"/>
      <w:lvlText w:val=""/>
      <w:lvlJc w:val="left"/>
      <w:pPr>
        <w:ind w:left="720" w:hanging="360"/>
      </w:pPr>
      <w:rPr>
        <w:rFonts w:ascii="Symbol" w:hAnsi="Symbol" w:hint="default"/>
      </w:rPr>
    </w:lvl>
    <w:lvl w:ilvl="2" w:tplc="FD9025C8">
      <w:start w:val="1"/>
      <w:numFmt w:val="bullet"/>
      <w:lvlText w:val="•"/>
      <w:lvlJc w:val="left"/>
      <w:pPr>
        <w:tabs>
          <w:tab w:val="num" w:pos="2160"/>
        </w:tabs>
        <w:ind w:left="2160" w:hanging="360"/>
      </w:pPr>
      <w:rPr>
        <w:rFonts w:ascii="Arial" w:hAnsi="Arial" w:hint="default"/>
      </w:rPr>
    </w:lvl>
    <w:lvl w:ilvl="3" w:tplc="F64C8366">
      <w:start w:val="1"/>
      <w:numFmt w:val="bullet"/>
      <w:lvlText w:val="•"/>
      <w:lvlJc w:val="left"/>
      <w:pPr>
        <w:tabs>
          <w:tab w:val="num" w:pos="2880"/>
        </w:tabs>
        <w:ind w:left="2880" w:hanging="360"/>
      </w:pPr>
      <w:rPr>
        <w:rFonts w:ascii="Arial" w:hAnsi="Arial" w:hint="default"/>
      </w:rPr>
    </w:lvl>
    <w:lvl w:ilvl="4" w:tplc="6C1AA4EE">
      <w:start w:val="1"/>
      <w:numFmt w:val="bullet"/>
      <w:lvlText w:val="•"/>
      <w:lvlJc w:val="left"/>
      <w:pPr>
        <w:tabs>
          <w:tab w:val="num" w:pos="3600"/>
        </w:tabs>
        <w:ind w:left="3600" w:hanging="360"/>
      </w:pPr>
      <w:rPr>
        <w:rFonts w:ascii="Arial" w:hAnsi="Arial" w:hint="default"/>
      </w:rPr>
    </w:lvl>
    <w:lvl w:ilvl="5" w:tplc="D06E9D2A">
      <w:start w:val="1"/>
      <w:numFmt w:val="bullet"/>
      <w:lvlText w:val="•"/>
      <w:lvlJc w:val="left"/>
      <w:pPr>
        <w:tabs>
          <w:tab w:val="num" w:pos="4320"/>
        </w:tabs>
        <w:ind w:left="4320" w:hanging="360"/>
      </w:pPr>
      <w:rPr>
        <w:rFonts w:ascii="Arial" w:hAnsi="Arial" w:hint="default"/>
      </w:rPr>
    </w:lvl>
    <w:lvl w:ilvl="6" w:tplc="F0BAD3DE">
      <w:start w:val="1"/>
      <w:numFmt w:val="bullet"/>
      <w:lvlText w:val="•"/>
      <w:lvlJc w:val="left"/>
      <w:pPr>
        <w:tabs>
          <w:tab w:val="num" w:pos="5040"/>
        </w:tabs>
        <w:ind w:left="5040" w:hanging="360"/>
      </w:pPr>
      <w:rPr>
        <w:rFonts w:ascii="Arial" w:hAnsi="Arial" w:hint="default"/>
      </w:rPr>
    </w:lvl>
    <w:lvl w:ilvl="7" w:tplc="7D9C3F8A">
      <w:start w:val="1"/>
      <w:numFmt w:val="bullet"/>
      <w:lvlText w:val="•"/>
      <w:lvlJc w:val="left"/>
      <w:pPr>
        <w:tabs>
          <w:tab w:val="num" w:pos="5760"/>
        </w:tabs>
        <w:ind w:left="5760" w:hanging="360"/>
      </w:pPr>
      <w:rPr>
        <w:rFonts w:ascii="Arial" w:hAnsi="Arial" w:hint="default"/>
      </w:rPr>
    </w:lvl>
    <w:lvl w:ilvl="8" w:tplc="0E3C4F08">
      <w:start w:val="1"/>
      <w:numFmt w:val="bullet"/>
      <w:lvlText w:val="•"/>
      <w:lvlJc w:val="left"/>
      <w:pPr>
        <w:tabs>
          <w:tab w:val="num" w:pos="6480"/>
        </w:tabs>
        <w:ind w:left="6480" w:hanging="360"/>
      </w:pPr>
      <w:rPr>
        <w:rFonts w:ascii="Arial" w:hAnsi="Arial" w:hint="default"/>
      </w:rPr>
    </w:lvl>
  </w:abstractNum>
  <w:num w:numId="1" w16cid:durableId="851534082">
    <w:abstractNumId w:val="0"/>
  </w:num>
  <w:num w:numId="2" w16cid:durableId="1472405052">
    <w:abstractNumId w:val="2"/>
  </w:num>
  <w:num w:numId="3" w16cid:durableId="655688511">
    <w:abstractNumId w:val="3"/>
  </w:num>
  <w:num w:numId="4" w16cid:durableId="1864591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32"/>
    <w:rsid w:val="00023D31"/>
    <w:rsid w:val="00025A1B"/>
    <w:rsid w:val="00050BF8"/>
    <w:rsid w:val="00065543"/>
    <w:rsid w:val="00067CE6"/>
    <w:rsid w:val="000D6E83"/>
    <w:rsid w:val="001301D9"/>
    <w:rsid w:val="001462AD"/>
    <w:rsid w:val="00150222"/>
    <w:rsid w:val="00152FEF"/>
    <w:rsid w:val="00162CAE"/>
    <w:rsid w:val="0017743F"/>
    <w:rsid w:val="001A53B9"/>
    <w:rsid w:val="001B11A8"/>
    <w:rsid w:val="00203EF5"/>
    <w:rsid w:val="002072B4"/>
    <w:rsid w:val="00243F87"/>
    <w:rsid w:val="0025199F"/>
    <w:rsid w:val="0026434D"/>
    <w:rsid w:val="00264F16"/>
    <w:rsid w:val="00266B15"/>
    <w:rsid w:val="002829AC"/>
    <w:rsid w:val="00282BD2"/>
    <w:rsid w:val="00290E24"/>
    <w:rsid w:val="002A740A"/>
    <w:rsid w:val="002D58CD"/>
    <w:rsid w:val="002D6186"/>
    <w:rsid w:val="002F58FB"/>
    <w:rsid w:val="00304E46"/>
    <w:rsid w:val="00332B8C"/>
    <w:rsid w:val="0035372F"/>
    <w:rsid w:val="00394809"/>
    <w:rsid w:val="003A6B50"/>
    <w:rsid w:val="003D2C3C"/>
    <w:rsid w:val="0040029B"/>
    <w:rsid w:val="004664E3"/>
    <w:rsid w:val="00470FA5"/>
    <w:rsid w:val="0048151A"/>
    <w:rsid w:val="004C269D"/>
    <w:rsid w:val="004F280B"/>
    <w:rsid w:val="004F77AE"/>
    <w:rsid w:val="00501AC4"/>
    <w:rsid w:val="0050210B"/>
    <w:rsid w:val="00502D1C"/>
    <w:rsid w:val="0051598D"/>
    <w:rsid w:val="00523239"/>
    <w:rsid w:val="00537FD1"/>
    <w:rsid w:val="00544A7D"/>
    <w:rsid w:val="00546B72"/>
    <w:rsid w:val="00554F00"/>
    <w:rsid w:val="00556DBB"/>
    <w:rsid w:val="00557028"/>
    <w:rsid w:val="00580D8A"/>
    <w:rsid w:val="005846C0"/>
    <w:rsid w:val="00594512"/>
    <w:rsid w:val="005A35D5"/>
    <w:rsid w:val="005A6BF0"/>
    <w:rsid w:val="005C1551"/>
    <w:rsid w:val="005C347A"/>
    <w:rsid w:val="005E0910"/>
    <w:rsid w:val="005E31F2"/>
    <w:rsid w:val="005E75CC"/>
    <w:rsid w:val="00605E0B"/>
    <w:rsid w:val="00611825"/>
    <w:rsid w:val="0061475B"/>
    <w:rsid w:val="006252AD"/>
    <w:rsid w:val="00686D73"/>
    <w:rsid w:val="006B6977"/>
    <w:rsid w:val="006B7B4A"/>
    <w:rsid w:val="006C47BC"/>
    <w:rsid w:val="006C7811"/>
    <w:rsid w:val="00712439"/>
    <w:rsid w:val="00753DB8"/>
    <w:rsid w:val="00784D7C"/>
    <w:rsid w:val="00794019"/>
    <w:rsid w:val="007A589D"/>
    <w:rsid w:val="007F1B32"/>
    <w:rsid w:val="00817444"/>
    <w:rsid w:val="008351CF"/>
    <w:rsid w:val="00847BDD"/>
    <w:rsid w:val="0087027F"/>
    <w:rsid w:val="008B6D19"/>
    <w:rsid w:val="008C4D04"/>
    <w:rsid w:val="008D1492"/>
    <w:rsid w:val="00901098"/>
    <w:rsid w:val="00915CEE"/>
    <w:rsid w:val="00920E73"/>
    <w:rsid w:val="009212B4"/>
    <w:rsid w:val="009244B3"/>
    <w:rsid w:val="00951595"/>
    <w:rsid w:val="00967D76"/>
    <w:rsid w:val="00971266"/>
    <w:rsid w:val="00997493"/>
    <w:rsid w:val="009A3E35"/>
    <w:rsid w:val="009F7052"/>
    <w:rsid w:val="00A04D65"/>
    <w:rsid w:val="00A338CF"/>
    <w:rsid w:val="00A35853"/>
    <w:rsid w:val="00A53BC9"/>
    <w:rsid w:val="00A73913"/>
    <w:rsid w:val="00A85F46"/>
    <w:rsid w:val="00A87C58"/>
    <w:rsid w:val="00AE6FD6"/>
    <w:rsid w:val="00AF3545"/>
    <w:rsid w:val="00AF55C3"/>
    <w:rsid w:val="00B01DB8"/>
    <w:rsid w:val="00B33432"/>
    <w:rsid w:val="00B37CA9"/>
    <w:rsid w:val="00B53F54"/>
    <w:rsid w:val="00B626E5"/>
    <w:rsid w:val="00B62E29"/>
    <w:rsid w:val="00BB31FC"/>
    <w:rsid w:val="00BB49D8"/>
    <w:rsid w:val="00BC577D"/>
    <w:rsid w:val="00BD4295"/>
    <w:rsid w:val="00BD7454"/>
    <w:rsid w:val="00BE031F"/>
    <w:rsid w:val="00C06FE4"/>
    <w:rsid w:val="00C202C8"/>
    <w:rsid w:val="00C242FA"/>
    <w:rsid w:val="00C365B4"/>
    <w:rsid w:val="00C36669"/>
    <w:rsid w:val="00C745C1"/>
    <w:rsid w:val="00C95659"/>
    <w:rsid w:val="00CB1B38"/>
    <w:rsid w:val="00CF043C"/>
    <w:rsid w:val="00CF0B7A"/>
    <w:rsid w:val="00D01FE5"/>
    <w:rsid w:val="00D10784"/>
    <w:rsid w:val="00D16F57"/>
    <w:rsid w:val="00D45009"/>
    <w:rsid w:val="00D6002F"/>
    <w:rsid w:val="00D64553"/>
    <w:rsid w:val="00D86E5D"/>
    <w:rsid w:val="00DD67D7"/>
    <w:rsid w:val="00DF78BC"/>
    <w:rsid w:val="00E771B9"/>
    <w:rsid w:val="00E87C61"/>
    <w:rsid w:val="00EE4C70"/>
    <w:rsid w:val="00EE5B1A"/>
    <w:rsid w:val="00EF2185"/>
    <w:rsid w:val="00F03868"/>
    <w:rsid w:val="00F03D56"/>
    <w:rsid w:val="00F042E8"/>
    <w:rsid w:val="00F278BC"/>
    <w:rsid w:val="00F5738E"/>
    <w:rsid w:val="00F92D6A"/>
    <w:rsid w:val="00FB3EA8"/>
    <w:rsid w:val="00FC4846"/>
    <w:rsid w:val="00FD12FD"/>
    <w:rsid w:val="00FE6B1B"/>
    <w:rsid w:val="00FF17AE"/>
    <w:rsid w:val="06C380F5"/>
    <w:rsid w:val="095C8AB7"/>
    <w:rsid w:val="0CAEFC23"/>
    <w:rsid w:val="0EBCB8B4"/>
    <w:rsid w:val="1AFD8AD6"/>
    <w:rsid w:val="28CED790"/>
    <w:rsid w:val="2A636CE1"/>
    <w:rsid w:val="3DB91EF3"/>
    <w:rsid w:val="3FE99FEE"/>
    <w:rsid w:val="47F6D3D0"/>
    <w:rsid w:val="50D66E22"/>
    <w:rsid w:val="53D130EB"/>
    <w:rsid w:val="606EC105"/>
    <w:rsid w:val="66107C87"/>
    <w:rsid w:val="7C53680C"/>
    <w:rsid w:val="7D9B8A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D7B325"/>
  <w15:chartTrackingRefBased/>
  <w15:docId w15:val="{F0F16392-A36C-48A7-B6A1-DF2E3C58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33432"/>
    <w:pPr>
      <w:spacing w:after="0" w:line="240" w:lineRule="auto"/>
    </w:pPr>
    <w:rPr>
      <w:sz w:val="20"/>
      <w:szCs w:val="20"/>
    </w:rPr>
  </w:style>
  <w:style w:type="character" w:customStyle="1" w:styleId="FootnoteTextChar">
    <w:name w:val="Footnote Text Char"/>
    <w:basedOn w:val="DefaultParagraphFont"/>
    <w:link w:val="FootnoteText"/>
    <w:uiPriority w:val="99"/>
    <w:rsid w:val="00B33432"/>
    <w:rPr>
      <w:sz w:val="20"/>
      <w:szCs w:val="20"/>
    </w:rPr>
  </w:style>
  <w:style w:type="table" w:customStyle="1" w:styleId="Tablenone1">
    <w:name w:val="Table none1"/>
    <w:basedOn w:val="TableNormal"/>
    <w:next w:val="TableGrid"/>
    <w:uiPriority w:val="39"/>
    <w:rsid w:val="00B33432"/>
    <w:pPr>
      <w:spacing w:after="0" w:line="240" w:lineRule="auto"/>
    </w:pPr>
    <w:rPr>
      <w:rFonts w:eastAsia="MS PGothic"/>
      <w:sz w:val="20"/>
      <w:szCs w:val="20"/>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1">
    <w:name w:val="Ref1"/>
    <w:basedOn w:val="DefaultParagraphFont"/>
    <w:link w:val="Superscript6Point"/>
    <w:uiPriority w:val="99"/>
    <w:unhideWhenUsed/>
    <w:qFormat/>
    <w:rsid w:val="00B33432"/>
    <w:rPr>
      <w:rFonts w:ascii="Arial" w:hAnsi="Arial"/>
      <w:sz w:val="16"/>
      <w:vertAlign w:val="superscript"/>
    </w:rPr>
  </w:style>
  <w:style w:type="paragraph" w:customStyle="1" w:styleId="Superscript6Point">
    <w:name w:val="Superscript 6 Point"/>
    <w:aliases w:val="Odwołanie przypisu,de nota al pie,footnote ref,2001+ Fußnotenzeichen, Exposant 3 Point,BVI fnr Знак Знак,BVI fnr Car Car Знак Знак,BVI fnr Car Знак Знак,R,16 Point,number"/>
    <w:basedOn w:val="Normal"/>
    <w:link w:val="Ref1"/>
    <w:uiPriority w:val="99"/>
    <w:rsid w:val="00B33432"/>
    <w:pPr>
      <w:spacing w:before="120" w:line="240" w:lineRule="exact"/>
    </w:pPr>
    <w:rPr>
      <w:rFonts w:ascii="Arial" w:eastAsia="MS PGothic" w:hAnsi="Arial"/>
      <w:sz w:val="16"/>
      <w:szCs w:val="20"/>
      <w:vertAlign w:val="superscript"/>
      <w:lang w:val="nl-BE"/>
    </w:rPr>
  </w:style>
  <w:style w:type="table" w:styleId="TableGrid">
    <w:name w:val="Table Grid"/>
    <w:basedOn w:val="TableNormal"/>
    <w:uiPriority w:val="39"/>
    <w:rsid w:val="00B33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B33432"/>
    <w:rPr>
      <w:vertAlign w:val="superscript"/>
    </w:rPr>
  </w:style>
  <w:style w:type="paragraph" w:styleId="Header">
    <w:name w:val="header"/>
    <w:basedOn w:val="Normal"/>
    <w:link w:val="HeaderChar"/>
    <w:uiPriority w:val="99"/>
    <w:unhideWhenUsed/>
    <w:rsid w:val="00F03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D56"/>
  </w:style>
  <w:style w:type="paragraph" w:styleId="Footer">
    <w:name w:val="footer"/>
    <w:basedOn w:val="Normal"/>
    <w:link w:val="FooterChar"/>
    <w:uiPriority w:val="99"/>
    <w:unhideWhenUsed/>
    <w:rsid w:val="00F03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D56"/>
  </w:style>
  <w:style w:type="paragraph" w:styleId="BalloonText">
    <w:name w:val="Balloon Text"/>
    <w:basedOn w:val="Normal"/>
    <w:link w:val="BalloonTextChar"/>
    <w:uiPriority w:val="99"/>
    <w:semiHidden/>
    <w:unhideWhenUsed/>
    <w:rsid w:val="002D61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186"/>
    <w:rPr>
      <w:rFonts w:ascii="Segoe UI" w:hAnsi="Segoe UI" w:cs="Segoe UI"/>
      <w:sz w:val="18"/>
      <w:szCs w:val="18"/>
    </w:rPr>
  </w:style>
  <w:style w:type="character" w:styleId="Hyperlink">
    <w:name w:val="Hyperlink"/>
    <w:basedOn w:val="DefaultParagraphFont"/>
    <w:uiPriority w:val="99"/>
    <w:unhideWhenUsed/>
    <w:rsid w:val="00901098"/>
    <w:rPr>
      <w:color w:val="0563C1" w:themeColor="hyperlink"/>
      <w:u w:val="single"/>
    </w:rPr>
  </w:style>
  <w:style w:type="character" w:styleId="UnresolvedMention">
    <w:name w:val="Unresolved Mention"/>
    <w:basedOn w:val="DefaultParagraphFont"/>
    <w:uiPriority w:val="99"/>
    <w:semiHidden/>
    <w:unhideWhenUsed/>
    <w:rsid w:val="00901098"/>
    <w:rPr>
      <w:color w:val="605E5C"/>
      <w:shd w:val="clear" w:color="auto" w:fill="E1DFDD"/>
    </w:rPr>
  </w:style>
  <w:style w:type="character" w:styleId="FollowedHyperlink">
    <w:name w:val="FollowedHyperlink"/>
    <w:basedOn w:val="DefaultParagraphFont"/>
    <w:uiPriority w:val="99"/>
    <w:semiHidden/>
    <w:unhideWhenUsed/>
    <w:rsid w:val="00901098"/>
    <w:rPr>
      <w:color w:val="954F72" w:themeColor="followedHyperlink"/>
      <w:u w:val="single"/>
    </w:rPr>
  </w:style>
  <w:style w:type="paragraph" w:styleId="ListParagraph">
    <w:name w:val="List Paragraph"/>
    <w:aliases w:val="Paragraphe EI,Paragraphe de liste1,EC"/>
    <w:basedOn w:val="Normal"/>
    <w:link w:val="ListParagraphChar"/>
    <w:uiPriority w:val="34"/>
    <w:qFormat/>
    <w:rsid w:val="00A04D65"/>
    <w:pPr>
      <w:spacing w:after="0" w:line="240" w:lineRule="auto"/>
      <w:ind w:left="720"/>
      <w:contextualSpacing/>
    </w:pPr>
    <w:rPr>
      <w:rFonts w:ascii="Times New Roman" w:eastAsia="MS Mincho" w:hAnsi="Times New Roman" w:cs="Times New Roman"/>
      <w:sz w:val="24"/>
      <w:szCs w:val="24"/>
      <w:lang w:eastAsia="ja-JP"/>
    </w:rPr>
  </w:style>
  <w:style w:type="character" w:customStyle="1" w:styleId="ListParagraphChar">
    <w:name w:val="List Paragraph Char"/>
    <w:aliases w:val="Paragraphe EI Char,Paragraphe de liste1 Char,EC Char"/>
    <w:basedOn w:val="DefaultParagraphFont"/>
    <w:link w:val="ListParagraph"/>
    <w:uiPriority w:val="34"/>
    <w:locked/>
    <w:rsid w:val="00A04D65"/>
    <w:rPr>
      <w:rFonts w:ascii="Times New Roman" w:eastAsia="MS Mincho" w:hAnsi="Times New Roman" w:cs="Times New Roman"/>
      <w:sz w:val="24"/>
      <w:szCs w:val="24"/>
      <w:lang w:eastAsia="ja-JP"/>
    </w:rPr>
  </w:style>
  <w:style w:type="paragraph" w:customStyle="1" w:styleId="xmsolistparagraph">
    <w:name w:val="x_msolistparagraph"/>
    <w:basedOn w:val="Normal"/>
    <w:rsid w:val="00BB31FC"/>
    <w:pPr>
      <w:spacing w:before="100" w:beforeAutospacing="1" w:after="100" w:afterAutospacing="1" w:line="240" w:lineRule="auto"/>
    </w:pPr>
    <w:rPr>
      <w:rFonts w:ascii="Times New Roman" w:eastAsiaTheme="minorEastAsia" w:hAnsi="Times New Roman" w:cs="Times New Roman"/>
      <w:sz w:val="24"/>
      <w:szCs w:val="24"/>
      <w:lang w:val="en-IE" w:eastAsia="en-IE"/>
    </w:rPr>
  </w:style>
  <w:style w:type="character" w:customStyle="1" w:styleId="cf01">
    <w:name w:val="cf01"/>
    <w:basedOn w:val="DefaultParagraphFont"/>
    <w:rsid w:val="00BB31FC"/>
    <w:rPr>
      <w:rFonts w:ascii="Segoe UI" w:hAnsi="Segoe UI" w:cs="Segoe UI"/>
      <w:sz w:val="18"/>
      <w:szCs w:val="18"/>
    </w:rPr>
  </w:style>
  <w:style w:type="character" w:styleId="CommentReference">
    <w:name w:val="annotation reference"/>
    <w:basedOn w:val="DefaultParagraphFont"/>
    <w:uiPriority w:val="99"/>
    <w:semiHidden/>
    <w:rsid w:val="00BB31FC"/>
    <w:rPr>
      <w:rFonts w:cs="Times New Roman"/>
      <w:sz w:val="16"/>
      <w:szCs w:val="16"/>
    </w:rPr>
  </w:style>
  <w:style w:type="paragraph" w:styleId="CommentText">
    <w:name w:val="annotation text"/>
    <w:basedOn w:val="Normal"/>
    <w:link w:val="CommentTextChar"/>
    <w:uiPriority w:val="99"/>
    <w:rsid w:val="00BB31FC"/>
    <w:pPr>
      <w:spacing w:after="0" w:line="240" w:lineRule="auto"/>
    </w:pPr>
    <w:rPr>
      <w:rFonts w:ascii="Times New Roman" w:eastAsia="MS Mincho" w:hAnsi="Times New Roman" w:cs="Times New Roman"/>
      <w:sz w:val="20"/>
      <w:szCs w:val="20"/>
      <w:lang w:eastAsia="ja-JP"/>
    </w:rPr>
  </w:style>
  <w:style w:type="character" w:customStyle="1" w:styleId="CommentTextChar">
    <w:name w:val="Comment Text Char"/>
    <w:basedOn w:val="DefaultParagraphFont"/>
    <w:link w:val="CommentText"/>
    <w:uiPriority w:val="99"/>
    <w:rsid w:val="00BB31FC"/>
    <w:rPr>
      <w:rFonts w:ascii="Times New Roman" w:eastAsia="MS Mincho"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esma.europa.eu/press-news/consultations/call-evidence-review-ucits-eligible-assets-directive"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artemis.bm/dashboard/catastrophe-bonds-ils-issued-and-outstanding-by-year/" TargetMode="External"/><Relationship Id="rId13" Type="http://schemas.openxmlformats.org/officeDocument/2006/relationships/hyperlink" Target="https://www.swissre.com/our-business/alternative-capital-partners/ils-market-update-january-2018.html" TargetMode="External"/><Relationship Id="rId18" Type="http://schemas.openxmlformats.org/officeDocument/2006/relationships/hyperlink" Target="https://www.bankofengland.co.uk/stress-testing/2023/bank-of-england-stress-testing-results" TargetMode="External"/><Relationship Id="rId26" Type="http://schemas.openxmlformats.org/officeDocument/2006/relationships/hyperlink" Target="https://www.spglobal.com/en/research-insights/special-reports/spac" TargetMode="External"/><Relationship Id="rId3" Type="http://schemas.openxmlformats.org/officeDocument/2006/relationships/hyperlink" Target="https://www.ecb.europa.eu/pub/pdf/other/ecb.policyoptions_EIOPA~c0adae58b7.en.pdf" TargetMode="External"/><Relationship Id="rId21" Type="http://schemas.openxmlformats.org/officeDocument/2006/relationships/hyperlink" Target="https://blockworks.co/bitcoin-etf" TargetMode="External"/><Relationship Id="rId7" Type="http://schemas.openxmlformats.org/officeDocument/2006/relationships/hyperlink" Target="https://www.artemis.bm/dashboard/catastrophe-bonds-ils-outstanding-by-sponsor/" TargetMode="External"/><Relationship Id="rId12" Type="http://schemas.openxmlformats.org/officeDocument/2006/relationships/hyperlink" Target="https://www.morningstar.com/bonds/catastrophe-bonds-strategic-diversifier" TargetMode="External"/><Relationship Id="rId17" Type="http://schemas.openxmlformats.org/officeDocument/2006/relationships/hyperlink" Target="https://www.bankingsupervision.europa.eu/ecb/pub/pdf/ssm.Report_2023_Stress_Test%7E96bb5a3af8.en.pdf" TargetMode="External"/><Relationship Id="rId25" Type="http://schemas.openxmlformats.org/officeDocument/2006/relationships/hyperlink" Target="https://www.reit.com/data-research/data/reits-numbers" TargetMode="External"/><Relationship Id="rId2" Type="http://schemas.openxmlformats.org/officeDocument/2006/relationships/hyperlink" Target="https://www.aon.com/reinsurance/thoughtleadership/default/reinsurance-market-dynamics-april-2024" TargetMode="External"/><Relationship Id="rId16" Type="http://schemas.openxmlformats.org/officeDocument/2006/relationships/hyperlink" Target="https://www.artemis.bm/ucits-catastrophe-bond-fund-assets/" TargetMode="External"/><Relationship Id="rId20" Type="http://schemas.openxmlformats.org/officeDocument/2006/relationships/hyperlink" Target="https://www.centralbank.ie/docs/default-source/regulation/industry-market-sectors/funds/ucits/guidance/40th-edition-ucits-qa.pdf?sfvrsn=f3869d1d_1" TargetMode="External"/><Relationship Id="rId29" Type="http://schemas.openxmlformats.org/officeDocument/2006/relationships/hyperlink" Target="https://www.centralbank.ie/docs/default-source/regulation/consumer-protection/other-codes-of-conduct/dear-ceo-letter-discretionary-commission-arrangements-in-motor-finance-arranged-through-hire-purchase-agreements.pdf?sfvrsn=c3d6601a_4" TargetMode="External"/><Relationship Id="rId1" Type="http://schemas.openxmlformats.org/officeDocument/2006/relationships/hyperlink" Target="https://www.artemis.bm/dashboard/catastrophe-bonds-ils-issued-and-outstanding-by-year" TargetMode="External"/><Relationship Id="rId6" Type="http://schemas.openxmlformats.org/officeDocument/2006/relationships/hyperlink" Target="https://www.artemis.bm/ucits-catastrophe-bond-fund-assets/" TargetMode="External"/><Relationship Id="rId11" Type="http://schemas.openxmlformats.org/officeDocument/2006/relationships/hyperlink" Target="https://www.swissre.com/dam/jcr:345b8b0e-c2ea-4dad-957b-7ba20658e8e2/2023-03-sr-ils-market-insights-march.pdf" TargetMode="External"/><Relationship Id="rId24" Type="http://schemas.openxmlformats.org/officeDocument/2006/relationships/hyperlink" Target="https://www.sciencedirect.com/science/article/abs/pii/S1062976922000916" TargetMode="External"/><Relationship Id="rId5" Type="http://schemas.openxmlformats.org/officeDocument/2006/relationships/hyperlink" Target="https://www.artemis.bm/dashboard/catastrophe-bonds-ils-issued-and-outstanding-by-year/" TargetMode="External"/><Relationship Id="rId15" Type="http://schemas.openxmlformats.org/officeDocument/2006/relationships/hyperlink" Target="https://www.artemis.bm/news/world-bank-has-now-facilitated-over-us-4-8bn-in-catastrophe-bonds/" TargetMode="External"/><Relationship Id="rId23" Type="http://schemas.openxmlformats.org/officeDocument/2006/relationships/hyperlink" Target="https://rpc.cfainstitute.org/en/research/foundation/2021/cryptoassets" TargetMode="External"/><Relationship Id="rId28" Type="http://schemas.openxmlformats.org/officeDocument/2006/relationships/hyperlink" Target="https://www.esma.europa.eu/sites/default/files/2024-01/ESMA50-524821-3095_EU_Alternative_Investment_Funds_2023.pdf" TargetMode="External"/><Relationship Id="rId10" Type="http://schemas.openxmlformats.org/officeDocument/2006/relationships/hyperlink" Target="https://www.swissre.com/dam/jcr:091f842a-242e-40cf-a4e8-6188bf0594e1/ils-midyear-market-update2020.pdf" TargetMode="External"/><Relationship Id="rId19" Type="http://schemas.openxmlformats.org/officeDocument/2006/relationships/hyperlink" Target="https://www.bankingsupervision.europa.eu/press/pr/date/2024/html/ssm.pr240410~893f0389e1.en.html" TargetMode="External"/><Relationship Id="rId4" Type="http://schemas.openxmlformats.org/officeDocument/2006/relationships/hyperlink" Target="https://www.sec.gov/corpfin/securities-act-rules" TargetMode="External"/><Relationship Id="rId9" Type="http://schemas.openxmlformats.org/officeDocument/2006/relationships/hyperlink" Target="https://www.artemis.bm/dashboard/cat-bonds-ils-by-risk-or-peril/" TargetMode="External"/><Relationship Id="rId14" Type="http://schemas.openxmlformats.org/officeDocument/2006/relationships/hyperlink" Target="https://www.ecb.europa.eu/pub/pdf/other/ecb.policyoptions_EIOPA~c0adae58b7.el.pdf" TargetMode="External"/><Relationship Id="rId22" Type="http://schemas.openxmlformats.org/officeDocument/2006/relationships/hyperlink" Target="https://rpc.cfainstitute.org/en/research/foundation/2021/cryptoassets" TargetMode="External"/><Relationship Id="rId27" Type="http://schemas.openxmlformats.org/officeDocument/2006/relationships/hyperlink" Target="https://www.centralbank.ie/docs/default-source/regulation/industry-market-sectors/securities-markets/risk-outlook-reports/securities-markets-risk-outlook-report-2022.pdf?sfvrsn=97c9931d_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33</Value>
      <Value>254</Value>
      <Value>5</Value>
    </TaxCatchAll>
    <i273e4c9de95495b82bee898e1d119e4 xmlns="d0fb0f98-34f9-4d57-9559-eb8efd17aa5e">
      <Terms xmlns="http://schemas.microsoft.com/office/infopath/2007/PartnerControls">
        <TermInfo xmlns="http://schemas.microsoft.com/office/infopath/2007/PartnerControls">
          <TermName xmlns="http://schemas.microsoft.com/office/infopath/2007/PartnerControls">UCITS V</TermName>
          <TermId xmlns="http://schemas.microsoft.com/office/infopath/2007/PartnerControls">f647cd65-9fed-4943-9235-640226c8ffaf</TermId>
        </TermInfo>
      </Terms>
    </i273e4c9de95495b82bee898e1d119e4>
    <k9db3a09612944c49e649e0ff38a506b xmlns="d0fb0f98-34f9-4d57-9559-eb8efd17aa5e">
      <Terms xmlns="http://schemas.microsoft.com/office/infopath/2007/PartnerControls"/>
    </k9db3a09612944c49e649e0ff38a506b>
    <MeetingDate xmlns="d0fb0f98-34f9-4d57-9559-eb8efd17aa5e" xsi:nil="true"/>
    <Year xmlns="d0fb0f98-34f9-4d57-9559-eb8efd17aa5e">2023</Year>
    <o129a376828d47fdaef4d5f5d93fd079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le43fdf786354491b6a92d49b491b10f xmlns="d0fb0f98-34f9-4d57-9559-eb8efd17aa5e">
      <Terms xmlns="http://schemas.microsoft.com/office/infopath/2007/PartnerControls">
        <TermInfo xmlns="http://schemas.microsoft.com/office/infopath/2007/PartnerControls">
          <TermName xmlns="http://schemas.microsoft.com/office/infopath/2007/PartnerControls">UCITS</TermName>
          <TermId xmlns="http://schemas.microsoft.com/office/infopath/2007/PartnerControls">a853cb80-aed9-44bd-ac2a-0e80b5a444d7</TermId>
        </TermInfo>
      </Terms>
    </le43fdf786354491b6a92d49b491b10f>
    <kdd529b9a5cb416096d62dbd0e6e5583 xmlns="d0fb0f98-34f9-4d57-9559-eb8efd17aa5e">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oa4fe03ffd8943c1880fe290404e8de7 xmlns="d0fb0f98-34f9-4d57-9559-eb8efd17aa5e">
      <Terms xmlns="http://schemas.microsoft.com/office/infopath/2007/PartnerControls"/>
    </oa4fe03ffd8943c1880fe290404e8de7>
    <_dlc_DocId xmlns="d0fb0f98-34f9-4d57-9559-eb8efd17aa5e">ESMA34-1270380148-1066</_dlc_DocId>
    <_dlc_DocIdUrl xmlns="d0fb0f98-34f9-4d57-9559-eb8efd17aa5e">
      <Url>https://securitiesandmarketsauth.sharepoint.com/sites/sherpa-ivm/_layouts/15/DocIdRedir.aspx?ID=ESMA34-1270380148-1066</Url>
      <Description>ESMA34-1270380148-1066</Description>
    </_dlc_DocIdUrl>
    <SharedWithUsers xmlns="d0fb0f98-34f9-4d57-9559-eb8efd17aa5e">
      <UserInfo>
        <DisplayName>Iris Hude</DisplayName>
        <AccountId>82</AccountId>
        <AccountType/>
      </UserInfo>
    </SharedWithUser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CITS Document" ma:contentTypeID="0x0101000ED1C6BF2ECFE74585EFFEA9E6E27962010B006EE2F6F0923B8D47B938E8456CAF7C4C" ma:contentTypeVersion="24" ma:contentTypeDescription="" ma:contentTypeScope="" ma:versionID="bb69f40d48060915a746d88e25b3ce6c">
  <xsd:schema xmlns:xsd="http://www.w3.org/2001/XMLSchema" xmlns:xs="http://www.w3.org/2001/XMLSchema" xmlns:p="http://schemas.microsoft.com/office/2006/metadata/properties" xmlns:ns2="d0fb0f98-34f9-4d57-9559-eb8efd17aa5e" xmlns:ns3="6992b194-ece9-4b26-973e-e25c2ee2cdcd" targetNamespace="http://schemas.microsoft.com/office/2006/metadata/properties" ma:root="true" ma:fieldsID="d393c18af9c87e7948f2665729661357" ns2:_="" ns3:_="">
    <xsd:import namespace="d0fb0f98-34f9-4d57-9559-eb8efd17aa5e"/>
    <xsd:import namespace="6992b194-ece9-4b26-973e-e25c2ee2cdcd"/>
    <xsd:element name="properties">
      <xsd:complexType>
        <xsd:sequence>
          <xsd:element name="documentManagement">
            <xsd:complexType>
              <xsd:all>
                <xsd:element ref="ns2:Year"/>
                <xsd:element ref="ns2:MeetingDate" minOccurs="0"/>
                <xsd:element ref="ns2:TaxCatchAll" minOccurs="0"/>
                <xsd:element ref="ns2:TaxCatchAllLabel" minOccurs="0"/>
                <xsd:element ref="ns2:kdd529b9a5cb416096d62dbd0e6e5583" minOccurs="0"/>
                <xsd:element ref="ns2:oa4fe03ffd8943c1880fe290404e8de7" minOccurs="0"/>
                <xsd:element ref="ns2:o129a376828d47fdaef4d5f5d93fd079" minOccurs="0"/>
                <xsd:element ref="ns2:k9db3a09612944c49e649e0ff38a506b" minOccurs="0"/>
                <xsd:element ref="ns2:le43fdf786354491b6a92d49b491b10f" minOccurs="0"/>
                <xsd:element ref="ns2:i273e4c9de95495b82bee898e1d119e4"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0" nillable="true" ma:displayName="Taxonomy Catch All Column" ma:hidden="true" ma:list="{47290a89-fb2d-4e6f-824b-be70d5d8a6c0}"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7290a89-fb2d-4e6f-824b-be70d5d8a6c0}"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dd529b9a5cb416096d62dbd0e6e5583" ma:index="18" nillable="true" ma:taxonomy="true" ma:internalName="kdd529b9a5cb416096d62dbd0e6e5583" ma:taxonomyFieldName="TeamName" ma:displayName="Team Name" ma:readOnly="false" ma:default="-1;#Investment Management|9630b78b-e81c-4ffd-baef-5f8b4aeb7ac5" ma:fieldId="{4dd529b9-a5cb-4160-96d6-2dbd0e6e5583}"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a4fe03ffd8943c1880fe290404e8de7" ma:index="19" nillable="true" ma:taxonomy="true" ma:internalName="oa4fe03ffd8943c1880fe290404e8de7" ma:taxonomyFieldName="DocumentType" ma:displayName="Document Type" ma:readOnly="false" ma:fieldId="{8a4fe03f-fd89-43c1-880f-e290404e8de7}"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20" nillable="true" ma:taxonomy="true" ma:internalName="o129a376828d47fdaef4d5f5d93fd079" ma:taxonomyFieldName="ConfidentialityLevel" ma:displayName="Confidentiality Level" ma:readOnly="false" ma:default="-1;#Regular|07f1e362-856b-423d-bea6-a14079762141" ma:fieldId="{8129a376-828d-47fd-aef4-d5f5d93fd079}"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k9db3a09612944c49e649e0ff38a506b" ma:index="21" nillable="true" ma:taxonomy="true" ma:internalName="k9db3a09612944c49e649e0ff38a506b" ma:taxonomyFieldName="EsmaAudience" ma:displayName="Audience" ma:readOnly="false" ma:fieldId="{49db3a09-6129-44c4-9e64-9e0ff38a506b}"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e43fdf786354491b6a92d49b491b10f" ma:index="22" nillable="true" ma:taxonomy="true" ma:internalName="le43fdf786354491b6a92d49b491b10f" ma:taxonomyFieldName="TeamTopic" ma:displayName="Team Topic" ma:readOnly="false" ma:default="-1;#UCITS|a853cb80-aed9-44bd-ac2a-0e80b5a444d7" ma:fieldId="{5e43fdf7-8635-4491-b6a9-2d49b491b10f}" ma:taxonomyMulti="true" ma:sspId="d4b01e31-ead0-4f68-a8e9-2aaca35f2e62" ma:termSetId="659d163a-41f8-4a11-98d0-47db219aa0e4" ma:anchorId="00000000-0000-0000-0000-000000000000" ma:open="false" ma:isKeyword="false">
      <xsd:complexType>
        <xsd:sequence>
          <xsd:element ref="pc:Terms" minOccurs="0" maxOccurs="1"/>
        </xsd:sequence>
      </xsd:complexType>
    </xsd:element>
    <xsd:element name="i273e4c9de95495b82bee898e1d119e4" ma:index="23" nillable="true" ma:taxonomy="true" ma:internalName="i273e4c9de95495b82bee898e1d119e4" ma:taxonomyFieldName="Topic" ma:displayName="Topic" ma:readOnly="false" ma:fieldId="{2273e4c9-de95-495b-82be-e898e1d119e4}" ma:sspId="d4b01e31-ead0-4f68-a8e9-2aaca35f2e62" ma:termSetId="d513acc8-7dbc-449c-a6a2-9c4e1874ec8d" ma:anchorId="00000000-0000-0000-0000-000000000000" ma:open="tru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2b194-ece9-4b26-973e-e25c2ee2cdc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697FA-BE24-4878-AFDB-AD64CEE0912C}">
  <ds:schemaRefs>
    <ds:schemaRef ds:uri="6992b194-ece9-4b26-973e-e25c2ee2cdcd"/>
    <ds:schemaRef ds:uri="http://purl.org/dc/terms/"/>
    <ds:schemaRef ds:uri="http://schemas.microsoft.com/office/2006/documentManagement/types"/>
    <ds:schemaRef ds:uri="http://schemas.openxmlformats.org/package/2006/metadata/core-properties"/>
    <ds:schemaRef ds:uri="d0fb0f98-34f9-4d57-9559-eb8efd17aa5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C84FCA0-A20E-48DE-B522-B2D818717B37}">
  <ds:schemaRefs>
    <ds:schemaRef ds:uri="http://schemas.microsoft.com/sharepoint/events"/>
  </ds:schemaRefs>
</ds:datastoreItem>
</file>

<file path=customXml/itemProps3.xml><?xml version="1.0" encoding="utf-8"?>
<ds:datastoreItem xmlns:ds="http://schemas.openxmlformats.org/officeDocument/2006/customXml" ds:itemID="{93EC7362-CE0E-45A1-9F25-BE624802C55F}">
  <ds:schemaRefs>
    <ds:schemaRef ds:uri="http://schemas.microsoft.com/sharepoint/v3/contenttype/forms"/>
  </ds:schemaRefs>
</ds:datastoreItem>
</file>

<file path=customXml/itemProps4.xml><?xml version="1.0" encoding="utf-8"?>
<ds:datastoreItem xmlns:ds="http://schemas.openxmlformats.org/officeDocument/2006/customXml" ds:itemID="{C5543A0A-BC65-43F9-A5CA-D69219D76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992b194-ece9-4b26-973e-e25c2ee2c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C47B8C-C648-47C2-97F3-C4DAC633F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931</TotalTime>
  <Pages>79</Pages>
  <Words>12749</Words>
  <Characters>72671</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Costila</dc:creator>
  <cp:keywords/>
  <dc:description/>
  <cp:lastModifiedBy>Geraldine Brehony</cp:lastModifiedBy>
  <cp:revision>4</cp:revision>
  <dcterms:created xsi:type="dcterms:W3CDTF">2024-08-07T10:50:00Z</dcterms:created>
  <dcterms:modified xsi:type="dcterms:W3CDTF">2024-08-07T13:35:00Z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0x0101000ED1C6BF2ECFE74585EFFEA9E6E27962010B006EE2F6F0923B8D47B938E8456CAF7C4C</vt:lpwstr>
  </property>
  <property fmtid="{D5CDD505-2E9C-101B-9397-08002B2CF9AE}" pid="3" name="TeamName">
    <vt:lpwstr>5</vt:lpwstr>
  </property>
  <property fmtid="{D5CDD505-2E9C-101B-9397-08002B2CF9AE}" pid="4" name="Topic">
    <vt:lpwstr>254</vt:lpwstr>
  </property>
  <property fmtid="{D5CDD505-2E9C-101B-9397-08002B2CF9AE}" pid="5" name="ConfidentialityLevel">
    <vt:lpwstr>6;#Regular|07f1e362-856b-423d-bea6-a14079762141</vt:lpwstr>
  </property>
  <property fmtid="{D5CDD505-2E9C-101B-9397-08002B2CF9AE}" pid="6" name="TeamTopic">
    <vt:lpwstr>33;#UCITS|a853cb80-aed9-44bd-ac2a-0e80b5a444d7</vt:lpwstr>
  </property>
  <property fmtid="{D5CDD505-2E9C-101B-9397-08002B2CF9AE}" pid="7" name="DocumentType">
    <vt:lpwstr/>
  </property>
  <property fmtid="{D5CDD505-2E9C-101B-9397-08002B2CF9AE}" pid="8" name="EsmaAudience">
    <vt:lpwstr/>
  </property>
  <property fmtid="{D5CDD505-2E9C-101B-9397-08002B2CF9AE}" pid="9" name="_dlc_DocIdItemGuid">
    <vt:lpwstr>1a846c82-0d53-46e2-86e5-7d75005f4a47</vt:lpwstr>
  </property>
</Properties>
</file>