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01438AE1" w14:textId="19FC5ED4" w:rsidR="00563C1F" w:rsidRDefault="00EC6066" w:rsidP="00F72D28">
          <w:pPr>
            <w:pStyle w:val="Title"/>
          </w:pPr>
          <w:r>
            <w:t>Reply form</w:t>
          </w:r>
        </w:p>
        <w:p w14:paraId="031F2108" w14:textId="0F73999B"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E77E2A"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8334D4">
            <w:rPr>
              <w:rFonts w:cs="Arial"/>
              <w:b/>
              <w:bCs/>
            </w:rPr>
            <w:t>On the review of the UCITS Eligible Assets Directive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3A45AF35" w:rsidR="002533FC" w:rsidRPr="005B6B12" w:rsidRDefault="002533FC" w:rsidP="002533FC">
          <w:r w:rsidRPr="005B6B12">
            <w:t>ESMA will consider all comments received by</w:t>
          </w:r>
          <w:r w:rsidR="008334D4">
            <w:t xml:space="preserve"> </w:t>
          </w:r>
          <w:r w:rsidR="008334D4" w:rsidRPr="008334D4">
            <w:rPr>
              <w:b/>
              <w:bCs/>
            </w:rPr>
            <w:t>Wednesday</w:t>
          </w:r>
          <w:r w:rsidRPr="008334D4">
            <w:rPr>
              <w:b/>
              <w:bCs/>
            </w:rPr>
            <w:t xml:space="preserve"> </w:t>
          </w:r>
          <w:r w:rsidR="00667FF6" w:rsidRPr="008334D4">
            <w:rPr>
              <w:b/>
              <w:bCs/>
            </w:rPr>
            <w:t>7 August</w:t>
          </w:r>
          <w:r w:rsidR="00667FF6" w:rsidRPr="00667FF6">
            <w:rPr>
              <w:b/>
              <w:bCs/>
            </w:rPr>
            <w:t xml:space="preserve"> 2024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2E9458DC"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D07D6E">
            <w:rPr>
              <w:bCs/>
            </w:rPr>
            <w:t>EADC</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C336E6E"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86332B">
            <w:rPr>
              <w:bCs/>
            </w:rPr>
            <w:t>EADC</w:t>
          </w:r>
          <w:r w:rsidRPr="00C5469A">
            <w:rPr>
              <w:bCs/>
            </w:rPr>
            <w:t xml:space="preserve">_nameofrespondent. </w:t>
          </w:r>
        </w:p>
        <w:p w14:paraId="210BE93A" w14:textId="1C20553E"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86332B">
            <w:rPr>
              <w:bCs/>
            </w:rPr>
            <w:t>EADC</w:t>
          </w:r>
          <w:r w:rsidRPr="00C5469A">
            <w:rPr>
              <w:bCs/>
            </w:rPr>
            <w:t xml:space="preserve"> _ABCD.</w:t>
          </w:r>
        </w:p>
        <w:p w14:paraId="60FF11C9" w14:textId="121D1164" w:rsidR="00EC6066" w:rsidRPr="0026459D" w:rsidRDefault="51A403BF" w:rsidP="5788A89C">
          <w:pPr>
            <w:ind w:left="142"/>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 xml:space="preserve">submitted online at </w:t>
          </w:r>
          <w:hyperlink r:id="rId16">
            <w:r w:rsidR="4B7EB2E9" w:rsidRPr="5788A89C">
              <w:rPr>
                <w:rStyle w:val="Hyperlink"/>
                <w:szCs w:val="22"/>
              </w:rPr>
              <w:t>https://www.esma.europa.eu/press-news/consultations/call-evidence-review-ucits-eligible-assets-directive</w:t>
            </w:r>
          </w:hyperlink>
          <w:r>
            <w:t xml:space="preserve"> 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7" w:history="1">
            <w:r w:rsidRPr="005B6B12">
              <w:rPr>
                <w:rStyle w:val="Hyperlink"/>
              </w:rPr>
              <w:t>www.esma.europa.eu</w:t>
            </w:r>
          </w:hyperlink>
          <w:r w:rsidRPr="005B6B12">
            <w:t xml:space="preserve"> under the heading </w:t>
          </w:r>
          <w:r w:rsidRPr="00025A7F">
            <w:rPr>
              <w:rStyle w:val="Hyperlink"/>
            </w:rPr>
            <w:t>‘</w:t>
          </w:r>
          <w:hyperlink r:id="rId18" w:history="1">
            <w:r>
              <w:rPr>
                <w:rStyle w:val="Hyperlink"/>
              </w:rPr>
              <w:t>Data protection</w:t>
            </w:r>
          </w:hyperlink>
          <w:r>
            <w:rPr>
              <w:rStyle w:val="Hyperlink"/>
            </w:rPr>
            <w:t>’</w:t>
          </w:r>
          <w:r w:rsidRPr="005B6B12">
            <w:t>.</w:t>
          </w:r>
        </w:p>
        <w:p w14:paraId="57A67DA5" w14:textId="44DBF9D2" w:rsidR="00EC6066" w:rsidRPr="005B6B12" w:rsidRDefault="00EC6066" w:rsidP="00EC6066">
          <w:pPr>
            <w:rPr>
              <w:b/>
            </w:rPr>
          </w:pPr>
          <w:r w:rsidRPr="005B6B12">
            <w:rPr>
              <w:b/>
            </w:rPr>
            <w:t>Who should read this paper?</w:t>
          </w:r>
        </w:p>
      </w:sdtContent>
    </w:sdt>
    <w:p w14:paraId="4690CAFC" w14:textId="460BB8F7" w:rsidR="00EC6066" w:rsidRDefault="00C72E8C" w:rsidP="00EC6066">
      <w:r w:rsidRPr="00C72E8C">
        <w:t xml:space="preserve">This Call for Evidence is of particular interest for investors and consumer groups interested in retail investment products, management companies of Undertakings for Collective Investment in Transferable Securities (UCITS), self-managed UCITS investment companies, depositaries of UCITS and trade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9"/>
          <w:footerReference w:type="default" r:id="rId20"/>
          <w:headerReference w:type="first" r:id="rId21"/>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5A84A59F" w:rsidR="00635BCA" w:rsidRPr="00557BD2" w:rsidRDefault="00993EE5" w:rsidP="00D21C35">
                <w:r>
                  <w:t>CoinShares International</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dtPr>
          <w:sdtContent>
            <w:permStart w:id="476595074" w:edGrp="everyone" w:displacedByCustomXml="prev"/>
            <w:tc>
              <w:tcPr>
                <w:tcW w:w="4531" w:type="dxa"/>
              </w:tcPr>
              <w:p w14:paraId="7403D812" w14:textId="42A574E5" w:rsidR="00635BCA" w:rsidRPr="00557BD2" w:rsidRDefault="00993EE5" w:rsidP="00D21C35">
                <w:r>
                  <w:t>Asset Management</w:t>
                </w:r>
              </w:p>
            </w:tc>
            <w:permEnd w:id="476595074"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06267415" w:rsidR="00635BCA" w:rsidRPr="00557BD2" w:rsidRDefault="00993EE5" w:rsidP="00D21C35">
                <w:r>
                  <w:t>Europe</w:t>
                </w:r>
              </w:p>
            </w:tc>
            <w:permEnd w:id="1581805691" w:displacedByCustomXml="next"/>
          </w:sdtContent>
        </w:sdt>
      </w:tr>
    </w:tbl>
    <w:p w14:paraId="687A8108" w14:textId="77777777" w:rsidR="00635BCA" w:rsidRPr="00053B66" w:rsidRDefault="00635BCA" w:rsidP="00635BCA"/>
    <w:p w14:paraId="449AB301" w14:textId="59EF16AD" w:rsidR="00667FF6" w:rsidRDefault="00635BCA" w:rsidP="00667FF6">
      <w:pPr>
        <w:pStyle w:val="Heading1"/>
        <w:rPr>
          <w:lang w:val="fr-BE"/>
        </w:rPr>
      </w:pPr>
      <w:r w:rsidRPr="00557BD2">
        <w:rPr>
          <w:lang w:val="fr-BE"/>
        </w:rPr>
        <w:t xml:space="preserve">Questions </w:t>
      </w:r>
    </w:p>
    <w:p w14:paraId="4CBE5AC1" w14:textId="77777777" w:rsidR="00667FF6" w:rsidRDefault="00667FF6" w:rsidP="00DB686B">
      <w:pPr>
        <w:pStyle w:val="Questionstyle"/>
        <w:numPr>
          <w:ilvl w:val="0"/>
          <w:numId w:val="14"/>
        </w:numPr>
        <w:rPr>
          <w:color w:val="auto"/>
        </w:rPr>
      </w:pPr>
      <w:r>
        <w:t>In your view, what is the most pressing issue to address in the UCITS EAD with a view to improving investor protection, clarity and supervisory convergence across the EU?</w:t>
      </w:r>
    </w:p>
    <w:p w14:paraId="3DAC8524" w14:textId="77777777" w:rsidR="00667FF6" w:rsidRDefault="00667FF6" w:rsidP="00667FF6">
      <w:bookmarkStart w:id="0" w:name="_Hlk166078273"/>
      <w:r>
        <w:t>&lt;ESMA_QUESTION_EADC_1&gt;</w:t>
      </w:r>
    </w:p>
    <w:bookmarkEnd w:id="0"/>
    <w:p w14:paraId="5531728C" w14:textId="77777777" w:rsidR="00993EE5" w:rsidRPr="00004854" w:rsidRDefault="00993EE5" w:rsidP="00993EE5">
      <w:pPr>
        <w:spacing w:after="160" w:line="278" w:lineRule="auto"/>
      </w:pPr>
      <w:permStart w:id="1975413025" w:edGrp="everyone"/>
      <w:r w:rsidRPr="00004854">
        <w:t>From the perspective of ETP issuers (and very likely the UCITS funds that invest in them), a review of the UCITS framework for eligible assets (</w:t>
      </w:r>
      <w:proofErr w:type="gramStart"/>
      <w:r w:rsidRPr="00004854">
        <w:t>and in particular, eligible</w:t>
      </w:r>
      <w:proofErr w:type="gramEnd"/>
      <w:r w:rsidRPr="00004854">
        <w:t xml:space="preserve"> assets that are accessible via transferable securities) is long overdue. We are fully aware of the differing interpretations across the Member States on the ability of UCITS Funds to invest in ETPs that reference a wide variety of assets, many of which (such as gold, single commodities and digital assets) are considered ineligible for direct UCITS investment. These differing interpretations exist despite the fact these ETPs are (i) are registered for sale under the EUPR and provide appropriate informational reporting under MIFID and the Transparency Directive, (ii) are listed and transferable on regulated national exchanges, (iii) are widely available and easily accessible to EEA retail investors, (iv) are liquid, and (v) have an accurate, reliable and independent valuation (i.e., despite the fact that these ETPs are transferable securities under the UCITS rules).</w:t>
      </w:r>
    </w:p>
    <w:p w14:paraId="65044165" w14:textId="77777777" w:rsidR="00993EE5" w:rsidRPr="00004854" w:rsidRDefault="00993EE5" w:rsidP="00993EE5">
      <w:pPr>
        <w:spacing w:after="160" w:line="278" w:lineRule="auto"/>
        <w:jc w:val="left"/>
      </w:pPr>
      <w:r w:rsidRPr="00004854">
        <w:t xml:space="preserve">Article 2(2)(c) of Commission Directive 2007/16/EC (“EA Directive”) states that: </w:t>
      </w:r>
      <w:r w:rsidRPr="00004854">
        <w:rPr>
          <w:i/>
          <w:iCs/>
        </w:rPr>
        <w:t>“Transferable securities as referred to in Article 1(8) of Directive 85/611/EEC shall be taken to include the following …. (c) financial instruments which fulfil the following criteria: (i) they fulfil the criteria set out in paragraph 1; (ii) they are backed by, or linked to the performance of, other assets, which may differ from those referred to in Article 19(1) of Directive 85/611/EEC.”</w:t>
      </w:r>
      <w:r w:rsidRPr="00004854">
        <w:t xml:space="preserve">  Nevertheless, 17 years later, a uniform approach to transferable securities that reference technically ineligible assets (e.g., precious metals, commodities and digital assets) remains elusive. Even now, certain jurisdictions simply do not allow their UCITS </w:t>
      </w:r>
      <w:r w:rsidRPr="00004854">
        <w:lastRenderedPageBreak/>
        <w:t xml:space="preserve">funds to buy any such instruments, while others permit it but preclude asset classes such as digital assets, and others allow for </w:t>
      </w:r>
      <w:proofErr w:type="gramStart"/>
      <w:r w:rsidRPr="00004854">
        <w:t>a fairly unrestricted</w:t>
      </w:r>
      <w:proofErr w:type="gramEnd"/>
      <w:r w:rsidRPr="00004854">
        <w:t xml:space="preserve"> range of such investments.</w:t>
      </w:r>
    </w:p>
    <w:p w14:paraId="6F4DA60A" w14:textId="77777777" w:rsidR="00993EE5" w:rsidRDefault="00993EE5" w:rsidP="00993EE5">
      <w:r w:rsidRPr="00004854">
        <w:t>We believe the revisions to the list of eligible assets (or to the rules regarding transferable securities that reference other assets) should ensure that the list is broadened to cater for financial instruments that are easily available to retail investors within the EEA under the Prospectus Regulation (“PR Registered Products”).  It doesn’t make sense to us to restrict a UCITS fund, which is managed by a professional portfolio manager and is subject to wide ranging risk and diversification requirements, from investing in products that retail investors can access directly. </w:t>
      </w:r>
    </w:p>
    <w:permEnd w:id="1975413025"/>
    <w:p w14:paraId="2A42AC36" w14:textId="77777777" w:rsidR="00667FF6" w:rsidRDefault="00667FF6" w:rsidP="00667FF6">
      <w:r>
        <w:t>&lt;ESMA_QUESTION_EADC_1&gt;</w:t>
      </w:r>
    </w:p>
    <w:p w14:paraId="5AD5570D" w14:textId="77777777" w:rsidR="00667FF6" w:rsidRDefault="00667FF6" w:rsidP="00667FF6"/>
    <w:p w14:paraId="457979D8" w14:textId="13EE4C5A" w:rsidR="00667FF6" w:rsidRDefault="00667FF6" w:rsidP="00DB686B">
      <w:pPr>
        <w:pStyle w:val="Questionstyle"/>
        <w:numPr>
          <w:ilvl w:val="0"/>
          <w:numId w:val="14"/>
        </w:numPr>
      </w:pPr>
      <w:r>
        <w:t xml:space="preserve">Have you experienced any recurring or significant issues with the interpretation or consistent application of UCITS EAD rules with respect to financial indices? If so, please describe any recurring or significant issues that you have experienced and how you would propose to amend the UCITS EAD to improve investor protection, clarity and supervisory convergence. Where relevant, please specify what indices this relates to and what were the specific characteristics of those indices that raised doubts or concerns. Where possible, please provide data to substantiate the materiality of the issue. </w:t>
      </w:r>
    </w:p>
    <w:p w14:paraId="6044316D" w14:textId="77777777" w:rsidR="00667FF6" w:rsidRDefault="00667FF6" w:rsidP="00667FF6">
      <w:r>
        <w:t>&lt;ESMA_QUESTION_EADC_2&gt;</w:t>
      </w:r>
    </w:p>
    <w:p w14:paraId="4AE132E3" w14:textId="77777777" w:rsidR="00667FF6" w:rsidRDefault="00667FF6" w:rsidP="00667FF6">
      <w:permStart w:id="85149166" w:edGrp="everyone"/>
      <w:permEnd w:id="85149166"/>
      <w:r>
        <w:t>&lt;ESMA_QUESTION_EADC_2&gt;</w:t>
      </w:r>
    </w:p>
    <w:p w14:paraId="3C6A114C" w14:textId="77777777" w:rsidR="00667FF6" w:rsidRDefault="00667FF6" w:rsidP="00667FF6"/>
    <w:p w14:paraId="4C265A7D" w14:textId="0F8533C1" w:rsidR="00667FF6" w:rsidRDefault="00667FF6" w:rsidP="00DB686B">
      <w:pPr>
        <w:pStyle w:val="Questionstyle"/>
        <w:numPr>
          <w:ilvl w:val="0"/>
          <w:numId w:val="14"/>
        </w:numPr>
      </w:pPr>
      <w:r>
        <w:t>Have you experienced any recurring or significant issues with the interpretation or consistent application of UCITS EAD rules with respect to money market instruments? If so, please describe the issues you have experienced and how you would propose to amend the UCITS EAD to improve investor protection, clarity and supervisory convergence. Where relevant, please describe the specific characteristics of the money market instruments that raised doubts or concerns.</w:t>
      </w:r>
    </w:p>
    <w:p w14:paraId="766A4AFE" w14:textId="77777777" w:rsidR="00667FF6" w:rsidRDefault="00667FF6" w:rsidP="00667FF6">
      <w:r>
        <w:t>&lt;ESMA_QUESTION_EADC_3&gt;</w:t>
      </w:r>
    </w:p>
    <w:p w14:paraId="38616CA8" w14:textId="77777777" w:rsidR="00667FF6" w:rsidRDefault="00667FF6" w:rsidP="00667FF6">
      <w:permStart w:id="1981048397" w:edGrp="everyone"/>
      <w:permEnd w:id="1981048397"/>
      <w:r>
        <w:t>&lt;ESMA_QUESTION_EADC_3&gt;</w:t>
      </w:r>
    </w:p>
    <w:p w14:paraId="0C9249FE" w14:textId="77777777" w:rsidR="00667FF6" w:rsidRDefault="00667FF6" w:rsidP="00667FF6"/>
    <w:p w14:paraId="632D4A65" w14:textId="2A356142" w:rsidR="00667FF6" w:rsidRDefault="00667FF6" w:rsidP="00DB686B">
      <w:pPr>
        <w:pStyle w:val="Questionstyle"/>
        <w:numPr>
          <w:ilvl w:val="0"/>
          <w:numId w:val="14"/>
        </w:numPr>
      </w:pPr>
      <w:r>
        <w:lastRenderedPageBreak/>
        <w:t>Have you experienced any recurring or significant issues with the interpretation or consistent application of UCITS EAD provisions using the notions of « liquidity » or « liquid financial assets »? If so, please describe the issues you have experienced and how you would propose to amend the UCITS EAD to better specify these notions with a view to improving investor protection, clarity and supervisory convergence. Where relevant, please explain any differences to be made between the liquidity of different asset.</w:t>
      </w:r>
    </w:p>
    <w:p w14:paraId="5B8BFC93" w14:textId="77777777" w:rsidR="00667FF6" w:rsidRDefault="00667FF6" w:rsidP="00667FF6">
      <w:r>
        <w:t>&lt;ESMA_QUESTION_EADC_4&gt;</w:t>
      </w:r>
    </w:p>
    <w:p w14:paraId="65B48BCF" w14:textId="77777777" w:rsidR="00667FF6" w:rsidRDefault="00667FF6" w:rsidP="00667FF6">
      <w:permStart w:id="1012351271" w:edGrp="everyone"/>
      <w:permEnd w:id="1012351271"/>
      <w:r>
        <w:t>&lt;ESMA_QUESTION_EADC_4&gt;</w:t>
      </w:r>
    </w:p>
    <w:p w14:paraId="5A647590" w14:textId="77777777" w:rsidR="00667FF6" w:rsidRDefault="00667FF6" w:rsidP="00667FF6"/>
    <w:p w14:paraId="5AFF0EB2" w14:textId="77777777" w:rsidR="00667FF6" w:rsidRDefault="00667FF6" w:rsidP="00DB686B">
      <w:pPr>
        <w:pStyle w:val="Questionstyle"/>
        <w:numPr>
          <w:ilvl w:val="0"/>
          <w:numId w:val="14"/>
        </w:numPr>
      </w:pPr>
      <w:r>
        <w:t>The 2020 ESMA CSA on UCITS liquidity risk management identified issues with respect to the presumption of liquidity and negotiability set out in UCITS EAD. In light of the changed market conditions since 2007, do you consider such a presumption of liquidity and negotiability still appropriate? Where possible, please provide views, data or estimates on the possible impact of removing the presumption of liquidity and negotiability set out in the UCITS EAD.</w:t>
      </w:r>
    </w:p>
    <w:p w14:paraId="05E3A666" w14:textId="77777777" w:rsidR="00667FF6" w:rsidRDefault="00667FF6" w:rsidP="00667FF6">
      <w:r>
        <w:t>&lt;ESMA_QUESTION_EADC_5&gt;</w:t>
      </w:r>
    </w:p>
    <w:p w14:paraId="25A344BA" w14:textId="77777777" w:rsidR="00667FF6" w:rsidRDefault="00667FF6" w:rsidP="00667FF6">
      <w:permStart w:id="1300367218" w:edGrp="everyone"/>
      <w:permEnd w:id="1300367218"/>
      <w:r>
        <w:t>&lt;ESMA_QUESTION_EADC_5&gt;</w:t>
      </w:r>
    </w:p>
    <w:p w14:paraId="03906CE4" w14:textId="77777777" w:rsidR="00667FF6" w:rsidRDefault="00667FF6" w:rsidP="00667FF6"/>
    <w:p w14:paraId="56AE07B8" w14:textId="3C764772" w:rsidR="00667FF6" w:rsidRDefault="00667FF6" w:rsidP="00DB686B">
      <w:pPr>
        <w:pStyle w:val="Questionstyle"/>
        <w:numPr>
          <w:ilvl w:val="0"/>
          <w:numId w:val="14"/>
        </w:numPr>
      </w:pPr>
      <w:r>
        <w:t>Please explain your understanding of the notion of ancillary liquid assets and any recurring or significant issues that you might have experienced in this context. Please clarify if these are held as bank deposits at sight and what else is used as ancillary liquid assets. Where relevant, please distinguish between ancillary liquid assets denominated in (1) the base currency of the fund and (2) foreign currencies.</w:t>
      </w:r>
    </w:p>
    <w:p w14:paraId="6D6B1414" w14:textId="77777777" w:rsidR="00667FF6" w:rsidRDefault="00667FF6" w:rsidP="00667FF6">
      <w:r>
        <w:t>&lt;ESMA_QUESTION_EADC_6&gt;</w:t>
      </w:r>
    </w:p>
    <w:p w14:paraId="307CFCEA" w14:textId="77777777" w:rsidR="00667FF6" w:rsidRDefault="00667FF6" w:rsidP="00667FF6">
      <w:permStart w:id="974730357" w:edGrp="everyone"/>
      <w:permEnd w:id="974730357"/>
      <w:r>
        <w:t>&lt;ESMA_QUESTION_EADC_6&gt;</w:t>
      </w:r>
    </w:p>
    <w:p w14:paraId="45FF66BD" w14:textId="77777777" w:rsidR="00667FF6" w:rsidRDefault="00667FF6" w:rsidP="00667FF6"/>
    <w:p w14:paraId="7215304E" w14:textId="40D71168" w:rsidR="00667FF6" w:rsidRDefault="00667FF6" w:rsidP="00DB686B">
      <w:pPr>
        <w:pStyle w:val="Questionstyle"/>
        <w:numPr>
          <w:ilvl w:val="0"/>
          <w:numId w:val="14"/>
        </w:numPr>
      </w:pPr>
      <w:r>
        <w:t xml:space="preserve">Beyond holding currency for liquidity purposes, do you think UCITS should be permitted to acquire or hold foreign currency also for investment purposes, taking into account the high volatility and devaluation/depreciation of some </w:t>
      </w:r>
      <w:r>
        <w:lastRenderedPageBreak/>
        <w:t>currencies? Where relevant, please distinguish between direct and indirect investments.</w:t>
      </w:r>
    </w:p>
    <w:p w14:paraId="31EB23C3" w14:textId="77777777" w:rsidR="00667FF6" w:rsidRDefault="00667FF6" w:rsidP="00667FF6">
      <w:r>
        <w:t>&lt;ESMA_QUESTION_EADC_7&gt;</w:t>
      </w:r>
    </w:p>
    <w:p w14:paraId="1D468445" w14:textId="77777777" w:rsidR="00667FF6" w:rsidRDefault="00667FF6" w:rsidP="00667FF6">
      <w:permStart w:id="12191390" w:edGrp="everyone"/>
      <w:permEnd w:id="12191390"/>
      <w:r>
        <w:t>&lt;ESMA_QUESTION_EADC_7&gt;</w:t>
      </w:r>
    </w:p>
    <w:p w14:paraId="354CFACC" w14:textId="77777777" w:rsidR="00667FF6" w:rsidRDefault="00667FF6" w:rsidP="00667FF6"/>
    <w:p w14:paraId="653E32A2" w14:textId="77777777" w:rsidR="00667FF6" w:rsidRDefault="00667FF6" w:rsidP="00DB686B">
      <w:pPr>
        <w:pStyle w:val="Questionstyle"/>
        <w:numPr>
          <w:ilvl w:val="0"/>
          <w:numId w:val="14"/>
        </w:numPr>
      </w:pPr>
      <w:r>
        <w:t>Have you observed any recurring or significant issues with the interpretation or consistent application of the 10% limit set out in the UCITS Directive for investments in transferable securities and money market instruments other than those referred to in Article 50(1) of the UCITS Directive? If so, please explain the issues and how you would propose to address them in the UCITS EAD with a view to improving investor protection, clarity and supervisory convergence.</w:t>
      </w:r>
    </w:p>
    <w:p w14:paraId="1E29587B" w14:textId="77777777" w:rsidR="00667FF6" w:rsidRDefault="00667FF6" w:rsidP="00667FF6">
      <w:r>
        <w:t>&lt;ESMA_QUESTION_EADC_8&gt;</w:t>
      </w:r>
    </w:p>
    <w:p w14:paraId="720FFABA" w14:textId="77777777" w:rsidR="00667FF6" w:rsidRDefault="00667FF6" w:rsidP="00667FF6">
      <w:permStart w:id="1602386857" w:edGrp="everyone"/>
      <w:permEnd w:id="1602386857"/>
      <w:r>
        <w:t>&lt;ESMA_QUESTION_EADC_8&gt;</w:t>
      </w:r>
    </w:p>
    <w:p w14:paraId="6A129E5D" w14:textId="77777777" w:rsidR="00667FF6" w:rsidRDefault="00667FF6" w:rsidP="00667FF6"/>
    <w:p w14:paraId="67524C18" w14:textId="0AFAC158" w:rsidR="00667FF6" w:rsidRDefault="00667FF6" w:rsidP="00DB686B">
      <w:pPr>
        <w:pStyle w:val="Questionstyle"/>
        <w:numPr>
          <w:ilvl w:val="0"/>
          <w:numId w:val="14"/>
        </w:numPr>
      </w:pPr>
      <w:r>
        <w:t>Are the ‘transferable security’ criteria set out in the UCITS EAD adequate and clear enough? If not, please describe any recurring or significant issues that you have observed and how you would propose to amend the UCITS EAD to improve investor protection, clarity and supervisory convergence.</w:t>
      </w:r>
    </w:p>
    <w:p w14:paraId="5B3E2DA7" w14:textId="77777777" w:rsidR="00667FF6" w:rsidRDefault="00667FF6" w:rsidP="00667FF6">
      <w:r>
        <w:t>&lt;ESMA_QUESTION_EADC_9&gt;</w:t>
      </w:r>
    </w:p>
    <w:p w14:paraId="362436C7" w14:textId="77777777" w:rsidR="00667FF6" w:rsidRDefault="00667FF6" w:rsidP="00667FF6">
      <w:permStart w:id="1226657538" w:edGrp="everyone"/>
      <w:permEnd w:id="1226657538"/>
      <w:r>
        <w:t>&lt;ESMA_QUESTION_EADC_9&gt;</w:t>
      </w:r>
    </w:p>
    <w:p w14:paraId="2656408B" w14:textId="77777777" w:rsidR="00667FF6" w:rsidRDefault="00667FF6" w:rsidP="00667FF6"/>
    <w:p w14:paraId="55F6DC93" w14:textId="75E394F8" w:rsidR="00667FF6" w:rsidRDefault="00667FF6" w:rsidP="00DB686B">
      <w:pPr>
        <w:pStyle w:val="Questionstyle"/>
        <w:numPr>
          <w:ilvl w:val="0"/>
          <w:numId w:val="14"/>
        </w:numPr>
      </w:pPr>
      <w:r>
        <w:t>How are the valuation and risk management-related criteria set out in the UCITS EAD interpreted and applied in practice, in particular the need for (1) risks to be “adequately captured” by the risk management process and (2) having “reliable” valuation/prices. Please describe any recurring or significant issues that you have observed with the interpretation or consistent application of these criteria and how you would propose to amend the UCITS EAD to improve investor protection, clarity and supervisory convergence.</w:t>
      </w:r>
    </w:p>
    <w:p w14:paraId="7A78E990" w14:textId="77777777" w:rsidR="00667FF6" w:rsidRDefault="00667FF6" w:rsidP="00667FF6">
      <w:r>
        <w:t>&lt;ESMA_QUESTION_EADC_10&gt;</w:t>
      </w:r>
    </w:p>
    <w:p w14:paraId="596ED339" w14:textId="77777777" w:rsidR="00667FF6" w:rsidRDefault="00667FF6" w:rsidP="00667FF6">
      <w:permStart w:id="1286214635" w:edGrp="everyone"/>
      <w:permEnd w:id="1286214635"/>
      <w:r>
        <w:lastRenderedPageBreak/>
        <w:t>&lt;ESMA_QUESTION_EADC_10&gt;</w:t>
      </w:r>
    </w:p>
    <w:p w14:paraId="0BAA1A76" w14:textId="77777777" w:rsidR="00667FF6" w:rsidRDefault="00667FF6" w:rsidP="00667FF6"/>
    <w:p w14:paraId="17C5D1CC" w14:textId="6F44228F" w:rsidR="00667FF6" w:rsidRDefault="00667FF6" w:rsidP="00DB686B">
      <w:pPr>
        <w:pStyle w:val="Questionstyle"/>
        <w:numPr>
          <w:ilvl w:val="0"/>
          <w:numId w:val="14"/>
        </w:numPr>
      </w:pPr>
      <w:r>
        <w:t>Are the UCITS EAD provisions on investments in financial instruments backed by, or linked to the performance of assets other than those listed in Article 50(1) of the UCITS Directive adequate and clear enough? Please describe any recurring or significant issues that you have observed in this respect and how you would propose to amend the UCITS EAD to improve investor protection, clarity and supervisory convergence.</w:t>
      </w:r>
    </w:p>
    <w:p w14:paraId="1B0E4A0A" w14:textId="77777777" w:rsidR="00667FF6" w:rsidRDefault="00667FF6" w:rsidP="00667FF6">
      <w:r>
        <w:t>&lt;ESMA_QUESTION_EADC_11&gt;</w:t>
      </w:r>
    </w:p>
    <w:p w14:paraId="329473C6" w14:textId="77777777" w:rsidR="00993EE5" w:rsidRPr="00004854" w:rsidRDefault="00993EE5" w:rsidP="00993EE5">
      <w:pPr>
        <w:spacing w:after="160" w:line="278" w:lineRule="auto"/>
      </w:pPr>
      <w:permStart w:id="704664972" w:edGrp="everyone"/>
      <w:r w:rsidRPr="00004854">
        <w:t>It is clear from the divergent views among certain member states that the rules regarding the eligibility of such financial instruments is unclear. Indeed, there is no clear ESMA guidance on or uniform UCITS interpretation of the eligibility of transferable securities that reference technically ineligible assets such as precious metals, commodities and digital assets.  The current interpretation relies on individual EEA member state practice and the willingness to accept the so-called “delta 1 exemption”:</w:t>
      </w:r>
      <w:r w:rsidRPr="00004854">
        <w:rPr>
          <w:i/>
          <w:iCs/>
        </w:rPr>
        <w:t xml:space="preserve"> that a transferable security that references a potentially ineligible asset is “eligible” </w:t>
      </w:r>
      <w:proofErr w:type="gramStart"/>
      <w:r w:rsidRPr="00004854">
        <w:rPr>
          <w:i/>
          <w:iCs/>
        </w:rPr>
        <w:t>as long as</w:t>
      </w:r>
      <w:proofErr w:type="gramEnd"/>
      <w:r w:rsidRPr="00004854">
        <w:rPr>
          <w:i/>
          <w:iCs/>
        </w:rPr>
        <w:t xml:space="preserve"> it doesn’t embed a derivative - that it, it doesn’t provide leverage to the underlying</w:t>
      </w:r>
      <w:r w:rsidRPr="00004854">
        <w:t xml:space="preserve">.  This interpretation first developed in Germany, with particular focus on transferable securities referencing gold.  Over time it slowly expanded to other assets and to a wide range of member states.  It is </w:t>
      </w:r>
      <w:r w:rsidRPr="00004854">
        <w:rPr>
          <w:b/>
          <w:bCs/>
        </w:rPr>
        <w:t xml:space="preserve">almost </w:t>
      </w:r>
      <w:r w:rsidRPr="00004854">
        <w:t xml:space="preserve">universally accepted among EEA member states that a UCITS fund can access an unleveraged transferable security referencing gold or other commodities.  Less clear, as it stands, is the extent to which this “exemption” applies to digital assets, as certain member states allow it, while others continue to have concerns.  We believe that ESMA member states should agree a uniform position that codifies the “delta 1 exemption” to align UCITS eligible investment with retail accessible products in Europe and that the exemption should apply to digital assets as well as precious metals and commodities.  </w:t>
      </w:r>
      <w:proofErr w:type="gramStart"/>
      <w:r w:rsidRPr="00004854">
        <w:t>Particular focus</w:t>
      </w:r>
      <w:proofErr w:type="gramEnd"/>
      <w:r w:rsidRPr="00004854">
        <w:t xml:space="preserve"> should be placed on products such as ETPs that are (i) secured, (ii) limited recourse, 3) open ended, (4) collateralised and 5) listed on regulated EEA exchanges.</w:t>
      </w:r>
    </w:p>
    <w:permEnd w:id="704664972"/>
    <w:p w14:paraId="0F547A6E" w14:textId="77777777" w:rsidR="00667FF6" w:rsidRDefault="00667FF6" w:rsidP="00667FF6">
      <w:r>
        <w:t>&lt;ESMA_QUESTION_EADC_11&gt;</w:t>
      </w:r>
    </w:p>
    <w:p w14:paraId="36E977FF" w14:textId="77777777" w:rsidR="00667FF6" w:rsidRDefault="00667FF6" w:rsidP="00667FF6"/>
    <w:p w14:paraId="35AD47A8" w14:textId="19BAFAEA" w:rsidR="00667FF6" w:rsidRDefault="00667FF6" w:rsidP="00DB686B">
      <w:pPr>
        <w:pStyle w:val="Questionstyle"/>
        <w:numPr>
          <w:ilvl w:val="0"/>
          <w:numId w:val="14"/>
        </w:numPr>
      </w:pPr>
      <w:r>
        <w:t>Is the concept of « embedded » derivatives set out in the UCITS EAD adequate and clear enough? Please describe any recurring or significant issues that you have observed with the interpretation or consistent application of this concept and how you would propose to amend UCITS EAD to improve investor protection, clarity and supervisory convergence.</w:t>
      </w:r>
    </w:p>
    <w:p w14:paraId="53A2BF96" w14:textId="77777777" w:rsidR="00667FF6" w:rsidRDefault="00667FF6" w:rsidP="00667FF6">
      <w:r>
        <w:lastRenderedPageBreak/>
        <w:t>&lt;ESMA_QUESTION_EADC_12&gt;</w:t>
      </w:r>
    </w:p>
    <w:p w14:paraId="4F51D6E0" w14:textId="77777777" w:rsidR="00993EE5" w:rsidRDefault="00993EE5" w:rsidP="00667FF6">
      <w:permStart w:id="624035433" w:edGrp="everyone"/>
      <w:r w:rsidRPr="00004854">
        <w:t>As mentioned above, the EEA member states have developed their own definition of “embedded derivative” as it relates to transferable securities referencing other assets. That interpretation currently looks at the existence of leverage in the underlying exposure.  While we agree with that interpretation, we think ESMA should provide guidance to codify it.</w:t>
      </w:r>
    </w:p>
    <w:permEnd w:id="624035433"/>
    <w:p w14:paraId="0AE10AA5" w14:textId="592A858A" w:rsidR="00667FF6" w:rsidRDefault="00667FF6" w:rsidP="00667FF6">
      <w:r>
        <w:t>&lt;ESMA_QUESTION_EADC_12&gt;</w:t>
      </w:r>
    </w:p>
    <w:p w14:paraId="76621B7A" w14:textId="77777777" w:rsidR="00667FF6" w:rsidRDefault="00667FF6" w:rsidP="00667FF6"/>
    <w:p w14:paraId="2CC518B9" w14:textId="77777777" w:rsidR="00667FF6" w:rsidRDefault="00667FF6" w:rsidP="00DB686B">
      <w:pPr>
        <w:pStyle w:val="Questionstyle"/>
        <w:numPr>
          <w:ilvl w:val="0"/>
          <w:numId w:val="14"/>
        </w:numPr>
      </w:pPr>
      <w:r>
        <w:t>Linked to Q11 and Q12, ESMA is aware of diverging interpretations on the treatment of delta-one instruments under the EAD, taking into account that they might provide UCITS with exposures to asset classes that are not eligible for direct investment (see also Section 3.2). How would you propose to amend the UCITS EAD to improve investor protection, clarity and supervisory convergence? Please provide details on the assessment of the eligibility of different types of delta-one instruments, identify the issues per product and provide data to support the reasoning.</w:t>
      </w:r>
    </w:p>
    <w:p w14:paraId="20523F5C" w14:textId="77777777" w:rsidR="00667FF6" w:rsidRDefault="00667FF6" w:rsidP="00667FF6">
      <w:r>
        <w:t>&lt;ESMA_QUESTION_EADC_13&gt;</w:t>
      </w:r>
    </w:p>
    <w:p w14:paraId="7ECFBE99" w14:textId="77777777" w:rsidR="00993EE5" w:rsidRPr="00004854" w:rsidRDefault="00993EE5" w:rsidP="00993EE5">
      <w:pPr>
        <w:spacing w:after="160" w:line="278" w:lineRule="auto"/>
      </w:pPr>
      <w:permStart w:id="1487874619" w:edGrp="everyone"/>
      <w:r w:rsidRPr="00004854">
        <w:t>ESMA should focus on the financial instruments with the characteristics that are required by institutional investors: </w:t>
      </w:r>
    </w:p>
    <w:p w14:paraId="02CFE182" w14:textId="77777777" w:rsidR="00993EE5" w:rsidRPr="00004854" w:rsidRDefault="00993EE5" w:rsidP="00993EE5">
      <w:pPr>
        <w:numPr>
          <w:ilvl w:val="0"/>
          <w:numId w:val="16"/>
        </w:numPr>
        <w:spacing w:after="160" w:line="278" w:lineRule="auto"/>
        <w:jc w:val="left"/>
      </w:pPr>
      <w:r w:rsidRPr="00004854">
        <w:rPr>
          <w:b/>
          <w:bCs/>
          <w:i/>
          <w:iCs/>
        </w:rPr>
        <w:t xml:space="preserve">Collateralised: </w:t>
      </w:r>
      <w:r w:rsidRPr="00004854">
        <w:t>The Issuer of delta one transferable securities that reference technically ineligible assets should hold collateral to cover the payment due under the instruments.  That collateral should, if possible, be 1:1 to the underlying exposure provided to the investor (e.g., if gold, the issuer should hold gold; if bitcoin, the issuer should hold bitcoin).  If the instrument cannot be physically backed, then it should be collateralised via a fully funded swap with a recognised financial institution, and the swap exposure should be collateralised with eligible collateral such as sovereign debt;</w:t>
      </w:r>
    </w:p>
    <w:p w14:paraId="7C0AD752" w14:textId="77777777" w:rsidR="00993EE5" w:rsidRPr="00004854" w:rsidRDefault="00993EE5" w:rsidP="00993EE5">
      <w:pPr>
        <w:numPr>
          <w:ilvl w:val="0"/>
          <w:numId w:val="16"/>
        </w:numPr>
        <w:spacing w:after="160" w:line="278" w:lineRule="auto"/>
        <w:jc w:val="left"/>
      </w:pPr>
      <w:r w:rsidRPr="00004854">
        <w:rPr>
          <w:b/>
          <w:bCs/>
          <w:i/>
          <w:iCs/>
        </w:rPr>
        <w:t>Secured and bankruptcy remote</w:t>
      </w:r>
      <w:r w:rsidRPr="00004854">
        <w:t xml:space="preserve">:  delta one transferable securities that reference technically ineligible assets should incorporate contractual structures that limit investor exposure to bankruptcy.  This is generally done in ETPs by use of a trustee and security assignment, whereby the issuer assigns </w:t>
      </w:r>
      <w:proofErr w:type="gramStart"/>
      <w:r w:rsidRPr="00004854">
        <w:t>all of</w:t>
      </w:r>
      <w:proofErr w:type="gramEnd"/>
      <w:r w:rsidRPr="00004854">
        <w:t xml:space="preserve"> its assets to a trustee, who then holds those assets “on trust” for the benefit of the investors in the ETPs;</w:t>
      </w:r>
    </w:p>
    <w:p w14:paraId="46F34D3E" w14:textId="77777777" w:rsidR="00993EE5" w:rsidRPr="00004854" w:rsidRDefault="00993EE5" w:rsidP="00993EE5">
      <w:pPr>
        <w:numPr>
          <w:ilvl w:val="0"/>
          <w:numId w:val="16"/>
        </w:numPr>
        <w:spacing w:after="160" w:line="278" w:lineRule="auto"/>
        <w:jc w:val="left"/>
      </w:pPr>
      <w:r w:rsidRPr="00004854">
        <w:rPr>
          <w:b/>
          <w:bCs/>
          <w:i/>
          <w:iCs/>
        </w:rPr>
        <w:t>Limited Recourse</w:t>
      </w:r>
      <w:r w:rsidRPr="00004854">
        <w:t xml:space="preserve">:  To the extent an issuer issues multiple instruments with different underlyings, the collateral pools backing those underlyings should be legally segregated, so that an investor in one class of instrument only has recourse to the </w:t>
      </w:r>
      <w:r w:rsidRPr="00004854">
        <w:lastRenderedPageBreak/>
        <w:t>collateral backing that specific instrument: (as an example, think of an Issuer issuing single instruments that reference one of gold, platinum, silver and palladium.  An investor in the gold product should only have recourse to the gold collateral).   </w:t>
      </w:r>
    </w:p>
    <w:p w14:paraId="7EE71604" w14:textId="77777777" w:rsidR="00993EE5" w:rsidRPr="00004854" w:rsidRDefault="00993EE5" w:rsidP="00993EE5">
      <w:pPr>
        <w:numPr>
          <w:ilvl w:val="0"/>
          <w:numId w:val="16"/>
        </w:numPr>
        <w:spacing w:after="160" w:line="278" w:lineRule="auto"/>
        <w:jc w:val="left"/>
      </w:pPr>
      <w:r w:rsidRPr="00004854">
        <w:rPr>
          <w:b/>
          <w:bCs/>
          <w:i/>
          <w:iCs/>
        </w:rPr>
        <w:t xml:space="preserve">Listed: </w:t>
      </w:r>
      <w:r w:rsidRPr="00004854">
        <w:t> the instrument should be listed on recognised national exchanges and an independent market maker should provide on-screen liquidity; and</w:t>
      </w:r>
    </w:p>
    <w:p w14:paraId="02449723" w14:textId="77777777" w:rsidR="00993EE5" w:rsidRPr="00004854" w:rsidRDefault="00993EE5" w:rsidP="00993EE5">
      <w:pPr>
        <w:numPr>
          <w:ilvl w:val="0"/>
          <w:numId w:val="16"/>
        </w:numPr>
        <w:spacing w:after="160" w:line="278" w:lineRule="auto"/>
        <w:jc w:val="left"/>
      </w:pPr>
      <w:r w:rsidRPr="00004854">
        <w:rPr>
          <w:b/>
          <w:bCs/>
          <w:i/>
          <w:iCs/>
        </w:rPr>
        <w:t>Open ended with independent authorised participants</w:t>
      </w:r>
      <w:r w:rsidRPr="00004854">
        <w:t>: the instrument should be open ended, such that it can be created and redeemed by so-called authorised participants (the majority of whom should be independent of the issuer). This will also ensure the product accurately tracks the price of underlying.</w:t>
      </w:r>
    </w:p>
    <w:permEnd w:id="1487874619"/>
    <w:p w14:paraId="7EE4CE59" w14:textId="77777777" w:rsidR="00667FF6" w:rsidRDefault="00667FF6" w:rsidP="00667FF6">
      <w:r>
        <w:t>&lt;ESMA_QUESTION_EADC_13&gt;</w:t>
      </w:r>
    </w:p>
    <w:p w14:paraId="2ACD3334" w14:textId="77777777" w:rsidR="00667FF6" w:rsidRDefault="00667FF6" w:rsidP="00667FF6"/>
    <w:p w14:paraId="1D3229EF" w14:textId="5B55D227" w:rsidR="00667FF6" w:rsidRDefault="00667FF6" w:rsidP="00DB686B">
      <w:pPr>
        <w:pStyle w:val="Questionstyle"/>
        <w:numPr>
          <w:ilvl w:val="0"/>
          <w:numId w:val="14"/>
        </w:numPr>
      </w:pPr>
      <w:r>
        <w:t>Have you observed any recurring or significant issues with the interpretation or consistent application of the rules on UCITS investments in other UCITS and alternative investment funds (AIFs)? In this context, have you observed any issues in terms of the clarity, interaction and logical consistency between (1) the rules on investments in UCITS and other open-ended funds set out in the UCITS Directive and (2) the provisions on UCITS investments in closed ended funds set out in the UCITS EAD? Please describe any recurring or significant issues that you have observed in this respect and how you would propose to amend the relevant rules to improve investor protection, clarity and supervisory convergence. Where relevant, please distinguish between different types of AIFs (e.g. closed-ended, open-ended), investment strategies (real estate, hedge fund, private equity, venture capital etc.) and location (e.g. EU, non-EU, specific countries). In this context, please also share views on whether there is a need to update the legal wording used in the UCITS EAD and UCITS Directive given the fact that e.g. they refer to ‘open-ended’ and ‘closed ended funds’, whereas it might seem preferable to use the notion of ‘AIFs’ by now given the subsequent introduction of the AIFMD in 2011.</w:t>
      </w:r>
    </w:p>
    <w:p w14:paraId="287F79B6" w14:textId="77777777" w:rsidR="00667FF6" w:rsidRDefault="00667FF6" w:rsidP="00667FF6">
      <w:r>
        <w:t>&lt;ESMA_QUESTION_EADC_14&gt;</w:t>
      </w:r>
    </w:p>
    <w:p w14:paraId="1A4BA964" w14:textId="77777777" w:rsidR="00667FF6" w:rsidRDefault="00667FF6" w:rsidP="00667FF6">
      <w:permStart w:id="1362129429" w:edGrp="everyone"/>
      <w:permEnd w:id="1362129429"/>
      <w:r>
        <w:t>&lt;ESMA_QUESTION_EADC_14&gt;</w:t>
      </w:r>
    </w:p>
    <w:p w14:paraId="63AE0E82" w14:textId="77777777" w:rsidR="00667FF6" w:rsidRDefault="00667FF6" w:rsidP="00667FF6"/>
    <w:p w14:paraId="276F7F5F" w14:textId="77777777" w:rsidR="00667FF6" w:rsidRDefault="00667FF6" w:rsidP="00DB686B">
      <w:pPr>
        <w:pStyle w:val="Questionstyle"/>
        <w:numPr>
          <w:ilvl w:val="0"/>
          <w:numId w:val="14"/>
        </w:numPr>
      </w:pPr>
      <w:r>
        <w:t xml:space="preserve">More specifically, have you observed any recurring or significant issues with the interpretation or consistent application of the rules on UCITS investments in (1) EU ETFs and (2) non-EU ETFs? Please describe any issues </w:t>
      </w:r>
      <w:r>
        <w:lastRenderedPageBreak/>
        <w:t>that you have observed in this respect and how you would propose to amend the relevant rules to improve investor protection, clarity and supervisory convergence.</w:t>
      </w:r>
    </w:p>
    <w:p w14:paraId="7B7639CC" w14:textId="77777777" w:rsidR="00667FF6" w:rsidRDefault="00667FF6" w:rsidP="00667FF6">
      <w:r>
        <w:t>&lt;ESMA_QUESTION_EADC_15&gt;</w:t>
      </w:r>
    </w:p>
    <w:p w14:paraId="2FCB81E2" w14:textId="77777777" w:rsidR="00667FF6" w:rsidRDefault="00667FF6" w:rsidP="00667FF6">
      <w:permStart w:id="493775816" w:edGrp="everyone"/>
      <w:permEnd w:id="493775816"/>
      <w:r>
        <w:t>&lt;ESMA_QUESTION_EADC_15&gt;</w:t>
      </w:r>
    </w:p>
    <w:p w14:paraId="2D428B94" w14:textId="77777777" w:rsidR="00667FF6" w:rsidRDefault="00667FF6" w:rsidP="00667FF6"/>
    <w:p w14:paraId="6CF16EE3" w14:textId="09BA8660" w:rsidR="00667FF6" w:rsidRDefault="00667FF6" w:rsidP="00DB686B">
      <w:pPr>
        <w:pStyle w:val="Questionstyle"/>
        <w:numPr>
          <w:ilvl w:val="0"/>
          <w:numId w:val="14"/>
        </w:numPr>
      </w:pPr>
      <w:r>
        <w:t>How would you propose to amend the UCITS EAD to improve investor protection, clarity and supervisory convergence with respect to the Efficient Portfolio Management (EPM)-related issues identified in the following ESMA reports: (1) Peer Review on the ESMA Guidelines on ETFs and other UCITS issues; (2) Follow-up Peer Review on the ETF Guidelines; and (3) CSA on costs and fees. In this context, ESMA is interested in also gathering evidence and views on how to best address the uneven market practices with respect to securities lending fees described in the aforementioned ESMA reports with a view to better protect investors from being overcharged.</w:t>
      </w:r>
    </w:p>
    <w:p w14:paraId="0537F2EA" w14:textId="77777777" w:rsidR="00667FF6" w:rsidRDefault="00667FF6" w:rsidP="00667FF6">
      <w:r>
        <w:t>&lt;ESMA_QUESTION_EADC_16&gt;</w:t>
      </w:r>
    </w:p>
    <w:p w14:paraId="09F73C64" w14:textId="77777777" w:rsidR="00667FF6" w:rsidRDefault="00667FF6" w:rsidP="00667FF6">
      <w:permStart w:id="1032210024" w:edGrp="everyone"/>
      <w:permEnd w:id="1032210024"/>
      <w:r>
        <w:t>&lt;ESMA_QUESTION_EADC_16&gt;</w:t>
      </w:r>
    </w:p>
    <w:p w14:paraId="6CD480E6" w14:textId="77777777" w:rsidR="00667FF6" w:rsidRDefault="00667FF6" w:rsidP="00667FF6"/>
    <w:p w14:paraId="2F61D6B7" w14:textId="43620DB9" w:rsidR="00667FF6" w:rsidRDefault="00667FF6" w:rsidP="00DB686B">
      <w:pPr>
        <w:pStyle w:val="Questionstyle"/>
        <w:numPr>
          <w:ilvl w:val="0"/>
          <w:numId w:val="14"/>
        </w:numPr>
      </w:pPr>
      <w:r>
        <w:t>Would you see merit in linking or replacing the notion of EPM techniques set out in the UCITS Directive and UCITS EAD with the notion of securities financing transaction (SFT) set out in the SFTR? Beyond the notions of EPM and SFT, are there any other notions or issues raising concerns in terms of transversal consistency between the UCITS and SFTR frameworks?</w:t>
      </w:r>
    </w:p>
    <w:p w14:paraId="5776F854" w14:textId="77777777" w:rsidR="00667FF6" w:rsidRDefault="00667FF6" w:rsidP="00667FF6">
      <w:r>
        <w:t>&lt;ESMA_QUESTION_EADC_17&gt;</w:t>
      </w:r>
    </w:p>
    <w:p w14:paraId="47A34CC0" w14:textId="77777777" w:rsidR="00667FF6" w:rsidRDefault="00667FF6" w:rsidP="00667FF6">
      <w:permStart w:id="589041498" w:edGrp="everyone"/>
      <w:permEnd w:id="589041498"/>
      <w:r>
        <w:t>&lt;ESMA_QUESTION_EADC_17&gt;</w:t>
      </w:r>
    </w:p>
    <w:p w14:paraId="5EC440C2" w14:textId="77777777" w:rsidR="00667FF6" w:rsidRDefault="00667FF6" w:rsidP="00667FF6"/>
    <w:p w14:paraId="29F5389B" w14:textId="7E9A699E" w:rsidR="00667FF6" w:rsidRDefault="00667FF6" w:rsidP="00DB686B">
      <w:pPr>
        <w:pStyle w:val="Questionstyle"/>
        <w:numPr>
          <w:ilvl w:val="0"/>
          <w:numId w:val="14"/>
        </w:numPr>
      </w:pPr>
      <w:r>
        <w:t xml:space="preserve">Apart from the definitions and concepts covered above, are there any other definitions, notions or concepts used in the UCITS EAD that may require updates, further clarification or better consistency with definitions and concepts used in other pieces of EU financial legislation, e.g. MiFID II, EMIR, Benchmark Regulation and MMFR? If so, please provide details on the issues you have </w:t>
      </w:r>
      <w:r>
        <w:lastRenderedPageBreak/>
        <w:t>observed and how you would propose to clarify or link the relevant definitions or concepts.</w:t>
      </w:r>
    </w:p>
    <w:p w14:paraId="3F895BE3" w14:textId="77777777" w:rsidR="00667FF6" w:rsidRDefault="00667FF6" w:rsidP="00667FF6">
      <w:r>
        <w:t>&lt;ESMA_QUESTION_EADC_18&gt;</w:t>
      </w:r>
    </w:p>
    <w:p w14:paraId="223CC270" w14:textId="77777777" w:rsidR="00667FF6" w:rsidRDefault="00667FF6" w:rsidP="00667FF6">
      <w:permStart w:id="1158356501" w:edGrp="everyone"/>
      <w:permEnd w:id="1158356501"/>
      <w:r>
        <w:t>&lt;ESMA_QUESTION_EADC_18&gt;</w:t>
      </w:r>
    </w:p>
    <w:p w14:paraId="0FFC0C58" w14:textId="77777777" w:rsidR="00667FF6" w:rsidRDefault="00667FF6" w:rsidP="00667FF6"/>
    <w:p w14:paraId="537254A6" w14:textId="77777777" w:rsidR="00667FF6" w:rsidRDefault="00667FF6" w:rsidP="00DB686B">
      <w:pPr>
        <w:pStyle w:val="Questionstyle"/>
        <w:numPr>
          <w:ilvl w:val="0"/>
          <w:numId w:val="14"/>
        </w:numPr>
      </w:pPr>
      <w:r>
        <w:t>Are there any national rules, guidance, definitions or concepts in national regulatory frameworks that go beyond (‘gold-plating’), diverge or are more detailed than what is set out in the UCITS EAD? If so, please elaborate whether these are causing any recurring or significant practical issues or challenges.</w:t>
      </w:r>
    </w:p>
    <w:p w14:paraId="6426457C" w14:textId="77777777" w:rsidR="00667FF6" w:rsidRDefault="00667FF6" w:rsidP="00667FF6">
      <w:r>
        <w:t>&lt;ESMA_QUESTION_EADC_19&gt;</w:t>
      </w:r>
    </w:p>
    <w:p w14:paraId="2B449671" w14:textId="547D1E56" w:rsidR="00667FF6" w:rsidRDefault="00993EE5" w:rsidP="00667FF6">
      <w:permStart w:id="784558918" w:edGrp="everyone"/>
      <w:r>
        <w:t>As mentioned above, the current interpretation and application of the rules in respect of the eligibility of transferable securities that reference technically ineligible assets can differ among certain EEA member states.</w:t>
      </w:r>
    </w:p>
    <w:permEnd w:id="784558918"/>
    <w:p w14:paraId="014C3237" w14:textId="77777777" w:rsidR="00667FF6" w:rsidRDefault="00667FF6" w:rsidP="00667FF6">
      <w:r>
        <w:t>&lt;ESMA_QUESTION_EADC_19&gt;</w:t>
      </w:r>
    </w:p>
    <w:p w14:paraId="632F0E31" w14:textId="77777777" w:rsidR="00667FF6" w:rsidRDefault="00667FF6" w:rsidP="00667FF6"/>
    <w:p w14:paraId="1F406012" w14:textId="53EE10DD" w:rsidR="00DE0869" w:rsidRPr="00DE0869" w:rsidRDefault="00667FF6" w:rsidP="00DB686B">
      <w:pPr>
        <w:pStyle w:val="Questionstyle"/>
        <w:numPr>
          <w:ilvl w:val="0"/>
          <w:numId w:val="14"/>
        </w:numPr>
      </w:pPr>
      <w:r>
        <w:t xml:space="preserve">Please fill in the table </w:t>
      </w:r>
      <w:r w:rsidR="005A6012">
        <w:t xml:space="preserve">in </w:t>
      </w:r>
      <w:r w:rsidR="00A258F7">
        <w:t xml:space="preserve">the </w:t>
      </w:r>
      <w:r w:rsidR="005A6012">
        <w:t xml:space="preserve">Annex </w:t>
      </w:r>
      <w:r w:rsidR="00336C52">
        <w:t>to</w:t>
      </w:r>
      <w:r w:rsidR="001F768F">
        <w:t xml:space="preserve"> this</w:t>
      </w:r>
      <w:r w:rsidR="00DB686B">
        <w:t xml:space="preserve"> document </w:t>
      </w:r>
      <w:r>
        <w:t>on the merits of allowing direct or indirect UCITS exposures to the asset classes listed therein, taking into account the instructions provided in</w:t>
      </w:r>
      <w:r w:rsidR="00DB686B">
        <w:t xml:space="preserve"> </w:t>
      </w:r>
      <w:r w:rsidR="00A258F7">
        <w:t xml:space="preserve">the </w:t>
      </w:r>
      <w:r w:rsidR="00B1309C">
        <w:t xml:space="preserve">same </w:t>
      </w:r>
      <w:r w:rsidR="008B5F45">
        <w:t>Annex</w:t>
      </w:r>
      <w:r>
        <w:t>. Please assess and provide evidence on the merits of such exposures in light of their risks and benefits taking into account the characteristics of the underlying markets (e.g. availability of reliable valuation information, liquidity, safekeeping). To substantiate your position, please fill the table with any available data and evidence (e.g. on liquidity or valuation of the relevant asset classes and underlying markets). ESMA acknowledges that the availability of data on direct/indirect exposures to some of the asset classes listed in this table is limited and would welcome receiving any available data (whether on individual market participants and products or market-wide) and even rough estimates that help to understand the practical relevance of the relevant asset class for UCITS and the possible impact of any future policy measures.</w:t>
      </w:r>
    </w:p>
    <w:p w14:paraId="03B2518F" w14:textId="77777777" w:rsidR="00667FF6" w:rsidRDefault="00667FF6" w:rsidP="00667FF6">
      <w:r>
        <w:t>&lt;ESMA_QUESTION_EADC_20&gt;</w:t>
      </w:r>
    </w:p>
    <w:p w14:paraId="33473008" w14:textId="77777777" w:rsidR="00993EE5" w:rsidRPr="00004854" w:rsidRDefault="00993EE5" w:rsidP="00993EE5">
      <w:pPr>
        <w:spacing w:after="160" w:line="278" w:lineRule="auto"/>
      </w:pPr>
      <w:permStart w:id="1828006997" w:edGrp="everyone"/>
      <w:r w:rsidRPr="00004854">
        <w:rPr>
          <w:b/>
          <w:bCs/>
        </w:rPr>
        <w:t>Merits of allowing direct UCITS exposures</w:t>
      </w:r>
    </w:p>
    <w:p w14:paraId="4D0A770D" w14:textId="77777777" w:rsidR="00993EE5" w:rsidRPr="00004854" w:rsidRDefault="00993EE5" w:rsidP="00993EE5">
      <w:pPr>
        <w:spacing w:after="160" w:line="278" w:lineRule="auto"/>
      </w:pPr>
      <w:r w:rsidRPr="00004854">
        <w:lastRenderedPageBreak/>
        <w:t>CoinShares acknowledges that direct exposure to cryptocurrencies within UCITS funds is currently impractical due to several significant concerns. The primary issue is the UCITS industry’s lack of infrastructure for and expertise in owning and holding such assets directly.</w:t>
      </w:r>
    </w:p>
    <w:p w14:paraId="258606E4" w14:textId="77777777" w:rsidR="00993EE5" w:rsidRPr="00004854" w:rsidRDefault="00993EE5" w:rsidP="00993EE5">
      <w:pPr>
        <w:spacing w:after="160" w:line="278" w:lineRule="auto"/>
      </w:pPr>
    </w:p>
    <w:p w14:paraId="21C31227" w14:textId="77777777" w:rsidR="00993EE5" w:rsidRPr="00004854" w:rsidRDefault="00993EE5" w:rsidP="00993EE5">
      <w:pPr>
        <w:spacing w:after="160" w:line="278" w:lineRule="auto"/>
      </w:pPr>
      <w:r w:rsidRPr="00004854">
        <w:rPr>
          <w:b/>
          <w:bCs/>
        </w:rPr>
        <w:t>Merits of Allowing Indirect UCITS Exposures to Crypto Assets</w:t>
      </w:r>
    </w:p>
    <w:p w14:paraId="539C13EB" w14:textId="77777777" w:rsidR="00993EE5" w:rsidRPr="00004854" w:rsidRDefault="00993EE5" w:rsidP="00993EE5">
      <w:pPr>
        <w:spacing w:after="160" w:line="278" w:lineRule="auto"/>
      </w:pPr>
      <w:r w:rsidRPr="00004854">
        <w:t>Conversely, indirect exposure to cryptocurrencies through transferable securities (in particular, the types of exchange traded products described in our response to Question 13) is a viable and prudent approach. These products are traded on major exchanges and follow stringent regulatory standards, ensuring investor protection and market integrity. They are designed to track the price of cryptocurrencies, providing a familiar and secure investment vehicle, and are operated by people with expertise in the digital asset industry.</w:t>
      </w:r>
    </w:p>
    <w:p w14:paraId="25B50F97" w14:textId="77777777" w:rsidR="00993EE5" w:rsidRPr="00004854" w:rsidRDefault="00993EE5" w:rsidP="00993EE5">
      <w:pPr>
        <w:spacing w:after="160" w:line="278" w:lineRule="auto"/>
      </w:pPr>
      <w:r w:rsidRPr="00004854">
        <w:t>This method leverages well-established industry standards and regulatory frameworks, providing a safer investment pathway for UCITS funds.</w:t>
      </w:r>
    </w:p>
    <w:p w14:paraId="2E23D8F1" w14:textId="77777777" w:rsidR="00993EE5" w:rsidRPr="00004854" w:rsidRDefault="00993EE5" w:rsidP="00993EE5">
      <w:pPr>
        <w:numPr>
          <w:ilvl w:val="0"/>
          <w:numId w:val="17"/>
        </w:numPr>
        <w:spacing w:after="160" w:line="278" w:lineRule="auto"/>
        <w:jc w:val="left"/>
      </w:pPr>
      <w:r w:rsidRPr="00004854">
        <w:rPr>
          <w:b/>
          <w:bCs/>
        </w:rPr>
        <w:t>Liquidity</w:t>
      </w:r>
      <w:r w:rsidRPr="00004854">
        <w:t>: The cryptocurrency market has matured significantly, with major cryptocurrencies like Bitcoin and Ethereum consistently ranking among the most liquid assets globally. High trading volumes on reputable exchanges ensure that investors can easily enter and exit positions, mitigating concerns about liquidity risk.  The liquidity in the underlying allows the ETPs to operate efficiently and is transferred via the ETPs onto the regulated exchanges.</w:t>
      </w:r>
    </w:p>
    <w:p w14:paraId="30465B29" w14:textId="77777777" w:rsidR="00993EE5" w:rsidRPr="00004854" w:rsidRDefault="00993EE5" w:rsidP="00993EE5">
      <w:pPr>
        <w:numPr>
          <w:ilvl w:val="0"/>
          <w:numId w:val="17"/>
        </w:numPr>
        <w:spacing w:after="160" w:line="278" w:lineRule="auto"/>
        <w:jc w:val="left"/>
      </w:pPr>
      <w:r w:rsidRPr="00004854">
        <w:rPr>
          <w:b/>
          <w:bCs/>
        </w:rPr>
        <w:t>Diversification</w:t>
      </w:r>
      <w:r w:rsidRPr="00004854">
        <w:t>: Crypto assets provide a unique diversification benefit due to their low correlation with traditional asset classes. This characteristic can enhance portfolio performance, particularly during periods of market stress in traditional financial markets.</w:t>
      </w:r>
    </w:p>
    <w:p w14:paraId="162403EC" w14:textId="77777777" w:rsidR="00993EE5" w:rsidRPr="00004854" w:rsidRDefault="00993EE5" w:rsidP="00993EE5">
      <w:pPr>
        <w:numPr>
          <w:ilvl w:val="0"/>
          <w:numId w:val="17"/>
        </w:numPr>
        <w:spacing w:after="160" w:line="278" w:lineRule="auto"/>
        <w:jc w:val="left"/>
      </w:pPr>
      <w:r w:rsidRPr="00004854">
        <w:rPr>
          <w:b/>
          <w:bCs/>
        </w:rPr>
        <w:t>Market Growth</w:t>
      </w:r>
      <w:r w:rsidRPr="00004854">
        <w:t>: The digital asset market has witnessed exponential growth, driven by increasing institutional adoption and technological advancements. Recognizing crypto assets as a legitimate investment class aligns with market realities and investor demand.</w:t>
      </w:r>
    </w:p>
    <w:p w14:paraId="7EB727E8" w14:textId="77777777" w:rsidR="00993EE5" w:rsidRPr="00004854" w:rsidRDefault="00993EE5" w:rsidP="00993EE5">
      <w:pPr>
        <w:numPr>
          <w:ilvl w:val="0"/>
          <w:numId w:val="17"/>
        </w:numPr>
        <w:spacing w:after="160" w:line="278" w:lineRule="auto"/>
        <w:jc w:val="left"/>
      </w:pPr>
      <w:r w:rsidRPr="00004854">
        <w:rPr>
          <w:b/>
          <w:bCs/>
        </w:rPr>
        <w:t>Valuation Information</w:t>
      </w:r>
      <w:r w:rsidRPr="00004854">
        <w:t>: Reliable and transparent valuation data for cryptocurrencies is readily available from numerous sources, including leading financial data providers and blockchain analytics firms. </w:t>
      </w:r>
    </w:p>
    <w:p w14:paraId="5382F1CE" w14:textId="77777777" w:rsidR="00993EE5" w:rsidRPr="00004854" w:rsidRDefault="00993EE5" w:rsidP="00993EE5">
      <w:pPr>
        <w:numPr>
          <w:ilvl w:val="0"/>
          <w:numId w:val="17"/>
        </w:numPr>
        <w:spacing w:after="160" w:line="278" w:lineRule="auto"/>
        <w:jc w:val="left"/>
      </w:pPr>
      <w:r w:rsidRPr="00004854">
        <w:rPr>
          <w:b/>
          <w:bCs/>
        </w:rPr>
        <w:t>Reduced Risk</w:t>
      </w:r>
      <w:r w:rsidRPr="00004854">
        <w:t>: Indirect exposure through ETPs mitigates some of the inherent risks associated with direct investment in cryptocurrencies, such as security and custody risks.</w:t>
      </w:r>
    </w:p>
    <w:p w14:paraId="618355DC" w14:textId="77777777" w:rsidR="00993EE5" w:rsidRPr="00004854" w:rsidRDefault="00993EE5" w:rsidP="00993EE5">
      <w:pPr>
        <w:numPr>
          <w:ilvl w:val="0"/>
          <w:numId w:val="17"/>
        </w:numPr>
        <w:spacing w:after="160" w:line="278" w:lineRule="auto"/>
        <w:jc w:val="left"/>
      </w:pPr>
      <w:r w:rsidRPr="00004854">
        <w:rPr>
          <w:b/>
          <w:bCs/>
        </w:rPr>
        <w:t>Regulatory Framework</w:t>
      </w:r>
      <w:r w:rsidRPr="00004854">
        <w:t xml:space="preserve">: ETPs are subject to stringent regulatory standards under Prospectus Regulation and MiFID/MiFIR, which enhances investor protection. This </w:t>
      </w:r>
      <w:r w:rsidRPr="00004854">
        <w:lastRenderedPageBreak/>
        <w:t>framework ensures that these products are structured and traded according to best practices, including risk management, transparency, and governance standards.</w:t>
      </w:r>
    </w:p>
    <w:p w14:paraId="0681B397" w14:textId="77777777" w:rsidR="00993EE5" w:rsidRPr="00004854" w:rsidRDefault="00993EE5" w:rsidP="00993EE5">
      <w:pPr>
        <w:numPr>
          <w:ilvl w:val="0"/>
          <w:numId w:val="17"/>
        </w:numPr>
        <w:spacing w:after="160" w:line="278" w:lineRule="auto"/>
        <w:jc w:val="left"/>
      </w:pPr>
      <w:r w:rsidRPr="00004854">
        <w:rPr>
          <w:b/>
          <w:bCs/>
        </w:rPr>
        <w:t>Ease of Access</w:t>
      </w:r>
      <w:r w:rsidRPr="00004854">
        <w:t>: Indirect exposure simplifies the investment process for traditional investors who may lack the technical knowledge or infrastructure to manage direct cryptocurrency investments. It provides a familiar investment framework that integrates seamlessly with existing portfolios and investment strategies.</w:t>
      </w:r>
    </w:p>
    <w:p w14:paraId="38D35317" w14:textId="77777777" w:rsidR="00993EE5" w:rsidRPr="00004854" w:rsidRDefault="00993EE5" w:rsidP="00993EE5">
      <w:pPr>
        <w:numPr>
          <w:ilvl w:val="0"/>
          <w:numId w:val="18"/>
        </w:numPr>
        <w:spacing w:after="160" w:line="278" w:lineRule="auto"/>
        <w:jc w:val="left"/>
      </w:pPr>
      <w:r w:rsidRPr="00004854">
        <w:rPr>
          <w:b/>
          <w:bCs/>
        </w:rPr>
        <w:t>Industry Standards</w:t>
      </w:r>
      <w:r w:rsidRPr="00004854">
        <w:t>: The existing standards for structuring ETPs are robust, providing a high level of investor protection. These standards include contractual protections to ensure limit investor exposure to issuer credit risk. </w:t>
      </w:r>
    </w:p>
    <w:p w14:paraId="1E276BC7" w14:textId="77777777" w:rsidR="00993EE5" w:rsidRPr="00004854" w:rsidRDefault="00993EE5" w:rsidP="00993EE5">
      <w:pPr>
        <w:spacing w:after="160" w:line="278" w:lineRule="auto"/>
      </w:pPr>
    </w:p>
    <w:p w14:paraId="695E83A3" w14:textId="77777777" w:rsidR="00993EE5" w:rsidRDefault="00993EE5" w:rsidP="00993EE5">
      <w:pPr>
        <w:spacing w:after="160" w:line="278" w:lineRule="auto"/>
      </w:pPr>
      <w:r w:rsidRPr="00004854">
        <w:t>In conclusion, indirect exposure through ETPs presents a balanced approach, combining the growth potential of cryptocurrencies with the stability and security of traditional financial instruments.</w:t>
      </w:r>
    </w:p>
    <w:p w14:paraId="41BD0988" w14:textId="77777777" w:rsidR="00993EE5" w:rsidRPr="00004854" w:rsidRDefault="00993EE5" w:rsidP="00993EE5">
      <w:pPr>
        <w:spacing w:after="160" w:line="278" w:lineRule="auto"/>
      </w:pPr>
      <w:r w:rsidRPr="00004854">
        <w:rPr>
          <w:b/>
          <w:bCs/>
        </w:rPr>
        <w:t>Aligning with Investor Interests and Global Trends</w:t>
      </w:r>
    </w:p>
    <w:p w14:paraId="0C238BDD" w14:textId="77777777" w:rsidR="00993EE5" w:rsidRPr="00004854" w:rsidRDefault="00993EE5" w:rsidP="00993EE5">
      <w:pPr>
        <w:spacing w:after="160" w:line="278" w:lineRule="auto"/>
      </w:pPr>
      <w:r w:rsidRPr="00004854">
        <w:t>The growing interest in cryptocurrencies, particularly among younger investors, highlights the need for UCITS funds to adapt and offer exposure to this asset class. Ignoring this demand could lead to a competitive disadvantage as investors might turn to alternative platforms that provide direct access to cryptocurrencies.</w:t>
      </w:r>
    </w:p>
    <w:p w14:paraId="4AB94E83" w14:textId="77777777" w:rsidR="00993EE5" w:rsidRPr="00004854" w:rsidRDefault="00993EE5" w:rsidP="00993EE5">
      <w:pPr>
        <w:spacing w:after="160" w:line="278" w:lineRule="auto"/>
      </w:pPr>
    </w:p>
    <w:p w14:paraId="4205DE64" w14:textId="77777777" w:rsidR="00993EE5" w:rsidRPr="00004854" w:rsidRDefault="00993EE5" w:rsidP="00993EE5">
      <w:pPr>
        <w:spacing w:after="160" w:line="278" w:lineRule="auto"/>
      </w:pPr>
      <w:r w:rsidRPr="00004854">
        <w:t>Studies, including those by the OECD and AMF, indicate that cryptocurrencies are among the preferred asset classes for younger generations. UCITS funds must evolve to meet these preferences to remain relevant and attractive to investors.</w:t>
      </w:r>
    </w:p>
    <w:p w14:paraId="76318442" w14:textId="77777777" w:rsidR="00993EE5" w:rsidRPr="00004854" w:rsidRDefault="00993EE5" w:rsidP="00993EE5">
      <w:pPr>
        <w:spacing w:after="160" w:line="278" w:lineRule="auto"/>
      </w:pPr>
    </w:p>
    <w:p w14:paraId="64ABC153" w14:textId="77777777" w:rsidR="00993EE5" w:rsidRPr="00004854" w:rsidRDefault="00993EE5" w:rsidP="00993EE5">
      <w:pPr>
        <w:spacing w:after="160" w:line="278" w:lineRule="auto"/>
      </w:pPr>
      <w:r w:rsidRPr="00004854">
        <w:t>The integration of Bitcoin Spot ETFs by major US asset managers like BlackRock and Fidelity into their macro funds signifies a pivotal shift towards recognising cryptocurrencies as a legitimate asset class. This development underscores the importance of adapting regulatory frameworks to accommodate new investment trends and maintain global competitiveness.</w:t>
      </w:r>
    </w:p>
    <w:p w14:paraId="2C2475FB" w14:textId="77777777" w:rsidR="00993EE5" w:rsidRPr="00004854" w:rsidRDefault="00993EE5" w:rsidP="00993EE5">
      <w:pPr>
        <w:spacing w:after="160" w:line="278" w:lineRule="auto"/>
      </w:pPr>
    </w:p>
    <w:p w14:paraId="0DCED615" w14:textId="77777777" w:rsidR="00993EE5" w:rsidRPr="00004854" w:rsidRDefault="00993EE5" w:rsidP="00993EE5">
      <w:pPr>
        <w:spacing w:after="160" w:line="278" w:lineRule="auto"/>
      </w:pPr>
      <w:r w:rsidRPr="00004854">
        <w:rPr>
          <w:b/>
          <w:bCs/>
        </w:rPr>
        <w:t>Extent/Amount of Existing UCITS Exposures</w:t>
      </w:r>
    </w:p>
    <w:p w14:paraId="52F7AA6F" w14:textId="77777777" w:rsidR="00993EE5" w:rsidRPr="00004854" w:rsidRDefault="00993EE5" w:rsidP="00993EE5">
      <w:pPr>
        <w:numPr>
          <w:ilvl w:val="0"/>
          <w:numId w:val="19"/>
        </w:numPr>
        <w:spacing w:after="160" w:line="278" w:lineRule="auto"/>
        <w:jc w:val="left"/>
      </w:pPr>
      <w:r w:rsidRPr="00004854">
        <w:t>UCITS funds in Germany are allowed to purchase digital asset ETPs subject to prudential risk management requirements.  Very few other jurisdictions allow any (even indirect) exposure.</w:t>
      </w:r>
    </w:p>
    <w:p w14:paraId="0252571E" w14:textId="77777777" w:rsidR="00993EE5" w:rsidRPr="00004854" w:rsidRDefault="00993EE5" w:rsidP="00993EE5">
      <w:pPr>
        <w:spacing w:after="160" w:line="278" w:lineRule="auto"/>
      </w:pPr>
    </w:p>
    <w:p w14:paraId="2BE4D7DE" w14:textId="77777777" w:rsidR="00993EE5" w:rsidRPr="00004854" w:rsidRDefault="00993EE5" w:rsidP="00993EE5">
      <w:pPr>
        <w:spacing w:after="160" w:line="278" w:lineRule="auto"/>
      </w:pPr>
      <w:r w:rsidRPr="00004854">
        <w:rPr>
          <w:b/>
          <w:bCs/>
        </w:rPr>
        <w:lastRenderedPageBreak/>
        <w:t>Additional Comments</w:t>
      </w:r>
    </w:p>
    <w:p w14:paraId="053A1B73" w14:textId="77777777" w:rsidR="00993EE5" w:rsidRPr="00004854" w:rsidRDefault="00993EE5" w:rsidP="00993EE5">
      <w:pPr>
        <w:numPr>
          <w:ilvl w:val="0"/>
          <w:numId w:val="20"/>
        </w:numPr>
        <w:spacing w:after="160" w:line="278" w:lineRule="auto"/>
        <w:jc w:val="left"/>
      </w:pPr>
      <w:r w:rsidRPr="00004854">
        <w:t>Incorporating crypto assets into UCITS funds can attract a younger demographic of investors who have shown a strong preference for digital assets. This inclusion can maintain the relevance and competitiveness of UCITS products in a rapidly evolving investment landscape, ensuring they remain attractive to future generations of investors.</w:t>
      </w:r>
    </w:p>
    <w:p w14:paraId="2A663ACD" w14:textId="77777777" w:rsidR="00993EE5" w:rsidRPr="00004854" w:rsidRDefault="00993EE5" w:rsidP="00993EE5">
      <w:pPr>
        <w:spacing w:after="160" w:line="278" w:lineRule="auto"/>
      </w:pPr>
    </w:p>
    <w:permEnd w:id="1828006997"/>
    <w:p w14:paraId="01D62D2E" w14:textId="77777777" w:rsidR="00667FF6" w:rsidRDefault="00667FF6" w:rsidP="00667FF6">
      <w:r>
        <w:t>&lt;ESMA_QUESTION_EADC_20&gt;</w:t>
      </w:r>
    </w:p>
    <w:p w14:paraId="108FF8FC" w14:textId="77777777" w:rsidR="00667FF6" w:rsidRDefault="00667FF6" w:rsidP="00667FF6"/>
    <w:p w14:paraId="7E4F82A9" w14:textId="77777777" w:rsidR="00667FF6" w:rsidRDefault="00667FF6" w:rsidP="00DB686B">
      <w:pPr>
        <w:pStyle w:val="Questionstyle"/>
        <w:numPr>
          <w:ilvl w:val="0"/>
          <w:numId w:val="14"/>
        </w:numPr>
      </w:pPr>
      <w:r>
        <w:t>Please elaborate and provide evidence on how indirect exposures to the aforementioned asset classes (e.g. through delta-one instruments, ETNs, derivatives) increase or decrease costs and/or risks borne by UCITS and their investors compared to direct investments.</w:t>
      </w:r>
    </w:p>
    <w:p w14:paraId="4B547731" w14:textId="77777777" w:rsidR="00667FF6" w:rsidRDefault="00667FF6" w:rsidP="00667FF6">
      <w:r>
        <w:t>&lt;ESMA_QUESTION_EADC_21&gt;</w:t>
      </w:r>
    </w:p>
    <w:p w14:paraId="5ED4C85A" w14:textId="77777777" w:rsidR="00993EE5" w:rsidRPr="00004854" w:rsidRDefault="00993EE5" w:rsidP="00993EE5">
      <w:pPr>
        <w:spacing w:after="160" w:line="278" w:lineRule="auto"/>
      </w:pPr>
      <w:permStart w:id="199050040" w:edGrp="everyone"/>
      <w:r w:rsidRPr="00004854">
        <w:t>Indirect exposure to crypto assets through ETPs presents a balanced solution to managing the inherent risks and costs associated with direct crypto investments. These financial instruments provide fund managers with the ability to benefit from cryptocurrency price movements without the need to directly handle the underlying assets.</w:t>
      </w:r>
    </w:p>
    <w:p w14:paraId="2416FB64" w14:textId="77777777" w:rsidR="00993EE5" w:rsidRPr="00004854" w:rsidRDefault="00993EE5" w:rsidP="00993EE5">
      <w:pPr>
        <w:numPr>
          <w:ilvl w:val="0"/>
          <w:numId w:val="21"/>
        </w:numPr>
        <w:spacing w:after="160" w:line="278" w:lineRule="auto"/>
        <w:jc w:val="left"/>
      </w:pPr>
      <w:r w:rsidRPr="00004854">
        <w:rPr>
          <w:b/>
          <w:bCs/>
        </w:rPr>
        <w:t>Cost Implications</w:t>
      </w:r>
      <w:r w:rsidRPr="00004854">
        <w:t>: While ETPs can introduce additional costs, such as management fees and trading expenses, these are generally outweighed by the advantages they offer. The advantages include robust product structures, the EUPR and MIFID protections, as well as industry expertise in accessing new asset classes.</w:t>
      </w:r>
    </w:p>
    <w:p w14:paraId="20B6E4E0" w14:textId="77777777" w:rsidR="00993EE5" w:rsidRPr="00004854" w:rsidRDefault="00993EE5" w:rsidP="00993EE5">
      <w:pPr>
        <w:numPr>
          <w:ilvl w:val="0"/>
          <w:numId w:val="21"/>
        </w:numPr>
        <w:spacing w:after="160" w:line="278" w:lineRule="auto"/>
        <w:jc w:val="left"/>
      </w:pPr>
      <w:r w:rsidRPr="00004854">
        <w:rPr>
          <w:b/>
          <w:bCs/>
        </w:rPr>
        <w:t>Risk Mitigation</w:t>
      </w:r>
      <w:r w:rsidRPr="00004854">
        <w:t>: Indirect exposure via ETPs mitigates several risks associated with direct investment in cryptocurrencies. For instance, Issuer expertise helps reduce potential custody risk and the ETP structure allows UCITs to trade via traditional investment infrastructure.</w:t>
      </w:r>
    </w:p>
    <w:p w14:paraId="23772C09" w14:textId="77777777" w:rsidR="00993EE5" w:rsidRPr="00004854" w:rsidRDefault="00993EE5" w:rsidP="00993EE5">
      <w:pPr>
        <w:numPr>
          <w:ilvl w:val="0"/>
          <w:numId w:val="21"/>
        </w:numPr>
        <w:spacing w:after="160" w:line="278" w:lineRule="auto"/>
        <w:jc w:val="left"/>
      </w:pPr>
      <w:r w:rsidRPr="00004854">
        <w:rPr>
          <w:b/>
          <w:bCs/>
        </w:rPr>
        <w:t>Regulatory Framework:</w:t>
      </w:r>
      <w:r w:rsidRPr="00004854">
        <w:t xml:space="preserve"> The regulatory framework governing ETPs further enhances the appeal of indirect exposure. The rigorous standards on the issuance (Prospectus Regulation) and trading (MiFID/MiFIR) of ETCs/ETNs ensure transparency and fairness in the market. </w:t>
      </w:r>
    </w:p>
    <w:p w14:paraId="2DE113C3" w14:textId="77777777" w:rsidR="00993EE5" w:rsidRPr="00004854" w:rsidRDefault="00993EE5" w:rsidP="00993EE5">
      <w:pPr>
        <w:numPr>
          <w:ilvl w:val="0"/>
          <w:numId w:val="21"/>
        </w:numPr>
        <w:spacing w:after="160" w:line="278" w:lineRule="auto"/>
        <w:jc w:val="left"/>
      </w:pPr>
      <w:r w:rsidRPr="00004854">
        <w:rPr>
          <w:b/>
          <w:bCs/>
        </w:rPr>
        <w:t>Market Accessibility</w:t>
      </w:r>
      <w:r w:rsidRPr="00004854">
        <w:t xml:space="preserve">: Indirect exposure via ETPs also enhances market accessibility for traditional investors. These instruments are typically traded on well-established exchanges, providing a familiar and secure investment environment. This accessibility </w:t>
      </w:r>
      <w:r w:rsidRPr="00004854">
        <w:lastRenderedPageBreak/>
        <w:t>is crucial for attracting institutional investors who may be hesitant to engage directly with the relatively unregulated and volatile crypto markets.</w:t>
      </w:r>
    </w:p>
    <w:p w14:paraId="2EBFE60D" w14:textId="77777777" w:rsidR="00993EE5" w:rsidRPr="00004854" w:rsidRDefault="00993EE5" w:rsidP="00993EE5">
      <w:pPr>
        <w:spacing w:after="160" w:line="278" w:lineRule="auto"/>
      </w:pPr>
    </w:p>
    <w:p w14:paraId="12E93BC5" w14:textId="77777777" w:rsidR="00993EE5" w:rsidRPr="00004854" w:rsidRDefault="00993EE5" w:rsidP="00993EE5">
      <w:pPr>
        <w:spacing w:after="160" w:line="278" w:lineRule="auto"/>
      </w:pPr>
      <w:r w:rsidRPr="00004854">
        <w:t>In conclusion, while there are costs associated with indirect exposure to crypto assets through ETCs/ETNs, the benefits of regulatory oversight, enhanced liquidity, and effective risk management make these instruments a viable option for UCITS funds. By leveraging these products, UCITS funds can offer their investors exposure to the burgeoning crypto market while maintaining high standards of safety and reliability.</w:t>
      </w:r>
    </w:p>
    <w:permEnd w:id="199050040"/>
    <w:p w14:paraId="3DAB01B2" w14:textId="77777777" w:rsidR="00667FF6" w:rsidRDefault="00667FF6" w:rsidP="00667FF6">
      <w:r>
        <w:t>&lt;ESMA_QUESTION_EADC_21&gt;</w:t>
      </w:r>
    </w:p>
    <w:p w14:paraId="646CDAF6" w14:textId="77777777" w:rsidR="00667FF6" w:rsidRDefault="00667FF6" w:rsidP="00667FF6"/>
    <w:p w14:paraId="3F190348" w14:textId="002D0356" w:rsidR="00667FF6" w:rsidRDefault="00667FF6" w:rsidP="00DB686B">
      <w:pPr>
        <w:pStyle w:val="Questionstyle"/>
        <w:numPr>
          <w:ilvl w:val="0"/>
          <w:numId w:val="14"/>
        </w:numPr>
      </w:pPr>
      <w:r>
        <w:t>Under the EAD, should a look-through approach be required to determine the eligibility of assets? Please explain your position taking into account the aforementioned risks and benefits of UCITS gaining exposures to asset classes that are not directly investible as well as the increased/decreased costs associated with such indirect investments. A look-through approach would aim to ensure that the list of eligible asset classes set out in the UCITS Level 1 Directive would be deemed exhaustive and reduce risk of circumvention by gaining indirect exposures to ineligible asset classes via instruments such as delta-one instruments, exchange-traded products or derivatives. Where possible, please provide views, data or estimates on the possible impact of such a possible policy measure.</w:t>
      </w:r>
    </w:p>
    <w:p w14:paraId="3D9FBAEC" w14:textId="77777777" w:rsidR="00667FF6" w:rsidRDefault="00667FF6" w:rsidP="00667FF6">
      <w:r>
        <w:t>&lt;ESMA_QUESTION_EADC_22&gt;</w:t>
      </w:r>
    </w:p>
    <w:p w14:paraId="7AF60186" w14:textId="77777777" w:rsidR="00993EE5" w:rsidRPr="00004854" w:rsidRDefault="00993EE5" w:rsidP="00993EE5">
      <w:pPr>
        <w:spacing w:after="160" w:line="278" w:lineRule="auto"/>
      </w:pPr>
      <w:permStart w:id="1004748421" w:edGrp="everyone"/>
      <w:r w:rsidRPr="00004854">
        <w:t>The look-through approach is overly restrictive and counterproductive, particularly when applied to exchange traded products.   We argue that forbidding products based on the look-through approach overextends UCITS rules and undermines their purpose.</w:t>
      </w:r>
    </w:p>
    <w:p w14:paraId="4AA57E78" w14:textId="77777777" w:rsidR="00993EE5" w:rsidRPr="00004854" w:rsidRDefault="00993EE5" w:rsidP="00993EE5">
      <w:pPr>
        <w:spacing w:after="160" w:line="278" w:lineRule="auto"/>
      </w:pPr>
      <w:r w:rsidRPr="00004854">
        <w:rPr>
          <w:b/>
          <w:bCs/>
        </w:rPr>
        <w:t>Understanding Non-Eligible Assets</w:t>
      </w:r>
    </w:p>
    <w:p w14:paraId="49F1A71F" w14:textId="77777777" w:rsidR="00993EE5" w:rsidRPr="00004854" w:rsidRDefault="00993EE5" w:rsidP="00993EE5">
      <w:pPr>
        <w:spacing w:after="160" w:line="278" w:lineRule="auto"/>
      </w:pPr>
      <w:r w:rsidRPr="00004854">
        <w:t>Non-eligible assets are typically excluded from UCITS portfolios due to concerns about liquidity, the difficulty of investment, and associated custody risks. These factors can present significant challenges, making it prudent to limit direct investments in such assets. However, delta-one products, such as crypto-ETPs, are specifically designed to address and mitigate these concerns, providing a structured and regulated means of gaining exposure to these underlying assets.</w:t>
      </w:r>
    </w:p>
    <w:p w14:paraId="56A52ED2" w14:textId="77777777" w:rsidR="00993EE5" w:rsidRPr="00004854" w:rsidRDefault="00993EE5" w:rsidP="00993EE5">
      <w:pPr>
        <w:spacing w:after="160" w:line="278" w:lineRule="auto"/>
      </w:pPr>
      <w:r w:rsidRPr="00004854">
        <w:rPr>
          <w:b/>
          <w:bCs/>
        </w:rPr>
        <w:t>Delta-One Products and Risk Mitigation</w:t>
      </w:r>
    </w:p>
    <w:p w14:paraId="1A0210F9" w14:textId="77777777" w:rsidR="00993EE5" w:rsidRPr="00004854" w:rsidRDefault="00993EE5" w:rsidP="00993EE5">
      <w:pPr>
        <w:spacing w:after="160" w:line="278" w:lineRule="auto"/>
      </w:pPr>
      <w:r w:rsidRPr="00004854">
        <w:lastRenderedPageBreak/>
        <w:t>Delta-one products, including crypto-ETPs, are constructed to overcome the inherent issues associated with non-eligible assets:</w:t>
      </w:r>
    </w:p>
    <w:p w14:paraId="5C51DC66" w14:textId="77777777" w:rsidR="00993EE5" w:rsidRPr="00004854" w:rsidRDefault="00993EE5" w:rsidP="00993EE5">
      <w:pPr>
        <w:numPr>
          <w:ilvl w:val="0"/>
          <w:numId w:val="22"/>
        </w:numPr>
        <w:spacing w:after="160" w:line="278" w:lineRule="auto"/>
        <w:jc w:val="left"/>
      </w:pPr>
      <w:r w:rsidRPr="00004854">
        <w:rPr>
          <w:b/>
          <w:bCs/>
        </w:rPr>
        <w:t>Liquidity</w:t>
      </w:r>
      <w:r w:rsidRPr="00004854">
        <w:t>: These products are often traded on regulated exchanges, ensuring liquidity and ease of transaction.</w:t>
      </w:r>
    </w:p>
    <w:p w14:paraId="4B811AE2" w14:textId="77777777" w:rsidR="00993EE5" w:rsidRPr="00004854" w:rsidRDefault="00993EE5" w:rsidP="00993EE5">
      <w:pPr>
        <w:numPr>
          <w:ilvl w:val="0"/>
          <w:numId w:val="22"/>
        </w:numPr>
        <w:spacing w:after="160" w:line="278" w:lineRule="auto"/>
        <w:jc w:val="left"/>
      </w:pPr>
      <w:r w:rsidRPr="00004854">
        <w:rPr>
          <w:b/>
          <w:bCs/>
        </w:rPr>
        <w:t>Investment Difficulty</w:t>
      </w:r>
      <w:r w:rsidRPr="00004854">
        <w:t>: By packaging non-eligible assets into accessible and manageable investment vehicles, these products simplify the investment process.</w:t>
      </w:r>
    </w:p>
    <w:p w14:paraId="32F1242C" w14:textId="77777777" w:rsidR="00993EE5" w:rsidRPr="00004854" w:rsidRDefault="00993EE5" w:rsidP="00993EE5">
      <w:pPr>
        <w:numPr>
          <w:ilvl w:val="0"/>
          <w:numId w:val="22"/>
        </w:numPr>
        <w:spacing w:after="160" w:line="278" w:lineRule="auto"/>
        <w:jc w:val="left"/>
      </w:pPr>
      <w:r w:rsidRPr="00004854">
        <w:rPr>
          <w:b/>
          <w:bCs/>
        </w:rPr>
        <w:t>Custody Risks</w:t>
      </w:r>
      <w:r w:rsidRPr="00004854">
        <w:t>: Reputable financial institutions issue these products with robust security and custody solutions, mitigating the risks associated with holding digital assets directly.</w:t>
      </w:r>
    </w:p>
    <w:p w14:paraId="68057E2E" w14:textId="77777777" w:rsidR="00993EE5" w:rsidRPr="00004854" w:rsidRDefault="00993EE5" w:rsidP="00993EE5">
      <w:pPr>
        <w:spacing w:after="160" w:line="278" w:lineRule="auto"/>
      </w:pPr>
    </w:p>
    <w:p w14:paraId="35C68E84" w14:textId="77777777" w:rsidR="00993EE5" w:rsidRPr="00004854" w:rsidRDefault="00993EE5" w:rsidP="00993EE5">
      <w:pPr>
        <w:spacing w:after="160" w:line="278" w:lineRule="auto"/>
      </w:pPr>
      <w:r w:rsidRPr="00004854">
        <w:t>Forbidding these structured products based on a look-through approach ignores the risk mitigation strategies inherent in their design and fails to recognize the advancements made in making these assets accessible and safe for investors.</w:t>
      </w:r>
    </w:p>
    <w:p w14:paraId="1D5635B2" w14:textId="77777777" w:rsidR="00993EE5" w:rsidRPr="00004854" w:rsidRDefault="00993EE5" w:rsidP="00993EE5">
      <w:pPr>
        <w:spacing w:after="160" w:line="278" w:lineRule="auto"/>
      </w:pPr>
      <w:r w:rsidRPr="00004854">
        <w:rPr>
          <w:b/>
          <w:bCs/>
        </w:rPr>
        <w:t>Overextension of UCITS Rules</w:t>
      </w:r>
    </w:p>
    <w:p w14:paraId="0F56BC0B" w14:textId="77777777" w:rsidR="00993EE5" w:rsidRPr="00004854" w:rsidRDefault="00993EE5" w:rsidP="00993EE5">
      <w:pPr>
        <w:spacing w:after="160" w:line="278" w:lineRule="auto"/>
      </w:pPr>
      <w:r w:rsidRPr="00004854">
        <w:t>Applying the look-through approach to crypto-ETPs represents an overextension of UCITS rules. It imposes unnecessary restrictions on innovative financial products that have been designed to align with regulatory standards and investor protection principles. This approach:</w:t>
      </w:r>
    </w:p>
    <w:p w14:paraId="0D78A553" w14:textId="77777777" w:rsidR="00993EE5" w:rsidRPr="00004854" w:rsidRDefault="00993EE5" w:rsidP="00993EE5">
      <w:pPr>
        <w:numPr>
          <w:ilvl w:val="0"/>
          <w:numId w:val="23"/>
        </w:numPr>
        <w:spacing w:after="160" w:line="278" w:lineRule="auto"/>
        <w:jc w:val="left"/>
      </w:pPr>
      <w:r w:rsidRPr="00004854">
        <w:rPr>
          <w:b/>
          <w:bCs/>
        </w:rPr>
        <w:t>Inhibits Innovation</w:t>
      </w:r>
      <w:r w:rsidRPr="00004854">
        <w:t>: Restricting delta-one products stifles financial innovation and prevents the market from evolving to meet investor needs.</w:t>
      </w:r>
    </w:p>
    <w:p w14:paraId="686B24E3" w14:textId="77777777" w:rsidR="00993EE5" w:rsidRPr="00004854" w:rsidRDefault="00993EE5" w:rsidP="00993EE5">
      <w:pPr>
        <w:numPr>
          <w:ilvl w:val="0"/>
          <w:numId w:val="23"/>
        </w:numPr>
        <w:spacing w:after="160" w:line="278" w:lineRule="auto"/>
        <w:jc w:val="left"/>
      </w:pPr>
      <w:r w:rsidRPr="00004854">
        <w:rPr>
          <w:b/>
          <w:bCs/>
        </w:rPr>
        <w:t>Limits Investment Managers' Choice</w:t>
      </w:r>
      <w:r w:rsidRPr="00004854">
        <w:t>: Investment managers should have the option to diversify their portfolios with crypto-ETPs, which offer unique benefits not available through traditional asset classes.</w:t>
      </w:r>
    </w:p>
    <w:p w14:paraId="7172FA18" w14:textId="77777777" w:rsidR="00993EE5" w:rsidRPr="00004854" w:rsidRDefault="00993EE5" w:rsidP="00993EE5">
      <w:pPr>
        <w:numPr>
          <w:ilvl w:val="0"/>
          <w:numId w:val="23"/>
        </w:numPr>
        <w:spacing w:after="160" w:line="278" w:lineRule="auto"/>
        <w:jc w:val="left"/>
      </w:pPr>
      <w:r w:rsidRPr="00004854">
        <w:rPr>
          <w:b/>
          <w:bCs/>
        </w:rPr>
        <w:t>Creates Inconsistencies</w:t>
      </w:r>
      <w:r w:rsidRPr="00004854">
        <w:t>: The selective application of the look-through rule creates inconsistencies within the UCITS framework, favouring certain types of securitised assets over others without a sound basis.</w:t>
      </w:r>
    </w:p>
    <w:p w14:paraId="62F15E8E" w14:textId="77777777" w:rsidR="00993EE5" w:rsidRPr="00004854" w:rsidRDefault="00993EE5" w:rsidP="00993EE5">
      <w:pPr>
        <w:spacing w:after="160" w:line="278" w:lineRule="auto"/>
      </w:pPr>
    </w:p>
    <w:p w14:paraId="60C566E5" w14:textId="77777777" w:rsidR="00993EE5" w:rsidRPr="00004854" w:rsidRDefault="00993EE5" w:rsidP="00993EE5">
      <w:pPr>
        <w:spacing w:after="160" w:line="278" w:lineRule="auto"/>
      </w:pPr>
      <w:r w:rsidRPr="00004854">
        <w:rPr>
          <w:b/>
          <w:bCs/>
        </w:rPr>
        <w:t>Harmonisation and Regulatory Balance</w:t>
      </w:r>
    </w:p>
    <w:p w14:paraId="10093BF5" w14:textId="77777777" w:rsidR="00993EE5" w:rsidRPr="00004854" w:rsidRDefault="00993EE5" w:rsidP="00993EE5">
      <w:pPr>
        <w:spacing w:after="160" w:line="278" w:lineRule="auto"/>
      </w:pPr>
      <w:r w:rsidRPr="00004854">
        <w:t>To maintain the integrity and effectiveness of the UCITS directive, a balanced approach is necessary. This involves recognising the advancements in financial products that address traditional concerns associated with non-eligible assets. A harmonised regulatory framework should:</w:t>
      </w:r>
    </w:p>
    <w:p w14:paraId="4D4DD489" w14:textId="77777777" w:rsidR="00993EE5" w:rsidRPr="00004854" w:rsidRDefault="00993EE5" w:rsidP="00993EE5">
      <w:pPr>
        <w:numPr>
          <w:ilvl w:val="0"/>
          <w:numId w:val="24"/>
        </w:numPr>
        <w:spacing w:after="160" w:line="278" w:lineRule="auto"/>
        <w:jc w:val="left"/>
      </w:pPr>
      <w:r w:rsidRPr="00004854">
        <w:rPr>
          <w:b/>
          <w:bCs/>
        </w:rPr>
        <w:t>Acknowledge Risk Mitigation</w:t>
      </w:r>
      <w:r w:rsidRPr="00004854">
        <w:t>: Recognise the risk mitigation strategies embedded in delta-one products and other innovative financial instruments.</w:t>
      </w:r>
    </w:p>
    <w:p w14:paraId="3DDF5DE4" w14:textId="77777777" w:rsidR="00993EE5" w:rsidRPr="00004854" w:rsidRDefault="00993EE5" w:rsidP="00993EE5">
      <w:pPr>
        <w:numPr>
          <w:ilvl w:val="0"/>
          <w:numId w:val="24"/>
        </w:numPr>
        <w:spacing w:after="160" w:line="278" w:lineRule="auto"/>
        <w:jc w:val="left"/>
      </w:pPr>
      <w:r w:rsidRPr="00004854">
        <w:rPr>
          <w:b/>
          <w:bCs/>
        </w:rPr>
        <w:lastRenderedPageBreak/>
        <w:t>Promote Consistency</w:t>
      </w:r>
      <w:r w:rsidRPr="00004854">
        <w:t>: Ensure that the same principles are applied uniformly across different asset types, including crypto-ETPs and traditional securitised products.</w:t>
      </w:r>
    </w:p>
    <w:p w14:paraId="3D21D0AA" w14:textId="77777777" w:rsidR="00993EE5" w:rsidRPr="00004854" w:rsidRDefault="00993EE5" w:rsidP="00993EE5">
      <w:pPr>
        <w:numPr>
          <w:ilvl w:val="0"/>
          <w:numId w:val="24"/>
        </w:numPr>
        <w:spacing w:after="160" w:line="278" w:lineRule="auto"/>
        <w:jc w:val="left"/>
      </w:pPr>
      <w:r w:rsidRPr="00004854">
        <w:rPr>
          <w:b/>
          <w:bCs/>
        </w:rPr>
        <w:t>Support Market Development</w:t>
      </w:r>
      <w:r w:rsidRPr="00004854">
        <w:t xml:space="preserve">: Facilitate the development of a diverse and resilient financial market that includes modern asset classes like </w:t>
      </w:r>
      <w:proofErr w:type="gramStart"/>
      <w:r w:rsidRPr="00004854">
        <w:t>crypto-assets</w:t>
      </w:r>
      <w:proofErr w:type="gramEnd"/>
      <w:r w:rsidRPr="00004854">
        <w:t>.</w:t>
      </w:r>
    </w:p>
    <w:p w14:paraId="554EE59E" w14:textId="77777777" w:rsidR="00993EE5" w:rsidRPr="00004854" w:rsidRDefault="00993EE5" w:rsidP="00993EE5">
      <w:pPr>
        <w:spacing w:after="160" w:line="278" w:lineRule="auto"/>
      </w:pPr>
    </w:p>
    <w:p w14:paraId="4ECBD2C3" w14:textId="77777777" w:rsidR="00993EE5" w:rsidRPr="00004854" w:rsidRDefault="00993EE5" w:rsidP="00993EE5">
      <w:pPr>
        <w:spacing w:after="160" w:line="278" w:lineRule="auto"/>
      </w:pPr>
      <w:r w:rsidRPr="00004854">
        <w:rPr>
          <w:b/>
          <w:bCs/>
        </w:rPr>
        <w:t>Conclusion</w:t>
      </w:r>
    </w:p>
    <w:p w14:paraId="7C61600C" w14:textId="77777777" w:rsidR="00993EE5" w:rsidRPr="00004854" w:rsidRDefault="00993EE5" w:rsidP="00993EE5">
      <w:pPr>
        <w:spacing w:after="160" w:line="278" w:lineRule="auto"/>
      </w:pPr>
      <w:r w:rsidRPr="00004854">
        <w:t>Forbidding crypto-ETPs based on a look-through approach overextends the UCITS rules and undermines the directive’s objectives. Instead, regulatory frameworks should evolve to recognize and accommodate the advancements in financial products that effectively mitigate traditional risks. </w:t>
      </w:r>
    </w:p>
    <w:p w14:paraId="3EAEAB10" w14:textId="77777777" w:rsidR="00993EE5" w:rsidRPr="00004854" w:rsidRDefault="00993EE5" w:rsidP="00993EE5">
      <w:pPr>
        <w:spacing w:after="160" w:line="278" w:lineRule="auto"/>
      </w:pPr>
      <w:r w:rsidRPr="00004854">
        <w:t>By doing so, UCITS funds can continue to protect investors while offering diverse and innovative investment opportunities.</w:t>
      </w:r>
    </w:p>
    <w:permEnd w:id="1004748421"/>
    <w:p w14:paraId="36473833" w14:textId="77777777" w:rsidR="00667FF6" w:rsidRDefault="00667FF6" w:rsidP="00667FF6">
      <w:r>
        <w:t>&lt;ESMA_QUESTION_EADC_22&gt;</w:t>
      </w:r>
    </w:p>
    <w:p w14:paraId="6543CA60" w14:textId="77777777" w:rsidR="00667FF6" w:rsidRDefault="00667FF6" w:rsidP="00667FF6"/>
    <w:p w14:paraId="74B7BA82" w14:textId="77777777" w:rsidR="00667FF6" w:rsidRDefault="00667FF6" w:rsidP="00DB686B">
      <w:pPr>
        <w:pStyle w:val="Questionstyle"/>
        <w:numPr>
          <w:ilvl w:val="0"/>
          <w:numId w:val="14"/>
        </w:numPr>
      </w:pPr>
      <w:r>
        <w:t>What are the risks and benefits of UCITS investments in securities issued by securitisation vehicles? Please share evidence and experiences on current market practices and views on a possible need for legislative clarifications or amendments.</w:t>
      </w:r>
    </w:p>
    <w:p w14:paraId="477B142C" w14:textId="77777777" w:rsidR="00667FF6" w:rsidRDefault="00667FF6" w:rsidP="00667FF6">
      <w:r>
        <w:t>&lt;ESMA_QUESTION_EADC_23&gt;</w:t>
      </w:r>
    </w:p>
    <w:p w14:paraId="3E326846" w14:textId="77777777" w:rsidR="00667FF6" w:rsidRDefault="00667FF6" w:rsidP="00667FF6">
      <w:permStart w:id="1208368603" w:edGrp="everyone"/>
      <w:permEnd w:id="1208368603"/>
      <w:r>
        <w:t>&lt;ESMA_QUESTION_EADC_23&gt;</w:t>
      </w:r>
    </w:p>
    <w:p w14:paraId="2ED70AE4" w14:textId="77777777" w:rsidR="00667FF6" w:rsidRDefault="00667FF6" w:rsidP="00667FF6"/>
    <w:p w14:paraId="0AC98EEB" w14:textId="77777777" w:rsidR="00667FF6" w:rsidRDefault="00667FF6" w:rsidP="00DB686B">
      <w:pPr>
        <w:pStyle w:val="Questionstyle"/>
        <w:numPr>
          <w:ilvl w:val="0"/>
          <w:numId w:val="14"/>
        </w:numPr>
      </w:pPr>
      <w:r>
        <w:t>What are the risks and benefits of permitting UCITS to build up short positions through the use of (embedded) derivatives, delta-one instruments or other instruments/tools? Please share evidence and experiences on current market practice and views on a possible need for legislative clarifications or amendments.</w:t>
      </w:r>
    </w:p>
    <w:p w14:paraId="717C88C9" w14:textId="77777777" w:rsidR="00667FF6" w:rsidRDefault="00667FF6" w:rsidP="00667FF6">
      <w:r>
        <w:t>&lt;ESMA_QUESTION_EADC_24&gt;</w:t>
      </w:r>
    </w:p>
    <w:p w14:paraId="0F3DAA8E" w14:textId="77777777" w:rsidR="00993EE5" w:rsidRPr="00004854" w:rsidRDefault="00993EE5" w:rsidP="00993EE5">
      <w:pPr>
        <w:spacing w:after="160" w:line="278" w:lineRule="auto"/>
      </w:pPr>
      <w:permStart w:id="160252285" w:edGrp="everyone"/>
      <w:r w:rsidRPr="00004854">
        <w:t>CoinShares believed that unleveraged short positions provided by delta one transferable securities (even if referencing technically ineligible assets) should be allowed in the same way that delta 1 long positions are currently allowed. </w:t>
      </w:r>
    </w:p>
    <w:permEnd w:id="160252285"/>
    <w:p w14:paraId="63C4C4A9" w14:textId="77777777" w:rsidR="00667FF6" w:rsidRDefault="00667FF6" w:rsidP="00667FF6">
      <w:r>
        <w:lastRenderedPageBreak/>
        <w:t>&lt;ESMA_QUESTION_EADC_24&gt;</w:t>
      </w:r>
    </w:p>
    <w:p w14:paraId="0EB97D56" w14:textId="77777777" w:rsidR="00667FF6" w:rsidRDefault="00667FF6" w:rsidP="00667FF6"/>
    <w:p w14:paraId="7D09FBF8" w14:textId="77777777" w:rsidR="00667FF6" w:rsidRDefault="00667FF6" w:rsidP="00DB686B">
      <w:pPr>
        <w:pStyle w:val="Questionstyle"/>
        <w:numPr>
          <w:ilvl w:val="0"/>
          <w:numId w:val="14"/>
        </w:numPr>
      </w:pPr>
      <w:r>
        <w:t>Apart from the topics covered in the above sections, have you observed any other issues with respect to the interpretation or consistent application of the UCITS EAD? If so, please describe the issues and how you would propose to revise the UCITS EAD or UCITS Directive with a view to improve investor protection, clarity and supervisory convergence.</w:t>
      </w:r>
    </w:p>
    <w:p w14:paraId="03144DFC" w14:textId="77777777" w:rsidR="00667FF6" w:rsidRDefault="00667FF6" w:rsidP="00667FF6">
      <w:r>
        <w:t>&lt;ESMA_QUESTION_EADC_25&gt;</w:t>
      </w:r>
    </w:p>
    <w:p w14:paraId="56E7500F" w14:textId="77777777" w:rsidR="00667FF6" w:rsidRDefault="00667FF6" w:rsidP="00667FF6">
      <w:permStart w:id="478484191" w:edGrp="everyone"/>
      <w:permEnd w:id="478484191"/>
      <w:r>
        <w:t>&lt;ESMA_QUESTION_EADC_25&gt;</w:t>
      </w:r>
    </w:p>
    <w:p w14:paraId="02F72279" w14:textId="77777777" w:rsidR="00667FF6" w:rsidRDefault="00667FF6" w:rsidP="00667FF6"/>
    <w:p w14:paraId="5DF23952" w14:textId="77777777" w:rsidR="00667FF6" w:rsidRDefault="00667FF6" w:rsidP="00667FF6"/>
    <w:p w14:paraId="30524E68" w14:textId="77777777" w:rsidR="00667FF6" w:rsidRPr="00667FF6" w:rsidRDefault="00667FF6" w:rsidP="00667FF6">
      <w:pPr>
        <w:rPr>
          <w:lang w:val="fr-BE"/>
        </w:rPr>
      </w:pPr>
    </w:p>
    <w:p w14:paraId="04595985" w14:textId="3EBFBF7B" w:rsidR="00B15C0B" w:rsidRPr="00C5469A" w:rsidRDefault="00B15C0B" w:rsidP="00B15C0B"/>
    <w:sectPr w:rsidR="00B15C0B" w:rsidRPr="00C5469A"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C8EB4" w14:textId="77777777" w:rsidR="00A96E68" w:rsidRDefault="00A96E68" w:rsidP="007E7997">
      <w:pPr>
        <w:spacing w:line="240" w:lineRule="auto"/>
      </w:pPr>
      <w:r>
        <w:separator/>
      </w:r>
    </w:p>
  </w:endnote>
  <w:endnote w:type="continuationSeparator" w:id="0">
    <w:p w14:paraId="26DA27EB" w14:textId="77777777" w:rsidR="00A96E68" w:rsidRDefault="00A96E68" w:rsidP="007E7997">
      <w:pPr>
        <w:spacing w:line="240" w:lineRule="auto"/>
      </w:pPr>
      <w:r>
        <w:continuationSeparator/>
      </w:r>
    </w:p>
  </w:endnote>
  <w:endnote w:type="continuationNotice" w:id="1">
    <w:p w14:paraId="4389FECE" w14:textId="77777777" w:rsidR="00A96E68" w:rsidRDefault="00A96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1B4F" w:themeColor="text1" w:themeShade="80"/>
        <w:sz w:val="16"/>
        <w:szCs w:val="16"/>
      </w:rPr>
      <w:id w:val="-1421483652"/>
      <w:docPartObj>
        <w:docPartGallery w:val="Page Numbers (Bottom of Page)"/>
        <w:docPartUnique/>
      </w:docPartObj>
    </w:sdt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16553" w14:textId="77777777" w:rsidR="00A96E68" w:rsidRDefault="00A96E68" w:rsidP="007E7997">
      <w:pPr>
        <w:spacing w:line="240" w:lineRule="auto"/>
      </w:pPr>
      <w:r>
        <w:separator/>
      </w:r>
    </w:p>
  </w:footnote>
  <w:footnote w:type="continuationSeparator" w:id="0">
    <w:p w14:paraId="05D87D01" w14:textId="77777777" w:rsidR="00A96E68" w:rsidRDefault="00A96E68" w:rsidP="007E7997">
      <w:pPr>
        <w:spacing w:line="240" w:lineRule="auto"/>
      </w:pPr>
      <w:r>
        <w:continuationSeparator/>
      </w:r>
    </w:p>
  </w:footnote>
  <w:footnote w:type="continuationNotice" w:id="1">
    <w:p w14:paraId="027CA45F" w14:textId="77777777" w:rsidR="00A96E68" w:rsidRDefault="00A96E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E930342"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67FF6">
      <w:t xml:space="preserve">7 May </w:t>
    </w:r>
    <w:r w:rsidR="00282901">
      <w:t>202</w:t>
    </w:r>
    <w:r w:rsidR="00667FF6">
      <w:t>4</w:t>
    </w:r>
  </w:p>
  <w:p w14:paraId="471D4524" w14:textId="24711CA4" w:rsidR="004E5FF8" w:rsidRDefault="00B03969" w:rsidP="00BD20AC">
    <w:pPr>
      <w:pStyle w:val="Header"/>
    </w:pPr>
    <w:r w:rsidRPr="00B03969">
      <w:t>ESMA</w:t>
    </w:r>
    <w:r w:rsidR="00667FF6">
      <w:t xml:space="preserve"> </w:t>
    </w:r>
    <w:r w:rsidR="00667FF6" w:rsidRPr="00667FF6">
      <w:t>34-1270380148-103</w:t>
    </w:r>
    <w:r w:rsidR="00BD20AC">
      <w:t>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F4D04"/>
    <w:multiLevelType w:val="multilevel"/>
    <w:tmpl w:val="B4D4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1B3592"/>
    <w:multiLevelType w:val="multilevel"/>
    <w:tmpl w:val="B17A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BBA159F"/>
    <w:multiLevelType w:val="multilevel"/>
    <w:tmpl w:val="748E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6955ABA"/>
    <w:multiLevelType w:val="multilevel"/>
    <w:tmpl w:val="D09A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E3EB6"/>
    <w:multiLevelType w:val="multilevel"/>
    <w:tmpl w:val="0DF8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A088B"/>
    <w:multiLevelType w:val="multilevel"/>
    <w:tmpl w:val="EA52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107AD5"/>
    <w:multiLevelType w:val="multilevel"/>
    <w:tmpl w:val="FB22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CF7FD8"/>
    <w:multiLevelType w:val="multilevel"/>
    <w:tmpl w:val="B522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530004"/>
    <w:multiLevelType w:val="multilevel"/>
    <w:tmpl w:val="6C3A4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3801430">
    <w:abstractNumId w:val="18"/>
  </w:num>
  <w:num w:numId="2" w16cid:durableId="1144354351">
    <w:abstractNumId w:val="6"/>
  </w:num>
  <w:num w:numId="3" w16cid:durableId="1006909420">
    <w:abstractNumId w:val="12"/>
  </w:num>
  <w:num w:numId="4" w16cid:durableId="569996677">
    <w:abstractNumId w:val="5"/>
  </w:num>
  <w:num w:numId="5" w16cid:durableId="807014924">
    <w:abstractNumId w:val="0"/>
  </w:num>
  <w:num w:numId="6" w16cid:durableId="310985182">
    <w:abstractNumId w:val="7"/>
  </w:num>
  <w:num w:numId="7" w16cid:durableId="492061559">
    <w:abstractNumId w:val="19"/>
  </w:num>
  <w:num w:numId="8" w16cid:durableId="2063743978">
    <w:abstractNumId w:val="3"/>
  </w:num>
  <w:num w:numId="9" w16cid:durableId="1378703109">
    <w:abstractNumId w:val="16"/>
  </w:num>
  <w:num w:numId="10" w16cid:durableId="632100844">
    <w:abstractNumId w:val="11"/>
  </w:num>
  <w:num w:numId="11" w16cid:durableId="1573200029">
    <w:abstractNumId w:val="10"/>
  </w:num>
  <w:num w:numId="12" w16cid:durableId="1587836858">
    <w:abstractNumId w:val="10"/>
    <w:lvlOverride w:ilvl="0">
      <w:startOverride w:val="1"/>
    </w:lvlOverride>
  </w:num>
  <w:num w:numId="13" w16cid:durableId="1548224532">
    <w:abstractNumId w:val="2"/>
  </w:num>
  <w:num w:numId="14" w16cid:durableId="501431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5553906">
    <w:abstractNumId w:val="21"/>
  </w:num>
  <w:num w:numId="17" w16cid:durableId="1056513034">
    <w:abstractNumId w:val="17"/>
  </w:num>
  <w:num w:numId="18" w16cid:durableId="1074666446">
    <w:abstractNumId w:val="20"/>
  </w:num>
  <w:num w:numId="19" w16cid:durableId="51127704">
    <w:abstractNumId w:val="14"/>
  </w:num>
  <w:num w:numId="20" w16cid:durableId="1462335864">
    <w:abstractNumId w:val="15"/>
  </w:num>
  <w:num w:numId="21" w16cid:durableId="2061973666">
    <w:abstractNumId w:val="9"/>
  </w:num>
  <w:num w:numId="22" w16cid:durableId="1721398663">
    <w:abstractNumId w:val="13"/>
  </w:num>
  <w:num w:numId="23" w16cid:durableId="497161778">
    <w:abstractNumId w:val="1"/>
  </w:num>
  <w:num w:numId="24" w16cid:durableId="47534170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nnydkVRpkIDi1nG0yBaAOhsWlc5Ozk2cfGgI0xzGgw9B+9mjrsPky3NRq+3MmQN6fUOXcIDSYF4yl3c8YJZA==" w:salt="XLRoLlSEie4cU7yFeSZJS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5363"/>
    <w:rsid w:val="00025631"/>
    <w:rsid w:val="00025A7F"/>
    <w:rsid w:val="00025C8C"/>
    <w:rsid w:val="00026016"/>
    <w:rsid w:val="0002607B"/>
    <w:rsid w:val="00026E1C"/>
    <w:rsid w:val="000271F8"/>
    <w:rsid w:val="000275A0"/>
    <w:rsid w:val="000275BD"/>
    <w:rsid w:val="000279E9"/>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B7C84"/>
    <w:rsid w:val="000C009C"/>
    <w:rsid w:val="000C0745"/>
    <w:rsid w:val="000C07C6"/>
    <w:rsid w:val="000C08C5"/>
    <w:rsid w:val="000C0AF3"/>
    <w:rsid w:val="000C0CE0"/>
    <w:rsid w:val="000C1066"/>
    <w:rsid w:val="000C11BC"/>
    <w:rsid w:val="000C1CB2"/>
    <w:rsid w:val="000C1E78"/>
    <w:rsid w:val="000C380D"/>
    <w:rsid w:val="000C3858"/>
    <w:rsid w:val="000C3B2A"/>
    <w:rsid w:val="000C3FEB"/>
    <w:rsid w:val="000C40F1"/>
    <w:rsid w:val="000C4CAD"/>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388"/>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54A"/>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25"/>
    <w:rsid w:val="002D3881"/>
    <w:rsid w:val="002D3ADD"/>
    <w:rsid w:val="002D3D91"/>
    <w:rsid w:val="002D425B"/>
    <w:rsid w:val="002D557C"/>
    <w:rsid w:val="002D5768"/>
    <w:rsid w:val="002D6291"/>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B3B"/>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33"/>
    <w:rsid w:val="00352A2C"/>
    <w:rsid w:val="00352DA9"/>
    <w:rsid w:val="00353629"/>
    <w:rsid w:val="00353E8B"/>
    <w:rsid w:val="003540E9"/>
    <w:rsid w:val="00354133"/>
    <w:rsid w:val="00355569"/>
    <w:rsid w:val="0035556C"/>
    <w:rsid w:val="003564FA"/>
    <w:rsid w:val="00356903"/>
    <w:rsid w:val="00356CAF"/>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2E2E"/>
    <w:rsid w:val="003E3AC0"/>
    <w:rsid w:val="003E3C5D"/>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E07"/>
    <w:rsid w:val="004C4E65"/>
    <w:rsid w:val="004C5070"/>
    <w:rsid w:val="004C5846"/>
    <w:rsid w:val="004C5959"/>
    <w:rsid w:val="004C59B8"/>
    <w:rsid w:val="004C5B35"/>
    <w:rsid w:val="004C5DDC"/>
    <w:rsid w:val="004C5E29"/>
    <w:rsid w:val="004C6917"/>
    <w:rsid w:val="004C6B8C"/>
    <w:rsid w:val="004C6EA9"/>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BEE"/>
    <w:rsid w:val="004F4117"/>
    <w:rsid w:val="004F4161"/>
    <w:rsid w:val="004F4296"/>
    <w:rsid w:val="004F452E"/>
    <w:rsid w:val="004F4EB7"/>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903A2"/>
    <w:rsid w:val="005906A5"/>
    <w:rsid w:val="00590CB3"/>
    <w:rsid w:val="00590F50"/>
    <w:rsid w:val="00591402"/>
    <w:rsid w:val="0059173E"/>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4F2"/>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591"/>
    <w:rsid w:val="006D7696"/>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703"/>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AC"/>
    <w:rsid w:val="00754C78"/>
    <w:rsid w:val="0075532F"/>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4C1"/>
    <w:rsid w:val="007979BE"/>
    <w:rsid w:val="00797A44"/>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198E"/>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523"/>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82C"/>
    <w:rsid w:val="00813A7F"/>
    <w:rsid w:val="00813AE8"/>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38D"/>
    <w:rsid w:val="008536EB"/>
    <w:rsid w:val="00853B1A"/>
    <w:rsid w:val="00853B56"/>
    <w:rsid w:val="00854AAE"/>
    <w:rsid w:val="00854CA0"/>
    <w:rsid w:val="0085559D"/>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2B"/>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2DCB"/>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3EB"/>
    <w:rsid w:val="008D1A97"/>
    <w:rsid w:val="008D2642"/>
    <w:rsid w:val="008D3190"/>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20A8"/>
    <w:rsid w:val="00902FED"/>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E4"/>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3EE5"/>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335"/>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6E68"/>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79"/>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09C"/>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E3B"/>
    <w:rsid w:val="00C64929"/>
    <w:rsid w:val="00C64E25"/>
    <w:rsid w:val="00C65438"/>
    <w:rsid w:val="00C6639C"/>
    <w:rsid w:val="00C6665B"/>
    <w:rsid w:val="00C668F5"/>
    <w:rsid w:val="00C67A23"/>
    <w:rsid w:val="00C67E40"/>
    <w:rsid w:val="00C7017B"/>
    <w:rsid w:val="00C702A3"/>
    <w:rsid w:val="00C71855"/>
    <w:rsid w:val="00C71B41"/>
    <w:rsid w:val="00C71F8B"/>
    <w:rsid w:val="00C72837"/>
    <w:rsid w:val="00C72ACF"/>
    <w:rsid w:val="00C72E8C"/>
    <w:rsid w:val="00C730E2"/>
    <w:rsid w:val="00C7334B"/>
    <w:rsid w:val="00C7367B"/>
    <w:rsid w:val="00C73789"/>
    <w:rsid w:val="00C73DBB"/>
    <w:rsid w:val="00C73EAC"/>
    <w:rsid w:val="00C74093"/>
    <w:rsid w:val="00C744A9"/>
    <w:rsid w:val="00C7477F"/>
    <w:rsid w:val="00C748E1"/>
    <w:rsid w:val="00C762CA"/>
    <w:rsid w:val="00C76449"/>
    <w:rsid w:val="00C76DAC"/>
    <w:rsid w:val="00C76F8B"/>
    <w:rsid w:val="00C77394"/>
    <w:rsid w:val="00C775F7"/>
    <w:rsid w:val="00C77E5F"/>
    <w:rsid w:val="00C77F8C"/>
    <w:rsid w:val="00C80DDB"/>
    <w:rsid w:val="00C81029"/>
    <w:rsid w:val="00C81169"/>
    <w:rsid w:val="00C8126F"/>
    <w:rsid w:val="00C8292C"/>
    <w:rsid w:val="00C83F8E"/>
    <w:rsid w:val="00C84820"/>
    <w:rsid w:val="00C84A0F"/>
    <w:rsid w:val="00C84BC2"/>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71"/>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BD6"/>
    <w:rsid w:val="00CC6D74"/>
    <w:rsid w:val="00CC7117"/>
    <w:rsid w:val="00CC71F2"/>
    <w:rsid w:val="00CC7C5C"/>
    <w:rsid w:val="00CD04DC"/>
    <w:rsid w:val="00CD0789"/>
    <w:rsid w:val="00CD0D42"/>
    <w:rsid w:val="00CD1538"/>
    <w:rsid w:val="00CD2066"/>
    <w:rsid w:val="00CD4080"/>
    <w:rsid w:val="00CD47B2"/>
    <w:rsid w:val="00CD522E"/>
    <w:rsid w:val="00CD55CD"/>
    <w:rsid w:val="00CD587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17D"/>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EBA"/>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4F8D"/>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7B69"/>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E1E"/>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5D9D"/>
    <w:rsid w:val="00DB686B"/>
    <w:rsid w:val="00DB766B"/>
    <w:rsid w:val="00DB7745"/>
    <w:rsid w:val="00DB77CE"/>
    <w:rsid w:val="00DB7A97"/>
    <w:rsid w:val="00DC02C4"/>
    <w:rsid w:val="00DC057B"/>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6A3"/>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8DB"/>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803"/>
    <w:rsid w:val="00E34F5E"/>
    <w:rsid w:val="00E3532C"/>
    <w:rsid w:val="00E35DB3"/>
    <w:rsid w:val="00E36415"/>
    <w:rsid w:val="00E366E2"/>
    <w:rsid w:val="00E368D4"/>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E97"/>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D8B"/>
    <w:rsid w:val="00F06455"/>
    <w:rsid w:val="00F06948"/>
    <w:rsid w:val="00F06B25"/>
    <w:rsid w:val="00F06B7D"/>
    <w:rsid w:val="00F07237"/>
    <w:rsid w:val="00F0727B"/>
    <w:rsid w:val="00F079D4"/>
    <w:rsid w:val="00F07C34"/>
    <w:rsid w:val="00F10049"/>
    <w:rsid w:val="00F1049F"/>
    <w:rsid w:val="00F108D4"/>
    <w:rsid w:val="00F11564"/>
    <w:rsid w:val="00F11B63"/>
    <w:rsid w:val="00F11FB1"/>
    <w:rsid w:val="00F123D7"/>
    <w:rsid w:val="00F12EC9"/>
    <w:rsid w:val="00F13439"/>
    <w:rsid w:val="00F141D6"/>
    <w:rsid w:val="00F14539"/>
    <w:rsid w:val="00F14E67"/>
    <w:rsid w:val="00F15217"/>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1CFB"/>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DefaultParagraphFont"/>
    <w:link w:val="Questionstyle"/>
    <w:rsid w:val="00DB686B"/>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jpeg"/><Relationship Id="rId18" Type="http://schemas.openxmlformats.org/officeDocument/2006/relationships/hyperlink" Target="https://www.esma.europa.eu/about-esma/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ma.europa.eu/press-news/consultations/call-evidence-review-ucits-eligible-assets-directi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D3BDB"/>
    <w:rsid w:val="00171343"/>
    <w:rsid w:val="002826FB"/>
    <w:rsid w:val="002B5A2A"/>
    <w:rsid w:val="002F71C9"/>
    <w:rsid w:val="003C3A27"/>
    <w:rsid w:val="003E2607"/>
    <w:rsid w:val="004E4CF9"/>
    <w:rsid w:val="00747575"/>
    <w:rsid w:val="00813189"/>
    <w:rsid w:val="008222A0"/>
    <w:rsid w:val="00836D47"/>
    <w:rsid w:val="0087748B"/>
    <w:rsid w:val="00967557"/>
    <w:rsid w:val="00993561"/>
    <w:rsid w:val="009B6B9C"/>
    <w:rsid w:val="009C794D"/>
    <w:rsid w:val="00A408D7"/>
    <w:rsid w:val="00AC6273"/>
    <w:rsid w:val="00B22006"/>
    <w:rsid w:val="00C336E8"/>
    <w:rsid w:val="00DD56A3"/>
    <w:rsid w:val="00F01F95"/>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254</Value>
      <Value>5</Value>
      <Value>33</Value>
      <Value>6</Value>
      <Value>345</Value>
      <Value>54</Value>
    </TaxCatchAll>
    <_dlc_DocId xmlns="d0fb0f98-34f9-4d57-9559-eb8efd17aa5e">ESMA34-1270380148-1033</_dlc_DocId>
    <_dlc_DocIdUrl xmlns="d0fb0f98-34f9-4d57-9559-eb8efd17aa5e">
      <Url>https://securitiesandmarketsauth.sharepoint.com/sites/sherpa-ivm/_layouts/15/DocIdRedir.aspx?ID=ESMA34-1270380148-1033</Url>
      <Description>ESMA34-1270380148-1033</Description>
    </_dlc_DocIdUrl>
    <_dlc_DocIdPersistId xmlns="d0fb0f98-34f9-4d57-9559-eb8efd17aa5e" xsi:nil="true"/>
    <MeetingDate xmlns="d0fb0f98-34f9-4d57-9559-eb8efd17aa5e" xsi:nil="true"/>
    <Year xmlns="d0fb0f98-34f9-4d57-9559-eb8efd17aa5e">2023</Year>
    <SharedWithUsers xmlns="d0fb0f98-34f9-4d57-9559-eb8efd17aa5e">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k9db3a09612944c49e649e0ff38a506b>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oa4fe03ffd8943c1880fe290404e8de7>
  </documentManagement>
</p:properties>
</file>

<file path=customXml/itemProps1.xml><?xml version="1.0" encoding="utf-8"?>
<ds:datastoreItem xmlns:ds="http://schemas.openxmlformats.org/officeDocument/2006/customXml" ds:itemID="{DC48F54A-A86B-41B6-A72A-7F928FC2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5143</Words>
  <Characters>29319</Characters>
  <Application>Microsoft Office Word</Application>
  <DocSecurity>8</DocSecurity>
  <Lines>244</Lines>
  <Paragraphs>68</Paragraphs>
  <ScaleCrop>false</ScaleCrop>
  <Company/>
  <LinksUpToDate>false</LinksUpToDate>
  <CharactersWithSpaces>34394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Townsend Lansing</cp:lastModifiedBy>
  <cp:revision>2</cp:revision>
  <cp:lastPrinted>2023-09-09T09:53:00Z</cp:lastPrinted>
  <dcterms:created xsi:type="dcterms:W3CDTF">2024-08-07T12:04:00Z</dcterms:created>
  <dcterms:modified xsi:type="dcterms:W3CDTF">2024-08-07T12:04:00Z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8f87ab28-9cc0-4a5f-bef3-0462a96fe99e</vt:lpwstr>
  </property>
  <property fmtid="{D5CDD505-2E9C-101B-9397-08002B2CF9AE}" pid="8" name="EsmaAudience">
    <vt:lpwstr>345;#Post-Trading Standing Committee|b4466ad1-2610-4bb4-b77e-13cd08e75663</vt:lpwstr>
  </property>
  <property fmtid="{D5CDD505-2E9C-101B-9397-08002B2CF9AE}" pid="9" name="Topic">
    <vt:lpwstr>254</vt:lpwstr>
  </property>
  <property fmtid="{D5CDD505-2E9C-101B-9397-08002B2CF9AE}" pid="10" name="ConfidentialityLevel">
    <vt:lpwstr>6;#Regular|07f1e362-856b-423d-bea6-a14079762141</vt:lpwstr>
  </property>
  <property fmtid="{D5CDD505-2E9C-101B-9397-08002B2CF9AE}" pid="11" name="DocumentType">
    <vt:lpwstr>54;#Call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5</vt:lpwstr>
  </property>
  <property fmtid="{D5CDD505-2E9C-101B-9397-08002B2CF9AE}" pid="15" name="SubTopic">
    <vt:lpwstr>323;#CSDR General - T + 1|a5a376d4-84eb-4354-ab81-b0766b380093</vt:lpwstr>
  </property>
  <property fmtid="{D5CDD505-2E9C-101B-9397-08002B2CF9AE}" pid="16" name="TeamTopic">
    <vt:lpwstr>33;#UCITS|a853cb80-aed9-44bd-ac2a-0e80b5a444d7</vt:lpwstr>
  </property>
</Properties>
</file>