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F7FE" w14:textId="157133C3" w:rsidR="66107C87" w:rsidRPr="003B3E04" w:rsidRDefault="7C53680C" w:rsidP="3FE99FEE">
      <w:pPr>
        <w:spacing w:after="250" w:line="276" w:lineRule="auto"/>
        <w:jc w:val="both"/>
        <w:rPr>
          <w:rFonts w:ascii="Arial" w:eastAsia="MS PGothic" w:hAnsi="Arial" w:cs="Arial"/>
          <w:b/>
          <w:bCs/>
          <w:color w:val="181818"/>
          <w:lang w:val="fr-FR"/>
        </w:rPr>
      </w:pPr>
      <w:r w:rsidRPr="003B3E04">
        <w:rPr>
          <w:rFonts w:ascii="Arial" w:eastAsia="MS PGothic" w:hAnsi="Arial" w:cs="Arial"/>
          <w:b/>
          <w:bCs/>
          <w:color w:val="181818"/>
          <w:lang w:val="fr-FR"/>
        </w:rPr>
        <w:t xml:space="preserve">Annex </w:t>
      </w:r>
      <w:r w:rsidR="2A636CE1" w:rsidRPr="003B3E04">
        <w:rPr>
          <w:rFonts w:ascii="Arial" w:eastAsia="MS PGothic" w:hAnsi="Arial" w:cs="Arial"/>
          <w:b/>
          <w:bCs/>
          <w:color w:val="181818"/>
          <w:lang w:val="fr-FR"/>
        </w:rPr>
        <w:t xml:space="preserve">– </w:t>
      </w:r>
      <w:r w:rsidR="002F58FB" w:rsidRPr="003B3E04">
        <w:rPr>
          <w:rFonts w:ascii="Arial" w:eastAsia="MS PGothic" w:hAnsi="Arial" w:cs="Arial"/>
          <w:b/>
          <w:bCs/>
          <w:color w:val="181818"/>
          <w:lang w:val="fr-FR"/>
        </w:rPr>
        <w:t>Question 20</w:t>
      </w:r>
      <w:r w:rsidR="00394809" w:rsidRPr="003B3E04">
        <w:rPr>
          <w:rFonts w:ascii="Arial" w:eastAsia="MS PGothic" w:hAnsi="Arial" w:cs="Arial"/>
          <w:b/>
          <w:bCs/>
          <w:color w:val="181818"/>
          <w:lang w:val="fr-FR"/>
        </w:rPr>
        <w:t>.</w:t>
      </w:r>
      <w:r w:rsidR="002D58CD" w:rsidRPr="003B3E04">
        <w:rPr>
          <w:rFonts w:ascii="Arial" w:eastAsia="MS PGothic" w:hAnsi="Arial" w:cs="Arial"/>
          <w:b/>
          <w:bCs/>
          <w:color w:val="181818"/>
          <w:lang w:val="fr-FR"/>
        </w:rPr>
        <w:t xml:space="preserve"> </w:t>
      </w:r>
      <w:r w:rsidR="00394809" w:rsidRPr="003B3E04">
        <w:rPr>
          <w:rFonts w:ascii="Arial" w:eastAsia="MS PGothic" w:hAnsi="Arial" w:cs="Arial"/>
          <w:b/>
          <w:bCs/>
          <w:color w:val="181818"/>
          <w:lang w:val="fr-FR"/>
        </w:rPr>
        <w:t>T</w:t>
      </w:r>
      <w:r w:rsidR="002D58CD" w:rsidRPr="003B3E04">
        <w:rPr>
          <w:rFonts w:ascii="Arial" w:eastAsia="MS PGothic" w:hAnsi="Arial" w:cs="Arial"/>
          <w:b/>
          <w:bCs/>
          <w:color w:val="181818"/>
          <w:lang w:val="fr-FR"/>
        </w:rPr>
        <w:t xml:space="preserve">able on </w:t>
      </w:r>
      <w:proofErr w:type="spellStart"/>
      <w:r w:rsidR="0048151A" w:rsidRPr="003B3E04">
        <w:rPr>
          <w:rFonts w:ascii="Arial" w:eastAsia="MS PGothic" w:hAnsi="Arial" w:cs="Arial"/>
          <w:b/>
          <w:bCs/>
          <w:color w:val="181818"/>
          <w:lang w:val="fr-FR"/>
        </w:rPr>
        <w:t>eligible</w:t>
      </w:r>
      <w:proofErr w:type="spellEnd"/>
      <w:r w:rsidR="0048151A" w:rsidRPr="003B3E04">
        <w:rPr>
          <w:rFonts w:ascii="Arial" w:eastAsia="MS PGothic" w:hAnsi="Arial" w:cs="Arial"/>
          <w:b/>
          <w:bCs/>
          <w:color w:val="181818"/>
          <w:lang w:val="fr-FR"/>
        </w:rPr>
        <w:t xml:space="preserve"> assets </w:t>
      </w:r>
      <w:r w:rsidR="002F58FB" w:rsidRPr="003B3E04">
        <w:rPr>
          <w:rFonts w:ascii="Arial" w:eastAsia="MS PGothic" w:hAnsi="Arial" w:cs="Arial"/>
          <w:b/>
          <w:bCs/>
          <w:color w:val="181818"/>
          <w:lang w:val="fr-FR"/>
        </w:rPr>
        <w:t>UCITS EAD</w:t>
      </w:r>
      <w:r w:rsidR="53D130EB" w:rsidRPr="003B3E04">
        <w:rPr>
          <w:rFonts w:ascii="Arial" w:eastAsia="MS PGothic" w:hAnsi="Arial" w:cs="Arial"/>
          <w:b/>
          <w:bCs/>
          <w:color w:val="181818"/>
          <w:lang w:val="fr-FR"/>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taking into account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1"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0" w:type="auto"/>
        <w:tblLook w:val="04A0" w:firstRow="1" w:lastRow="0" w:firstColumn="1" w:lastColumn="0" w:noHBand="0" w:noVBand="1"/>
      </w:tblPr>
      <w:tblGrid>
        <w:gridCol w:w="1649"/>
        <w:gridCol w:w="3007"/>
        <w:gridCol w:w="2697"/>
        <w:gridCol w:w="1879"/>
        <w:gridCol w:w="2396"/>
        <w:gridCol w:w="2320"/>
      </w:tblGrid>
      <w:tr w:rsidR="00B33432" w:rsidRPr="006F623D" w14:paraId="42644C63" w14:textId="77777777" w:rsidTr="008128D7">
        <w:trPr>
          <w:trHeight w:val="300"/>
        </w:trPr>
        <w:tc>
          <w:tcPr>
            <w:tcW w:w="0" w:type="auto"/>
          </w:tcPr>
          <w:p w14:paraId="0268D242" w14:textId="77777777" w:rsidR="00B33432" w:rsidRPr="006F623D" w:rsidRDefault="00B33432" w:rsidP="5DC321F0">
            <w:pPr>
              <w:spacing w:after="250" w:line="276" w:lineRule="auto"/>
              <w:jc w:val="center"/>
              <w:rPr>
                <w:rFonts w:ascii="Arial" w:eastAsia="Arial" w:hAnsi="Arial" w:cs="Arial"/>
                <w:b/>
                <w:bCs/>
                <w:color w:val="181818"/>
              </w:rPr>
            </w:pPr>
            <w:r w:rsidRPr="006F623D">
              <w:rPr>
                <w:rFonts w:ascii="Arial" w:eastAsia="Arial" w:hAnsi="Arial" w:cs="Arial"/>
                <w:b/>
                <w:bCs/>
                <w:color w:val="181818"/>
              </w:rPr>
              <w:t>Asset class</w:t>
            </w:r>
            <w:r w:rsidRPr="006F623D">
              <w:rPr>
                <w:rFonts w:ascii="Arial" w:eastAsia="Arial" w:hAnsi="Arial" w:cs="Arial"/>
                <w:b/>
                <w:bCs/>
                <w:color w:val="181818"/>
                <w:vertAlign w:val="superscript"/>
              </w:rPr>
              <w:footnoteReference w:id="2"/>
            </w:r>
          </w:p>
        </w:tc>
        <w:tc>
          <w:tcPr>
            <w:tcW w:w="0" w:type="auto"/>
          </w:tcPr>
          <w:p w14:paraId="60F87FED" w14:textId="77777777" w:rsidR="00B33432" w:rsidRPr="006F623D" w:rsidRDefault="00B33432" w:rsidP="5DC321F0">
            <w:pPr>
              <w:spacing w:after="250" w:line="276" w:lineRule="auto"/>
              <w:jc w:val="center"/>
              <w:rPr>
                <w:rFonts w:ascii="Arial" w:eastAsia="Arial" w:hAnsi="Arial" w:cs="Arial"/>
                <w:b/>
                <w:bCs/>
                <w:color w:val="181818"/>
              </w:rPr>
            </w:pPr>
            <w:r w:rsidRPr="006F623D">
              <w:rPr>
                <w:rFonts w:ascii="Arial" w:eastAsia="Arial" w:hAnsi="Arial" w:cs="Arial"/>
                <w:b/>
                <w:bCs/>
                <w:color w:val="181818"/>
              </w:rPr>
              <w:t>Merits of allowing direct UCITS exposures</w:t>
            </w:r>
          </w:p>
        </w:tc>
        <w:tc>
          <w:tcPr>
            <w:tcW w:w="0" w:type="auto"/>
          </w:tcPr>
          <w:p w14:paraId="49FEA0C2" w14:textId="77777777" w:rsidR="00B33432" w:rsidRPr="006F623D" w:rsidRDefault="00B33432" w:rsidP="5DC321F0">
            <w:pPr>
              <w:spacing w:after="250" w:line="276" w:lineRule="auto"/>
              <w:jc w:val="center"/>
              <w:rPr>
                <w:rFonts w:ascii="Arial" w:eastAsia="Arial" w:hAnsi="Arial" w:cs="Arial"/>
                <w:b/>
                <w:bCs/>
                <w:color w:val="181818"/>
              </w:rPr>
            </w:pPr>
            <w:r w:rsidRPr="006F623D">
              <w:rPr>
                <w:rFonts w:ascii="Arial" w:eastAsia="Arial" w:hAnsi="Arial" w:cs="Arial"/>
                <w:b/>
                <w:bCs/>
                <w:color w:val="181818"/>
              </w:rPr>
              <w:t xml:space="preserve">Merits of allowing </w:t>
            </w:r>
            <w:r w:rsidRPr="006F623D">
              <w:rPr>
                <w:rFonts w:ascii="Arial" w:eastAsia="Arial" w:hAnsi="Arial" w:cs="Arial"/>
                <w:b/>
                <w:bCs/>
                <w:i/>
                <w:iCs/>
                <w:color w:val="181818"/>
              </w:rPr>
              <w:t>indirect</w:t>
            </w:r>
            <w:r w:rsidRPr="006F623D">
              <w:rPr>
                <w:rFonts w:ascii="Arial" w:eastAsia="Arial" w:hAnsi="Arial" w:cs="Arial"/>
                <w:b/>
                <w:bCs/>
                <w:color w:val="181818"/>
              </w:rPr>
              <w:t xml:space="preserve"> UCITS exposures</w:t>
            </w:r>
            <w:r w:rsidRPr="006F623D">
              <w:rPr>
                <w:rFonts w:ascii="Arial" w:eastAsia="Arial" w:hAnsi="Arial" w:cs="Arial"/>
                <w:b/>
                <w:bCs/>
                <w:color w:val="181818"/>
                <w:vertAlign w:val="superscript"/>
              </w:rPr>
              <w:footnoteReference w:id="3"/>
            </w:r>
          </w:p>
        </w:tc>
        <w:tc>
          <w:tcPr>
            <w:tcW w:w="0" w:type="auto"/>
          </w:tcPr>
          <w:p w14:paraId="5668F975" w14:textId="77777777" w:rsidR="00B33432" w:rsidRPr="006F623D" w:rsidRDefault="00B33432" w:rsidP="5DC321F0">
            <w:pPr>
              <w:spacing w:after="250" w:line="276" w:lineRule="auto"/>
              <w:jc w:val="center"/>
              <w:rPr>
                <w:rFonts w:ascii="Arial" w:eastAsia="Arial" w:hAnsi="Arial" w:cs="Arial"/>
                <w:b/>
                <w:bCs/>
                <w:color w:val="181818"/>
              </w:rPr>
            </w:pPr>
            <w:r w:rsidRPr="006F623D">
              <w:rPr>
                <w:rFonts w:ascii="Arial" w:eastAsia="Arial" w:hAnsi="Arial" w:cs="Arial"/>
                <w:b/>
                <w:bCs/>
                <w:color w:val="181818"/>
              </w:rPr>
              <w:t>Extent/amount of existing UCITS exposures</w:t>
            </w:r>
            <w:r w:rsidRPr="006F623D">
              <w:rPr>
                <w:rFonts w:ascii="Arial" w:eastAsia="Arial" w:hAnsi="Arial" w:cs="Arial"/>
                <w:b/>
                <w:bCs/>
                <w:color w:val="181818"/>
                <w:vertAlign w:val="superscript"/>
              </w:rPr>
              <w:footnoteReference w:id="4"/>
            </w:r>
            <w:r w:rsidRPr="006F623D">
              <w:rPr>
                <w:rFonts w:ascii="Arial" w:eastAsia="Arial" w:hAnsi="Arial" w:cs="Arial"/>
                <w:b/>
                <w:bCs/>
                <w:color w:val="181818"/>
              </w:rPr>
              <w:t xml:space="preserve"> </w:t>
            </w:r>
          </w:p>
        </w:tc>
        <w:tc>
          <w:tcPr>
            <w:tcW w:w="0" w:type="auto"/>
          </w:tcPr>
          <w:p w14:paraId="50147042" w14:textId="77777777" w:rsidR="00B33432" w:rsidRPr="006F623D" w:rsidRDefault="00B33432" w:rsidP="5DC321F0">
            <w:pPr>
              <w:spacing w:after="250" w:line="276" w:lineRule="auto"/>
              <w:jc w:val="center"/>
              <w:rPr>
                <w:rFonts w:ascii="Arial" w:eastAsia="Arial" w:hAnsi="Arial" w:cs="Arial"/>
                <w:b/>
                <w:bCs/>
                <w:color w:val="181818"/>
              </w:rPr>
            </w:pPr>
            <w:r w:rsidRPr="006F623D">
              <w:rPr>
                <w:rFonts w:ascii="Arial" w:eastAsia="Arial" w:hAnsi="Arial" w:cs="Arial"/>
                <w:b/>
                <w:bCs/>
                <w:color w:val="181818"/>
              </w:rPr>
              <w:t>Additional comments</w:t>
            </w:r>
            <w:r w:rsidRPr="006F623D">
              <w:rPr>
                <w:rFonts w:ascii="Arial" w:eastAsia="Arial" w:hAnsi="Arial" w:cs="Arial"/>
                <w:b/>
                <w:bCs/>
                <w:vertAlign w:val="superscript"/>
              </w:rPr>
              <w:footnoteReference w:id="5"/>
            </w:r>
          </w:p>
        </w:tc>
        <w:tc>
          <w:tcPr>
            <w:tcW w:w="0" w:type="auto"/>
          </w:tcPr>
          <w:p w14:paraId="4E4EC997" w14:textId="605ED199" w:rsidR="08A24C08" w:rsidRPr="006F623D" w:rsidRDefault="08A24C08" w:rsidP="08A24C08">
            <w:pPr>
              <w:spacing w:line="276" w:lineRule="auto"/>
              <w:jc w:val="center"/>
              <w:rPr>
                <w:rFonts w:ascii="Arial" w:eastAsia="Arial" w:hAnsi="Arial" w:cs="Arial"/>
                <w:b/>
                <w:bCs/>
                <w:color w:val="181818"/>
              </w:rPr>
            </w:pPr>
          </w:p>
        </w:tc>
      </w:tr>
      <w:tr w:rsidR="00B33432" w:rsidRPr="006F623D" w14:paraId="52801425" w14:textId="77777777" w:rsidTr="008128D7">
        <w:trPr>
          <w:trHeight w:val="300"/>
        </w:trPr>
        <w:tc>
          <w:tcPr>
            <w:tcW w:w="0" w:type="auto"/>
          </w:tcPr>
          <w:p w14:paraId="06FDDDF6" w14:textId="77777777" w:rsidR="00B33432" w:rsidRPr="006F623D" w:rsidRDefault="00B33432" w:rsidP="00CA24F6">
            <w:pPr>
              <w:spacing w:after="250" w:line="276" w:lineRule="auto"/>
              <w:rPr>
                <w:rFonts w:ascii="Arial" w:eastAsia="Arial" w:hAnsi="Arial" w:cs="Arial"/>
                <w:color w:val="181818"/>
              </w:rPr>
            </w:pPr>
            <w:r w:rsidRPr="006F623D">
              <w:rPr>
                <w:rFonts w:ascii="Arial" w:eastAsia="Arial" w:hAnsi="Arial" w:cs="Arial"/>
              </w:rPr>
              <w:t>1. Loans</w:t>
            </w:r>
            <w:r w:rsidRPr="006F623D">
              <w:rPr>
                <w:rFonts w:ascii="Arial" w:eastAsia="Arial" w:hAnsi="Arial" w:cs="Arial"/>
                <w:vertAlign w:val="superscript"/>
              </w:rPr>
              <w:footnoteReference w:id="6"/>
            </w:r>
          </w:p>
        </w:tc>
        <w:tc>
          <w:tcPr>
            <w:tcW w:w="0" w:type="auto"/>
          </w:tcPr>
          <w:p w14:paraId="42072F0C" w14:textId="2FFB72DA" w:rsidR="00B33432" w:rsidRPr="006F623D" w:rsidRDefault="68A4B256" w:rsidP="00CA24F6">
            <w:pPr>
              <w:spacing w:after="250" w:line="276" w:lineRule="auto"/>
              <w:rPr>
                <w:rFonts w:ascii="Arial" w:eastAsia="Arial" w:hAnsi="Arial" w:cs="Arial"/>
                <w:color w:val="181818"/>
              </w:rPr>
            </w:pPr>
            <w:r w:rsidRPr="006F623D">
              <w:rPr>
                <w:rFonts w:ascii="Arial" w:eastAsia="Arial" w:hAnsi="Arial" w:cs="Arial"/>
                <w:color w:val="181818"/>
              </w:rPr>
              <w:t xml:space="preserve">Diversification of different types of credit exposure, e.g. senior secured. </w:t>
            </w:r>
          </w:p>
          <w:p w14:paraId="672A6659" w14:textId="1A4180A3" w:rsidR="00B33432" w:rsidRPr="006F623D" w:rsidRDefault="68A4B256" w:rsidP="00CA24F6">
            <w:pPr>
              <w:spacing w:after="250" w:line="276" w:lineRule="auto"/>
              <w:rPr>
                <w:rFonts w:ascii="Arial" w:hAnsi="Arial" w:cs="Arial"/>
              </w:rPr>
            </w:pPr>
            <w:r w:rsidRPr="006F623D">
              <w:rPr>
                <w:rFonts w:ascii="Arial" w:eastAsia="Arial" w:hAnsi="Arial" w:cs="Arial"/>
                <w:color w:val="181818"/>
              </w:rPr>
              <w:lastRenderedPageBreak/>
              <w:t>Investing in large floating rate market (1,400 bn USD-market, 300 bn EUR-market)</w:t>
            </w:r>
          </w:p>
        </w:tc>
        <w:tc>
          <w:tcPr>
            <w:tcW w:w="0" w:type="auto"/>
          </w:tcPr>
          <w:p w14:paraId="0A0F5938" w14:textId="77774CE2" w:rsidR="43F138BF" w:rsidRPr="006F623D" w:rsidRDefault="43F138BF" w:rsidP="00CA24F6">
            <w:pPr>
              <w:rPr>
                <w:rFonts w:ascii="Arial" w:eastAsia="Arial" w:hAnsi="Arial" w:cs="Arial"/>
              </w:rPr>
            </w:pPr>
            <w:r w:rsidRPr="006F623D">
              <w:rPr>
                <w:rFonts w:ascii="Arial" w:eastAsia="Arial" w:hAnsi="Arial" w:cs="Arial"/>
              </w:rPr>
              <w:lastRenderedPageBreak/>
              <w:t xml:space="preserve">ABS, e.g. CLOs </w:t>
            </w:r>
          </w:p>
          <w:p w14:paraId="3C92EAB3" w14:textId="5BEBC851" w:rsidR="5DC321F0" w:rsidRPr="006F623D" w:rsidRDefault="5DC321F0" w:rsidP="00CA24F6">
            <w:pPr>
              <w:rPr>
                <w:rFonts w:ascii="Arial" w:eastAsia="Arial" w:hAnsi="Arial" w:cs="Arial"/>
              </w:rPr>
            </w:pPr>
          </w:p>
          <w:p w14:paraId="42DE4F86" w14:textId="2DBD234C" w:rsidR="00D217CD" w:rsidRDefault="43F138BF" w:rsidP="00CA24F6">
            <w:pPr>
              <w:rPr>
                <w:rFonts w:ascii="Arial" w:eastAsia="Arial" w:hAnsi="Arial" w:cs="Arial"/>
              </w:rPr>
            </w:pPr>
            <w:r w:rsidRPr="006F623D">
              <w:rPr>
                <w:rFonts w:ascii="Arial" w:eastAsia="Arial" w:hAnsi="Arial" w:cs="Arial"/>
              </w:rPr>
              <w:t xml:space="preserve">Regulatory Support: </w:t>
            </w:r>
          </w:p>
          <w:p w14:paraId="0BE3265A" w14:textId="035A8649" w:rsidR="43F138BF" w:rsidRPr="006F623D" w:rsidRDefault="43F138BF" w:rsidP="00CA24F6">
            <w:pPr>
              <w:rPr>
                <w:rFonts w:ascii="Arial" w:eastAsia="Arial" w:hAnsi="Arial" w:cs="Arial"/>
              </w:rPr>
            </w:pPr>
            <w:r w:rsidRPr="006F623D">
              <w:rPr>
                <w:rFonts w:ascii="Arial" w:eastAsia="Arial" w:hAnsi="Arial" w:cs="Arial"/>
              </w:rPr>
              <w:t xml:space="preserve">There is a high regulatory protection standard: AIFMD-Level 2 and Regulation (EU) </w:t>
            </w:r>
            <w:r w:rsidRPr="006F623D">
              <w:rPr>
                <w:rFonts w:ascii="Arial" w:eastAsia="Arial" w:hAnsi="Arial" w:cs="Arial"/>
              </w:rPr>
              <w:lastRenderedPageBreak/>
              <w:t xml:space="preserve">2017/2402) contain a 5% risk retention requirement and risk transparency requirements, </w:t>
            </w:r>
          </w:p>
          <w:p w14:paraId="6195B791" w14:textId="4F8D3C54" w:rsidR="5DC321F0" w:rsidRPr="006F623D" w:rsidRDefault="5DC321F0" w:rsidP="00CA24F6">
            <w:pPr>
              <w:rPr>
                <w:rFonts w:ascii="Arial" w:eastAsia="Arial" w:hAnsi="Arial" w:cs="Arial"/>
              </w:rPr>
            </w:pPr>
          </w:p>
          <w:p w14:paraId="7237525E" w14:textId="4C0BEDE7" w:rsidR="00D217CD" w:rsidRDefault="43F138BF" w:rsidP="00CA24F6">
            <w:pPr>
              <w:spacing w:line="259" w:lineRule="auto"/>
              <w:rPr>
                <w:rFonts w:ascii="Arial" w:eastAsia="Arial" w:hAnsi="Arial" w:cs="Arial"/>
              </w:rPr>
            </w:pPr>
            <w:r w:rsidRPr="006F623D">
              <w:rPr>
                <w:rFonts w:ascii="Arial" w:eastAsia="Arial" w:hAnsi="Arial" w:cs="Arial"/>
              </w:rPr>
              <w:t xml:space="preserve">Diversification: </w:t>
            </w:r>
          </w:p>
          <w:p w14:paraId="186B4168" w14:textId="2191D223" w:rsidR="43F138BF" w:rsidRPr="006F623D" w:rsidRDefault="43F138BF" w:rsidP="00CA24F6">
            <w:pPr>
              <w:spacing w:line="259" w:lineRule="auto"/>
              <w:rPr>
                <w:rFonts w:ascii="Arial" w:eastAsia="Arial" w:hAnsi="Arial" w:cs="Arial"/>
              </w:rPr>
            </w:pPr>
            <w:r w:rsidRPr="006F623D">
              <w:rPr>
                <w:rFonts w:ascii="Arial" w:eastAsia="Arial" w:hAnsi="Arial" w:cs="Arial"/>
              </w:rPr>
              <w:t xml:space="preserve">CLOs invest in a broad range of loans across various industries and geographies. Adding CLOs to a fund's investment universe expands its exposure to non-traditional </w:t>
            </w:r>
            <w:r w:rsidRPr="006F623D">
              <w:rPr>
                <w:rFonts w:ascii="Arial" w:eastAsiaTheme="minorEastAsia" w:hAnsi="Arial" w:cs="Arial"/>
              </w:rPr>
              <w:t xml:space="preserve">credits, sectors, and regions, helping to reduce concentration risk and potentially enhance risk-adjusted returns. </w:t>
            </w:r>
          </w:p>
          <w:p w14:paraId="33C760D7" w14:textId="7F59357E" w:rsidR="5DC321F0" w:rsidRPr="006F623D" w:rsidRDefault="5DC321F0" w:rsidP="00CA24F6">
            <w:pPr>
              <w:spacing w:line="259" w:lineRule="auto"/>
              <w:rPr>
                <w:rFonts w:ascii="Arial" w:eastAsia="Arial" w:hAnsi="Arial" w:cs="Arial"/>
              </w:rPr>
            </w:pPr>
          </w:p>
          <w:p w14:paraId="55CA02B4" w14:textId="6A372CE4" w:rsidR="00D217CD" w:rsidRDefault="43F138BF" w:rsidP="00CA24F6">
            <w:pPr>
              <w:spacing w:line="259" w:lineRule="auto"/>
              <w:rPr>
                <w:rFonts w:ascii="Arial" w:eastAsia="Arial" w:hAnsi="Arial" w:cs="Arial"/>
              </w:rPr>
            </w:pPr>
            <w:proofErr w:type="spellStart"/>
            <w:r w:rsidRPr="006F623D">
              <w:rPr>
                <w:rFonts w:ascii="Arial" w:eastAsia="Arial" w:hAnsi="Arial" w:cs="Arial"/>
              </w:rPr>
              <w:t>Tranching</w:t>
            </w:r>
            <w:proofErr w:type="spellEnd"/>
            <w:r w:rsidRPr="006F623D">
              <w:rPr>
                <w:rFonts w:ascii="Arial" w:eastAsia="Arial" w:hAnsi="Arial" w:cs="Arial"/>
              </w:rPr>
              <w:t xml:space="preserve">: </w:t>
            </w:r>
          </w:p>
          <w:p w14:paraId="590D43F9" w14:textId="70ED2C51" w:rsidR="43F138BF" w:rsidRPr="006F623D" w:rsidRDefault="43F138BF" w:rsidP="00CA24F6">
            <w:pPr>
              <w:spacing w:line="259" w:lineRule="auto"/>
              <w:rPr>
                <w:rFonts w:ascii="Arial" w:eastAsia="Arial" w:hAnsi="Arial" w:cs="Arial"/>
              </w:rPr>
            </w:pPr>
            <w:r w:rsidRPr="006F623D">
              <w:rPr>
                <w:rFonts w:ascii="Arial" w:eastAsia="Arial" w:hAnsi="Arial" w:cs="Arial"/>
              </w:rPr>
              <w:t xml:space="preserve">CLOs are structured with different tranches of varying risk profiles. These tranches allow investors to choose their preferred level of risk exposure. UCITS can invest in tranches that align with their risk appetite, allowing for better risk management and the potential to optimize the </w:t>
            </w:r>
            <w:r w:rsidRPr="006F623D">
              <w:rPr>
                <w:rFonts w:ascii="Arial" w:eastAsia="Arial" w:hAnsi="Arial" w:cs="Arial"/>
              </w:rPr>
              <w:lastRenderedPageBreak/>
              <w:t xml:space="preserve">risk-reward tradeoff within the portfolio. </w:t>
            </w:r>
          </w:p>
          <w:p w14:paraId="1ADC2AD3" w14:textId="2AD052D4" w:rsidR="08A24C08" w:rsidRPr="006F623D" w:rsidRDefault="08A24C08" w:rsidP="00CA24F6">
            <w:pPr>
              <w:spacing w:line="259" w:lineRule="auto"/>
              <w:rPr>
                <w:rFonts w:ascii="Arial" w:eastAsia="Arial" w:hAnsi="Arial" w:cs="Arial"/>
              </w:rPr>
            </w:pPr>
          </w:p>
          <w:p w14:paraId="5E797BE8" w14:textId="702DC2E3" w:rsidR="00D217CD" w:rsidRDefault="43F138BF" w:rsidP="00CA24F6">
            <w:pPr>
              <w:spacing w:line="259" w:lineRule="auto"/>
              <w:rPr>
                <w:rFonts w:ascii="Arial" w:eastAsia="Arial" w:hAnsi="Arial" w:cs="Arial"/>
              </w:rPr>
            </w:pPr>
            <w:r w:rsidRPr="006F623D">
              <w:rPr>
                <w:rFonts w:ascii="Arial" w:eastAsia="Arial" w:hAnsi="Arial" w:cs="Arial"/>
              </w:rPr>
              <w:t xml:space="preserve">Enhanced Liquidity: </w:t>
            </w:r>
          </w:p>
          <w:p w14:paraId="0E22C2D6" w14:textId="7EBE1D5D" w:rsidR="43F138BF" w:rsidRPr="006F623D" w:rsidRDefault="43F138BF" w:rsidP="00CA24F6">
            <w:pPr>
              <w:spacing w:line="259" w:lineRule="auto"/>
              <w:rPr>
                <w:rFonts w:ascii="Arial" w:eastAsia="Arial" w:hAnsi="Arial" w:cs="Arial"/>
              </w:rPr>
            </w:pPr>
            <w:r w:rsidRPr="006F623D">
              <w:rPr>
                <w:rFonts w:ascii="Arial" w:eastAsia="Arial" w:hAnsi="Arial" w:cs="Arial"/>
              </w:rPr>
              <w:t>CLOs can offer a degree of liquidity compared to the underlying loans they hold.</w:t>
            </w:r>
          </w:p>
          <w:p w14:paraId="78FE5600" w14:textId="2BF95B02" w:rsidR="43F138BF" w:rsidRPr="006F623D" w:rsidRDefault="43F138BF" w:rsidP="00CA24F6">
            <w:pPr>
              <w:spacing w:line="259" w:lineRule="auto"/>
              <w:rPr>
                <w:rFonts w:ascii="Arial" w:eastAsia="Arial" w:hAnsi="Arial" w:cs="Arial"/>
              </w:rPr>
            </w:pPr>
          </w:p>
          <w:p w14:paraId="006D0FCA" w14:textId="703A4E9E" w:rsidR="00D217CD" w:rsidRDefault="745EBA29" w:rsidP="00CA24F6">
            <w:pPr>
              <w:widowControl w:val="0"/>
              <w:spacing w:line="259" w:lineRule="auto"/>
              <w:rPr>
                <w:rFonts w:ascii="Arial" w:eastAsia="Arial" w:hAnsi="Arial" w:cs="Arial"/>
              </w:rPr>
            </w:pPr>
            <w:r w:rsidRPr="006F623D">
              <w:rPr>
                <w:rFonts w:ascii="Arial" w:eastAsia="Arial" w:hAnsi="Arial" w:cs="Arial"/>
              </w:rPr>
              <w:t>Past Performance:</w:t>
            </w:r>
            <w:r w:rsidR="00BD7569">
              <w:rPr>
                <w:rFonts w:ascii="Arial" w:eastAsia="Arial" w:hAnsi="Arial" w:cs="Arial"/>
              </w:rPr>
              <w:t xml:space="preserve"> </w:t>
            </w:r>
          </w:p>
          <w:p w14:paraId="74EA603A" w14:textId="06C64C62" w:rsidR="43F138BF" w:rsidRPr="006F623D" w:rsidRDefault="745EBA29" w:rsidP="00CA24F6">
            <w:pPr>
              <w:widowControl w:val="0"/>
              <w:spacing w:line="259" w:lineRule="auto"/>
              <w:rPr>
                <w:rFonts w:ascii="Arial" w:eastAsia="Arial" w:hAnsi="Arial" w:cs="Arial"/>
              </w:rPr>
            </w:pPr>
            <w:r w:rsidRPr="006F623D">
              <w:rPr>
                <w:rFonts w:ascii="Arial" w:eastAsia="Arial" w:hAnsi="Arial" w:cs="Arial"/>
              </w:rPr>
              <w:t xml:space="preserve">ABS/CLO have a much lower default rates than corporate bonds with comparable ratings over the last 25 years. Reasons are additional credit support through </w:t>
            </w:r>
            <w:proofErr w:type="spellStart"/>
            <w:r w:rsidRPr="006F623D">
              <w:rPr>
                <w:rFonts w:ascii="Arial" w:eastAsia="Arial" w:hAnsi="Arial" w:cs="Arial"/>
              </w:rPr>
              <w:t>tranching</w:t>
            </w:r>
            <w:proofErr w:type="spellEnd"/>
            <w:r w:rsidRPr="006F623D">
              <w:rPr>
                <w:rFonts w:ascii="Arial" w:eastAsia="Arial" w:hAnsi="Arial" w:cs="Arial"/>
              </w:rPr>
              <w:t xml:space="preserve"> and secured nature of loans.</w:t>
            </w:r>
          </w:p>
          <w:p w14:paraId="239D9EE1" w14:textId="18314D89" w:rsidR="43F138BF" w:rsidRPr="006F623D" w:rsidRDefault="43F138BF" w:rsidP="00CA24F6">
            <w:pPr>
              <w:widowControl w:val="0"/>
              <w:spacing w:line="259" w:lineRule="auto"/>
              <w:rPr>
                <w:rFonts w:ascii="Arial" w:eastAsia="Arial" w:hAnsi="Arial" w:cs="Arial"/>
              </w:rPr>
            </w:pPr>
          </w:p>
          <w:p w14:paraId="6A972738" w14:textId="47FE4A48" w:rsidR="43F138BF" w:rsidRPr="006F623D" w:rsidRDefault="745EBA29" w:rsidP="003223FA">
            <w:pPr>
              <w:widowControl w:val="0"/>
              <w:spacing w:line="259" w:lineRule="auto"/>
              <w:rPr>
                <w:rFonts w:ascii="Arial" w:eastAsia="Arial" w:hAnsi="Arial" w:cs="Arial"/>
              </w:rPr>
            </w:pPr>
            <w:r w:rsidRPr="006F623D">
              <w:rPr>
                <w:rFonts w:ascii="Arial" w:eastAsia="Arial" w:hAnsi="Arial" w:cs="Arial"/>
              </w:rPr>
              <w:t>Merits are also valid for funds, derivatives and indices investing in CLO/ABS</w:t>
            </w:r>
          </w:p>
        </w:tc>
        <w:tc>
          <w:tcPr>
            <w:tcW w:w="0" w:type="auto"/>
          </w:tcPr>
          <w:p w14:paraId="5DAB6C7B" w14:textId="58BE0F49" w:rsidR="00B33432" w:rsidRPr="006F623D" w:rsidRDefault="464C2084" w:rsidP="00CA24F6">
            <w:pPr>
              <w:spacing w:after="250" w:line="276" w:lineRule="auto"/>
              <w:rPr>
                <w:rFonts w:ascii="Arial" w:eastAsia="Arial" w:hAnsi="Arial" w:cs="Arial"/>
                <w:color w:val="181818"/>
              </w:rPr>
            </w:pPr>
            <w:r w:rsidRPr="2B971BD2">
              <w:rPr>
                <w:rFonts w:ascii="Arial" w:eastAsia="Arial" w:hAnsi="Arial" w:cs="Arial"/>
                <w:color w:val="181818"/>
              </w:rPr>
              <w:lastRenderedPageBreak/>
              <w:t xml:space="preserve">Direct and indirect exposure of CLO in July 2024: </w:t>
            </w:r>
            <w:r w:rsidR="227AF455" w:rsidRPr="2B971BD2">
              <w:rPr>
                <w:rFonts w:ascii="Arial" w:eastAsia="Arial" w:hAnsi="Arial" w:cs="Arial"/>
                <w:color w:val="181818"/>
              </w:rPr>
              <w:t xml:space="preserve">about </w:t>
            </w:r>
            <w:r w:rsidR="379C5366" w:rsidRPr="2B971BD2">
              <w:rPr>
                <w:rFonts w:ascii="Arial" w:eastAsia="Arial" w:hAnsi="Arial" w:cs="Arial"/>
                <w:color w:val="181818"/>
              </w:rPr>
              <w:t xml:space="preserve">1.3 billion Euro </w:t>
            </w:r>
          </w:p>
        </w:tc>
        <w:tc>
          <w:tcPr>
            <w:tcW w:w="0" w:type="auto"/>
          </w:tcPr>
          <w:p w14:paraId="02EB378F" w14:textId="25C8A95E" w:rsidR="00B33432" w:rsidRPr="006F623D" w:rsidRDefault="43F138BF" w:rsidP="00CA24F6">
            <w:pPr>
              <w:spacing w:after="250" w:line="276" w:lineRule="auto"/>
              <w:rPr>
                <w:rFonts w:ascii="Arial" w:eastAsia="Arial" w:hAnsi="Arial" w:cs="Arial"/>
                <w:color w:val="181818"/>
              </w:rPr>
            </w:pPr>
            <w:r w:rsidRPr="006F623D">
              <w:rPr>
                <w:rFonts w:ascii="Arial" w:eastAsia="Arial" w:hAnsi="Arial" w:cs="Arial"/>
                <w:color w:val="181818"/>
              </w:rPr>
              <w:t xml:space="preserve">Some forms of ABS, e.g. CLOs, are liquid indirect instruments to invest into loans. We have several products covering that area </w:t>
            </w:r>
            <w:r w:rsidRPr="006F623D">
              <w:rPr>
                <w:rFonts w:ascii="Arial" w:eastAsia="Arial" w:hAnsi="Arial" w:cs="Arial"/>
                <w:color w:val="181818"/>
              </w:rPr>
              <w:lastRenderedPageBreak/>
              <w:t>including a complete professional team for research and portfolio constructions as well as management.</w:t>
            </w:r>
          </w:p>
        </w:tc>
        <w:tc>
          <w:tcPr>
            <w:tcW w:w="0" w:type="auto"/>
          </w:tcPr>
          <w:p w14:paraId="72AE63C3" w14:textId="3D9EC178" w:rsidR="08A24C08" w:rsidRPr="006F623D" w:rsidRDefault="08A24C08" w:rsidP="00CA24F6">
            <w:pPr>
              <w:spacing w:line="276" w:lineRule="auto"/>
              <w:rPr>
                <w:rFonts w:ascii="Arial" w:eastAsia="Arial" w:hAnsi="Arial" w:cs="Arial"/>
                <w:color w:val="181818"/>
              </w:rPr>
            </w:pPr>
          </w:p>
        </w:tc>
      </w:tr>
      <w:tr w:rsidR="00B33432" w:rsidRPr="006F623D" w14:paraId="131FC414" w14:textId="77777777" w:rsidTr="008128D7">
        <w:trPr>
          <w:trHeight w:val="4905"/>
        </w:trPr>
        <w:tc>
          <w:tcPr>
            <w:tcW w:w="0" w:type="auto"/>
          </w:tcPr>
          <w:p w14:paraId="55346258" w14:textId="77777777" w:rsidR="00B33432" w:rsidRPr="006F623D" w:rsidRDefault="00B33432" w:rsidP="00CA24F6">
            <w:pPr>
              <w:spacing w:after="250" w:line="276" w:lineRule="auto"/>
              <w:rPr>
                <w:rFonts w:ascii="Arial" w:eastAsia="Arial" w:hAnsi="Arial" w:cs="Arial"/>
              </w:rPr>
            </w:pPr>
            <w:r w:rsidRPr="006F623D">
              <w:rPr>
                <w:rFonts w:ascii="Arial" w:eastAsia="Arial" w:hAnsi="Arial" w:cs="Arial"/>
              </w:rPr>
              <w:lastRenderedPageBreak/>
              <w:t>2. Catastrophe bonds (‘Cat bonds’)</w:t>
            </w:r>
          </w:p>
        </w:tc>
        <w:tc>
          <w:tcPr>
            <w:tcW w:w="0" w:type="auto"/>
          </w:tcPr>
          <w:p w14:paraId="6A05A809" w14:textId="0A57006C" w:rsidR="00B33432" w:rsidRPr="006F623D" w:rsidRDefault="19E29F01" w:rsidP="00CA24F6">
            <w:pPr>
              <w:spacing w:after="250" w:line="276" w:lineRule="auto"/>
              <w:rPr>
                <w:rFonts w:ascii="Arial" w:eastAsia="Arial" w:hAnsi="Arial" w:cs="Arial"/>
                <w:color w:val="181818"/>
              </w:rPr>
            </w:pPr>
            <w:r w:rsidRPr="2B971BD2">
              <w:rPr>
                <w:rFonts w:ascii="Arial" w:eastAsia="Arial" w:hAnsi="Arial" w:cs="Arial"/>
                <w:color w:val="181818"/>
              </w:rPr>
              <w:t>Natural disasters and the resulting damage are on the rise worldwide, leading to higher costs for traditional insurance solutions and creating insurance gaps. CAT bonds are an instrument that can address this problem. From an investor's perspective, CAT bonds offer a comparatively high return and at the same time diversification advantages, as the risks of CAT bonds have only a low correlation with traditional asset classes such as stocks or corporate bonds. In addition, ESG investment strategies can also be pursued using CAT bonds.</w:t>
            </w:r>
          </w:p>
        </w:tc>
        <w:tc>
          <w:tcPr>
            <w:tcW w:w="0" w:type="auto"/>
          </w:tcPr>
          <w:p w14:paraId="2DC3BC44" w14:textId="2457E3A8" w:rsidR="00B33432" w:rsidRPr="006F623D" w:rsidRDefault="19E29F01" w:rsidP="00CA24F6">
            <w:pPr>
              <w:spacing w:after="250" w:line="276" w:lineRule="auto"/>
              <w:rPr>
                <w:rFonts w:ascii="Arial" w:eastAsia="Arial" w:hAnsi="Arial" w:cs="Arial"/>
                <w:color w:val="181818"/>
              </w:rPr>
            </w:pPr>
            <w:r w:rsidRPr="006F623D">
              <w:rPr>
                <w:rFonts w:ascii="Arial" w:eastAsia="Arial" w:hAnsi="Arial" w:cs="Arial"/>
                <w:color w:val="181818"/>
              </w:rPr>
              <w:t>See left column</w:t>
            </w:r>
          </w:p>
          <w:p w14:paraId="5A39BBE3" w14:textId="5C66BBC4" w:rsidR="00B33432" w:rsidRPr="006F623D" w:rsidRDefault="00B33432" w:rsidP="00CA24F6">
            <w:pPr>
              <w:spacing w:after="250" w:line="276" w:lineRule="auto"/>
              <w:rPr>
                <w:rFonts w:ascii="Arial" w:eastAsia="Arial" w:hAnsi="Arial" w:cs="Arial"/>
                <w:color w:val="181818"/>
              </w:rPr>
            </w:pPr>
          </w:p>
        </w:tc>
        <w:tc>
          <w:tcPr>
            <w:tcW w:w="0" w:type="auto"/>
          </w:tcPr>
          <w:p w14:paraId="40B77FA6" w14:textId="59B56C61" w:rsidR="00B33432" w:rsidRPr="006F623D" w:rsidRDefault="19E29F01" w:rsidP="00CA24F6">
            <w:pPr>
              <w:spacing w:after="250" w:line="276" w:lineRule="auto"/>
              <w:rPr>
                <w:rFonts w:ascii="Arial" w:eastAsia="Arial" w:hAnsi="Arial" w:cs="Arial"/>
                <w:color w:val="181818"/>
              </w:rPr>
            </w:pPr>
            <w:r w:rsidRPr="006F623D">
              <w:rPr>
                <w:rFonts w:ascii="Arial" w:eastAsia="Arial" w:hAnsi="Arial" w:cs="Arial"/>
                <w:color w:val="181818"/>
              </w:rPr>
              <w:t>UI has no direct exposure</w:t>
            </w:r>
          </w:p>
          <w:p w14:paraId="41C8F396" w14:textId="75E3729F" w:rsidR="00B33432" w:rsidRPr="006F623D" w:rsidRDefault="00B33432" w:rsidP="00CA24F6">
            <w:pPr>
              <w:spacing w:after="250" w:line="276" w:lineRule="auto"/>
              <w:rPr>
                <w:rFonts w:ascii="Arial" w:eastAsia="Arial" w:hAnsi="Arial" w:cs="Arial"/>
                <w:color w:val="181818"/>
              </w:rPr>
            </w:pPr>
          </w:p>
        </w:tc>
        <w:tc>
          <w:tcPr>
            <w:tcW w:w="0" w:type="auto"/>
          </w:tcPr>
          <w:p w14:paraId="72A3D3EC" w14:textId="44A92B87" w:rsidR="00B33432" w:rsidRPr="006F623D" w:rsidRDefault="19E29F01" w:rsidP="00CA24F6">
            <w:pPr>
              <w:spacing w:after="250" w:line="276" w:lineRule="auto"/>
              <w:rPr>
                <w:rFonts w:ascii="Arial" w:eastAsia="Arial" w:hAnsi="Arial" w:cs="Arial"/>
                <w:color w:val="181818"/>
              </w:rPr>
            </w:pPr>
            <w:r w:rsidRPr="006F623D">
              <w:rPr>
                <w:rFonts w:ascii="Arial" w:eastAsia="Arial" w:hAnsi="Arial" w:cs="Arial"/>
                <w:color w:val="181818"/>
              </w:rPr>
              <w:t>In Germany UCITS are not allowed to invest in Cat bonds (No 15 FAQ Eligible Assets). In Luxembourg UCITS are allowed to invest in Cat bonds. In these countries exist Cat bonds-UCITS.</w:t>
            </w:r>
          </w:p>
        </w:tc>
        <w:tc>
          <w:tcPr>
            <w:tcW w:w="0" w:type="auto"/>
          </w:tcPr>
          <w:p w14:paraId="6034BD96" w14:textId="57FCA442" w:rsidR="08A24C08" w:rsidRPr="006F623D" w:rsidRDefault="08A24C08" w:rsidP="00CA24F6">
            <w:pPr>
              <w:spacing w:line="276" w:lineRule="auto"/>
              <w:rPr>
                <w:rFonts w:ascii="Arial" w:eastAsia="Arial" w:hAnsi="Arial" w:cs="Arial"/>
                <w:color w:val="181818"/>
              </w:rPr>
            </w:pPr>
          </w:p>
        </w:tc>
      </w:tr>
      <w:tr w:rsidR="00B33432" w:rsidRPr="006F623D" w14:paraId="756B6A0E" w14:textId="77777777" w:rsidTr="008128D7">
        <w:trPr>
          <w:trHeight w:val="300"/>
        </w:trPr>
        <w:tc>
          <w:tcPr>
            <w:tcW w:w="0" w:type="auto"/>
          </w:tcPr>
          <w:p w14:paraId="2C56CC88" w14:textId="77777777" w:rsidR="00B33432" w:rsidRPr="006F623D" w:rsidRDefault="00B33432" w:rsidP="00CA24F6">
            <w:pPr>
              <w:spacing w:after="250" w:line="276" w:lineRule="auto"/>
              <w:rPr>
                <w:rFonts w:ascii="Arial" w:eastAsia="Arial" w:hAnsi="Arial" w:cs="Arial"/>
                <w:color w:val="181818"/>
              </w:rPr>
            </w:pPr>
            <w:r w:rsidRPr="006F623D">
              <w:rPr>
                <w:rFonts w:ascii="Arial" w:eastAsia="Arial" w:hAnsi="Arial" w:cs="Arial"/>
              </w:rPr>
              <w:t>3. Contingent Convertible bonds (‘</w:t>
            </w:r>
            <w:proofErr w:type="spellStart"/>
            <w:r w:rsidRPr="006F623D">
              <w:rPr>
                <w:rFonts w:ascii="Arial" w:eastAsia="Arial" w:hAnsi="Arial" w:cs="Arial"/>
              </w:rPr>
              <w:t>CoCo</w:t>
            </w:r>
            <w:proofErr w:type="spellEnd"/>
            <w:r w:rsidRPr="006F623D">
              <w:rPr>
                <w:rFonts w:ascii="Arial" w:eastAsia="Arial" w:hAnsi="Arial" w:cs="Arial"/>
              </w:rPr>
              <w:t xml:space="preserve"> bonds’)</w:t>
            </w:r>
          </w:p>
        </w:tc>
        <w:tc>
          <w:tcPr>
            <w:tcW w:w="0" w:type="auto"/>
          </w:tcPr>
          <w:p w14:paraId="0D0B940D" w14:textId="3BBE1CFC" w:rsidR="00B33432" w:rsidRPr="006F623D" w:rsidRDefault="6E0AC58C" w:rsidP="009016D8">
            <w:pPr>
              <w:spacing w:after="250"/>
              <w:rPr>
                <w:rFonts w:ascii="Arial" w:eastAsia="Arial" w:hAnsi="Arial" w:cs="Arial"/>
                <w:color w:val="181818"/>
              </w:rPr>
            </w:pPr>
            <w:r w:rsidRPr="006F623D">
              <w:rPr>
                <w:rFonts w:ascii="Arial" w:eastAsia="Arial" w:hAnsi="Arial" w:cs="Arial"/>
                <w:color w:val="181818"/>
              </w:rPr>
              <w:t>Risk diversification and additional source of performance Hybrid Instrument:</w:t>
            </w:r>
            <w:r w:rsidR="009016D8">
              <w:rPr>
                <w:rFonts w:ascii="Arial" w:eastAsia="Arial" w:hAnsi="Arial" w:cs="Arial"/>
                <w:color w:val="181818"/>
              </w:rPr>
              <w:t xml:space="preserve"> </w:t>
            </w:r>
            <w:proofErr w:type="spellStart"/>
            <w:r w:rsidRPr="006F623D">
              <w:rPr>
                <w:rFonts w:ascii="Arial" w:eastAsia="Arial" w:hAnsi="Arial" w:cs="Arial"/>
                <w:color w:val="181818"/>
              </w:rPr>
              <w:t>CoCo</w:t>
            </w:r>
            <w:proofErr w:type="spellEnd"/>
            <w:r w:rsidRPr="006F623D">
              <w:rPr>
                <w:rFonts w:ascii="Arial" w:eastAsia="Arial" w:hAnsi="Arial" w:cs="Arial"/>
                <w:color w:val="181818"/>
              </w:rPr>
              <w:t xml:space="preserve"> bonds represent a hybrid structure that combines debt and equity-like features. They can provide an opportunity for UCITS to gain exposure to equity-like returns with the stability and </w:t>
            </w:r>
            <w:r w:rsidRPr="006F623D">
              <w:rPr>
                <w:rFonts w:ascii="Arial" w:eastAsia="Arial" w:hAnsi="Arial" w:cs="Arial"/>
                <w:color w:val="181818"/>
              </w:rPr>
              <w:lastRenderedPageBreak/>
              <w:t>predictability of fixed income. This hybrid nature allows UCITS to diversify its holdings and potentially benefit from different market conditions.</w:t>
            </w:r>
          </w:p>
        </w:tc>
        <w:tc>
          <w:tcPr>
            <w:tcW w:w="0" w:type="auto"/>
          </w:tcPr>
          <w:p w14:paraId="0E27B00A" w14:textId="1772E8CB" w:rsidR="00B33432" w:rsidRPr="006F623D" w:rsidRDefault="6E0AC58C" w:rsidP="00CA24F6">
            <w:pPr>
              <w:spacing w:after="250" w:line="276" w:lineRule="auto"/>
              <w:rPr>
                <w:rFonts w:ascii="Arial" w:eastAsia="Arial" w:hAnsi="Arial" w:cs="Arial"/>
                <w:color w:val="181818"/>
              </w:rPr>
            </w:pPr>
            <w:r w:rsidRPr="006F623D">
              <w:rPr>
                <w:rFonts w:ascii="Arial" w:eastAsia="Arial" w:hAnsi="Arial" w:cs="Arial"/>
                <w:color w:val="181818"/>
              </w:rPr>
              <w:lastRenderedPageBreak/>
              <w:t>Risk diversification and additional source of performance</w:t>
            </w:r>
          </w:p>
        </w:tc>
        <w:tc>
          <w:tcPr>
            <w:tcW w:w="0" w:type="auto"/>
          </w:tcPr>
          <w:p w14:paraId="60061E4C" w14:textId="77777777" w:rsidR="00B33432" w:rsidRPr="006F623D" w:rsidRDefault="00B33432" w:rsidP="00CA24F6">
            <w:pPr>
              <w:spacing w:after="250" w:line="276" w:lineRule="auto"/>
              <w:rPr>
                <w:rFonts w:ascii="Arial" w:eastAsia="Arial" w:hAnsi="Arial" w:cs="Arial"/>
                <w:color w:val="181818"/>
              </w:rPr>
            </w:pPr>
          </w:p>
        </w:tc>
        <w:tc>
          <w:tcPr>
            <w:tcW w:w="0" w:type="auto"/>
          </w:tcPr>
          <w:p w14:paraId="44EAFD9C" w14:textId="32DD1F55" w:rsidR="00B33432" w:rsidRPr="006F623D" w:rsidRDefault="6E0AC58C" w:rsidP="00CA24F6">
            <w:pPr>
              <w:spacing w:after="250" w:line="276" w:lineRule="auto"/>
              <w:rPr>
                <w:rFonts w:ascii="Arial" w:eastAsia="Arial" w:hAnsi="Arial" w:cs="Arial"/>
                <w:color w:val="181818"/>
              </w:rPr>
            </w:pPr>
            <w:r w:rsidRPr="006F623D">
              <w:rPr>
                <w:rFonts w:ascii="Arial" w:eastAsia="Arial" w:hAnsi="Arial" w:cs="Arial"/>
                <w:color w:val="181818"/>
              </w:rPr>
              <w:t xml:space="preserve">We had a dedicated fund investing into </w:t>
            </w:r>
            <w:proofErr w:type="spellStart"/>
            <w:r w:rsidRPr="006F623D">
              <w:rPr>
                <w:rFonts w:ascii="Arial" w:eastAsia="Arial" w:hAnsi="Arial" w:cs="Arial"/>
                <w:color w:val="181818"/>
              </w:rPr>
              <w:t>cocos</w:t>
            </w:r>
            <w:proofErr w:type="spellEnd"/>
            <w:r w:rsidRPr="006F623D">
              <w:rPr>
                <w:rFonts w:ascii="Arial" w:eastAsia="Arial" w:hAnsi="Arial" w:cs="Arial"/>
                <w:color w:val="181818"/>
              </w:rPr>
              <w:t xml:space="preserve">. We </w:t>
            </w:r>
            <w:proofErr w:type="spellStart"/>
            <w:r w:rsidRPr="006F623D">
              <w:rPr>
                <w:rFonts w:ascii="Arial" w:eastAsia="Arial" w:hAnsi="Arial" w:cs="Arial"/>
                <w:color w:val="181818"/>
              </w:rPr>
              <w:t>can not</w:t>
            </w:r>
            <w:proofErr w:type="spellEnd"/>
            <w:r w:rsidRPr="006F623D">
              <w:rPr>
                <w:rFonts w:ascii="Arial" w:eastAsia="Arial" w:hAnsi="Arial" w:cs="Arial"/>
                <w:color w:val="181818"/>
              </w:rPr>
              <w:t xml:space="preserve"> exclude a future growing interest in those assets.</w:t>
            </w:r>
          </w:p>
        </w:tc>
        <w:tc>
          <w:tcPr>
            <w:tcW w:w="0" w:type="auto"/>
          </w:tcPr>
          <w:p w14:paraId="3EFA86AD" w14:textId="2092EE43" w:rsidR="08A24C08" w:rsidRPr="006F623D" w:rsidRDefault="08A24C08" w:rsidP="00CA24F6">
            <w:pPr>
              <w:spacing w:line="276" w:lineRule="auto"/>
              <w:rPr>
                <w:rFonts w:ascii="Arial" w:eastAsia="Arial" w:hAnsi="Arial" w:cs="Arial"/>
                <w:color w:val="181818"/>
              </w:rPr>
            </w:pPr>
          </w:p>
        </w:tc>
      </w:tr>
      <w:tr w:rsidR="00B33432" w:rsidRPr="006F623D" w14:paraId="02325B0B" w14:textId="77777777" w:rsidTr="008128D7">
        <w:trPr>
          <w:trHeight w:val="975"/>
        </w:trPr>
        <w:tc>
          <w:tcPr>
            <w:tcW w:w="0" w:type="auto"/>
          </w:tcPr>
          <w:p w14:paraId="4EA5968E" w14:textId="77777777" w:rsidR="00B33432" w:rsidRPr="006F623D" w:rsidRDefault="00B33432" w:rsidP="00CA24F6">
            <w:pPr>
              <w:spacing w:after="250" w:line="276" w:lineRule="auto"/>
              <w:rPr>
                <w:rFonts w:ascii="Arial" w:eastAsia="Arial" w:hAnsi="Arial" w:cs="Arial"/>
                <w:color w:val="181818"/>
              </w:rPr>
            </w:pPr>
            <w:r w:rsidRPr="006F623D">
              <w:rPr>
                <w:rFonts w:ascii="Arial" w:eastAsia="Arial" w:hAnsi="Arial" w:cs="Arial"/>
              </w:rPr>
              <w:t>4. Unrated bonds</w:t>
            </w:r>
          </w:p>
        </w:tc>
        <w:tc>
          <w:tcPr>
            <w:tcW w:w="0" w:type="auto"/>
          </w:tcPr>
          <w:p w14:paraId="1222EE2C" w14:textId="141BC504" w:rsidR="00B33432" w:rsidRPr="006F623D" w:rsidRDefault="258F37C0" w:rsidP="00CA24F6">
            <w:pPr>
              <w:spacing w:after="250" w:line="276" w:lineRule="auto"/>
              <w:rPr>
                <w:rFonts w:ascii="Arial" w:eastAsia="Arial" w:hAnsi="Arial" w:cs="Arial"/>
                <w:color w:val="181818"/>
              </w:rPr>
            </w:pPr>
            <w:r w:rsidRPr="006F623D">
              <w:rPr>
                <w:rFonts w:ascii="Arial" w:eastAsia="Arial" w:hAnsi="Arial" w:cs="Arial"/>
                <w:color w:val="181818"/>
              </w:rPr>
              <w:t>Risk diversification and additional source of performance</w:t>
            </w:r>
            <w:r w:rsidR="7D8012F2" w:rsidRPr="006F623D">
              <w:rPr>
                <w:rFonts w:ascii="Arial" w:eastAsia="Arial" w:hAnsi="Arial" w:cs="Arial"/>
                <w:color w:val="181818"/>
              </w:rPr>
              <w:t>.</w:t>
            </w:r>
          </w:p>
          <w:p w14:paraId="02408C27" w14:textId="696D56BF" w:rsidR="00B33432" w:rsidRPr="006F623D" w:rsidRDefault="258F37C0" w:rsidP="00CA24F6">
            <w:pPr>
              <w:spacing w:after="250" w:line="276" w:lineRule="auto"/>
              <w:rPr>
                <w:rFonts w:ascii="Arial" w:eastAsia="Arial" w:hAnsi="Arial" w:cs="Arial"/>
                <w:color w:val="181818"/>
              </w:rPr>
            </w:pPr>
            <w:r w:rsidRPr="006F623D">
              <w:rPr>
                <w:rFonts w:ascii="Arial" w:eastAsia="Arial" w:hAnsi="Arial" w:cs="Arial"/>
                <w:color w:val="181818"/>
              </w:rPr>
              <w:t>Access to undervalued investment opportunities: Unrated bonds can provide UCITS with access to investment opportunities that may be overlooked by traditional investors due to the absence of a credit rating.</w:t>
            </w:r>
          </w:p>
          <w:p w14:paraId="098CC2E3" w14:textId="77777777" w:rsidR="00B250B0" w:rsidRDefault="258F37C0" w:rsidP="00B250B0">
            <w:pPr>
              <w:spacing w:line="276" w:lineRule="auto"/>
              <w:rPr>
                <w:rFonts w:ascii="Arial" w:eastAsia="Arial" w:hAnsi="Arial" w:cs="Arial"/>
                <w:color w:val="181818"/>
              </w:rPr>
            </w:pPr>
            <w:r w:rsidRPr="006F623D">
              <w:rPr>
                <w:rFonts w:ascii="Arial" w:eastAsia="Arial" w:hAnsi="Arial" w:cs="Arial"/>
                <w:color w:val="181818"/>
              </w:rPr>
              <w:t xml:space="preserve">Diversification: </w:t>
            </w:r>
          </w:p>
          <w:p w14:paraId="13EB20F8" w14:textId="6FB839C2" w:rsidR="00B33432" w:rsidRPr="006F623D" w:rsidRDefault="258F37C0" w:rsidP="00CA24F6">
            <w:pPr>
              <w:spacing w:after="250" w:line="276" w:lineRule="auto"/>
              <w:rPr>
                <w:rFonts w:ascii="Arial" w:eastAsia="Arial" w:hAnsi="Arial" w:cs="Arial"/>
                <w:color w:val="181818"/>
              </w:rPr>
            </w:pPr>
            <w:r w:rsidRPr="006F623D">
              <w:rPr>
                <w:rFonts w:ascii="Arial" w:eastAsia="Arial" w:hAnsi="Arial" w:cs="Arial"/>
                <w:color w:val="181818"/>
              </w:rPr>
              <w:t xml:space="preserve">Unrated bonds often represent a different risk profile and credit exposure compared to rated bonds. </w:t>
            </w:r>
          </w:p>
          <w:p w14:paraId="71082C18" w14:textId="77777777" w:rsidR="00B250B0" w:rsidRDefault="258F37C0" w:rsidP="00B250B0">
            <w:pPr>
              <w:spacing w:line="276" w:lineRule="auto"/>
              <w:rPr>
                <w:rFonts w:ascii="Arial" w:eastAsia="Arial" w:hAnsi="Arial" w:cs="Arial"/>
                <w:color w:val="181818"/>
              </w:rPr>
            </w:pPr>
            <w:r w:rsidRPr="2B971BD2">
              <w:rPr>
                <w:rFonts w:ascii="Arial" w:eastAsia="Arial" w:hAnsi="Arial" w:cs="Arial"/>
                <w:color w:val="181818"/>
              </w:rPr>
              <w:t xml:space="preserve">Lower reliance on rating agencies: </w:t>
            </w:r>
          </w:p>
          <w:p w14:paraId="4B94D5A5" w14:textId="05282B0C" w:rsidR="00B33432" w:rsidRPr="006F623D" w:rsidRDefault="258F37C0" w:rsidP="00CA24F6">
            <w:pPr>
              <w:spacing w:after="250" w:line="276" w:lineRule="auto"/>
              <w:rPr>
                <w:rFonts w:ascii="Arial" w:eastAsia="Arial" w:hAnsi="Arial" w:cs="Arial"/>
                <w:color w:val="181818"/>
              </w:rPr>
            </w:pPr>
            <w:r w:rsidRPr="2B971BD2">
              <w:rPr>
                <w:rFonts w:ascii="Arial" w:eastAsia="Arial" w:hAnsi="Arial" w:cs="Arial"/>
                <w:color w:val="181818"/>
              </w:rPr>
              <w:t xml:space="preserve">The inclusion of unrated bonds in UCITS reduces the reliance on credit rating agencies as the sole source of credit analysis. </w:t>
            </w:r>
            <w:r w:rsidRPr="2B971BD2">
              <w:rPr>
                <w:rFonts w:ascii="Arial" w:eastAsia="Arial" w:hAnsi="Arial" w:cs="Arial"/>
                <w:color w:val="181818"/>
              </w:rPr>
              <w:lastRenderedPageBreak/>
              <w:t xml:space="preserve">UCITS managers can conduct their own thorough due diligence and credit assessment to evaluate the creditworthiness of issuers. This allows for a more independent and nuanced evaluation of credit risks, potentially reducing reliance on external rating agencies.     </w:t>
            </w:r>
          </w:p>
        </w:tc>
        <w:tc>
          <w:tcPr>
            <w:tcW w:w="0" w:type="auto"/>
          </w:tcPr>
          <w:p w14:paraId="06641980" w14:textId="7829D80C" w:rsidR="00B33432" w:rsidRPr="006F623D" w:rsidRDefault="258F37C0" w:rsidP="00CA24F6">
            <w:pPr>
              <w:spacing w:after="250" w:line="276" w:lineRule="auto"/>
              <w:rPr>
                <w:rFonts w:ascii="Arial" w:eastAsia="Arial" w:hAnsi="Arial" w:cs="Arial"/>
                <w:color w:val="181818"/>
              </w:rPr>
            </w:pPr>
            <w:r w:rsidRPr="006F623D">
              <w:rPr>
                <w:rFonts w:ascii="Arial" w:eastAsia="Arial" w:hAnsi="Arial" w:cs="Arial"/>
                <w:color w:val="181818"/>
              </w:rPr>
              <w:lastRenderedPageBreak/>
              <w:t xml:space="preserve">Risk diversification and additional source of performance </w:t>
            </w:r>
          </w:p>
          <w:p w14:paraId="3DEEC669" w14:textId="64C2B5E8" w:rsidR="00B33432" w:rsidRPr="006F623D" w:rsidRDefault="258F37C0" w:rsidP="00CA24F6">
            <w:pPr>
              <w:spacing w:after="250" w:line="276" w:lineRule="auto"/>
              <w:rPr>
                <w:rFonts w:ascii="Arial" w:hAnsi="Arial" w:cs="Arial"/>
              </w:rPr>
            </w:pPr>
            <w:r w:rsidRPr="006F623D">
              <w:rPr>
                <w:rFonts w:ascii="Arial" w:eastAsia="Arial" w:hAnsi="Arial" w:cs="Arial"/>
                <w:color w:val="181818"/>
              </w:rPr>
              <w:t>See left column</w:t>
            </w:r>
          </w:p>
        </w:tc>
        <w:tc>
          <w:tcPr>
            <w:tcW w:w="0" w:type="auto"/>
          </w:tcPr>
          <w:p w14:paraId="3656B9AB" w14:textId="77777777" w:rsidR="00B33432" w:rsidRPr="006F623D" w:rsidRDefault="00B33432" w:rsidP="00CA24F6">
            <w:pPr>
              <w:spacing w:after="250" w:line="276" w:lineRule="auto"/>
              <w:rPr>
                <w:rFonts w:ascii="Arial" w:eastAsia="Arial" w:hAnsi="Arial" w:cs="Arial"/>
                <w:color w:val="181818"/>
              </w:rPr>
            </w:pPr>
          </w:p>
        </w:tc>
        <w:tc>
          <w:tcPr>
            <w:tcW w:w="0" w:type="auto"/>
          </w:tcPr>
          <w:p w14:paraId="45FB0818" w14:textId="75724247" w:rsidR="00B33432" w:rsidRPr="006F623D" w:rsidRDefault="258F37C0" w:rsidP="00CA24F6">
            <w:pPr>
              <w:spacing w:after="250" w:line="276" w:lineRule="auto"/>
              <w:rPr>
                <w:rFonts w:ascii="Arial" w:eastAsia="Arial" w:hAnsi="Arial" w:cs="Arial"/>
                <w:color w:val="181818"/>
              </w:rPr>
            </w:pPr>
            <w:r w:rsidRPr="006F623D">
              <w:rPr>
                <w:rFonts w:ascii="Arial" w:eastAsia="Arial" w:hAnsi="Arial" w:cs="Arial"/>
                <w:color w:val="181818"/>
              </w:rPr>
              <w:t>We invest into unrated bonds by doing our own credit assessment or via adequate indices.</w:t>
            </w:r>
          </w:p>
        </w:tc>
        <w:tc>
          <w:tcPr>
            <w:tcW w:w="0" w:type="auto"/>
          </w:tcPr>
          <w:p w14:paraId="533017F0" w14:textId="50320A12" w:rsidR="08A24C08" w:rsidRPr="006F623D" w:rsidRDefault="08A24C08" w:rsidP="00CA24F6">
            <w:pPr>
              <w:spacing w:line="276" w:lineRule="auto"/>
              <w:rPr>
                <w:rFonts w:ascii="Arial" w:eastAsia="Arial" w:hAnsi="Arial" w:cs="Arial"/>
                <w:color w:val="181818"/>
              </w:rPr>
            </w:pPr>
          </w:p>
        </w:tc>
      </w:tr>
      <w:tr w:rsidR="00B33432" w:rsidRPr="006F623D" w14:paraId="68D99D9D" w14:textId="77777777" w:rsidTr="008128D7">
        <w:trPr>
          <w:trHeight w:val="300"/>
        </w:trPr>
        <w:tc>
          <w:tcPr>
            <w:tcW w:w="0" w:type="auto"/>
          </w:tcPr>
          <w:p w14:paraId="17D8B71D" w14:textId="77777777" w:rsidR="00B33432" w:rsidRPr="006F623D" w:rsidRDefault="00B33432" w:rsidP="00CA24F6">
            <w:pPr>
              <w:spacing w:after="250" w:line="276" w:lineRule="auto"/>
              <w:rPr>
                <w:rFonts w:ascii="Arial" w:eastAsia="Arial" w:hAnsi="Arial" w:cs="Arial"/>
                <w:color w:val="181818"/>
              </w:rPr>
            </w:pPr>
            <w:r w:rsidRPr="006F623D">
              <w:rPr>
                <w:rFonts w:ascii="Arial" w:eastAsia="Arial" w:hAnsi="Arial" w:cs="Arial"/>
              </w:rPr>
              <w:t>5. Distressed securities</w:t>
            </w:r>
          </w:p>
        </w:tc>
        <w:tc>
          <w:tcPr>
            <w:tcW w:w="0" w:type="auto"/>
          </w:tcPr>
          <w:p w14:paraId="049F31CB" w14:textId="77777777" w:rsidR="00B33432" w:rsidRPr="006F623D" w:rsidRDefault="00B33432" w:rsidP="00CA24F6">
            <w:pPr>
              <w:spacing w:after="250" w:line="276" w:lineRule="auto"/>
              <w:rPr>
                <w:rFonts w:ascii="Arial" w:eastAsia="Arial" w:hAnsi="Arial" w:cs="Arial"/>
                <w:color w:val="181818"/>
              </w:rPr>
            </w:pPr>
          </w:p>
        </w:tc>
        <w:tc>
          <w:tcPr>
            <w:tcW w:w="0" w:type="auto"/>
          </w:tcPr>
          <w:p w14:paraId="53128261" w14:textId="77777777" w:rsidR="00B33432" w:rsidRPr="006F623D" w:rsidRDefault="00B33432" w:rsidP="00CA24F6">
            <w:pPr>
              <w:spacing w:after="250" w:line="276" w:lineRule="auto"/>
              <w:rPr>
                <w:rFonts w:ascii="Arial" w:eastAsia="Arial" w:hAnsi="Arial" w:cs="Arial"/>
                <w:color w:val="181818"/>
              </w:rPr>
            </w:pPr>
          </w:p>
        </w:tc>
        <w:tc>
          <w:tcPr>
            <w:tcW w:w="0" w:type="auto"/>
          </w:tcPr>
          <w:p w14:paraId="62486C05" w14:textId="77777777" w:rsidR="00B33432" w:rsidRPr="006F623D" w:rsidRDefault="00B33432" w:rsidP="00CA24F6">
            <w:pPr>
              <w:spacing w:after="250" w:line="276" w:lineRule="auto"/>
              <w:rPr>
                <w:rFonts w:ascii="Arial" w:eastAsia="Arial" w:hAnsi="Arial" w:cs="Arial"/>
                <w:color w:val="181818"/>
              </w:rPr>
            </w:pPr>
          </w:p>
        </w:tc>
        <w:tc>
          <w:tcPr>
            <w:tcW w:w="0" w:type="auto"/>
          </w:tcPr>
          <w:p w14:paraId="0703727D" w14:textId="0A671994" w:rsidR="298026C9" w:rsidRPr="006F623D" w:rsidRDefault="298026C9" w:rsidP="00CA24F6">
            <w:pPr>
              <w:pStyle w:val="TableParagraph"/>
              <w:rPr>
                <w:color w:val="181818"/>
              </w:rPr>
            </w:pPr>
            <w:r w:rsidRPr="006F623D">
              <w:rPr>
                <w:rFonts w:eastAsiaTheme="minorEastAsia"/>
                <w:color w:val="181818"/>
              </w:rPr>
              <w:t>We are not aware of any legal definition of “distressed”.</w:t>
            </w:r>
          </w:p>
          <w:p w14:paraId="02A8419A" w14:textId="22504F9F" w:rsidR="08A24C08" w:rsidRPr="006F623D" w:rsidRDefault="08A24C08" w:rsidP="00CA24F6">
            <w:pPr>
              <w:spacing w:after="250" w:line="276" w:lineRule="auto"/>
              <w:rPr>
                <w:rFonts w:ascii="Arial" w:eastAsia="Arial" w:hAnsi="Arial" w:cs="Arial"/>
                <w:color w:val="181818"/>
              </w:rPr>
            </w:pPr>
          </w:p>
          <w:p w14:paraId="4101652C" w14:textId="3D4A3812" w:rsidR="00B33432" w:rsidRPr="006F623D" w:rsidRDefault="02DDCF27" w:rsidP="00CA24F6">
            <w:pPr>
              <w:spacing w:after="250" w:line="276" w:lineRule="auto"/>
              <w:rPr>
                <w:rFonts w:ascii="Arial" w:eastAsia="Arial" w:hAnsi="Arial" w:cs="Arial"/>
                <w:color w:val="181818"/>
              </w:rPr>
            </w:pPr>
            <w:r w:rsidRPr="006F623D">
              <w:rPr>
                <w:rFonts w:ascii="Arial" w:eastAsia="Arial" w:hAnsi="Arial" w:cs="Arial"/>
                <w:color w:val="181818"/>
              </w:rPr>
              <w:t xml:space="preserve">We are not a dedicated distressed securities manager. Bu we </w:t>
            </w:r>
            <w:proofErr w:type="spellStart"/>
            <w:r w:rsidRPr="006F623D">
              <w:rPr>
                <w:rFonts w:ascii="Arial" w:eastAsia="Arial" w:hAnsi="Arial" w:cs="Arial"/>
                <w:color w:val="181818"/>
              </w:rPr>
              <w:t>can not</w:t>
            </w:r>
            <w:proofErr w:type="spellEnd"/>
            <w:r w:rsidRPr="006F623D">
              <w:rPr>
                <w:rFonts w:ascii="Arial" w:eastAsia="Arial" w:hAnsi="Arial" w:cs="Arial"/>
                <w:color w:val="181818"/>
              </w:rPr>
              <w:t xml:space="preserve"> exclude the transition of a “normal” bond into a distressed status and we would like to be able to keep those investments if there is a chance of a partial or full recovery.</w:t>
            </w:r>
          </w:p>
        </w:tc>
        <w:tc>
          <w:tcPr>
            <w:tcW w:w="0" w:type="auto"/>
          </w:tcPr>
          <w:p w14:paraId="351B5B7E" w14:textId="63932419" w:rsidR="08A24C08" w:rsidRPr="006F623D" w:rsidRDefault="08A24C08" w:rsidP="00CA24F6">
            <w:pPr>
              <w:pStyle w:val="TableParagraph"/>
              <w:rPr>
                <w:rFonts w:eastAsiaTheme="minorEastAsia"/>
                <w:color w:val="181818"/>
              </w:rPr>
            </w:pPr>
          </w:p>
        </w:tc>
      </w:tr>
      <w:tr w:rsidR="00B33432" w:rsidRPr="006F623D" w14:paraId="2B493676" w14:textId="77777777" w:rsidTr="008128D7">
        <w:trPr>
          <w:trHeight w:val="300"/>
        </w:trPr>
        <w:tc>
          <w:tcPr>
            <w:tcW w:w="0" w:type="auto"/>
          </w:tcPr>
          <w:p w14:paraId="45E99430" w14:textId="77777777" w:rsidR="00B33432" w:rsidRPr="006F623D" w:rsidRDefault="00B33432" w:rsidP="00BD7569">
            <w:pPr>
              <w:spacing w:after="250" w:line="276" w:lineRule="auto"/>
              <w:rPr>
                <w:rFonts w:ascii="Arial" w:eastAsia="Arial" w:hAnsi="Arial" w:cs="Arial"/>
              </w:rPr>
            </w:pPr>
            <w:r w:rsidRPr="006F623D">
              <w:rPr>
                <w:rFonts w:ascii="Arial" w:eastAsia="Arial" w:hAnsi="Arial" w:cs="Arial"/>
              </w:rPr>
              <w:lastRenderedPageBreak/>
              <w:t>6. Unlisted equities</w:t>
            </w:r>
            <w:r w:rsidRPr="006F623D">
              <w:rPr>
                <w:rFonts w:ascii="Arial" w:eastAsia="Arial" w:hAnsi="Arial" w:cs="Arial"/>
                <w:vertAlign w:val="superscript"/>
              </w:rPr>
              <w:footnoteReference w:id="7"/>
            </w:r>
          </w:p>
        </w:tc>
        <w:tc>
          <w:tcPr>
            <w:tcW w:w="0" w:type="auto"/>
          </w:tcPr>
          <w:p w14:paraId="001495D4" w14:textId="0880AC69" w:rsidR="00B33432" w:rsidRPr="006F623D" w:rsidRDefault="2B8B394D" w:rsidP="00BD7569">
            <w:pPr>
              <w:spacing w:after="250" w:line="276" w:lineRule="auto"/>
              <w:rPr>
                <w:rFonts w:ascii="Arial" w:eastAsia="Arial" w:hAnsi="Arial" w:cs="Arial"/>
                <w:color w:val="181818"/>
              </w:rPr>
            </w:pPr>
            <w:r w:rsidRPr="006F623D">
              <w:rPr>
                <w:rFonts w:ascii="Arial" w:eastAsia="Arial" w:hAnsi="Arial" w:cs="Arial"/>
                <w:color w:val="181818"/>
              </w:rPr>
              <w:t>These instruments allow an investment before listing.</w:t>
            </w:r>
          </w:p>
          <w:p w14:paraId="347203E3" w14:textId="68F37895" w:rsidR="00407E83" w:rsidRDefault="2B8B394D" w:rsidP="00B250B0">
            <w:pPr>
              <w:spacing w:line="276" w:lineRule="auto"/>
              <w:rPr>
                <w:rFonts w:ascii="Arial" w:eastAsia="Arial" w:hAnsi="Arial" w:cs="Arial"/>
                <w:color w:val="181818"/>
              </w:rPr>
            </w:pPr>
            <w:r w:rsidRPr="006F623D">
              <w:rPr>
                <w:rFonts w:ascii="Arial" w:eastAsia="Arial" w:hAnsi="Arial" w:cs="Arial"/>
                <w:color w:val="181818"/>
              </w:rPr>
              <w:t>Potential for higher return:</w:t>
            </w:r>
            <w:r w:rsidR="00B33432" w:rsidRPr="00407E83">
              <w:rPr>
                <w:rFonts w:ascii="Arial" w:eastAsia="Arial" w:hAnsi="Arial" w:cs="Arial"/>
                <w:color w:val="181818"/>
              </w:rPr>
              <w:br/>
            </w:r>
            <w:r w:rsidRPr="006F623D">
              <w:rPr>
                <w:rFonts w:ascii="Arial" w:eastAsia="Arial" w:hAnsi="Arial" w:cs="Arial"/>
                <w:color w:val="181818"/>
              </w:rPr>
              <w:t xml:space="preserve">These investments can allow UCITS to access private companies at an early stage of development, where the potential for growth and higher returns can be significant. </w:t>
            </w:r>
            <w:r w:rsidR="00B33432" w:rsidRPr="006F623D">
              <w:rPr>
                <w:rFonts w:ascii="Arial" w:hAnsi="Arial" w:cs="Arial"/>
              </w:rPr>
              <w:br/>
            </w:r>
            <w:r w:rsidR="00B33432" w:rsidRPr="006F623D">
              <w:rPr>
                <w:rFonts w:ascii="Arial" w:hAnsi="Arial" w:cs="Arial"/>
              </w:rPr>
              <w:br/>
            </w:r>
            <w:r w:rsidRPr="006F623D">
              <w:rPr>
                <w:rFonts w:ascii="Arial" w:eastAsia="Arial" w:hAnsi="Arial" w:cs="Arial"/>
                <w:color w:val="181818"/>
              </w:rPr>
              <w:t xml:space="preserve">Diversification: </w:t>
            </w:r>
          </w:p>
          <w:p w14:paraId="3B30573C" w14:textId="10FF7D2E" w:rsidR="00B33432" w:rsidRPr="006F623D" w:rsidRDefault="2B8B394D" w:rsidP="00BD7569">
            <w:pPr>
              <w:spacing w:after="250" w:line="276" w:lineRule="auto"/>
              <w:rPr>
                <w:rFonts w:ascii="Arial" w:eastAsia="Arial" w:hAnsi="Arial" w:cs="Arial"/>
                <w:color w:val="181818"/>
              </w:rPr>
            </w:pPr>
            <w:r w:rsidRPr="006F623D">
              <w:rPr>
                <w:rFonts w:ascii="Arial" w:eastAsia="Arial" w:hAnsi="Arial" w:cs="Arial"/>
                <w:color w:val="181818"/>
              </w:rPr>
              <w:t>Unlisted equities can provide diversification to a UCITS portfolio, as they often have different risk and return characteristics compared to listed equities</w:t>
            </w:r>
            <w:r w:rsidR="1AEE78CD" w:rsidRPr="006F623D">
              <w:rPr>
                <w:rFonts w:ascii="Arial" w:eastAsia="Arial" w:hAnsi="Arial" w:cs="Arial"/>
                <w:color w:val="181818"/>
              </w:rPr>
              <w:t>.</w:t>
            </w:r>
          </w:p>
          <w:p w14:paraId="31E36C50" w14:textId="77777777" w:rsidR="00407E83" w:rsidRDefault="2B8B394D" w:rsidP="00B250B0">
            <w:pPr>
              <w:spacing w:line="276" w:lineRule="auto"/>
              <w:rPr>
                <w:rFonts w:ascii="Arial" w:eastAsia="Arial" w:hAnsi="Arial" w:cs="Arial"/>
                <w:color w:val="181818"/>
              </w:rPr>
            </w:pPr>
            <w:r w:rsidRPr="006F623D">
              <w:rPr>
                <w:rFonts w:ascii="Arial" w:eastAsia="Arial" w:hAnsi="Arial" w:cs="Arial"/>
                <w:color w:val="181818"/>
              </w:rPr>
              <w:t xml:space="preserve">Access to different sectors and strategies: </w:t>
            </w:r>
          </w:p>
          <w:p w14:paraId="4B99056E" w14:textId="178DB19C" w:rsidR="00B33432" w:rsidRPr="006F623D" w:rsidRDefault="2B8B394D" w:rsidP="00BD7569">
            <w:pPr>
              <w:spacing w:after="250" w:line="276" w:lineRule="auto"/>
              <w:rPr>
                <w:rFonts w:ascii="Arial" w:eastAsia="Arial" w:hAnsi="Arial" w:cs="Arial"/>
                <w:color w:val="181818"/>
              </w:rPr>
            </w:pPr>
            <w:r w:rsidRPr="006F623D">
              <w:rPr>
                <w:rFonts w:ascii="Arial" w:eastAsia="Arial" w:hAnsi="Arial" w:cs="Arial"/>
                <w:color w:val="181818"/>
              </w:rPr>
              <w:t xml:space="preserve">Through unlisted equities, UCITS can gain exposure to sectors or strategies that are not well represented in the listed markets. This can offer new investment opportunities </w:t>
            </w:r>
            <w:r w:rsidRPr="006F623D">
              <w:rPr>
                <w:rFonts w:ascii="Arial" w:eastAsia="Arial" w:hAnsi="Arial" w:cs="Arial"/>
                <w:color w:val="181818"/>
              </w:rPr>
              <w:lastRenderedPageBreak/>
              <w:t xml:space="preserve">and enhance the UCITS' ability to capture uncorrelated returns.   </w:t>
            </w:r>
          </w:p>
        </w:tc>
        <w:tc>
          <w:tcPr>
            <w:tcW w:w="0" w:type="auto"/>
          </w:tcPr>
          <w:p w14:paraId="1299C43A" w14:textId="77777777" w:rsidR="00B33432" w:rsidRPr="006F623D" w:rsidRDefault="00B33432" w:rsidP="00BD7569">
            <w:pPr>
              <w:spacing w:after="250" w:line="276" w:lineRule="auto"/>
              <w:rPr>
                <w:rFonts w:ascii="Arial" w:eastAsia="Arial" w:hAnsi="Arial" w:cs="Arial"/>
                <w:color w:val="181818"/>
              </w:rPr>
            </w:pPr>
          </w:p>
        </w:tc>
        <w:tc>
          <w:tcPr>
            <w:tcW w:w="0" w:type="auto"/>
          </w:tcPr>
          <w:p w14:paraId="4DDBEF00" w14:textId="77777777" w:rsidR="00B33432" w:rsidRPr="006F623D" w:rsidRDefault="00B33432" w:rsidP="00BD7569">
            <w:pPr>
              <w:spacing w:after="250" w:line="276" w:lineRule="auto"/>
              <w:rPr>
                <w:rFonts w:ascii="Arial" w:eastAsia="Arial" w:hAnsi="Arial" w:cs="Arial"/>
                <w:color w:val="181818"/>
              </w:rPr>
            </w:pPr>
          </w:p>
        </w:tc>
        <w:tc>
          <w:tcPr>
            <w:tcW w:w="0" w:type="auto"/>
          </w:tcPr>
          <w:p w14:paraId="3461D779" w14:textId="77777777" w:rsidR="00B33432" w:rsidRPr="006F623D" w:rsidRDefault="00B33432" w:rsidP="00BD7569">
            <w:pPr>
              <w:spacing w:after="250" w:line="276" w:lineRule="auto"/>
              <w:rPr>
                <w:rFonts w:ascii="Arial" w:eastAsia="Arial" w:hAnsi="Arial" w:cs="Arial"/>
                <w:color w:val="181818"/>
              </w:rPr>
            </w:pPr>
          </w:p>
        </w:tc>
        <w:tc>
          <w:tcPr>
            <w:tcW w:w="0" w:type="auto"/>
          </w:tcPr>
          <w:p w14:paraId="4F9CD629" w14:textId="600A822E" w:rsidR="08A24C08" w:rsidRPr="006F623D" w:rsidRDefault="08A24C08" w:rsidP="00CA24F6">
            <w:pPr>
              <w:spacing w:line="276" w:lineRule="auto"/>
              <w:jc w:val="both"/>
              <w:rPr>
                <w:rFonts w:ascii="Arial" w:eastAsia="Arial" w:hAnsi="Arial" w:cs="Arial"/>
                <w:color w:val="181818"/>
              </w:rPr>
            </w:pPr>
          </w:p>
        </w:tc>
      </w:tr>
      <w:tr w:rsidR="00B33432" w:rsidRPr="006F623D" w14:paraId="5539B04B" w14:textId="77777777" w:rsidTr="008128D7">
        <w:trPr>
          <w:trHeight w:val="300"/>
        </w:trPr>
        <w:tc>
          <w:tcPr>
            <w:tcW w:w="0" w:type="auto"/>
          </w:tcPr>
          <w:p w14:paraId="378D969D" w14:textId="77777777" w:rsidR="00B33432" w:rsidRPr="006F623D" w:rsidRDefault="00B33432" w:rsidP="00CF06E2">
            <w:pPr>
              <w:spacing w:after="250" w:line="276" w:lineRule="auto"/>
              <w:rPr>
                <w:rFonts w:ascii="Arial" w:eastAsia="Arial" w:hAnsi="Arial" w:cs="Arial"/>
              </w:rPr>
            </w:pPr>
            <w:r w:rsidRPr="006F623D">
              <w:rPr>
                <w:rFonts w:ascii="Arial" w:eastAsia="Arial" w:hAnsi="Arial" w:cs="Arial"/>
              </w:rPr>
              <w:t>7. Crypto assets</w:t>
            </w:r>
            <w:r w:rsidRPr="006F623D">
              <w:rPr>
                <w:rFonts w:ascii="Arial" w:eastAsia="Arial" w:hAnsi="Arial" w:cs="Arial"/>
                <w:vertAlign w:val="superscript"/>
              </w:rPr>
              <w:footnoteReference w:id="8"/>
            </w:r>
          </w:p>
        </w:tc>
        <w:tc>
          <w:tcPr>
            <w:tcW w:w="0" w:type="auto"/>
          </w:tcPr>
          <w:p w14:paraId="5E715BE2" w14:textId="77777777" w:rsidR="00B250B0" w:rsidRDefault="486C6A23" w:rsidP="00BD7569">
            <w:pPr>
              <w:spacing w:line="276" w:lineRule="auto"/>
              <w:rPr>
                <w:rFonts w:ascii="Arial" w:eastAsia="Arial" w:hAnsi="Arial" w:cs="Arial"/>
                <w:color w:val="181818"/>
              </w:rPr>
            </w:pPr>
            <w:r w:rsidRPr="006F623D">
              <w:rPr>
                <w:rFonts w:ascii="Arial" w:eastAsia="Arial" w:hAnsi="Arial" w:cs="Arial"/>
                <w:color w:val="181818"/>
              </w:rPr>
              <w:t xml:space="preserve">Diversification: </w:t>
            </w:r>
          </w:p>
          <w:p w14:paraId="1CE719E1" w14:textId="13311EA5" w:rsidR="00B33432" w:rsidRPr="006F623D" w:rsidRDefault="486C6A23" w:rsidP="00BD7569">
            <w:pPr>
              <w:spacing w:line="276" w:lineRule="auto"/>
              <w:rPr>
                <w:rFonts w:ascii="Arial" w:eastAsia="Arial" w:hAnsi="Arial" w:cs="Arial"/>
                <w:color w:val="181818"/>
              </w:rPr>
            </w:pPr>
            <w:r w:rsidRPr="006F623D">
              <w:rPr>
                <w:rFonts w:ascii="Arial" w:eastAsia="Arial" w:hAnsi="Arial" w:cs="Arial"/>
                <w:color w:val="181818"/>
              </w:rPr>
              <w:t xml:space="preserve">Including crypto assets in a UCITS fund can offer a new asset class that is has low correlation with traditional financial markets. </w:t>
            </w:r>
          </w:p>
          <w:p w14:paraId="446C81E4" w14:textId="77777777" w:rsidR="00082499" w:rsidRDefault="486C6A23" w:rsidP="00BD7569">
            <w:pPr>
              <w:spacing w:after="250" w:line="276" w:lineRule="auto"/>
              <w:rPr>
                <w:rFonts w:ascii="Arial" w:eastAsia="Arial" w:hAnsi="Arial" w:cs="Arial"/>
                <w:color w:val="181818"/>
              </w:rPr>
            </w:pPr>
            <w:r w:rsidRPr="2B971BD2">
              <w:rPr>
                <w:rFonts w:ascii="Arial" w:eastAsia="Arial" w:hAnsi="Arial" w:cs="Arial"/>
                <w:color w:val="181818"/>
              </w:rPr>
              <w:t xml:space="preserve">Innovation and access to new markets: </w:t>
            </w:r>
          </w:p>
          <w:p w14:paraId="67B2407D" w14:textId="4286B221" w:rsidR="00B33432" w:rsidRPr="006F623D" w:rsidRDefault="486C6A23" w:rsidP="00BD7569">
            <w:pPr>
              <w:spacing w:after="250" w:line="276" w:lineRule="auto"/>
              <w:rPr>
                <w:rFonts w:ascii="Arial" w:eastAsia="Arial" w:hAnsi="Arial" w:cs="Arial"/>
                <w:color w:val="181818"/>
              </w:rPr>
            </w:pPr>
            <w:r w:rsidRPr="2B971BD2">
              <w:rPr>
                <w:rFonts w:ascii="Arial" w:eastAsia="Arial" w:hAnsi="Arial" w:cs="Arial"/>
                <w:color w:val="181818"/>
              </w:rPr>
              <w:t>Crypto assets represent a new innovation in finance, and including them in UCITS funds could enable investors to participate in the growth and development of this emerging sector. It allows for the inclusion of innovative technologies and access to new investment opportunities.</w:t>
            </w:r>
          </w:p>
          <w:p w14:paraId="7B2023D7" w14:textId="008E8F6B" w:rsidR="00B33432" w:rsidRPr="006F623D" w:rsidRDefault="486C6A23" w:rsidP="00BD7569">
            <w:pPr>
              <w:spacing w:after="250" w:line="276" w:lineRule="auto"/>
              <w:rPr>
                <w:rFonts w:ascii="Arial" w:eastAsia="Arial" w:hAnsi="Arial" w:cs="Arial"/>
                <w:color w:val="181818"/>
              </w:rPr>
            </w:pPr>
            <w:r w:rsidRPr="2B971BD2">
              <w:rPr>
                <w:rFonts w:ascii="Arial" w:eastAsia="Arial" w:hAnsi="Arial" w:cs="Arial"/>
                <w:color w:val="181818"/>
              </w:rPr>
              <w:t xml:space="preserve">Increased investor diversity: The inclusion of crypto assets in UCITS funds could attract a </w:t>
            </w:r>
            <w:r w:rsidRPr="2B971BD2">
              <w:rPr>
                <w:rFonts w:ascii="Arial" w:eastAsia="Arial" w:hAnsi="Arial" w:cs="Arial"/>
                <w:color w:val="181818"/>
              </w:rPr>
              <w:lastRenderedPageBreak/>
              <w:t xml:space="preserve">new segment of investors who are interested in this asset class.  </w:t>
            </w:r>
          </w:p>
          <w:p w14:paraId="76B0E1D4" w14:textId="2B919F70" w:rsidR="00B33432" w:rsidRPr="006F623D" w:rsidRDefault="486C6A23" w:rsidP="00BD7569">
            <w:pPr>
              <w:spacing w:after="250" w:line="276" w:lineRule="auto"/>
              <w:rPr>
                <w:rFonts w:ascii="Arial" w:hAnsi="Arial" w:cs="Arial"/>
              </w:rPr>
            </w:pPr>
            <w:r w:rsidRPr="006F623D">
              <w:rPr>
                <w:rFonts w:ascii="Arial" w:eastAsia="Arial" w:hAnsi="Arial" w:cs="Arial"/>
                <w:color w:val="181818"/>
              </w:rPr>
              <w:t>In absence of an intermediate direct investments are cheaper, less risky (no counterparty risk) and enables staking</w:t>
            </w:r>
            <w:r w:rsidR="61104FF0" w:rsidRPr="006F623D">
              <w:rPr>
                <w:rFonts w:ascii="Arial" w:eastAsia="Arial" w:hAnsi="Arial" w:cs="Arial"/>
                <w:color w:val="181818"/>
              </w:rPr>
              <w:t>.</w:t>
            </w:r>
          </w:p>
          <w:p w14:paraId="5000A8A9" w14:textId="18A270CB" w:rsidR="00B33432" w:rsidRPr="006F623D" w:rsidRDefault="61104FF0" w:rsidP="00BD7569">
            <w:pPr>
              <w:spacing w:after="250" w:line="260" w:lineRule="atLeast"/>
              <w:ind w:left="44"/>
              <w:rPr>
                <w:rFonts w:ascii="Arial" w:eastAsia="Arial" w:hAnsi="Arial" w:cs="Arial"/>
                <w:color w:val="181818"/>
              </w:rPr>
            </w:pPr>
            <w:r w:rsidRPr="006F623D">
              <w:rPr>
                <w:rFonts w:ascii="Arial" w:eastAsiaTheme="minorEastAsia" w:hAnsi="Arial" w:cs="Arial"/>
                <w:color w:val="181818"/>
              </w:rPr>
              <w:t>Direct exposure to crypto assets via on-chain investing is the most secure, least expensive and transparent way to gain crypto exposure</w:t>
            </w:r>
          </w:p>
          <w:p w14:paraId="1F07ED51" w14:textId="58476200" w:rsidR="00B33432" w:rsidRPr="006F623D" w:rsidRDefault="61104FF0" w:rsidP="00BD7569">
            <w:pPr>
              <w:spacing w:after="250" w:line="260" w:lineRule="atLeast"/>
              <w:ind w:left="44"/>
              <w:rPr>
                <w:rFonts w:ascii="Arial" w:eastAsia="Arial" w:hAnsi="Arial" w:cs="Arial"/>
                <w:color w:val="181818"/>
              </w:rPr>
            </w:pPr>
            <w:r w:rsidRPr="006F623D">
              <w:rPr>
                <w:rFonts w:ascii="Arial" w:eastAsiaTheme="minorEastAsia" w:hAnsi="Arial" w:cs="Arial"/>
                <w:color w:val="181818"/>
              </w:rPr>
              <w:t xml:space="preserve">Is the most technological advanced solution </w:t>
            </w:r>
          </w:p>
          <w:p w14:paraId="1F3A4B5B" w14:textId="63FED7EB" w:rsidR="00B33432" w:rsidRPr="006F623D" w:rsidRDefault="61104FF0" w:rsidP="00BD7569">
            <w:pPr>
              <w:spacing w:after="250" w:line="260" w:lineRule="atLeast"/>
              <w:ind w:left="44"/>
              <w:rPr>
                <w:rFonts w:ascii="Arial" w:eastAsia="Arial" w:hAnsi="Arial" w:cs="Arial"/>
                <w:color w:val="181818"/>
              </w:rPr>
            </w:pPr>
            <w:r w:rsidRPr="006F623D">
              <w:rPr>
                <w:rFonts w:ascii="Arial" w:eastAsiaTheme="minorEastAsia" w:hAnsi="Arial" w:cs="Arial"/>
                <w:color w:val="181818"/>
              </w:rPr>
              <w:t>Gives future on-chain opportunities such as staking, trading,  lending and borrowing on decentralized market places (if regulatory approved)</w:t>
            </w:r>
          </w:p>
          <w:p w14:paraId="3CF2D8B6" w14:textId="49125AFB" w:rsidR="00B33432" w:rsidRPr="006F623D" w:rsidRDefault="61104FF0" w:rsidP="00BD7569">
            <w:pPr>
              <w:spacing w:after="250" w:line="260" w:lineRule="atLeast"/>
              <w:ind w:left="44"/>
              <w:rPr>
                <w:rFonts w:ascii="Arial" w:eastAsia="Arial" w:hAnsi="Arial" w:cs="Arial"/>
                <w:color w:val="181818"/>
              </w:rPr>
            </w:pPr>
            <w:r w:rsidRPr="006F623D">
              <w:rPr>
                <w:rFonts w:ascii="Arial" w:eastAsiaTheme="minorEastAsia" w:hAnsi="Arial" w:cs="Arial"/>
                <w:color w:val="181818"/>
              </w:rPr>
              <w:t>tracks and monitors risk and return in real-time.</w:t>
            </w:r>
          </w:p>
        </w:tc>
        <w:tc>
          <w:tcPr>
            <w:tcW w:w="0" w:type="auto"/>
          </w:tcPr>
          <w:p w14:paraId="5DF5F4D6" w14:textId="4425DD05" w:rsidR="00B33432" w:rsidRPr="006F623D" w:rsidRDefault="486C6A23" w:rsidP="00BD7569">
            <w:pPr>
              <w:spacing w:after="250" w:line="276" w:lineRule="auto"/>
              <w:rPr>
                <w:rFonts w:ascii="Arial" w:eastAsia="Arial" w:hAnsi="Arial" w:cs="Arial"/>
                <w:color w:val="181818"/>
              </w:rPr>
            </w:pPr>
            <w:r w:rsidRPr="006F623D">
              <w:rPr>
                <w:rFonts w:ascii="Arial" w:eastAsia="Arial" w:hAnsi="Arial" w:cs="Arial"/>
                <w:color w:val="181818"/>
              </w:rPr>
              <w:lastRenderedPageBreak/>
              <w:t>Risk diversification and additional source of performance Derivatives with cash settlement on single crypto assets should be allowed as well. This would be in the interest of investors because it would be more cost efficient than the current repackaging into investable instruments via an investment bank.</w:t>
            </w:r>
          </w:p>
          <w:p w14:paraId="0FB78278" w14:textId="1234DBA5" w:rsidR="00B33432" w:rsidRPr="006F623D" w:rsidRDefault="00B33432" w:rsidP="00BD7569">
            <w:pPr>
              <w:spacing w:after="250" w:line="276" w:lineRule="auto"/>
              <w:rPr>
                <w:rFonts w:ascii="Arial" w:eastAsia="Arial" w:hAnsi="Arial" w:cs="Arial"/>
                <w:color w:val="181818"/>
              </w:rPr>
            </w:pPr>
          </w:p>
        </w:tc>
        <w:tc>
          <w:tcPr>
            <w:tcW w:w="0" w:type="auto"/>
          </w:tcPr>
          <w:p w14:paraId="1FC39945" w14:textId="77777777" w:rsidR="00B33432" w:rsidRPr="006F623D" w:rsidRDefault="00B33432" w:rsidP="00BD7569">
            <w:pPr>
              <w:spacing w:after="250" w:line="276" w:lineRule="auto"/>
              <w:rPr>
                <w:rFonts w:ascii="Arial" w:eastAsia="Arial" w:hAnsi="Arial" w:cs="Arial"/>
                <w:color w:val="181818"/>
              </w:rPr>
            </w:pPr>
          </w:p>
        </w:tc>
        <w:tc>
          <w:tcPr>
            <w:tcW w:w="0" w:type="auto"/>
          </w:tcPr>
          <w:p w14:paraId="16F03E4E" w14:textId="73AA1E78" w:rsidR="00B33432" w:rsidRPr="006F623D" w:rsidRDefault="486C6A23" w:rsidP="00BD7569">
            <w:pPr>
              <w:spacing w:after="250" w:line="276" w:lineRule="auto"/>
              <w:rPr>
                <w:rFonts w:ascii="Arial" w:eastAsia="Arial" w:hAnsi="Arial" w:cs="Arial"/>
                <w:color w:val="181818"/>
              </w:rPr>
            </w:pPr>
            <w:r w:rsidRPr="006F623D">
              <w:rPr>
                <w:rFonts w:ascii="Arial" w:eastAsia="Arial" w:hAnsi="Arial" w:cs="Arial"/>
                <w:color w:val="181818"/>
              </w:rPr>
              <w:t>A new asset class with growing importance. Especially indirect investments are becoming more and more popular.</w:t>
            </w:r>
          </w:p>
          <w:p w14:paraId="0562CB0E" w14:textId="1C78F293" w:rsidR="00B33432" w:rsidRPr="006F623D" w:rsidRDefault="00B33432" w:rsidP="00BD7569">
            <w:pPr>
              <w:spacing w:after="250" w:line="276" w:lineRule="auto"/>
              <w:rPr>
                <w:rFonts w:ascii="Arial" w:eastAsia="Arial" w:hAnsi="Arial" w:cs="Arial"/>
                <w:color w:val="181818"/>
              </w:rPr>
            </w:pPr>
          </w:p>
        </w:tc>
        <w:tc>
          <w:tcPr>
            <w:tcW w:w="0" w:type="auto"/>
          </w:tcPr>
          <w:p w14:paraId="7C05B8DF" w14:textId="3D99CC65" w:rsidR="08A24C08" w:rsidRPr="006F623D" w:rsidRDefault="08A24C08" w:rsidP="00CA24F6">
            <w:pPr>
              <w:spacing w:line="276" w:lineRule="auto"/>
              <w:jc w:val="both"/>
              <w:rPr>
                <w:rFonts w:ascii="Arial" w:eastAsia="Arial" w:hAnsi="Arial" w:cs="Arial"/>
                <w:color w:val="181818"/>
              </w:rPr>
            </w:pPr>
          </w:p>
        </w:tc>
      </w:tr>
      <w:tr w:rsidR="00B33432" w:rsidRPr="006F623D" w14:paraId="6582FE19" w14:textId="77777777" w:rsidTr="008128D7">
        <w:trPr>
          <w:trHeight w:val="1845"/>
        </w:trPr>
        <w:tc>
          <w:tcPr>
            <w:tcW w:w="0" w:type="auto"/>
          </w:tcPr>
          <w:p w14:paraId="73AF3CD4" w14:textId="77777777" w:rsidR="00B33432" w:rsidRPr="006F623D" w:rsidRDefault="00B33432" w:rsidP="00CA24F6">
            <w:pPr>
              <w:spacing w:after="250" w:line="276" w:lineRule="auto"/>
              <w:rPr>
                <w:rFonts w:ascii="Arial" w:eastAsia="Arial" w:hAnsi="Arial" w:cs="Arial"/>
              </w:rPr>
            </w:pPr>
            <w:r w:rsidRPr="006F623D">
              <w:rPr>
                <w:rFonts w:ascii="Arial" w:eastAsia="Arial" w:hAnsi="Arial" w:cs="Arial"/>
              </w:rPr>
              <w:lastRenderedPageBreak/>
              <w:t>8. Commodities and precious metals</w:t>
            </w:r>
            <w:r w:rsidRPr="006F623D">
              <w:rPr>
                <w:rFonts w:ascii="Arial" w:eastAsia="Arial" w:hAnsi="Arial" w:cs="Arial"/>
                <w:vertAlign w:val="superscript"/>
              </w:rPr>
              <w:footnoteReference w:id="9"/>
            </w:r>
          </w:p>
        </w:tc>
        <w:tc>
          <w:tcPr>
            <w:tcW w:w="0" w:type="auto"/>
          </w:tcPr>
          <w:p w14:paraId="46E3C38F" w14:textId="4C4E055D" w:rsidR="0EF653D7" w:rsidRDefault="0EF653D7" w:rsidP="2B971BD2">
            <w:pPr>
              <w:spacing w:after="250" w:line="276" w:lineRule="auto"/>
              <w:rPr>
                <w:rFonts w:ascii="Arial" w:eastAsiaTheme="minorEastAsia" w:hAnsi="Arial" w:cs="Arial"/>
                <w:color w:val="181818"/>
              </w:rPr>
            </w:pPr>
            <w:r w:rsidRPr="2B971BD2">
              <w:rPr>
                <w:rFonts w:ascii="Arial" w:eastAsiaTheme="minorEastAsia" w:hAnsi="Arial" w:cs="Arial"/>
                <w:color w:val="181818"/>
              </w:rPr>
              <w:t xml:space="preserve">Diversification: </w:t>
            </w:r>
            <w:r w:rsidR="53587B47" w:rsidRPr="2B971BD2">
              <w:rPr>
                <w:rFonts w:ascii="Arial" w:eastAsiaTheme="minorEastAsia" w:hAnsi="Arial" w:cs="Arial"/>
                <w:color w:val="181818"/>
              </w:rPr>
              <w:t>Commodities and precious metals</w:t>
            </w:r>
            <w:r w:rsidRPr="2B971BD2">
              <w:rPr>
                <w:rFonts w:ascii="Arial" w:eastAsiaTheme="minorEastAsia" w:hAnsi="Arial" w:cs="Arial"/>
                <w:color w:val="181818"/>
              </w:rPr>
              <w:t xml:space="preserve"> can provide diversification benefits to a UCITS portfolio. </w:t>
            </w:r>
            <w:r w:rsidR="19F4773A" w:rsidRPr="2B971BD2">
              <w:rPr>
                <w:rFonts w:ascii="Arial" w:eastAsiaTheme="minorEastAsia" w:hAnsi="Arial" w:cs="Arial"/>
                <w:color w:val="181818"/>
              </w:rPr>
              <w:t>These investments</w:t>
            </w:r>
            <w:r w:rsidRPr="2B971BD2">
              <w:rPr>
                <w:rFonts w:ascii="Arial" w:eastAsiaTheme="minorEastAsia" w:hAnsi="Arial" w:cs="Arial"/>
                <w:color w:val="181818"/>
              </w:rPr>
              <w:t xml:space="preserve"> tend to have low correlation with traditional asset classes like stocks and bonds, which can help reduce overall portfolio volatility and enhance diversification</w:t>
            </w:r>
          </w:p>
          <w:p w14:paraId="24EA57E4" w14:textId="5E684E64" w:rsidR="09FE9F23" w:rsidRDefault="09FE9F23" w:rsidP="2B971BD2">
            <w:pPr>
              <w:spacing w:after="250" w:line="276" w:lineRule="auto"/>
              <w:rPr>
                <w:rFonts w:ascii="Arial" w:eastAsiaTheme="minorEastAsia" w:hAnsi="Arial" w:cs="Arial"/>
                <w:color w:val="181818"/>
              </w:rPr>
            </w:pPr>
            <w:r w:rsidRPr="2B971BD2">
              <w:rPr>
                <w:rFonts w:ascii="Arial" w:eastAsiaTheme="minorEastAsia" w:hAnsi="Arial" w:cs="Arial"/>
                <w:color w:val="181818"/>
              </w:rPr>
              <w:t>Potential high returns: Commodity</w:t>
            </w:r>
            <w:r w:rsidR="4945EE28" w:rsidRPr="2B971BD2">
              <w:rPr>
                <w:rFonts w:ascii="Arial" w:eastAsiaTheme="minorEastAsia" w:hAnsi="Arial" w:cs="Arial"/>
                <w:color w:val="181818"/>
              </w:rPr>
              <w:t xml:space="preserve"> and precious metals </w:t>
            </w:r>
            <w:r w:rsidRPr="2B971BD2">
              <w:rPr>
                <w:rFonts w:ascii="Arial" w:eastAsiaTheme="minorEastAsia" w:hAnsi="Arial" w:cs="Arial"/>
                <w:color w:val="181818"/>
              </w:rPr>
              <w:t xml:space="preserve"> markets offer investors the opportunity to benefit from short-term price movements. With appropriate market assessment and risk awareness, good returns can be achieved.</w:t>
            </w:r>
          </w:p>
          <w:p w14:paraId="38EF83B5" w14:textId="4FF38755" w:rsidR="57C4B77D" w:rsidRDefault="57C4B77D" w:rsidP="2B971BD2">
            <w:pPr>
              <w:spacing w:after="250" w:line="276" w:lineRule="auto"/>
              <w:rPr>
                <w:rFonts w:ascii="Arial" w:eastAsiaTheme="minorEastAsia" w:hAnsi="Arial" w:cs="Arial"/>
                <w:color w:val="181818"/>
              </w:rPr>
            </w:pPr>
            <w:r w:rsidRPr="2B971BD2">
              <w:rPr>
                <w:rFonts w:ascii="Arial" w:eastAsiaTheme="minorEastAsia" w:hAnsi="Arial" w:cs="Arial"/>
                <w:color w:val="181818"/>
              </w:rPr>
              <w:t>Participation in trends: Commodities</w:t>
            </w:r>
            <w:r w:rsidR="7BDB0CF9" w:rsidRPr="2B971BD2">
              <w:rPr>
                <w:rFonts w:ascii="Arial" w:eastAsiaTheme="minorEastAsia" w:hAnsi="Arial" w:cs="Arial"/>
                <w:color w:val="181818"/>
              </w:rPr>
              <w:t xml:space="preserve"> and precious metals</w:t>
            </w:r>
            <w:r w:rsidRPr="2B971BD2">
              <w:rPr>
                <w:rFonts w:ascii="Arial" w:eastAsiaTheme="minorEastAsia" w:hAnsi="Arial" w:cs="Arial"/>
                <w:color w:val="181818"/>
              </w:rPr>
              <w:t xml:space="preserve"> are closely tied to global trends such as the growing demand for renewable energy, infrastructure development, </w:t>
            </w:r>
            <w:r w:rsidRPr="2B971BD2">
              <w:rPr>
                <w:rFonts w:ascii="Arial" w:eastAsiaTheme="minorEastAsia" w:hAnsi="Arial" w:cs="Arial"/>
                <w:color w:val="181818"/>
              </w:rPr>
              <w:lastRenderedPageBreak/>
              <w:t>increasing consumption, or urbanization. Investment in commodities allows investors to participate in these longer-term trends.</w:t>
            </w:r>
          </w:p>
          <w:p w14:paraId="051719ED" w14:textId="77777777" w:rsidR="0044796B" w:rsidRDefault="0EF653D7" w:rsidP="0044796B">
            <w:pPr>
              <w:spacing w:line="276" w:lineRule="auto"/>
              <w:rPr>
                <w:rFonts w:ascii="Arial" w:eastAsiaTheme="minorEastAsia" w:hAnsi="Arial" w:cs="Arial"/>
                <w:color w:val="181818"/>
              </w:rPr>
            </w:pPr>
            <w:r w:rsidRPr="2B971BD2">
              <w:rPr>
                <w:rFonts w:ascii="Arial" w:eastAsiaTheme="minorEastAsia" w:hAnsi="Arial" w:cs="Arial"/>
                <w:color w:val="181818"/>
              </w:rPr>
              <w:t>Inflation hedge:</w:t>
            </w:r>
            <w:r w:rsidR="0025071F">
              <w:rPr>
                <w:rFonts w:ascii="Arial" w:eastAsiaTheme="minorEastAsia" w:hAnsi="Arial" w:cs="Arial"/>
                <w:color w:val="181818"/>
              </w:rPr>
              <w:t xml:space="preserve"> </w:t>
            </w:r>
          </w:p>
          <w:p w14:paraId="503B245E" w14:textId="5639DE6F" w:rsidR="00B33432" w:rsidRPr="006F623D" w:rsidRDefault="0025071F" w:rsidP="2B971BD2">
            <w:pPr>
              <w:spacing w:after="250" w:line="276" w:lineRule="auto"/>
              <w:rPr>
                <w:rFonts w:ascii="Arial" w:eastAsiaTheme="minorEastAsia" w:hAnsi="Arial" w:cs="Arial"/>
                <w:color w:val="181818"/>
              </w:rPr>
            </w:pPr>
            <w:r>
              <w:rPr>
                <w:rFonts w:ascii="Arial" w:eastAsiaTheme="minorEastAsia" w:hAnsi="Arial" w:cs="Arial"/>
                <w:color w:val="181818"/>
              </w:rPr>
              <w:t>Co</w:t>
            </w:r>
            <w:r w:rsidR="0EF653D7" w:rsidRPr="2B971BD2">
              <w:rPr>
                <w:rFonts w:ascii="Arial" w:eastAsiaTheme="minorEastAsia" w:hAnsi="Arial" w:cs="Arial"/>
                <w:color w:val="181818"/>
              </w:rPr>
              <w:t>mmodities, such as precious metals, have historically acted as an inflation hedge. As commodity prices tend to rise with inflation, including them in a UCITS fund can help protect against the erosion of purchasing power during inflationary periods</w:t>
            </w:r>
          </w:p>
          <w:p w14:paraId="2D7AAC89" w14:textId="77777777" w:rsidR="0044796B" w:rsidRDefault="367677EE" w:rsidP="0044796B">
            <w:pPr>
              <w:spacing w:line="276" w:lineRule="auto"/>
              <w:rPr>
                <w:rFonts w:ascii="Arial" w:eastAsiaTheme="minorEastAsia" w:hAnsi="Arial" w:cs="Arial"/>
                <w:color w:val="181818"/>
              </w:rPr>
            </w:pPr>
            <w:r w:rsidRPr="2B971BD2">
              <w:rPr>
                <w:rFonts w:ascii="Arial" w:eastAsiaTheme="minorEastAsia" w:hAnsi="Arial" w:cs="Arial"/>
                <w:color w:val="181818"/>
              </w:rPr>
              <w:t xml:space="preserve">Hedge against geopolitical risks: </w:t>
            </w:r>
          </w:p>
          <w:p w14:paraId="34CE0A41" w14:textId="52193E5F" w:rsidR="00B33432" w:rsidRPr="006F623D" w:rsidRDefault="367677EE" w:rsidP="2B971BD2">
            <w:pPr>
              <w:spacing w:after="250" w:line="276" w:lineRule="auto"/>
              <w:rPr>
                <w:rFonts w:ascii="Arial" w:eastAsiaTheme="minorEastAsia" w:hAnsi="Arial" w:cs="Arial"/>
                <w:color w:val="181818"/>
              </w:rPr>
            </w:pPr>
            <w:r w:rsidRPr="2B971BD2">
              <w:rPr>
                <w:rFonts w:ascii="Arial" w:eastAsiaTheme="minorEastAsia" w:hAnsi="Arial" w:cs="Arial"/>
                <w:color w:val="181818"/>
              </w:rPr>
              <w:t>Commodities</w:t>
            </w:r>
            <w:r w:rsidR="635AB35E" w:rsidRPr="2B971BD2">
              <w:rPr>
                <w:rFonts w:ascii="Arial" w:eastAsiaTheme="minorEastAsia" w:hAnsi="Arial" w:cs="Arial"/>
                <w:color w:val="181818"/>
              </w:rPr>
              <w:t xml:space="preserve"> and precious metals</w:t>
            </w:r>
            <w:r w:rsidRPr="2B971BD2">
              <w:rPr>
                <w:rFonts w:ascii="Arial" w:eastAsiaTheme="minorEastAsia" w:hAnsi="Arial" w:cs="Arial"/>
                <w:color w:val="181818"/>
              </w:rPr>
              <w:t xml:space="preserve"> are often linked to regional or geopolitical risks. Such exposure can help investors hedge their portfolios as any potential political conflicts or supply disruptions can influence commodity prices.</w:t>
            </w:r>
          </w:p>
        </w:tc>
        <w:tc>
          <w:tcPr>
            <w:tcW w:w="0" w:type="auto"/>
          </w:tcPr>
          <w:p w14:paraId="1F7002FC" w14:textId="780D152E" w:rsidR="7162E772" w:rsidRDefault="7162E772" w:rsidP="2B971BD2">
            <w:pPr>
              <w:spacing w:after="250" w:line="276" w:lineRule="auto"/>
              <w:rPr>
                <w:rFonts w:ascii="Arial" w:eastAsiaTheme="minorEastAsia" w:hAnsi="Arial" w:cs="Arial"/>
                <w:color w:val="181818"/>
              </w:rPr>
            </w:pPr>
            <w:r w:rsidRPr="2B971BD2">
              <w:rPr>
                <w:rFonts w:ascii="Arial" w:eastAsiaTheme="minorEastAsia" w:hAnsi="Arial" w:cs="Arial"/>
                <w:color w:val="181818"/>
              </w:rPr>
              <w:lastRenderedPageBreak/>
              <w:t xml:space="preserve">See left column  </w:t>
            </w:r>
          </w:p>
          <w:p w14:paraId="77BCFA9C" w14:textId="13BC5834" w:rsidR="0EF653D7" w:rsidRPr="006F623D" w:rsidRDefault="0EF653D7" w:rsidP="00CA24F6">
            <w:pPr>
              <w:spacing w:after="250" w:line="276" w:lineRule="auto"/>
              <w:rPr>
                <w:rFonts w:ascii="Arial" w:eastAsiaTheme="minorEastAsia" w:hAnsi="Arial" w:cs="Arial"/>
                <w:color w:val="181818"/>
              </w:rPr>
            </w:pPr>
            <w:r w:rsidRPr="006F623D">
              <w:rPr>
                <w:rFonts w:ascii="Arial" w:eastAsiaTheme="minorEastAsia" w:hAnsi="Arial" w:cs="Arial"/>
                <w:color w:val="181818"/>
              </w:rPr>
              <w:t xml:space="preserve">Risk diversification and additional source of performance </w:t>
            </w:r>
          </w:p>
          <w:p w14:paraId="196D3240" w14:textId="4B0679A1" w:rsidR="2B5E4D42" w:rsidRPr="006F623D" w:rsidRDefault="2B5E4D42" w:rsidP="00CA24F6">
            <w:pPr>
              <w:spacing w:after="250" w:line="276" w:lineRule="auto"/>
              <w:rPr>
                <w:rFonts w:ascii="Arial" w:eastAsia="Arial" w:hAnsi="Arial" w:cs="Arial"/>
              </w:rPr>
            </w:pPr>
            <w:r w:rsidRPr="006F623D">
              <w:rPr>
                <w:rFonts w:ascii="Arial" w:eastAsiaTheme="minorEastAsia" w:hAnsi="Arial" w:cs="Arial"/>
                <w:color w:val="181818"/>
              </w:rPr>
              <w:t>Delta1-instruments are necessary to invest into commodity benchmarks or indices.</w:t>
            </w:r>
          </w:p>
          <w:p w14:paraId="62EBF3C5" w14:textId="70988936" w:rsidR="00B33432" w:rsidRPr="006F623D" w:rsidRDefault="0EF653D7" w:rsidP="00CA24F6">
            <w:pPr>
              <w:spacing w:after="250" w:line="276" w:lineRule="auto"/>
              <w:rPr>
                <w:rFonts w:ascii="Arial" w:eastAsiaTheme="minorEastAsia" w:hAnsi="Arial" w:cs="Arial"/>
                <w:color w:val="181818"/>
              </w:rPr>
            </w:pPr>
            <w:r w:rsidRPr="006F623D">
              <w:rPr>
                <w:rFonts w:ascii="Arial" w:eastAsiaTheme="minorEastAsia" w:hAnsi="Arial" w:cs="Arial"/>
                <w:color w:val="181818"/>
              </w:rPr>
              <w:t>Derivatives with cash settlement on single commodities  should be allowed as well. This would be in the interest of investors because it would be more cost efficient than the current repackaging into investable instruments via an investment bank</w:t>
            </w:r>
          </w:p>
        </w:tc>
        <w:tc>
          <w:tcPr>
            <w:tcW w:w="0" w:type="auto"/>
          </w:tcPr>
          <w:p w14:paraId="6D98A12B" w14:textId="4F0EBE23" w:rsidR="00B33432" w:rsidRPr="006F623D" w:rsidRDefault="05D5AABC" w:rsidP="00CA24F6">
            <w:pPr>
              <w:spacing w:after="250" w:line="276" w:lineRule="auto"/>
              <w:rPr>
                <w:rFonts w:ascii="Arial" w:eastAsia="Arial" w:hAnsi="Arial" w:cs="Arial"/>
                <w:color w:val="181818"/>
              </w:rPr>
            </w:pPr>
            <w:r w:rsidRPr="2B971BD2">
              <w:rPr>
                <w:rFonts w:ascii="Arial" w:eastAsia="Arial" w:hAnsi="Arial" w:cs="Arial"/>
                <w:color w:val="181818"/>
              </w:rPr>
              <w:t>Indirect exposure over all kind of eligible instruments in July 2024: about 3 billion Euro</w:t>
            </w:r>
          </w:p>
        </w:tc>
        <w:tc>
          <w:tcPr>
            <w:tcW w:w="0" w:type="auto"/>
          </w:tcPr>
          <w:p w14:paraId="2946DB82" w14:textId="77777777" w:rsidR="00B33432" w:rsidRPr="006F623D" w:rsidRDefault="00B33432" w:rsidP="00CA24F6">
            <w:pPr>
              <w:spacing w:after="250" w:line="276" w:lineRule="auto"/>
              <w:rPr>
                <w:rFonts w:ascii="Arial" w:eastAsia="Arial" w:hAnsi="Arial" w:cs="Arial"/>
                <w:color w:val="181818"/>
              </w:rPr>
            </w:pPr>
          </w:p>
        </w:tc>
        <w:tc>
          <w:tcPr>
            <w:tcW w:w="0" w:type="auto"/>
          </w:tcPr>
          <w:p w14:paraId="315D20B8" w14:textId="2ACCB6BA" w:rsidR="08A24C08" w:rsidRPr="006F623D" w:rsidRDefault="08A24C08" w:rsidP="00CA24F6">
            <w:pPr>
              <w:spacing w:line="276" w:lineRule="auto"/>
              <w:rPr>
                <w:rFonts w:ascii="Arial" w:eastAsia="Arial" w:hAnsi="Arial" w:cs="Arial"/>
                <w:color w:val="181818"/>
              </w:rPr>
            </w:pPr>
          </w:p>
        </w:tc>
      </w:tr>
      <w:tr w:rsidR="00B33432" w:rsidRPr="006F623D" w14:paraId="1D06A7CA" w14:textId="77777777" w:rsidTr="008128D7">
        <w:trPr>
          <w:trHeight w:val="1815"/>
        </w:trPr>
        <w:tc>
          <w:tcPr>
            <w:tcW w:w="0" w:type="auto"/>
          </w:tcPr>
          <w:p w14:paraId="695108F8" w14:textId="77777777" w:rsidR="00B33432" w:rsidRPr="006F623D" w:rsidRDefault="00B33432" w:rsidP="00BD7569">
            <w:pPr>
              <w:spacing w:after="250" w:line="276" w:lineRule="auto"/>
              <w:rPr>
                <w:rFonts w:ascii="Arial" w:eastAsia="Arial" w:hAnsi="Arial" w:cs="Arial"/>
              </w:rPr>
            </w:pPr>
            <w:r w:rsidRPr="006F623D">
              <w:rPr>
                <w:rFonts w:ascii="Arial" w:eastAsia="Arial" w:hAnsi="Arial" w:cs="Arial"/>
              </w:rPr>
              <w:lastRenderedPageBreak/>
              <w:t>9. Exchange-traded commodities (‘ETCs’)</w:t>
            </w:r>
          </w:p>
        </w:tc>
        <w:tc>
          <w:tcPr>
            <w:tcW w:w="0" w:type="auto"/>
          </w:tcPr>
          <w:p w14:paraId="5997CC1D" w14:textId="4887D7C2" w:rsidR="00B33432" w:rsidRPr="006F623D" w:rsidRDefault="461CD183" w:rsidP="00BD7569">
            <w:pPr>
              <w:spacing w:after="250" w:line="276" w:lineRule="auto"/>
              <w:rPr>
                <w:rFonts w:ascii="Arial" w:eastAsia="Arial" w:hAnsi="Arial" w:cs="Arial"/>
                <w:color w:val="181818"/>
              </w:rPr>
            </w:pPr>
            <w:r w:rsidRPr="2B971BD2">
              <w:rPr>
                <w:rFonts w:ascii="Arial" w:eastAsia="Arial" w:hAnsi="Arial" w:cs="Arial"/>
                <w:color w:val="181818"/>
              </w:rPr>
              <w:t>Risk diversification and additional source of performance Standard instrument for commodity investments</w:t>
            </w:r>
            <w:r w:rsidR="1B8FC7AD" w:rsidRPr="2B971BD2">
              <w:rPr>
                <w:rFonts w:ascii="Arial" w:eastAsia="Arial" w:hAnsi="Arial" w:cs="Arial"/>
                <w:color w:val="181818"/>
              </w:rPr>
              <w:t xml:space="preserve"> (see 8)</w:t>
            </w:r>
          </w:p>
        </w:tc>
        <w:tc>
          <w:tcPr>
            <w:tcW w:w="0" w:type="auto"/>
          </w:tcPr>
          <w:p w14:paraId="110FFD37" w14:textId="51055B3E" w:rsidR="00B33432" w:rsidRPr="006F623D" w:rsidRDefault="461CD183" w:rsidP="00BD7569">
            <w:pPr>
              <w:spacing w:after="250" w:line="276" w:lineRule="auto"/>
              <w:rPr>
                <w:rFonts w:ascii="Arial" w:eastAsia="Arial" w:hAnsi="Arial" w:cs="Arial"/>
                <w:color w:val="181818"/>
              </w:rPr>
            </w:pPr>
            <w:r w:rsidRPr="2B971BD2">
              <w:rPr>
                <w:rFonts w:ascii="Arial" w:eastAsia="Arial" w:hAnsi="Arial" w:cs="Arial"/>
                <w:color w:val="181818"/>
              </w:rPr>
              <w:t>Risk diversification and additional source of performance Standard instrument for commodity investments</w:t>
            </w:r>
            <w:r w:rsidR="0D9D5144" w:rsidRPr="2B971BD2">
              <w:rPr>
                <w:rFonts w:ascii="Arial" w:eastAsia="Arial" w:hAnsi="Arial" w:cs="Arial"/>
                <w:color w:val="181818"/>
              </w:rPr>
              <w:t xml:space="preserve"> (see 8)</w:t>
            </w:r>
          </w:p>
        </w:tc>
        <w:tc>
          <w:tcPr>
            <w:tcW w:w="0" w:type="auto"/>
          </w:tcPr>
          <w:p w14:paraId="6B699379" w14:textId="77777777" w:rsidR="00B33432" w:rsidRPr="006F623D" w:rsidRDefault="00B33432" w:rsidP="00BD7569">
            <w:pPr>
              <w:spacing w:after="250" w:line="276" w:lineRule="auto"/>
              <w:rPr>
                <w:rFonts w:ascii="Arial" w:eastAsia="Arial" w:hAnsi="Arial" w:cs="Arial"/>
                <w:color w:val="181818"/>
              </w:rPr>
            </w:pPr>
          </w:p>
        </w:tc>
        <w:tc>
          <w:tcPr>
            <w:tcW w:w="0" w:type="auto"/>
          </w:tcPr>
          <w:p w14:paraId="3FE9F23F" w14:textId="77777777" w:rsidR="00B33432" w:rsidRPr="006F623D" w:rsidRDefault="00B33432" w:rsidP="00BD7569">
            <w:pPr>
              <w:spacing w:after="250" w:line="276" w:lineRule="auto"/>
              <w:rPr>
                <w:rFonts w:ascii="Arial" w:eastAsia="Arial" w:hAnsi="Arial" w:cs="Arial"/>
                <w:color w:val="181818"/>
              </w:rPr>
            </w:pPr>
          </w:p>
        </w:tc>
        <w:tc>
          <w:tcPr>
            <w:tcW w:w="0" w:type="auto"/>
          </w:tcPr>
          <w:p w14:paraId="64052DC0" w14:textId="22DF623B" w:rsidR="08A24C08" w:rsidRPr="006F623D" w:rsidRDefault="08A24C08" w:rsidP="00BD7569">
            <w:pPr>
              <w:spacing w:line="276" w:lineRule="auto"/>
              <w:rPr>
                <w:rFonts w:ascii="Arial" w:eastAsia="Arial" w:hAnsi="Arial" w:cs="Arial"/>
                <w:color w:val="181818"/>
              </w:rPr>
            </w:pPr>
          </w:p>
        </w:tc>
      </w:tr>
      <w:tr w:rsidR="00B33432" w:rsidRPr="006F623D" w14:paraId="241FBBEE" w14:textId="77777777" w:rsidTr="008128D7">
        <w:trPr>
          <w:trHeight w:val="2767"/>
        </w:trPr>
        <w:tc>
          <w:tcPr>
            <w:tcW w:w="0" w:type="auto"/>
          </w:tcPr>
          <w:p w14:paraId="168EC9A2" w14:textId="77777777" w:rsidR="00B33432" w:rsidRPr="006F623D" w:rsidRDefault="00B33432" w:rsidP="00BD7569">
            <w:pPr>
              <w:spacing w:after="250" w:line="276" w:lineRule="auto"/>
              <w:rPr>
                <w:rFonts w:ascii="Arial" w:eastAsia="Arial" w:hAnsi="Arial" w:cs="Arial"/>
              </w:rPr>
            </w:pPr>
            <w:r w:rsidRPr="006F623D">
              <w:rPr>
                <w:rFonts w:ascii="Arial" w:eastAsia="Arial" w:hAnsi="Arial" w:cs="Arial"/>
              </w:rPr>
              <w:t>10. Real estate</w:t>
            </w:r>
          </w:p>
        </w:tc>
        <w:tc>
          <w:tcPr>
            <w:tcW w:w="0" w:type="auto"/>
          </w:tcPr>
          <w:p w14:paraId="1F72F646" w14:textId="77777777" w:rsidR="00B33432" w:rsidRPr="006F623D" w:rsidRDefault="00B33432" w:rsidP="00BD7569">
            <w:pPr>
              <w:spacing w:after="250" w:line="276" w:lineRule="auto"/>
              <w:rPr>
                <w:rFonts w:ascii="Arial" w:eastAsia="Arial" w:hAnsi="Arial" w:cs="Arial"/>
                <w:color w:val="181818"/>
              </w:rPr>
            </w:pPr>
          </w:p>
        </w:tc>
        <w:tc>
          <w:tcPr>
            <w:tcW w:w="0" w:type="auto"/>
          </w:tcPr>
          <w:p w14:paraId="08CE6F91" w14:textId="77777777" w:rsidR="00B33432" w:rsidRPr="006F623D" w:rsidRDefault="00B33432" w:rsidP="00BD7569">
            <w:pPr>
              <w:spacing w:after="250" w:line="276" w:lineRule="auto"/>
              <w:rPr>
                <w:rFonts w:ascii="Arial" w:eastAsia="Arial" w:hAnsi="Arial" w:cs="Arial"/>
                <w:color w:val="181818"/>
              </w:rPr>
            </w:pPr>
          </w:p>
        </w:tc>
        <w:tc>
          <w:tcPr>
            <w:tcW w:w="0" w:type="auto"/>
          </w:tcPr>
          <w:p w14:paraId="61CDCEAD" w14:textId="77777777" w:rsidR="00B33432" w:rsidRPr="006F623D" w:rsidRDefault="00B33432" w:rsidP="00BD7569">
            <w:pPr>
              <w:spacing w:after="250" w:line="276" w:lineRule="auto"/>
              <w:rPr>
                <w:rFonts w:ascii="Arial" w:eastAsia="Arial" w:hAnsi="Arial" w:cs="Arial"/>
                <w:color w:val="181818"/>
              </w:rPr>
            </w:pPr>
          </w:p>
        </w:tc>
        <w:tc>
          <w:tcPr>
            <w:tcW w:w="0" w:type="auto"/>
          </w:tcPr>
          <w:p w14:paraId="6BB9E253" w14:textId="636BD2E1" w:rsidR="00B33432" w:rsidRPr="006F623D" w:rsidRDefault="6D3D242E" w:rsidP="00BD7569">
            <w:pPr>
              <w:spacing w:after="250" w:line="276" w:lineRule="auto"/>
              <w:rPr>
                <w:rFonts w:ascii="Arial" w:eastAsia="Arial" w:hAnsi="Arial" w:cs="Arial"/>
                <w:color w:val="181818"/>
              </w:rPr>
            </w:pPr>
            <w:r w:rsidRPr="006F623D">
              <w:rPr>
                <w:rFonts w:ascii="Arial" w:eastAsia="Arial" w:hAnsi="Arial" w:cs="Arial"/>
                <w:color w:val="181818"/>
              </w:rPr>
              <w:t>Indirect exposure via e.g. liquid German, Austrian or French real estate funds would give multi asset funds more diversification and attractive risk-/return-Profiles</w:t>
            </w:r>
          </w:p>
        </w:tc>
        <w:tc>
          <w:tcPr>
            <w:tcW w:w="0" w:type="auto"/>
          </w:tcPr>
          <w:p w14:paraId="29FCA108" w14:textId="51C5BBE2" w:rsidR="08A24C08" w:rsidRPr="006F623D" w:rsidRDefault="08A24C08" w:rsidP="00BD7569">
            <w:pPr>
              <w:spacing w:line="276" w:lineRule="auto"/>
              <w:rPr>
                <w:rFonts w:ascii="Arial" w:eastAsia="Arial" w:hAnsi="Arial" w:cs="Arial"/>
                <w:color w:val="181818"/>
              </w:rPr>
            </w:pPr>
          </w:p>
        </w:tc>
      </w:tr>
      <w:tr w:rsidR="00B33432" w:rsidRPr="006F623D" w14:paraId="7FD6362C" w14:textId="77777777" w:rsidTr="008128D7">
        <w:trPr>
          <w:trHeight w:val="300"/>
        </w:trPr>
        <w:tc>
          <w:tcPr>
            <w:tcW w:w="0" w:type="auto"/>
          </w:tcPr>
          <w:p w14:paraId="146B0B65" w14:textId="77777777" w:rsidR="00B33432" w:rsidRPr="006F623D" w:rsidRDefault="00B33432" w:rsidP="00BD7569">
            <w:pPr>
              <w:spacing w:after="250" w:line="276" w:lineRule="auto"/>
              <w:rPr>
                <w:rFonts w:ascii="Arial" w:eastAsia="Arial" w:hAnsi="Arial" w:cs="Arial"/>
              </w:rPr>
            </w:pPr>
            <w:r w:rsidRPr="006F623D">
              <w:rPr>
                <w:rFonts w:ascii="Arial" w:eastAsia="Arial" w:hAnsi="Arial" w:cs="Arial"/>
              </w:rPr>
              <w:t>11. Real Estate Investment Trusts (‘REITs’)</w:t>
            </w:r>
          </w:p>
        </w:tc>
        <w:tc>
          <w:tcPr>
            <w:tcW w:w="0" w:type="auto"/>
          </w:tcPr>
          <w:p w14:paraId="2D65794A" w14:textId="5F637740" w:rsidR="00B33432" w:rsidRPr="006F623D" w:rsidRDefault="5FE283B9" w:rsidP="00BD7569">
            <w:pPr>
              <w:spacing w:after="250" w:line="276" w:lineRule="auto"/>
              <w:rPr>
                <w:rFonts w:ascii="Arial" w:eastAsia="Arial" w:hAnsi="Arial" w:cs="Arial"/>
                <w:color w:val="181818"/>
              </w:rPr>
            </w:pPr>
            <w:r w:rsidRPr="006F623D">
              <w:rPr>
                <w:rFonts w:ascii="Arial" w:eastAsiaTheme="minorEastAsia" w:hAnsi="Arial" w:cs="Arial"/>
                <w:color w:val="181818"/>
              </w:rPr>
              <w:t>Risk diversification and additional source of performance</w:t>
            </w:r>
          </w:p>
          <w:p w14:paraId="23DE523C" w14:textId="1680B364" w:rsidR="00B33432" w:rsidRPr="006F623D" w:rsidRDefault="00B33432" w:rsidP="00BD7569">
            <w:pPr>
              <w:spacing w:after="250" w:line="276" w:lineRule="auto"/>
              <w:rPr>
                <w:rFonts w:ascii="Arial" w:eastAsia="Arial" w:hAnsi="Arial" w:cs="Arial"/>
                <w:color w:val="181818"/>
              </w:rPr>
            </w:pPr>
          </w:p>
        </w:tc>
        <w:tc>
          <w:tcPr>
            <w:tcW w:w="0" w:type="auto"/>
          </w:tcPr>
          <w:p w14:paraId="6D9ABC41" w14:textId="37D1FF6E" w:rsidR="00B33432" w:rsidRPr="006F623D" w:rsidRDefault="20398A47" w:rsidP="00BD7569">
            <w:pPr>
              <w:pStyle w:val="TableParagraph"/>
              <w:spacing w:before="2"/>
              <w:rPr>
                <w:color w:val="181818"/>
              </w:rPr>
            </w:pPr>
            <w:r w:rsidRPr="006F623D">
              <w:rPr>
                <w:rFonts w:eastAsiaTheme="minorEastAsia"/>
                <w:color w:val="181818"/>
              </w:rPr>
              <w:t>All kind of indirect exposures offer easy and flexible access to the REITs-market</w:t>
            </w:r>
          </w:p>
          <w:p w14:paraId="52E56223" w14:textId="4584AF9C" w:rsidR="00B33432" w:rsidRPr="006F623D" w:rsidRDefault="00B33432" w:rsidP="00BD7569">
            <w:pPr>
              <w:spacing w:after="250" w:line="276" w:lineRule="auto"/>
              <w:rPr>
                <w:rFonts w:ascii="Arial" w:eastAsia="Arial" w:hAnsi="Arial" w:cs="Arial"/>
                <w:color w:val="181818"/>
              </w:rPr>
            </w:pPr>
          </w:p>
        </w:tc>
        <w:tc>
          <w:tcPr>
            <w:tcW w:w="0" w:type="auto"/>
          </w:tcPr>
          <w:p w14:paraId="07547A01" w14:textId="173F5F9F" w:rsidR="00B33432" w:rsidRPr="006F623D" w:rsidRDefault="611AA095" w:rsidP="00BD7569">
            <w:pPr>
              <w:spacing w:after="250" w:line="276" w:lineRule="auto"/>
              <w:rPr>
                <w:rFonts w:ascii="Arial" w:eastAsia="Arial" w:hAnsi="Arial" w:cs="Arial"/>
                <w:color w:val="181818"/>
              </w:rPr>
            </w:pPr>
            <w:r w:rsidRPr="2B971BD2">
              <w:rPr>
                <w:rFonts w:ascii="Arial" w:eastAsia="Arial" w:hAnsi="Arial" w:cs="Arial"/>
                <w:color w:val="181818"/>
              </w:rPr>
              <w:t>Direct and indirect exposure of REITs in July 2024: about 1.3 billion Euro</w:t>
            </w:r>
          </w:p>
        </w:tc>
        <w:tc>
          <w:tcPr>
            <w:tcW w:w="0" w:type="auto"/>
          </w:tcPr>
          <w:p w14:paraId="5043CB0F" w14:textId="5E631C08" w:rsidR="00B33432" w:rsidRPr="006F623D" w:rsidRDefault="5FE283B9" w:rsidP="00BD7569">
            <w:pPr>
              <w:spacing w:after="250" w:line="276" w:lineRule="auto"/>
              <w:rPr>
                <w:rFonts w:ascii="Arial" w:eastAsia="Arial" w:hAnsi="Arial" w:cs="Arial"/>
                <w:color w:val="181818"/>
              </w:rPr>
            </w:pPr>
            <w:r w:rsidRPr="006F623D">
              <w:rPr>
                <w:rFonts w:ascii="Arial" w:eastAsia="Arial" w:hAnsi="Arial" w:cs="Arial"/>
                <w:color w:val="181818"/>
              </w:rPr>
              <w:t xml:space="preserve">Exchange traded REITs should be allowed in any </w:t>
            </w:r>
            <w:proofErr w:type="spellStart"/>
            <w:r w:rsidRPr="006F623D">
              <w:rPr>
                <w:rFonts w:ascii="Arial" w:eastAsia="Arial" w:hAnsi="Arial" w:cs="Arial"/>
                <w:color w:val="181818"/>
              </w:rPr>
              <w:t>case:In</w:t>
            </w:r>
            <w:proofErr w:type="spellEnd"/>
            <w:r w:rsidRPr="006F623D">
              <w:rPr>
                <w:rFonts w:ascii="Arial" w:eastAsia="Arial" w:hAnsi="Arial" w:cs="Arial"/>
                <w:color w:val="181818"/>
              </w:rPr>
              <w:t xml:space="preserve"> practice it is difficult to distinguish whether shares in REITs should be treated as securities or as AIF. The reason is that it is not always easy to separate an investment strategy and a corporate strategy. </w:t>
            </w:r>
            <w:r w:rsidR="00B33432" w:rsidRPr="006F623D">
              <w:rPr>
                <w:rFonts w:ascii="Arial" w:hAnsi="Arial" w:cs="Arial"/>
              </w:rPr>
              <w:br/>
            </w:r>
            <w:r w:rsidR="00B33432" w:rsidRPr="006F623D">
              <w:rPr>
                <w:rFonts w:ascii="Arial" w:hAnsi="Arial" w:cs="Arial"/>
              </w:rPr>
              <w:lastRenderedPageBreak/>
              <w:br/>
            </w:r>
            <w:r w:rsidRPr="006F623D">
              <w:rPr>
                <w:rFonts w:ascii="Arial" w:eastAsia="Arial" w:hAnsi="Arial" w:cs="Arial"/>
                <w:color w:val="181818"/>
              </w:rPr>
              <w:t>Solution for this difficulty: Exchange-traded REITs should be allowed as securities if they meet the securities criteria of the Eligible Assets Directive. In the case of non-exchange-traded REITs, it is still advisable to examine each case on a case-by-case basis.</w:t>
            </w:r>
          </w:p>
        </w:tc>
        <w:tc>
          <w:tcPr>
            <w:tcW w:w="0" w:type="auto"/>
          </w:tcPr>
          <w:p w14:paraId="1CEA3410" w14:textId="34E991C6" w:rsidR="08A24C08" w:rsidRPr="006F623D" w:rsidRDefault="08A24C08" w:rsidP="00BD7569">
            <w:pPr>
              <w:spacing w:line="276" w:lineRule="auto"/>
              <w:rPr>
                <w:rFonts w:ascii="Arial" w:eastAsia="Arial" w:hAnsi="Arial" w:cs="Arial"/>
                <w:color w:val="181818"/>
              </w:rPr>
            </w:pPr>
          </w:p>
        </w:tc>
      </w:tr>
      <w:tr w:rsidR="00B33432" w:rsidRPr="006F623D" w14:paraId="585437CF" w14:textId="77777777" w:rsidTr="008128D7">
        <w:trPr>
          <w:trHeight w:val="300"/>
        </w:trPr>
        <w:tc>
          <w:tcPr>
            <w:tcW w:w="0" w:type="auto"/>
          </w:tcPr>
          <w:p w14:paraId="17F5DE1B" w14:textId="77777777" w:rsidR="00B33432" w:rsidRPr="006F623D" w:rsidRDefault="00B33432" w:rsidP="00BD7569">
            <w:pPr>
              <w:spacing w:after="250" w:line="276" w:lineRule="auto"/>
              <w:rPr>
                <w:rFonts w:ascii="Arial" w:eastAsia="Arial" w:hAnsi="Arial" w:cs="Arial"/>
              </w:rPr>
            </w:pPr>
            <w:r w:rsidRPr="006F623D">
              <w:rPr>
                <w:rFonts w:ascii="Arial" w:eastAsia="Arial" w:hAnsi="Arial" w:cs="Arial"/>
              </w:rPr>
              <w:t>12. Special Purpose Acquisition Companies (‘SPACs’)</w:t>
            </w:r>
          </w:p>
        </w:tc>
        <w:tc>
          <w:tcPr>
            <w:tcW w:w="0" w:type="auto"/>
          </w:tcPr>
          <w:p w14:paraId="10EEFFED" w14:textId="7363ACA9" w:rsidR="00B33432" w:rsidRPr="006F623D" w:rsidRDefault="7D29F2C3" w:rsidP="00BD7569">
            <w:pPr>
              <w:spacing w:after="250" w:line="276" w:lineRule="auto"/>
              <w:rPr>
                <w:rFonts w:ascii="Arial" w:eastAsia="Arial" w:hAnsi="Arial" w:cs="Arial"/>
                <w:color w:val="181818"/>
              </w:rPr>
            </w:pPr>
            <w:r w:rsidRPr="006F623D">
              <w:rPr>
                <w:rFonts w:ascii="Arial" w:eastAsia="Arial" w:hAnsi="Arial" w:cs="Arial"/>
                <w:color w:val="181818"/>
              </w:rPr>
              <w:t>Risk diversification and additional source of performance</w:t>
            </w:r>
          </w:p>
          <w:p w14:paraId="07459315" w14:textId="36FF791D" w:rsidR="00B33432" w:rsidRPr="006F623D" w:rsidRDefault="00B33432" w:rsidP="00BD7569">
            <w:pPr>
              <w:spacing w:after="250" w:line="276" w:lineRule="auto"/>
              <w:rPr>
                <w:rFonts w:ascii="Arial" w:eastAsia="Arial" w:hAnsi="Arial" w:cs="Arial"/>
                <w:color w:val="181818"/>
              </w:rPr>
            </w:pPr>
          </w:p>
        </w:tc>
        <w:tc>
          <w:tcPr>
            <w:tcW w:w="0" w:type="auto"/>
          </w:tcPr>
          <w:p w14:paraId="6537F28F" w14:textId="77777777" w:rsidR="00B33432" w:rsidRPr="006F623D" w:rsidRDefault="00B33432" w:rsidP="00BD7569">
            <w:pPr>
              <w:spacing w:after="250" w:line="276" w:lineRule="auto"/>
              <w:rPr>
                <w:rFonts w:ascii="Arial" w:eastAsia="Arial" w:hAnsi="Arial" w:cs="Arial"/>
                <w:color w:val="181818"/>
              </w:rPr>
            </w:pPr>
          </w:p>
        </w:tc>
        <w:tc>
          <w:tcPr>
            <w:tcW w:w="0" w:type="auto"/>
          </w:tcPr>
          <w:p w14:paraId="6DFB9E20" w14:textId="77777777" w:rsidR="00B33432" w:rsidRPr="006F623D" w:rsidRDefault="00B33432" w:rsidP="00BD7569">
            <w:pPr>
              <w:spacing w:after="250" w:line="276" w:lineRule="auto"/>
              <w:rPr>
                <w:rFonts w:ascii="Arial" w:eastAsia="Arial" w:hAnsi="Arial" w:cs="Arial"/>
                <w:color w:val="181818"/>
              </w:rPr>
            </w:pPr>
          </w:p>
        </w:tc>
        <w:tc>
          <w:tcPr>
            <w:tcW w:w="0" w:type="auto"/>
          </w:tcPr>
          <w:p w14:paraId="70DF9E56" w14:textId="7C5DF1D2" w:rsidR="00B33432" w:rsidRPr="006F623D" w:rsidRDefault="7D29F2C3" w:rsidP="00BD7569">
            <w:pPr>
              <w:spacing w:after="250" w:line="276" w:lineRule="auto"/>
              <w:rPr>
                <w:rFonts w:ascii="Arial" w:eastAsia="Arial" w:hAnsi="Arial" w:cs="Arial"/>
                <w:color w:val="181818"/>
              </w:rPr>
            </w:pPr>
            <w:r w:rsidRPr="2B971BD2">
              <w:rPr>
                <w:rFonts w:ascii="Arial" w:eastAsia="Arial" w:hAnsi="Arial" w:cs="Arial"/>
                <w:color w:val="181818"/>
              </w:rPr>
              <w:t>From time to time an attractive opportunity for some equity funds</w:t>
            </w:r>
            <w:r w:rsidR="3274DE29" w:rsidRPr="2B971BD2">
              <w:rPr>
                <w:rFonts w:ascii="Arial" w:eastAsia="Arial" w:hAnsi="Arial" w:cs="Arial"/>
                <w:color w:val="181818"/>
              </w:rPr>
              <w:t xml:space="preserve">. </w:t>
            </w:r>
            <w:r w:rsidRPr="2B971BD2">
              <w:rPr>
                <w:rFonts w:ascii="Arial" w:eastAsia="Arial" w:hAnsi="Arial" w:cs="Arial"/>
                <w:color w:val="181818"/>
              </w:rPr>
              <w:t>Combination of eligible assets (stock and warrant)</w:t>
            </w:r>
          </w:p>
        </w:tc>
        <w:tc>
          <w:tcPr>
            <w:tcW w:w="0" w:type="auto"/>
          </w:tcPr>
          <w:p w14:paraId="45E99645" w14:textId="2F506F74" w:rsidR="08A24C08" w:rsidRPr="006F623D" w:rsidRDefault="08A24C08" w:rsidP="00BD7569">
            <w:pPr>
              <w:spacing w:line="276" w:lineRule="auto"/>
              <w:rPr>
                <w:rFonts w:ascii="Arial" w:eastAsia="Arial" w:hAnsi="Arial" w:cs="Arial"/>
                <w:color w:val="181818"/>
              </w:rPr>
            </w:pPr>
          </w:p>
        </w:tc>
      </w:tr>
      <w:tr w:rsidR="00B33432" w:rsidRPr="006F623D" w14:paraId="72D194A9" w14:textId="77777777" w:rsidTr="008128D7">
        <w:trPr>
          <w:trHeight w:val="300"/>
        </w:trPr>
        <w:tc>
          <w:tcPr>
            <w:tcW w:w="0" w:type="auto"/>
          </w:tcPr>
          <w:p w14:paraId="31158681" w14:textId="77777777" w:rsidR="00B33432" w:rsidRPr="006F623D" w:rsidRDefault="00B33432" w:rsidP="00BD7569">
            <w:pPr>
              <w:spacing w:after="250" w:line="276" w:lineRule="auto"/>
              <w:rPr>
                <w:rFonts w:ascii="Arial" w:eastAsia="Arial" w:hAnsi="Arial" w:cs="Arial"/>
              </w:rPr>
            </w:pPr>
            <w:r w:rsidRPr="006F623D">
              <w:rPr>
                <w:rFonts w:ascii="Arial" w:eastAsia="Arial" w:hAnsi="Arial" w:cs="Arial"/>
              </w:rPr>
              <w:t>13. EU AIFs</w:t>
            </w:r>
            <w:r w:rsidRPr="006F623D">
              <w:rPr>
                <w:rFonts w:ascii="Arial" w:eastAsia="Arial" w:hAnsi="Arial" w:cs="Arial"/>
                <w:vertAlign w:val="superscript"/>
              </w:rPr>
              <w:footnoteReference w:id="10"/>
            </w:r>
          </w:p>
        </w:tc>
        <w:tc>
          <w:tcPr>
            <w:tcW w:w="0" w:type="auto"/>
          </w:tcPr>
          <w:p w14:paraId="50982A04" w14:textId="7E2C6363" w:rsidR="00B33432" w:rsidRPr="006F623D" w:rsidRDefault="6D328959" w:rsidP="00BD7569">
            <w:pPr>
              <w:spacing w:after="250" w:line="276" w:lineRule="auto"/>
              <w:rPr>
                <w:rFonts w:ascii="Arial" w:eastAsia="Arial" w:hAnsi="Arial" w:cs="Arial"/>
                <w:color w:val="181818"/>
              </w:rPr>
            </w:pPr>
            <w:r w:rsidRPr="006F623D">
              <w:rPr>
                <w:rFonts w:ascii="Arial" w:eastAsia="Arial" w:hAnsi="Arial" w:cs="Arial"/>
                <w:color w:val="181818"/>
              </w:rPr>
              <w:t>Closed-ended (e.g. infrastructure and private equity exposure):</w:t>
            </w:r>
          </w:p>
          <w:p w14:paraId="6B167A14" w14:textId="77777777" w:rsidR="00FF727F" w:rsidRDefault="6D328959" w:rsidP="00FF727F">
            <w:pPr>
              <w:spacing w:line="276" w:lineRule="auto"/>
              <w:rPr>
                <w:rFonts w:ascii="Arial" w:eastAsia="Arial" w:hAnsi="Arial" w:cs="Arial"/>
                <w:color w:val="181818"/>
              </w:rPr>
            </w:pPr>
            <w:r w:rsidRPr="006F623D">
              <w:rPr>
                <w:rFonts w:ascii="Arial" w:eastAsia="Arial" w:hAnsi="Arial" w:cs="Arial"/>
                <w:color w:val="181818"/>
              </w:rPr>
              <w:t xml:space="preserve">Diversification: </w:t>
            </w:r>
          </w:p>
          <w:p w14:paraId="7F1CDD58" w14:textId="415B6AA1" w:rsidR="00B33432" w:rsidRPr="006F623D" w:rsidRDefault="6D328959" w:rsidP="00BD7569">
            <w:pPr>
              <w:spacing w:after="250" w:line="276" w:lineRule="auto"/>
              <w:rPr>
                <w:rFonts w:ascii="Arial" w:eastAsia="Arial" w:hAnsi="Arial" w:cs="Arial"/>
                <w:color w:val="181818"/>
              </w:rPr>
            </w:pPr>
            <w:r w:rsidRPr="006F623D">
              <w:rPr>
                <w:rFonts w:ascii="Arial" w:eastAsia="Arial" w:hAnsi="Arial" w:cs="Arial"/>
                <w:color w:val="181818"/>
              </w:rPr>
              <w:lastRenderedPageBreak/>
              <w:t>Private equity and infrastructure investments provide exposure to a distinct asset class with the potential for higher returns and low correlation with traditional asset classes Including closed-ended funds in a UCITS portfolio can enhance diversification and reduce portfolio risk.</w:t>
            </w:r>
          </w:p>
          <w:p w14:paraId="26F277C2" w14:textId="77777777" w:rsidR="00FF727F" w:rsidRDefault="6D328959" w:rsidP="00FF727F">
            <w:pPr>
              <w:spacing w:line="276" w:lineRule="auto"/>
              <w:rPr>
                <w:rFonts w:ascii="Arial" w:eastAsia="Arial" w:hAnsi="Arial" w:cs="Arial"/>
                <w:color w:val="181818"/>
              </w:rPr>
            </w:pPr>
            <w:r w:rsidRPr="006F623D">
              <w:rPr>
                <w:rFonts w:ascii="Arial" w:eastAsia="Arial" w:hAnsi="Arial" w:cs="Arial"/>
                <w:color w:val="181818"/>
              </w:rPr>
              <w:t xml:space="preserve">Access to opportunities of unlisted companies and infrastructure: </w:t>
            </w:r>
          </w:p>
          <w:p w14:paraId="4A21FF78" w14:textId="1D24C6FC" w:rsidR="00B33432" w:rsidRPr="006F623D" w:rsidRDefault="6D328959" w:rsidP="00BD7569">
            <w:pPr>
              <w:spacing w:after="250" w:line="276" w:lineRule="auto"/>
              <w:rPr>
                <w:rFonts w:ascii="Arial" w:eastAsia="Arial" w:hAnsi="Arial" w:cs="Arial"/>
                <w:color w:val="181818"/>
              </w:rPr>
            </w:pPr>
            <w:r w:rsidRPr="006F623D">
              <w:rPr>
                <w:rFonts w:ascii="Arial" w:eastAsia="Arial" w:hAnsi="Arial" w:cs="Arial"/>
                <w:color w:val="181818"/>
              </w:rPr>
              <w:t xml:space="preserve">Private equity funds invest in privately held companies that are not listed on public exchanges or infrastructure. Infrastructure Strategies </w:t>
            </w:r>
          </w:p>
          <w:p w14:paraId="50BDA958" w14:textId="77777777" w:rsidR="00FF727F" w:rsidRDefault="6D328959" w:rsidP="00FF727F">
            <w:pPr>
              <w:spacing w:line="276" w:lineRule="auto"/>
              <w:rPr>
                <w:rFonts w:ascii="Arial" w:eastAsia="Arial" w:hAnsi="Arial" w:cs="Arial"/>
                <w:color w:val="181818"/>
              </w:rPr>
            </w:pPr>
            <w:r w:rsidRPr="006F623D">
              <w:rPr>
                <w:rFonts w:ascii="Arial" w:eastAsia="Arial" w:hAnsi="Arial" w:cs="Arial"/>
                <w:color w:val="181818"/>
              </w:rPr>
              <w:t>Social Impact:</w:t>
            </w:r>
          </w:p>
          <w:p w14:paraId="44E871BC" w14:textId="529A11FD" w:rsidR="00B33432" w:rsidRPr="006F623D" w:rsidRDefault="6D328959" w:rsidP="00BD7569">
            <w:pPr>
              <w:spacing w:after="250" w:line="276" w:lineRule="auto"/>
              <w:rPr>
                <w:rFonts w:ascii="Arial" w:eastAsia="Arial" w:hAnsi="Arial" w:cs="Arial"/>
                <w:color w:val="181818"/>
              </w:rPr>
            </w:pPr>
            <w:r w:rsidRPr="006F623D">
              <w:rPr>
                <w:rFonts w:ascii="Arial" w:eastAsia="Arial" w:hAnsi="Arial" w:cs="Arial"/>
                <w:color w:val="181818"/>
              </w:rPr>
              <w:t>Infrastructure investments often have a positive impact on society</w:t>
            </w:r>
            <w:r w:rsidR="38A95A7C" w:rsidRPr="006F623D">
              <w:rPr>
                <w:rFonts w:ascii="Arial" w:eastAsia="Arial" w:hAnsi="Arial" w:cs="Arial"/>
                <w:color w:val="181818"/>
              </w:rPr>
              <w:t>.</w:t>
            </w:r>
            <w:r w:rsidRPr="006F623D">
              <w:rPr>
                <w:rFonts w:ascii="Arial" w:eastAsia="Arial" w:hAnsi="Arial" w:cs="Arial"/>
                <w:color w:val="181818"/>
              </w:rPr>
              <w:t xml:space="preserve"> </w:t>
            </w:r>
          </w:p>
        </w:tc>
        <w:tc>
          <w:tcPr>
            <w:tcW w:w="0" w:type="auto"/>
          </w:tcPr>
          <w:p w14:paraId="144A5D23" w14:textId="77777777" w:rsidR="00B33432" w:rsidRPr="006F623D" w:rsidRDefault="00B33432" w:rsidP="00BD7569">
            <w:pPr>
              <w:spacing w:after="250" w:line="276" w:lineRule="auto"/>
              <w:rPr>
                <w:rFonts w:ascii="Arial" w:eastAsia="Arial" w:hAnsi="Arial" w:cs="Arial"/>
                <w:color w:val="181818"/>
              </w:rPr>
            </w:pPr>
          </w:p>
        </w:tc>
        <w:tc>
          <w:tcPr>
            <w:tcW w:w="0" w:type="auto"/>
          </w:tcPr>
          <w:p w14:paraId="738610EB" w14:textId="77777777" w:rsidR="00B33432" w:rsidRPr="006F623D" w:rsidRDefault="00B33432" w:rsidP="00BD7569">
            <w:pPr>
              <w:spacing w:after="250" w:line="276" w:lineRule="auto"/>
              <w:rPr>
                <w:rFonts w:ascii="Arial" w:eastAsia="Arial" w:hAnsi="Arial" w:cs="Arial"/>
                <w:color w:val="181818"/>
              </w:rPr>
            </w:pPr>
          </w:p>
        </w:tc>
        <w:tc>
          <w:tcPr>
            <w:tcW w:w="0" w:type="auto"/>
          </w:tcPr>
          <w:p w14:paraId="637805D2" w14:textId="120E7494" w:rsidR="00B33432" w:rsidRPr="006F623D" w:rsidRDefault="6D328959" w:rsidP="00BD7569">
            <w:pPr>
              <w:spacing w:after="250" w:line="276" w:lineRule="auto"/>
              <w:rPr>
                <w:rFonts w:ascii="Arial" w:eastAsia="Arial" w:hAnsi="Arial" w:cs="Arial"/>
                <w:color w:val="181818"/>
              </w:rPr>
            </w:pPr>
            <w:r w:rsidRPr="006F623D">
              <w:rPr>
                <w:rFonts w:ascii="Arial" w:eastAsia="Arial" w:hAnsi="Arial" w:cs="Arial"/>
                <w:color w:val="181818"/>
              </w:rPr>
              <w:t>Should be allowed if UCITS requirements are fulfilled</w:t>
            </w:r>
          </w:p>
        </w:tc>
        <w:tc>
          <w:tcPr>
            <w:tcW w:w="0" w:type="auto"/>
          </w:tcPr>
          <w:p w14:paraId="272B3368" w14:textId="36AFA45C" w:rsidR="08A24C08" w:rsidRPr="006F623D" w:rsidRDefault="08A24C08" w:rsidP="00BD7569">
            <w:pPr>
              <w:spacing w:line="276" w:lineRule="auto"/>
              <w:rPr>
                <w:rFonts w:ascii="Arial" w:eastAsia="Arial" w:hAnsi="Arial" w:cs="Arial"/>
                <w:color w:val="181818"/>
              </w:rPr>
            </w:pPr>
          </w:p>
        </w:tc>
      </w:tr>
      <w:tr w:rsidR="00B33432" w:rsidRPr="006F623D" w14:paraId="50B47933" w14:textId="77777777" w:rsidTr="008128D7">
        <w:trPr>
          <w:trHeight w:val="300"/>
        </w:trPr>
        <w:tc>
          <w:tcPr>
            <w:tcW w:w="0" w:type="auto"/>
          </w:tcPr>
          <w:p w14:paraId="5B21E6DB" w14:textId="77777777" w:rsidR="00B33432" w:rsidRPr="006F623D" w:rsidRDefault="00B33432" w:rsidP="00CA24F6">
            <w:pPr>
              <w:spacing w:after="250" w:line="276" w:lineRule="auto"/>
              <w:rPr>
                <w:rFonts w:ascii="Arial" w:eastAsia="Arial" w:hAnsi="Arial" w:cs="Arial"/>
              </w:rPr>
            </w:pPr>
            <w:r w:rsidRPr="006F623D">
              <w:rPr>
                <w:rFonts w:ascii="Arial" w:eastAsia="Arial" w:hAnsi="Arial" w:cs="Arial"/>
              </w:rPr>
              <w:t>14. Non-EU AIFs</w:t>
            </w:r>
          </w:p>
        </w:tc>
        <w:tc>
          <w:tcPr>
            <w:tcW w:w="0" w:type="auto"/>
          </w:tcPr>
          <w:p w14:paraId="463F29E8" w14:textId="77777777" w:rsidR="00B33432" w:rsidRPr="006F623D" w:rsidRDefault="00B33432" w:rsidP="00CA24F6">
            <w:pPr>
              <w:spacing w:after="250" w:line="276" w:lineRule="auto"/>
              <w:rPr>
                <w:rFonts w:ascii="Arial" w:eastAsia="Arial" w:hAnsi="Arial" w:cs="Arial"/>
                <w:color w:val="181818"/>
              </w:rPr>
            </w:pPr>
          </w:p>
        </w:tc>
        <w:tc>
          <w:tcPr>
            <w:tcW w:w="0" w:type="auto"/>
          </w:tcPr>
          <w:p w14:paraId="3B7B4B86" w14:textId="77777777" w:rsidR="00B33432" w:rsidRPr="006F623D" w:rsidRDefault="00B33432" w:rsidP="00CA24F6">
            <w:pPr>
              <w:spacing w:after="250" w:line="276" w:lineRule="auto"/>
              <w:rPr>
                <w:rFonts w:ascii="Arial" w:eastAsia="Arial" w:hAnsi="Arial" w:cs="Arial"/>
                <w:color w:val="181818"/>
              </w:rPr>
            </w:pPr>
          </w:p>
        </w:tc>
        <w:tc>
          <w:tcPr>
            <w:tcW w:w="0" w:type="auto"/>
          </w:tcPr>
          <w:p w14:paraId="3A0FF5F2" w14:textId="77777777" w:rsidR="00B33432" w:rsidRPr="006F623D" w:rsidRDefault="00B33432" w:rsidP="00CA24F6">
            <w:pPr>
              <w:spacing w:after="250" w:line="276" w:lineRule="auto"/>
              <w:rPr>
                <w:rFonts w:ascii="Arial" w:eastAsia="Arial" w:hAnsi="Arial" w:cs="Arial"/>
                <w:color w:val="181818"/>
              </w:rPr>
            </w:pPr>
          </w:p>
        </w:tc>
        <w:tc>
          <w:tcPr>
            <w:tcW w:w="0" w:type="auto"/>
          </w:tcPr>
          <w:p w14:paraId="5630AD66" w14:textId="77DF4BEE" w:rsidR="00B33432" w:rsidRPr="006F623D" w:rsidRDefault="6E054B2A" w:rsidP="00CA24F6">
            <w:pPr>
              <w:spacing w:after="250" w:line="276" w:lineRule="auto"/>
              <w:rPr>
                <w:rFonts w:ascii="Arial" w:eastAsia="Arial" w:hAnsi="Arial" w:cs="Arial"/>
                <w:color w:val="181818"/>
              </w:rPr>
            </w:pPr>
            <w:r w:rsidRPr="006F623D">
              <w:rPr>
                <w:rFonts w:ascii="Arial" w:eastAsia="Arial" w:hAnsi="Arial" w:cs="Arial"/>
                <w:color w:val="181818"/>
              </w:rPr>
              <w:t>Should be allowed if UCITS requirements are fulfilled</w:t>
            </w:r>
          </w:p>
        </w:tc>
        <w:tc>
          <w:tcPr>
            <w:tcW w:w="0" w:type="auto"/>
          </w:tcPr>
          <w:p w14:paraId="3E8EE952" w14:textId="0EB2BD22" w:rsidR="08A24C08" w:rsidRPr="006F623D" w:rsidRDefault="08A24C08" w:rsidP="00CA24F6">
            <w:pPr>
              <w:spacing w:line="276" w:lineRule="auto"/>
              <w:rPr>
                <w:rFonts w:ascii="Arial" w:eastAsia="Arial" w:hAnsi="Arial" w:cs="Arial"/>
                <w:color w:val="181818"/>
              </w:rPr>
            </w:pPr>
          </w:p>
        </w:tc>
      </w:tr>
      <w:tr w:rsidR="00B33432" w:rsidRPr="006F623D" w14:paraId="5A25875C" w14:textId="77777777" w:rsidTr="008128D7">
        <w:trPr>
          <w:trHeight w:val="300"/>
        </w:trPr>
        <w:tc>
          <w:tcPr>
            <w:tcW w:w="0" w:type="auto"/>
          </w:tcPr>
          <w:p w14:paraId="0BD070FC" w14:textId="77777777" w:rsidR="00B33432" w:rsidRPr="006F623D" w:rsidRDefault="00B33432" w:rsidP="00CA24F6">
            <w:pPr>
              <w:spacing w:after="250" w:line="276" w:lineRule="auto"/>
              <w:rPr>
                <w:rFonts w:ascii="Arial" w:eastAsia="Arial" w:hAnsi="Arial" w:cs="Arial"/>
              </w:rPr>
            </w:pPr>
            <w:r w:rsidRPr="006F623D">
              <w:rPr>
                <w:rFonts w:ascii="Arial" w:eastAsia="Arial" w:hAnsi="Arial" w:cs="Arial"/>
              </w:rPr>
              <w:lastRenderedPageBreak/>
              <w:t>15. Emission allowances</w:t>
            </w:r>
          </w:p>
        </w:tc>
        <w:tc>
          <w:tcPr>
            <w:tcW w:w="0" w:type="auto"/>
          </w:tcPr>
          <w:p w14:paraId="76C261F2" w14:textId="54823CB5" w:rsidR="00B33432" w:rsidRPr="006F623D" w:rsidRDefault="5DC9DBE1" w:rsidP="00CA24F6">
            <w:pPr>
              <w:spacing w:after="250" w:line="276" w:lineRule="auto"/>
              <w:rPr>
                <w:rFonts w:ascii="Arial" w:eastAsia="Arial" w:hAnsi="Arial" w:cs="Arial"/>
                <w:color w:val="181818"/>
              </w:rPr>
            </w:pPr>
            <w:r w:rsidRPr="006F623D">
              <w:rPr>
                <w:rFonts w:ascii="Arial" w:eastAsia="Arial" w:hAnsi="Arial" w:cs="Arial"/>
                <w:color w:val="181818"/>
              </w:rPr>
              <w:t xml:space="preserve">Regulatory Support: </w:t>
            </w:r>
            <w:r w:rsidR="0025071F">
              <w:rPr>
                <w:rFonts w:ascii="Arial" w:eastAsia="Arial" w:hAnsi="Arial" w:cs="Arial"/>
                <w:color w:val="181818"/>
              </w:rPr>
              <w:t>G</w:t>
            </w:r>
            <w:r w:rsidRPr="006F623D">
              <w:rPr>
                <w:rFonts w:ascii="Arial" w:eastAsia="Arial" w:hAnsi="Arial" w:cs="Arial"/>
                <w:color w:val="181818"/>
              </w:rPr>
              <w:t>overnments and regulatory bodies worldwide are increasingly implementing policies to regulate and control carbon emissions. These regulations create a stable and transparent market for emission allowances.</w:t>
            </w:r>
          </w:p>
          <w:p w14:paraId="61829076" w14:textId="069B0A0D" w:rsidR="00B33432" w:rsidRPr="006F623D" w:rsidRDefault="00B33432" w:rsidP="00FD619C">
            <w:pPr>
              <w:spacing w:after="250" w:line="276" w:lineRule="auto"/>
              <w:rPr>
                <w:rFonts w:ascii="Arial" w:eastAsia="Arial" w:hAnsi="Arial" w:cs="Arial"/>
                <w:color w:val="181818"/>
              </w:rPr>
            </w:pPr>
          </w:p>
        </w:tc>
        <w:tc>
          <w:tcPr>
            <w:tcW w:w="0" w:type="auto"/>
          </w:tcPr>
          <w:p w14:paraId="75D23B4B" w14:textId="35F9FF0A" w:rsidR="00B33432" w:rsidRPr="006F623D" w:rsidRDefault="5DC9DBE1" w:rsidP="00CA24F6">
            <w:pPr>
              <w:spacing w:after="250" w:line="276" w:lineRule="auto"/>
              <w:rPr>
                <w:rFonts w:ascii="Arial" w:eastAsia="Arial" w:hAnsi="Arial" w:cs="Arial"/>
                <w:color w:val="181818"/>
              </w:rPr>
            </w:pPr>
            <w:r w:rsidRPr="006F623D">
              <w:rPr>
                <w:rFonts w:ascii="Arial" w:eastAsia="Arial" w:hAnsi="Arial" w:cs="Arial"/>
                <w:color w:val="181818"/>
              </w:rPr>
              <w:t>Derivatives with cash settlement on single commodities  should be allowed as well. This would be in the interest of investors because it would be more cost efficient than the current repackaging into investable instruments via an investment bank</w:t>
            </w:r>
          </w:p>
          <w:p w14:paraId="2BA226A1" w14:textId="49A78B4F" w:rsidR="00B33432" w:rsidRPr="006F623D" w:rsidRDefault="147D4A8D" w:rsidP="00CA24F6">
            <w:pPr>
              <w:spacing w:after="250" w:line="276" w:lineRule="auto"/>
              <w:rPr>
                <w:rFonts w:ascii="Arial" w:eastAsia="Arial" w:hAnsi="Arial" w:cs="Arial"/>
                <w:color w:val="181818"/>
              </w:rPr>
            </w:pPr>
            <w:r w:rsidRPr="006F623D">
              <w:rPr>
                <w:rFonts w:ascii="Arial" w:eastAsia="Arial" w:hAnsi="Arial" w:cs="Arial"/>
                <w:color w:val="181818"/>
              </w:rPr>
              <w:t>See left column</w:t>
            </w:r>
          </w:p>
        </w:tc>
        <w:tc>
          <w:tcPr>
            <w:tcW w:w="0" w:type="auto"/>
          </w:tcPr>
          <w:p w14:paraId="17AD93B2" w14:textId="77777777" w:rsidR="00B33432" w:rsidRPr="006F623D" w:rsidRDefault="00B33432" w:rsidP="00CA24F6">
            <w:pPr>
              <w:spacing w:after="250" w:line="276" w:lineRule="auto"/>
              <w:rPr>
                <w:rFonts w:ascii="Arial" w:eastAsia="Arial" w:hAnsi="Arial" w:cs="Arial"/>
                <w:color w:val="181818"/>
              </w:rPr>
            </w:pPr>
          </w:p>
        </w:tc>
        <w:tc>
          <w:tcPr>
            <w:tcW w:w="0" w:type="auto"/>
          </w:tcPr>
          <w:p w14:paraId="0DE4B5B7" w14:textId="24DB35B3" w:rsidR="00B33432" w:rsidRPr="006F623D" w:rsidRDefault="5DC9DBE1" w:rsidP="00CA24F6">
            <w:pPr>
              <w:spacing w:after="250" w:line="276" w:lineRule="auto"/>
              <w:rPr>
                <w:rFonts w:ascii="Arial" w:eastAsia="Arial" w:hAnsi="Arial" w:cs="Arial"/>
                <w:color w:val="181818"/>
              </w:rPr>
            </w:pPr>
            <w:r w:rsidRPr="006F623D">
              <w:rPr>
                <w:rFonts w:ascii="Arial" w:eastAsia="Arial" w:hAnsi="Arial" w:cs="Arial"/>
                <w:color w:val="181818"/>
              </w:rPr>
              <w:t>Attractive asset for diversification with growing importance as the EU-emission allowances market will grow over the coming years.</w:t>
            </w:r>
          </w:p>
        </w:tc>
        <w:tc>
          <w:tcPr>
            <w:tcW w:w="0" w:type="auto"/>
          </w:tcPr>
          <w:p w14:paraId="1678159A" w14:textId="59E97738" w:rsidR="08A24C08" w:rsidRPr="006F623D" w:rsidRDefault="08A24C08" w:rsidP="00CA24F6">
            <w:pPr>
              <w:spacing w:line="276" w:lineRule="auto"/>
              <w:rPr>
                <w:rFonts w:ascii="Arial" w:eastAsia="Arial" w:hAnsi="Arial" w:cs="Arial"/>
                <w:color w:val="181818"/>
              </w:rPr>
            </w:pPr>
          </w:p>
        </w:tc>
      </w:tr>
      <w:tr w:rsidR="00B33432" w:rsidRPr="006F623D" w14:paraId="4663360E" w14:textId="77777777" w:rsidTr="008128D7">
        <w:trPr>
          <w:trHeight w:val="300"/>
        </w:trPr>
        <w:tc>
          <w:tcPr>
            <w:tcW w:w="0" w:type="auto"/>
          </w:tcPr>
          <w:p w14:paraId="556F47DB" w14:textId="77777777" w:rsidR="00B33432" w:rsidRPr="006F623D" w:rsidRDefault="00B33432" w:rsidP="00CA24F6">
            <w:pPr>
              <w:spacing w:after="250" w:line="276" w:lineRule="auto"/>
              <w:rPr>
                <w:rFonts w:ascii="Arial" w:eastAsia="Arial" w:hAnsi="Arial" w:cs="Arial"/>
              </w:rPr>
            </w:pPr>
            <w:r w:rsidRPr="006F623D">
              <w:rPr>
                <w:rFonts w:ascii="Arial" w:eastAsia="Arial" w:hAnsi="Arial" w:cs="Arial"/>
              </w:rPr>
              <w:t>16. Delta-one instruments</w:t>
            </w:r>
          </w:p>
        </w:tc>
        <w:tc>
          <w:tcPr>
            <w:tcW w:w="0" w:type="auto"/>
          </w:tcPr>
          <w:p w14:paraId="2BCBC850" w14:textId="38EE9A59" w:rsidR="00B33432" w:rsidRPr="006F623D" w:rsidRDefault="74C4BA34" w:rsidP="00CA24F6">
            <w:pPr>
              <w:spacing w:after="250" w:line="276" w:lineRule="auto"/>
              <w:rPr>
                <w:rFonts w:ascii="Arial" w:eastAsia="Arial" w:hAnsi="Arial" w:cs="Arial"/>
                <w:color w:val="181818"/>
              </w:rPr>
            </w:pPr>
            <w:r w:rsidRPr="006F623D">
              <w:rPr>
                <w:rFonts w:ascii="Arial" w:eastAsia="Arial" w:hAnsi="Arial" w:cs="Arial"/>
                <w:color w:val="181818"/>
              </w:rPr>
              <w:t>Easy, cost efficient and flexible way to invest into defined assets</w:t>
            </w:r>
          </w:p>
          <w:p w14:paraId="50F0A650" w14:textId="77777777" w:rsidR="00FF727F" w:rsidRDefault="74C4BA34" w:rsidP="00FF727F">
            <w:pPr>
              <w:spacing w:line="276" w:lineRule="auto"/>
              <w:rPr>
                <w:rFonts w:ascii="Arial" w:eastAsia="Arial" w:hAnsi="Arial" w:cs="Arial"/>
                <w:color w:val="181818"/>
              </w:rPr>
            </w:pPr>
            <w:r w:rsidRPr="006F623D">
              <w:rPr>
                <w:rFonts w:ascii="Arial" w:eastAsia="Arial" w:hAnsi="Arial" w:cs="Arial"/>
                <w:color w:val="181818"/>
              </w:rPr>
              <w:t xml:space="preserve">Diversification: </w:t>
            </w:r>
          </w:p>
          <w:p w14:paraId="0588B757" w14:textId="7BB103ED" w:rsidR="00B33432" w:rsidRPr="006F623D" w:rsidRDefault="74C4BA34" w:rsidP="00CA24F6">
            <w:pPr>
              <w:spacing w:after="250" w:line="276" w:lineRule="auto"/>
              <w:rPr>
                <w:rFonts w:ascii="Arial" w:eastAsia="Arial" w:hAnsi="Arial" w:cs="Arial"/>
                <w:color w:val="181818"/>
              </w:rPr>
            </w:pPr>
            <w:r w:rsidRPr="006F623D">
              <w:rPr>
                <w:rFonts w:ascii="Arial" w:eastAsia="Arial" w:hAnsi="Arial" w:cs="Arial"/>
                <w:color w:val="181818"/>
              </w:rPr>
              <w:t xml:space="preserve">Delta one instruments aim to closely track the performance of an underlying asset or index, providing investors with a way to gain exposure to different markets or sectors. </w:t>
            </w:r>
          </w:p>
          <w:p w14:paraId="67700FE8" w14:textId="77777777" w:rsidR="00FF727F" w:rsidRDefault="74C4BA34" w:rsidP="00FF727F">
            <w:pPr>
              <w:spacing w:line="276" w:lineRule="auto"/>
              <w:rPr>
                <w:rFonts w:ascii="Arial" w:eastAsia="Arial" w:hAnsi="Arial" w:cs="Arial"/>
                <w:color w:val="181818"/>
              </w:rPr>
            </w:pPr>
            <w:r w:rsidRPr="006F623D">
              <w:rPr>
                <w:rFonts w:ascii="Arial" w:eastAsia="Arial" w:hAnsi="Arial" w:cs="Arial"/>
                <w:color w:val="181818"/>
              </w:rPr>
              <w:t xml:space="preserve">Avoiding disadvantages of direct investments: </w:t>
            </w:r>
          </w:p>
          <w:p w14:paraId="66204FF1" w14:textId="1832944D" w:rsidR="00B33432" w:rsidRPr="006F623D" w:rsidRDefault="74C4BA34" w:rsidP="00FD619C">
            <w:pPr>
              <w:spacing w:after="250" w:line="276" w:lineRule="auto"/>
              <w:rPr>
                <w:rFonts w:ascii="Arial" w:eastAsia="Arial" w:hAnsi="Arial" w:cs="Arial"/>
                <w:color w:val="181818"/>
              </w:rPr>
            </w:pPr>
            <w:r w:rsidRPr="006F623D">
              <w:rPr>
                <w:rFonts w:ascii="Arial" w:eastAsia="Arial" w:hAnsi="Arial" w:cs="Arial"/>
                <w:color w:val="181818"/>
              </w:rPr>
              <w:lastRenderedPageBreak/>
              <w:t>e.g. physical delivery and storage of oil and precious metals and crypto</w:t>
            </w:r>
          </w:p>
        </w:tc>
        <w:tc>
          <w:tcPr>
            <w:tcW w:w="0" w:type="auto"/>
          </w:tcPr>
          <w:p w14:paraId="6F8C11E6" w14:textId="606AD504" w:rsidR="34A2710F" w:rsidRPr="006F623D" w:rsidRDefault="34A2710F" w:rsidP="00CA24F6">
            <w:pPr>
              <w:pStyle w:val="TableParagraph"/>
              <w:spacing w:before="2"/>
              <w:rPr>
                <w:color w:val="181818"/>
              </w:rPr>
            </w:pPr>
            <w:r w:rsidRPr="006F623D">
              <w:rPr>
                <w:rFonts w:eastAsiaTheme="minorEastAsia"/>
                <w:color w:val="181818"/>
              </w:rPr>
              <w:lastRenderedPageBreak/>
              <w:t xml:space="preserve">All kind of indirect exposure offer easy and flexible access to various investment opportunities. </w:t>
            </w:r>
          </w:p>
          <w:p w14:paraId="5FE00CC0" w14:textId="3B46F0B5" w:rsidR="34A2710F" w:rsidRPr="006F623D" w:rsidRDefault="34A2710F" w:rsidP="00CA24F6">
            <w:pPr>
              <w:pStyle w:val="TableParagraph"/>
              <w:spacing w:before="2"/>
              <w:rPr>
                <w:color w:val="181818"/>
              </w:rPr>
            </w:pPr>
            <w:r w:rsidRPr="006F623D">
              <w:rPr>
                <w:rFonts w:eastAsiaTheme="minorEastAsia"/>
                <w:color w:val="181818"/>
              </w:rPr>
              <w:t>See left column</w:t>
            </w:r>
          </w:p>
          <w:p w14:paraId="76A41326" w14:textId="7BEF133A" w:rsidR="08A24C08" w:rsidRPr="006F623D" w:rsidRDefault="08A24C08" w:rsidP="00CA24F6">
            <w:pPr>
              <w:spacing w:before="2"/>
              <w:rPr>
                <w:rFonts w:ascii="Arial" w:eastAsia="Arial" w:hAnsi="Arial" w:cs="Arial"/>
                <w:color w:val="498205"/>
              </w:rPr>
            </w:pPr>
          </w:p>
          <w:p w14:paraId="7540F930" w14:textId="336BB2FA" w:rsidR="08A24C08" w:rsidRPr="006F623D" w:rsidRDefault="08A24C08" w:rsidP="00CA24F6">
            <w:pPr>
              <w:spacing w:before="2"/>
              <w:rPr>
                <w:rFonts w:ascii="Arial" w:eastAsia="Arial" w:hAnsi="Arial" w:cs="Arial"/>
                <w:color w:val="498205"/>
              </w:rPr>
            </w:pPr>
          </w:p>
          <w:p w14:paraId="7C7FE887" w14:textId="376074B6" w:rsidR="08A24C08" w:rsidRPr="006F623D" w:rsidRDefault="08A24C08" w:rsidP="00CA24F6">
            <w:pPr>
              <w:spacing w:before="2"/>
              <w:rPr>
                <w:rFonts w:ascii="Arial" w:eastAsia="Arial" w:hAnsi="Arial" w:cs="Arial"/>
                <w:color w:val="498205"/>
              </w:rPr>
            </w:pPr>
          </w:p>
        </w:tc>
        <w:tc>
          <w:tcPr>
            <w:tcW w:w="0" w:type="auto"/>
          </w:tcPr>
          <w:p w14:paraId="552A3C00" w14:textId="385A8011" w:rsidR="08A24C08" w:rsidRPr="006F623D" w:rsidRDefault="08A24C08" w:rsidP="00CA24F6">
            <w:pPr>
              <w:widowControl w:val="0"/>
              <w:spacing w:before="2"/>
              <w:rPr>
                <w:rFonts w:ascii="Arial" w:eastAsia="Arial" w:hAnsi="Arial" w:cs="Arial"/>
                <w:color w:val="498205"/>
              </w:rPr>
            </w:pPr>
          </w:p>
        </w:tc>
        <w:tc>
          <w:tcPr>
            <w:tcW w:w="0" w:type="auto"/>
          </w:tcPr>
          <w:p w14:paraId="02F2C34E" w14:textId="4742DB72" w:rsidR="00B33432" w:rsidRPr="006F623D" w:rsidRDefault="74C4BA34" w:rsidP="00CA24F6">
            <w:pPr>
              <w:spacing w:after="250" w:line="276" w:lineRule="auto"/>
              <w:rPr>
                <w:rFonts w:ascii="Arial" w:eastAsia="Arial" w:hAnsi="Arial" w:cs="Arial"/>
                <w:color w:val="181818"/>
              </w:rPr>
            </w:pPr>
            <w:r w:rsidRPr="006F623D">
              <w:rPr>
                <w:rFonts w:ascii="Arial" w:eastAsia="Arial" w:hAnsi="Arial" w:cs="Arial"/>
                <w:color w:val="181818"/>
              </w:rPr>
              <w:t>Very important instrument for UCITS</w:t>
            </w:r>
          </w:p>
        </w:tc>
        <w:tc>
          <w:tcPr>
            <w:tcW w:w="0" w:type="auto"/>
          </w:tcPr>
          <w:p w14:paraId="59364570" w14:textId="21EF3480" w:rsidR="08A24C08" w:rsidRPr="006F623D" w:rsidRDefault="08A24C08" w:rsidP="00CA24F6">
            <w:pPr>
              <w:spacing w:line="276" w:lineRule="auto"/>
              <w:rPr>
                <w:rFonts w:ascii="Arial" w:eastAsia="Arial" w:hAnsi="Arial" w:cs="Arial"/>
                <w:color w:val="181818"/>
              </w:rPr>
            </w:pPr>
          </w:p>
        </w:tc>
      </w:tr>
      <w:tr w:rsidR="00B33432" w:rsidRPr="006F623D" w14:paraId="6004F4E8" w14:textId="77777777" w:rsidTr="008128D7">
        <w:trPr>
          <w:trHeight w:val="1860"/>
        </w:trPr>
        <w:tc>
          <w:tcPr>
            <w:tcW w:w="0" w:type="auto"/>
          </w:tcPr>
          <w:p w14:paraId="73D5771C" w14:textId="77777777" w:rsidR="00B33432" w:rsidRPr="006F623D" w:rsidRDefault="00B33432" w:rsidP="00CA24F6">
            <w:pPr>
              <w:spacing w:after="250" w:line="276" w:lineRule="auto"/>
              <w:rPr>
                <w:rFonts w:ascii="Arial" w:eastAsia="Arial" w:hAnsi="Arial" w:cs="Arial"/>
              </w:rPr>
            </w:pPr>
            <w:r w:rsidRPr="006F623D">
              <w:rPr>
                <w:rFonts w:ascii="Arial" w:eastAsia="Arial" w:hAnsi="Arial" w:cs="Arial"/>
              </w:rPr>
              <w:t>17. Exchange-traded notes (‘ETNs’)</w:t>
            </w:r>
          </w:p>
        </w:tc>
        <w:tc>
          <w:tcPr>
            <w:tcW w:w="0" w:type="auto"/>
          </w:tcPr>
          <w:p w14:paraId="54E466C8" w14:textId="4EA64265" w:rsidR="00B33432" w:rsidRPr="006F623D" w:rsidRDefault="1765F048" w:rsidP="00CA24F6">
            <w:pPr>
              <w:spacing w:after="250" w:line="276" w:lineRule="auto"/>
              <w:rPr>
                <w:rFonts w:ascii="Arial" w:eastAsia="Arial" w:hAnsi="Arial" w:cs="Arial"/>
                <w:color w:val="181818"/>
              </w:rPr>
            </w:pPr>
            <w:r w:rsidRPr="006F623D">
              <w:rPr>
                <w:rFonts w:ascii="Arial" w:eastAsia="Arial" w:hAnsi="Arial" w:cs="Arial"/>
                <w:color w:val="181818"/>
              </w:rPr>
              <w:t>Risk diversification and additional source of performance</w:t>
            </w:r>
          </w:p>
          <w:p w14:paraId="680A4E5D" w14:textId="1336B209" w:rsidR="00B33432" w:rsidRPr="006F623D" w:rsidRDefault="1765F048" w:rsidP="00FD619C">
            <w:pPr>
              <w:spacing w:after="250" w:line="276" w:lineRule="auto"/>
              <w:rPr>
                <w:rFonts w:ascii="Arial" w:eastAsia="Arial" w:hAnsi="Arial" w:cs="Arial"/>
                <w:color w:val="181818"/>
              </w:rPr>
            </w:pPr>
            <w:r w:rsidRPr="006F623D">
              <w:rPr>
                <w:rFonts w:ascii="Arial" w:eastAsia="Arial" w:hAnsi="Arial" w:cs="Arial"/>
                <w:color w:val="181818"/>
              </w:rPr>
              <w:t>Liquidity and Trade Execution: these instruments are typically traded on regulated exchanges with high liquidity.</w:t>
            </w:r>
          </w:p>
        </w:tc>
        <w:tc>
          <w:tcPr>
            <w:tcW w:w="0" w:type="auto"/>
          </w:tcPr>
          <w:p w14:paraId="19219836" w14:textId="7BA6F0B5" w:rsidR="00B33432" w:rsidRPr="006F623D" w:rsidRDefault="5BAC61EA" w:rsidP="00CA24F6">
            <w:pPr>
              <w:spacing w:after="250" w:line="276" w:lineRule="auto"/>
              <w:rPr>
                <w:rFonts w:ascii="Arial" w:eastAsia="Arial" w:hAnsi="Arial" w:cs="Arial"/>
                <w:color w:val="181818"/>
              </w:rPr>
            </w:pPr>
            <w:r w:rsidRPr="006F623D">
              <w:rPr>
                <w:rFonts w:ascii="Arial" w:eastAsiaTheme="minorEastAsia" w:hAnsi="Arial" w:cs="Arial"/>
                <w:color w:val="181818"/>
              </w:rPr>
              <w:t>See left column</w:t>
            </w:r>
          </w:p>
        </w:tc>
        <w:tc>
          <w:tcPr>
            <w:tcW w:w="0" w:type="auto"/>
          </w:tcPr>
          <w:p w14:paraId="296FEF7D" w14:textId="77777777" w:rsidR="00B33432" w:rsidRPr="006F623D" w:rsidRDefault="00B33432" w:rsidP="00CA24F6">
            <w:pPr>
              <w:spacing w:after="250" w:line="276" w:lineRule="auto"/>
              <w:rPr>
                <w:rFonts w:ascii="Arial" w:eastAsia="Arial" w:hAnsi="Arial" w:cs="Arial"/>
                <w:color w:val="181818"/>
              </w:rPr>
            </w:pPr>
          </w:p>
        </w:tc>
        <w:tc>
          <w:tcPr>
            <w:tcW w:w="0" w:type="auto"/>
          </w:tcPr>
          <w:p w14:paraId="7194DBDC" w14:textId="77777777" w:rsidR="00B33432" w:rsidRPr="006F623D" w:rsidRDefault="00B33432" w:rsidP="00CA24F6">
            <w:pPr>
              <w:spacing w:after="250" w:line="276" w:lineRule="auto"/>
              <w:rPr>
                <w:rFonts w:ascii="Arial" w:eastAsia="Arial" w:hAnsi="Arial" w:cs="Arial"/>
                <w:color w:val="181818"/>
              </w:rPr>
            </w:pPr>
          </w:p>
        </w:tc>
        <w:tc>
          <w:tcPr>
            <w:tcW w:w="0" w:type="auto"/>
          </w:tcPr>
          <w:p w14:paraId="0C7A125B" w14:textId="12E8963C" w:rsidR="08A24C08" w:rsidRPr="006F623D" w:rsidRDefault="08A24C08" w:rsidP="00CA24F6">
            <w:pPr>
              <w:spacing w:line="276" w:lineRule="auto"/>
              <w:rPr>
                <w:rFonts w:ascii="Arial" w:eastAsia="Arial" w:hAnsi="Arial" w:cs="Arial"/>
                <w:color w:val="181818"/>
              </w:rPr>
            </w:pPr>
          </w:p>
        </w:tc>
      </w:tr>
      <w:tr w:rsidR="00B33432" w:rsidRPr="006F623D" w14:paraId="66BB473F" w14:textId="77777777" w:rsidTr="008128D7">
        <w:trPr>
          <w:trHeight w:val="300"/>
        </w:trPr>
        <w:tc>
          <w:tcPr>
            <w:tcW w:w="0" w:type="auto"/>
          </w:tcPr>
          <w:p w14:paraId="08FCC5EB" w14:textId="77777777" w:rsidR="00B33432" w:rsidRPr="006F623D" w:rsidRDefault="00B33432" w:rsidP="00CA24F6">
            <w:pPr>
              <w:spacing w:after="250" w:line="276" w:lineRule="auto"/>
              <w:rPr>
                <w:rFonts w:ascii="Arial" w:eastAsia="Arial" w:hAnsi="Arial" w:cs="Arial"/>
              </w:rPr>
            </w:pPr>
            <w:r w:rsidRPr="006F623D">
              <w:rPr>
                <w:rFonts w:ascii="Arial" w:eastAsia="Arial" w:hAnsi="Arial" w:cs="Arial"/>
              </w:rPr>
              <w:t>18. Asset-backed securities (‘ABS’) including mortgage-backed securities (‘MBS’)</w:t>
            </w:r>
          </w:p>
        </w:tc>
        <w:tc>
          <w:tcPr>
            <w:tcW w:w="0" w:type="auto"/>
          </w:tcPr>
          <w:p w14:paraId="12146B7B" w14:textId="77777777" w:rsidR="00FF727F" w:rsidRDefault="7F3ECE68" w:rsidP="00FF727F">
            <w:pPr>
              <w:spacing w:line="276" w:lineRule="auto"/>
              <w:rPr>
                <w:rFonts w:ascii="Arial" w:eastAsia="Arial" w:hAnsi="Arial" w:cs="Arial"/>
                <w:color w:val="181818"/>
              </w:rPr>
            </w:pPr>
            <w:r w:rsidRPr="006F623D">
              <w:rPr>
                <w:rFonts w:ascii="Arial" w:eastAsia="Arial" w:hAnsi="Arial" w:cs="Arial"/>
                <w:color w:val="181818"/>
              </w:rPr>
              <w:t>Regulatory Support:</w:t>
            </w:r>
            <w:r w:rsidR="00FD619C">
              <w:rPr>
                <w:rFonts w:ascii="Arial" w:eastAsia="Arial" w:hAnsi="Arial" w:cs="Arial"/>
                <w:color w:val="181818"/>
              </w:rPr>
              <w:t xml:space="preserve"> </w:t>
            </w:r>
          </w:p>
          <w:p w14:paraId="60616B7C" w14:textId="13D29E6D" w:rsidR="00B33432" w:rsidRPr="006F623D" w:rsidRDefault="7F3ECE68" w:rsidP="00CA24F6">
            <w:pPr>
              <w:spacing w:after="250" w:line="276" w:lineRule="auto"/>
              <w:rPr>
                <w:rFonts w:ascii="Arial" w:eastAsia="Arial" w:hAnsi="Arial" w:cs="Arial"/>
                <w:color w:val="181818"/>
              </w:rPr>
            </w:pPr>
            <w:r w:rsidRPr="006F623D">
              <w:rPr>
                <w:rFonts w:ascii="Arial" w:eastAsia="Arial" w:hAnsi="Arial" w:cs="Arial"/>
                <w:color w:val="181818"/>
              </w:rPr>
              <w:t>There is a high regulatory protection standard: AIFMD-Level 2 and Regulation (EU) 2017/2402) contain a 5% risk retention requirement and risk transparency requirements</w:t>
            </w:r>
          </w:p>
          <w:p w14:paraId="6E1C116C" w14:textId="77777777" w:rsidR="00FF727F" w:rsidRDefault="7F3ECE68" w:rsidP="00FF727F">
            <w:pPr>
              <w:spacing w:line="276" w:lineRule="auto"/>
              <w:rPr>
                <w:rFonts w:ascii="Arial" w:eastAsia="Arial" w:hAnsi="Arial" w:cs="Arial"/>
                <w:color w:val="181818"/>
              </w:rPr>
            </w:pPr>
            <w:r w:rsidRPr="006F623D">
              <w:rPr>
                <w:rFonts w:ascii="Arial" w:eastAsia="Arial" w:hAnsi="Arial" w:cs="Arial"/>
                <w:color w:val="181818"/>
              </w:rPr>
              <w:t xml:space="preserve">Diversification: </w:t>
            </w:r>
          </w:p>
          <w:p w14:paraId="550540E1" w14:textId="625B92D0" w:rsidR="00B33432" w:rsidRPr="006F623D" w:rsidRDefault="7F3ECE68" w:rsidP="00CA24F6">
            <w:pPr>
              <w:spacing w:after="250" w:line="276" w:lineRule="auto"/>
              <w:rPr>
                <w:rFonts w:ascii="Arial" w:eastAsia="Arial" w:hAnsi="Arial" w:cs="Arial"/>
                <w:color w:val="181818"/>
              </w:rPr>
            </w:pPr>
            <w:r w:rsidRPr="006F623D">
              <w:rPr>
                <w:rFonts w:ascii="Arial" w:eastAsia="Arial" w:hAnsi="Arial" w:cs="Arial"/>
                <w:color w:val="181818"/>
              </w:rPr>
              <w:t>ABS invest in a broad range of a</w:t>
            </w:r>
            <w:r w:rsidRPr="006F623D">
              <w:rPr>
                <w:rFonts w:ascii="Arial" w:eastAsiaTheme="minorEastAsia" w:hAnsi="Arial" w:cs="Arial"/>
                <w:color w:val="181818"/>
              </w:rPr>
              <w:t xml:space="preserve">ssets </w:t>
            </w:r>
            <w:r w:rsidR="60E36B45" w:rsidRPr="006F623D">
              <w:rPr>
                <w:rFonts w:ascii="Arial" w:eastAsiaTheme="minorEastAsia" w:hAnsi="Arial" w:cs="Arial"/>
                <w:color w:val="181818"/>
              </w:rPr>
              <w:t>for ABS/RMBS: &gt;1,000, for CLO: 100-400)</w:t>
            </w:r>
            <w:r w:rsidR="60E36B45" w:rsidRPr="006F623D">
              <w:rPr>
                <w:rFonts w:ascii="Arial" w:eastAsia="Arial" w:hAnsi="Arial" w:cs="Arial"/>
              </w:rPr>
              <w:t xml:space="preserve"> </w:t>
            </w:r>
            <w:r w:rsidRPr="006F623D">
              <w:rPr>
                <w:rFonts w:ascii="Arial" w:eastAsia="Arial" w:hAnsi="Arial" w:cs="Arial"/>
                <w:color w:val="181818"/>
              </w:rPr>
              <w:t xml:space="preserve">across various industries and geographies. Adding ABSs to a fund's investment universe expands its exposure to non-traditional credits, sectors, and </w:t>
            </w:r>
            <w:r w:rsidRPr="006F623D">
              <w:rPr>
                <w:rFonts w:ascii="Arial" w:eastAsia="Arial" w:hAnsi="Arial" w:cs="Arial"/>
                <w:color w:val="181818"/>
              </w:rPr>
              <w:lastRenderedPageBreak/>
              <w:t xml:space="preserve">regions, helping to reduce concentration risk and potentially enhance risk-adjusted returns. </w:t>
            </w:r>
          </w:p>
          <w:p w14:paraId="42B8FACF" w14:textId="77777777" w:rsidR="00FF727F" w:rsidRDefault="7F3ECE68" w:rsidP="00FF727F">
            <w:pPr>
              <w:spacing w:line="276" w:lineRule="auto"/>
              <w:rPr>
                <w:rFonts w:ascii="Arial" w:eastAsia="Arial" w:hAnsi="Arial" w:cs="Arial"/>
                <w:color w:val="181818"/>
              </w:rPr>
            </w:pPr>
            <w:proofErr w:type="spellStart"/>
            <w:r w:rsidRPr="006F623D">
              <w:rPr>
                <w:rFonts w:ascii="Arial" w:eastAsia="Arial" w:hAnsi="Arial" w:cs="Arial"/>
                <w:color w:val="181818"/>
              </w:rPr>
              <w:t>Tranching</w:t>
            </w:r>
            <w:proofErr w:type="spellEnd"/>
            <w:r w:rsidRPr="006F623D">
              <w:rPr>
                <w:rFonts w:ascii="Arial" w:eastAsia="Arial" w:hAnsi="Arial" w:cs="Arial"/>
                <w:color w:val="181818"/>
              </w:rPr>
              <w:t xml:space="preserve">: </w:t>
            </w:r>
          </w:p>
          <w:p w14:paraId="50DA738F" w14:textId="2FE6C24E" w:rsidR="00B33432" w:rsidRPr="006F623D" w:rsidRDefault="009122D7" w:rsidP="00CA24F6">
            <w:pPr>
              <w:spacing w:after="250" w:line="276" w:lineRule="auto"/>
              <w:rPr>
                <w:rFonts w:ascii="Arial" w:eastAsia="Arial" w:hAnsi="Arial" w:cs="Arial"/>
                <w:color w:val="181818"/>
              </w:rPr>
            </w:pPr>
            <w:r>
              <w:rPr>
                <w:rFonts w:ascii="Arial" w:eastAsia="Arial" w:hAnsi="Arial" w:cs="Arial"/>
                <w:color w:val="181818"/>
              </w:rPr>
              <w:t>A</w:t>
            </w:r>
            <w:r w:rsidR="7F3ECE68" w:rsidRPr="006F623D">
              <w:rPr>
                <w:rFonts w:ascii="Arial" w:eastAsia="Arial" w:hAnsi="Arial" w:cs="Arial"/>
                <w:color w:val="181818"/>
              </w:rPr>
              <w:t xml:space="preserve">BS are structured with different tranches of varying risk profiles. These tranches allow investors to choose their preferred level of risk exposure. UCITS can invest in tranches that align with their risk appetite, allowing for better risk management and the potential to optimize the risk-reward tradeoff within the portfolio. </w:t>
            </w:r>
          </w:p>
          <w:p w14:paraId="3BC7E16A" w14:textId="77777777" w:rsidR="00FF727F" w:rsidRDefault="7F3ECE68" w:rsidP="00FF727F">
            <w:pPr>
              <w:spacing w:line="276" w:lineRule="auto"/>
              <w:rPr>
                <w:rFonts w:ascii="Arial" w:eastAsia="Arial" w:hAnsi="Arial" w:cs="Arial"/>
                <w:color w:val="181818"/>
              </w:rPr>
            </w:pPr>
            <w:r w:rsidRPr="006F623D">
              <w:rPr>
                <w:rFonts w:ascii="Arial" w:eastAsia="Arial" w:hAnsi="Arial" w:cs="Arial"/>
                <w:color w:val="181818"/>
              </w:rPr>
              <w:t xml:space="preserve">Enhanced Liquidity: </w:t>
            </w:r>
          </w:p>
          <w:p w14:paraId="1A4FF810" w14:textId="61B0194F" w:rsidR="00B33432" w:rsidRPr="006F623D" w:rsidRDefault="7F3ECE68" w:rsidP="00CA24F6">
            <w:pPr>
              <w:spacing w:after="250" w:line="276" w:lineRule="auto"/>
              <w:rPr>
                <w:rFonts w:ascii="Arial" w:eastAsia="Arial" w:hAnsi="Arial" w:cs="Arial"/>
                <w:color w:val="181818"/>
              </w:rPr>
            </w:pPr>
            <w:r w:rsidRPr="006F623D">
              <w:rPr>
                <w:rFonts w:ascii="Arial" w:eastAsia="Arial" w:hAnsi="Arial" w:cs="Arial"/>
                <w:color w:val="181818"/>
              </w:rPr>
              <w:t xml:space="preserve">ABS can offer a degree of liquidity compared to the </w:t>
            </w:r>
            <w:r w:rsidR="1942DE09" w:rsidRPr="006F623D">
              <w:rPr>
                <w:rFonts w:ascii="Arial" w:eastAsia="Arial" w:hAnsi="Arial" w:cs="Arial"/>
                <w:color w:val="181818"/>
              </w:rPr>
              <w:t xml:space="preserve">corporate bonds with corresponding rating </w:t>
            </w:r>
            <w:r w:rsidRPr="006F623D">
              <w:rPr>
                <w:rFonts w:ascii="Arial" w:eastAsia="Arial" w:hAnsi="Arial" w:cs="Arial"/>
                <w:color w:val="181818"/>
              </w:rPr>
              <w:t xml:space="preserve">  </w:t>
            </w:r>
          </w:p>
          <w:p w14:paraId="42ADA917" w14:textId="38857C7D" w:rsidR="00B33432" w:rsidRPr="006F623D" w:rsidRDefault="1CBF2954" w:rsidP="00CA24F6">
            <w:pPr>
              <w:pStyle w:val="TableParagraph"/>
              <w:rPr>
                <w:color w:val="181818"/>
              </w:rPr>
            </w:pPr>
            <w:r w:rsidRPr="006F623D">
              <w:rPr>
                <w:rFonts w:eastAsiaTheme="minorEastAsia"/>
                <w:color w:val="181818"/>
              </w:rPr>
              <w:t>Past Performance:</w:t>
            </w:r>
          </w:p>
          <w:p w14:paraId="769D0D3C" w14:textId="7291A488" w:rsidR="00B33432" w:rsidRPr="006F623D" w:rsidRDefault="1CBF2954" w:rsidP="00CA24F6">
            <w:pPr>
              <w:spacing w:after="250" w:line="276" w:lineRule="auto"/>
              <w:rPr>
                <w:rFonts w:ascii="Arial" w:eastAsia="Arial" w:hAnsi="Arial" w:cs="Arial"/>
                <w:color w:val="181818"/>
              </w:rPr>
            </w:pPr>
            <w:r w:rsidRPr="006F623D">
              <w:rPr>
                <w:rFonts w:ascii="Arial" w:eastAsiaTheme="minorEastAsia" w:hAnsi="Arial" w:cs="Arial"/>
                <w:color w:val="181818"/>
              </w:rPr>
              <w:t xml:space="preserve">Securitizations like ABS and CLO have a much lower default rates than corporate bonds with comparable ratings </w:t>
            </w:r>
            <w:r w:rsidRPr="006F623D">
              <w:rPr>
                <w:rFonts w:ascii="Arial" w:eastAsiaTheme="minorEastAsia" w:hAnsi="Arial" w:cs="Arial"/>
                <w:color w:val="181818"/>
              </w:rPr>
              <w:lastRenderedPageBreak/>
              <w:t xml:space="preserve">over the last 25 years. Reasons are additional credit support through </w:t>
            </w:r>
            <w:proofErr w:type="spellStart"/>
            <w:r w:rsidRPr="006F623D">
              <w:rPr>
                <w:rFonts w:ascii="Arial" w:eastAsiaTheme="minorEastAsia" w:hAnsi="Arial" w:cs="Arial"/>
                <w:color w:val="181818"/>
              </w:rPr>
              <w:t>tranching</w:t>
            </w:r>
            <w:proofErr w:type="spellEnd"/>
            <w:r w:rsidRPr="006F623D">
              <w:rPr>
                <w:rFonts w:ascii="Arial" w:eastAsiaTheme="minorEastAsia" w:hAnsi="Arial" w:cs="Arial"/>
                <w:color w:val="181818"/>
              </w:rPr>
              <w:t xml:space="preserve"> and secured nature of loans</w:t>
            </w:r>
          </w:p>
        </w:tc>
        <w:tc>
          <w:tcPr>
            <w:tcW w:w="0" w:type="auto"/>
          </w:tcPr>
          <w:p w14:paraId="37166364" w14:textId="004B6B8A" w:rsidR="723FBB1D" w:rsidRPr="006F623D" w:rsidRDefault="723FBB1D" w:rsidP="00CA24F6">
            <w:pPr>
              <w:pStyle w:val="TableParagraph"/>
              <w:spacing w:before="2"/>
              <w:rPr>
                <w:color w:val="181818"/>
              </w:rPr>
            </w:pPr>
            <w:r w:rsidRPr="006F623D">
              <w:rPr>
                <w:rFonts w:eastAsiaTheme="minorEastAsia"/>
                <w:color w:val="181818"/>
              </w:rPr>
              <w:lastRenderedPageBreak/>
              <w:t xml:space="preserve">All kind of indirect exposure offer easy and flexible access to various markets. </w:t>
            </w:r>
          </w:p>
          <w:p w14:paraId="41AFFD74" w14:textId="0453905A" w:rsidR="723FBB1D" w:rsidRPr="006F623D" w:rsidRDefault="723FBB1D" w:rsidP="00CA24F6">
            <w:pPr>
              <w:pStyle w:val="TableParagraph"/>
              <w:rPr>
                <w:color w:val="181818"/>
              </w:rPr>
            </w:pPr>
            <w:r w:rsidRPr="006F623D">
              <w:rPr>
                <w:rFonts w:eastAsiaTheme="minorEastAsia"/>
                <w:color w:val="181818"/>
              </w:rPr>
              <w:t>All merits of the left column are also valid for funds, derivatives and indices investing in securitizations like CLO and ABS</w:t>
            </w:r>
          </w:p>
          <w:p w14:paraId="4823A70F" w14:textId="12476E60" w:rsidR="08A24C08" w:rsidRPr="006F623D" w:rsidRDefault="08A24C08" w:rsidP="00CA24F6">
            <w:pPr>
              <w:spacing w:after="250" w:line="276" w:lineRule="auto"/>
              <w:rPr>
                <w:rFonts w:ascii="Arial" w:eastAsia="Arial" w:hAnsi="Arial" w:cs="Arial"/>
                <w:color w:val="181818"/>
              </w:rPr>
            </w:pPr>
          </w:p>
          <w:p w14:paraId="54CD245A" w14:textId="475ADC42" w:rsidR="00B33432" w:rsidRPr="006F623D" w:rsidRDefault="7F3ECE68" w:rsidP="00CA24F6">
            <w:pPr>
              <w:spacing w:after="250" w:line="276" w:lineRule="auto"/>
              <w:rPr>
                <w:rFonts w:ascii="Arial" w:eastAsia="Arial" w:hAnsi="Arial" w:cs="Arial"/>
                <w:color w:val="181818"/>
              </w:rPr>
            </w:pPr>
            <w:r w:rsidRPr="006F623D">
              <w:rPr>
                <w:rFonts w:ascii="Arial" w:eastAsia="Arial" w:hAnsi="Arial" w:cs="Arial"/>
                <w:color w:val="181818"/>
              </w:rPr>
              <w:t>See left column</w:t>
            </w:r>
          </w:p>
        </w:tc>
        <w:tc>
          <w:tcPr>
            <w:tcW w:w="0" w:type="auto"/>
          </w:tcPr>
          <w:p w14:paraId="1231BE67" w14:textId="689A555A" w:rsidR="00B33432" w:rsidRPr="006F623D" w:rsidRDefault="4A966062" w:rsidP="2B971BD2">
            <w:pPr>
              <w:spacing w:after="250" w:line="276" w:lineRule="auto"/>
              <w:rPr>
                <w:rFonts w:ascii="Arial" w:eastAsia="Arial" w:hAnsi="Arial" w:cs="Arial"/>
                <w:color w:val="181818"/>
              </w:rPr>
            </w:pPr>
            <w:r w:rsidRPr="2B971BD2">
              <w:rPr>
                <w:rFonts w:ascii="Arial" w:eastAsia="Arial" w:hAnsi="Arial" w:cs="Arial"/>
                <w:color w:val="181818"/>
              </w:rPr>
              <w:t xml:space="preserve">Direct and indirect exposure of ABS and </w:t>
            </w:r>
            <w:r w:rsidR="1FDAF51D" w:rsidRPr="2B971BD2">
              <w:rPr>
                <w:rFonts w:ascii="Arial" w:eastAsia="Arial" w:hAnsi="Arial" w:cs="Arial"/>
                <w:color w:val="181818"/>
              </w:rPr>
              <w:t>R</w:t>
            </w:r>
            <w:r w:rsidRPr="2B971BD2">
              <w:rPr>
                <w:rFonts w:ascii="Arial" w:eastAsia="Arial" w:hAnsi="Arial" w:cs="Arial"/>
                <w:color w:val="181818"/>
              </w:rPr>
              <w:t xml:space="preserve">MBS in July 2024: </w:t>
            </w:r>
            <w:r w:rsidR="2BC4A594" w:rsidRPr="2B971BD2">
              <w:rPr>
                <w:rFonts w:ascii="Arial" w:eastAsia="Arial" w:hAnsi="Arial" w:cs="Arial"/>
                <w:color w:val="181818"/>
              </w:rPr>
              <w:t xml:space="preserve">about </w:t>
            </w:r>
            <w:r w:rsidRPr="2B971BD2">
              <w:rPr>
                <w:rFonts w:ascii="Arial" w:eastAsia="Arial" w:hAnsi="Arial" w:cs="Arial"/>
                <w:color w:val="181818"/>
              </w:rPr>
              <w:t>1.83 billion Euro</w:t>
            </w:r>
          </w:p>
        </w:tc>
        <w:tc>
          <w:tcPr>
            <w:tcW w:w="0" w:type="auto"/>
          </w:tcPr>
          <w:p w14:paraId="36BAEAB4" w14:textId="53FAAD7F" w:rsidR="08A24C08" w:rsidRPr="006F623D" w:rsidRDefault="08A24C08" w:rsidP="00CA24F6">
            <w:pPr>
              <w:widowControl w:val="0"/>
              <w:rPr>
                <w:rFonts w:ascii="Arial" w:eastAsia="Arial" w:hAnsi="Arial" w:cs="Arial"/>
                <w:color w:val="181818"/>
              </w:rPr>
            </w:pPr>
          </w:p>
        </w:tc>
        <w:tc>
          <w:tcPr>
            <w:tcW w:w="0" w:type="auto"/>
          </w:tcPr>
          <w:p w14:paraId="417A6FB6" w14:textId="048B6CD5" w:rsidR="08A24C08" w:rsidRPr="006F623D" w:rsidRDefault="08A24C08" w:rsidP="00CA24F6">
            <w:pPr>
              <w:pStyle w:val="TableParagraph"/>
              <w:rPr>
                <w:color w:val="181818"/>
              </w:rPr>
            </w:pPr>
            <w:r w:rsidRPr="006F623D">
              <w:rPr>
                <w:rFonts w:eastAsiaTheme="minorEastAsia"/>
                <w:color w:val="181818"/>
              </w:rPr>
              <w:t>Past Performance:</w:t>
            </w:r>
          </w:p>
          <w:p w14:paraId="7C81229C" w14:textId="62B38A60" w:rsidR="08A24C08" w:rsidRPr="006F623D" w:rsidRDefault="08A24C08" w:rsidP="00CA24F6">
            <w:pPr>
              <w:pStyle w:val="TableParagraph"/>
              <w:rPr>
                <w:color w:val="181818"/>
              </w:rPr>
            </w:pPr>
            <w:r w:rsidRPr="006F623D">
              <w:rPr>
                <w:rFonts w:eastAsiaTheme="minorEastAsia"/>
                <w:color w:val="181818"/>
              </w:rPr>
              <w:t xml:space="preserve">Securitizations like ABS and CLO have a much lower default rates than corporate bonds with comparable ratings over the last 25 years. Reasons are additional credit support through </w:t>
            </w:r>
            <w:proofErr w:type="spellStart"/>
            <w:r w:rsidRPr="006F623D">
              <w:rPr>
                <w:rFonts w:eastAsiaTheme="minorEastAsia"/>
                <w:color w:val="181818"/>
              </w:rPr>
              <w:t>tranching</w:t>
            </w:r>
            <w:proofErr w:type="spellEnd"/>
            <w:r w:rsidRPr="006F623D">
              <w:rPr>
                <w:rFonts w:eastAsiaTheme="minorEastAsia"/>
                <w:color w:val="181818"/>
              </w:rPr>
              <w:t xml:space="preserve"> and secured nature of loans</w:t>
            </w:r>
          </w:p>
        </w:tc>
      </w:tr>
      <w:tr w:rsidR="00B33432" w:rsidRPr="006F623D" w14:paraId="16623728" w14:textId="77777777" w:rsidTr="008128D7">
        <w:trPr>
          <w:trHeight w:val="300"/>
        </w:trPr>
        <w:tc>
          <w:tcPr>
            <w:tcW w:w="0" w:type="auto"/>
          </w:tcPr>
          <w:p w14:paraId="2D5FBB9B" w14:textId="77777777" w:rsidR="00B33432" w:rsidRPr="006F623D" w:rsidRDefault="00B33432" w:rsidP="5DC321F0">
            <w:pPr>
              <w:spacing w:after="250" w:line="276" w:lineRule="auto"/>
              <w:rPr>
                <w:rFonts w:ascii="Arial" w:eastAsia="Arial" w:hAnsi="Arial" w:cs="Arial"/>
              </w:rPr>
            </w:pPr>
            <w:r w:rsidRPr="006F623D">
              <w:rPr>
                <w:rFonts w:ascii="Arial" w:eastAsia="Arial" w:hAnsi="Arial" w:cs="Arial"/>
              </w:rPr>
              <w:lastRenderedPageBreak/>
              <w:t>19. Other relevant asset classes (please specify)</w:t>
            </w:r>
          </w:p>
        </w:tc>
        <w:tc>
          <w:tcPr>
            <w:tcW w:w="0" w:type="auto"/>
          </w:tcPr>
          <w:p w14:paraId="30D7AA69" w14:textId="77777777" w:rsidR="00B33432" w:rsidRPr="006F623D" w:rsidRDefault="00B33432" w:rsidP="5DC321F0">
            <w:pPr>
              <w:spacing w:after="250" w:line="276" w:lineRule="auto"/>
              <w:jc w:val="both"/>
              <w:rPr>
                <w:rFonts w:ascii="Arial" w:eastAsia="Arial" w:hAnsi="Arial" w:cs="Arial"/>
                <w:color w:val="181818"/>
              </w:rPr>
            </w:pPr>
          </w:p>
        </w:tc>
        <w:tc>
          <w:tcPr>
            <w:tcW w:w="0" w:type="auto"/>
          </w:tcPr>
          <w:p w14:paraId="7196D064" w14:textId="77777777" w:rsidR="00B33432" w:rsidRPr="006F623D" w:rsidRDefault="00B33432" w:rsidP="5DC321F0">
            <w:pPr>
              <w:spacing w:after="250" w:line="276" w:lineRule="auto"/>
              <w:jc w:val="both"/>
              <w:rPr>
                <w:rFonts w:ascii="Arial" w:eastAsia="Arial" w:hAnsi="Arial" w:cs="Arial"/>
                <w:color w:val="181818"/>
              </w:rPr>
            </w:pPr>
          </w:p>
        </w:tc>
        <w:tc>
          <w:tcPr>
            <w:tcW w:w="0" w:type="auto"/>
          </w:tcPr>
          <w:p w14:paraId="34FF1C98" w14:textId="77777777" w:rsidR="00B33432" w:rsidRPr="006F623D" w:rsidRDefault="00B33432" w:rsidP="5DC321F0">
            <w:pPr>
              <w:spacing w:after="250" w:line="276" w:lineRule="auto"/>
              <w:jc w:val="both"/>
              <w:rPr>
                <w:rFonts w:ascii="Arial" w:eastAsia="Arial" w:hAnsi="Arial" w:cs="Arial"/>
                <w:color w:val="181818"/>
              </w:rPr>
            </w:pPr>
          </w:p>
        </w:tc>
        <w:tc>
          <w:tcPr>
            <w:tcW w:w="0" w:type="auto"/>
          </w:tcPr>
          <w:p w14:paraId="6D072C0D" w14:textId="77777777" w:rsidR="00B33432" w:rsidRPr="006F623D" w:rsidRDefault="00B33432" w:rsidP="5DC321F0">
            <w:pPr>
              <w:spacing w:after="250" w:line="276" w:lineRule="auto"/>
              <w:jc w:val="both"/>
              <w:rPr>
                <w:rFonts w:ascii="Arial" w:eastAsia="Arial" w:hAnsi="Arial" w:cs="Arial"/>
                <w:color w:val="181818"/>
              </w:rPr>
            </w:pPr>
          </w:p>
        </w:tc>
        <w:tc>
          <w:tcPr>
            <w:tcW w:w="0" w:type="auto"/>
          </w:tcPr>
          <w:p w14:paraId="2A390C76" w14:textId="3F1013DE" w:rsidR="08A24C08" w:rsidRPr="006F623D" w:rsidRDefault="08A24C08" w:rsidP="08A24C08">
            <w:pPr>
              <w:spacing w:line="276" w:lineRule="auto"/>
              <w:jc w:val="both"/>
              <w:rPr>
                <w:rFonts w:ascii="Arial" w:eastAsia="Arial" w:hAnsi="Arial" w:cs="Arial"/>
                <w:color w:val="181818"/>
              </w:rPr>
            </w:pP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rsidSect="00D26806">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5C8B" w14:textId="77777777" w:rsidR="00C55BD8" w:rsidRDefault="00C55BD8" w:rsidP="00B33432">
      <w:pPr>
        <w:spacing w:after="0" w:line="240" w:lineRule="auto"/>
      </w:pPr>
      <w:r>
        <w:separator/>
      </w:r>
    </w:p>
  </w:endnote>
  <w:endnote w:type="continuationSeparator" w:id="0">
    <w:p w14:paraId="101739B6" w14:textId="77777777" w:rsidR="00C55BD8" w:rsidRDefault="00C55BD8" w:rsidP="00B33432">
      <w:pPr>
        <w:spacing w:after="0" w:line="240" w:lineRule="auto"/>
      </w:pPr>
      <w:r>
        <w:continuationSeparator/>
      </w:r>
    </w:p>
  </w:endnote>
  <w:endnote w:type="continuationNotice" w:id="1">
    <w:p w14:paraId="351DF855" w14:textId="77777777" w:rsidR="00C55BD8" w:rsidRDefault="00C55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2EC4F76" w14:paraId="317875D6" w14:textId="77777777" w:rsidTr="02EC4F76">
      <w:trPr>
        <w:trHeight w:val="300"/>
      </w:trPr>
      <w:tc>
        <w:tcPr>
          <w:tcW w:w="3005" w:type="dxa"/>
        </w:tcPr>
        <w:p w14:paraId="6467DF81" w14:textId="7B08555C" w:rsidR="02EC4F76" w:rsidRDefault="02EC4F76" w:rsidP="02EC4F76">
          <w:pPr>
            <w:pStyle w:val="Kopfzeile"/>
            <w:ind w:left="-115"/>
          </w:pPr>
        </w:p>
      </w:tc>
      <w:tc>
        <w:tcPr>
          <w:tcW w:w="3005" w:type="dxa"/>
        </w:tcPr>
        <w:p w14:paraId="73BAA50A" w14:textId="725A4318" w:rsidR="02EC4F76" w:rsidRDefault="02EC4F76" w:rsidP="02EC4F76">
          <w:pPr>
            <w:pStyle w:val="Kopfzeile"/>
            <w:jc w:val="center"/>
          </w:pPr>
        </w:p>
      </w:tc>
      <w:tc>
        <w:tcPr>
          <w:tcW w:w="3005" w:type="dxa"/>
        </w:tcPr>
        <w:p w14:paraId="76941F05" w14:textId="4CA51E78" w:rsidR="02EC4F76" w:rsidRDefault="02EC4F76" w:rsidP="02EC4F76">
          <w:pPr>
            <w:pStyle w:val="Kopfzeile"/>
            <w:ind w:right="-115"/>
            <w:jc w:val="right"/>
          </w:pPr>
        </w:p>
      </w:tc>
    </w:tr>
  </w:tbl>
  <w:p w14:paraId="205DC19A" w14:textId="23F7F248" w:rsidR="02EC4F76" w:rsidRDefault="02EC4F76" w:rsidP="02EC4F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3F09" w14:textId="77777777" w:rsidR="00C55BD8" w:rsidRDefault="00C55BD8" w:rsidP="00B33432">
      <w:pPr>
        <w:spacing w:after="0" w:line="240" w:lineRule="auto"/>
      </w:pPr>
      <w:r>
        <w:separator/>
      </w:r>
    </w:p>
  </w:footnote>
  <w:footnote w:type="continuationSeparator" w:id="0">
    <w:p w14:paraId="52310F59" w14:textId="77777777" w:rsidR="00C55BD8" w:rsidRDefault="00C55BD8" w:rsidP="00B33432">
      <w:pPr>
        <w:spacing w:after="0" w:line="240" w:lineRule="auto"/>
      </w:pPr>
      <w:r>
        <w:continuationSeparator/>
      </w:r>
    </w:p>
  </w:footnote>
  <w:footnote w:type="continuationNotice" w:id="1">
    <w:p w14:paraId="4BE95724" w14:textId="77777777" w:rsidR="00C55BD8" w:rsidRDefault="00C55BD8">
      <w:pPr>
        <w:spacing w:after="0" w:line="240" w:lineRule="auto"/>
      </w:pPr>
    </w:p>
  </w:footnote>
  <w:footnote w:id="2">
    <w:p w14:paraId="53A506E4"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w:t>
      </w:r>
      <w:proofErr w:type="spellStart"/>
      <w:r w:rsidRPr="00332B8C">
        <w:rPr>
          <w:rFonts w:ascii="Arial" w:hAnsi="Arial" w:cs="Arial"/>
        </w:rPr>
        <w:t>collateralised</w:t>
      </w:r>
      <w:proofErr w:type="spellEnd"/>
      <w:r w:rsidRPr="00332B8C">
        <w:rPr>
          <w:rFonts w:ascii="Arial" w:hAnsi="Arial" w:cs="Arial"/>
        </w:rPr>
        <w:t xml:space="preserve"> loan obligations (CLOs) and other types of loans or loan participations (please specify).</w:t>
      </w:r>
    </w:p>
  </w:footnote>
  <w:footnote w:id="7">
    <w:p w14:paraId="48EF4E2A"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private companies and (2) shares in public companies that that are not listed.</w:t>
      </w:r>
    </w:p>
  </w:footnote>
  <w:footnote w:id="8">
    <w:p w14:paraId="156E5F12"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31D3"/>
    <w:multiLevelType w:val="hybridMultilevel"/>
    <w:tmpl w:val="15F26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3D48AE"/>
    <w:multiLevelType w:val="hybridMultilevel"/>
    <w:tmpl w:val="C574A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C350F5"/>
    <w:multiLevelType w:val="hybridMultilevel"/>
    <w:tmpl w:val="038ED25C"/>
    <w:lvl w:ilvl="0" w:tplc="36E415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6812548">
    <w:abstractNumId w:val="1"/>
  </w:num>
  <w:num w:numId="2" w16cid:durableId="1583634894">
    <w:abstractNumId w:val="0"/>
  </w:num>
  <w:num w:numId="3" w16cid:durableId="991181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23D31"/>
    <w:rsid w:val="00025A0F"/>
    <w:rsid w:val="00025A1B"/>
    <w:rsid w:val="000277C6"/>
    <w:rsid w:val="00050BF8"/>
    <w:rsid w:val="00065543"/>
    <w:rsid w:val="00067CE6"/>
    <w:rsid w:val="0008052A"/>
    <w:rsid w:val="00082499"/>
    <w:rsid w:val="000C41E4"/>
    <w:rsid w:val="000D6E83"/>
    <w:rsid w:val="00106E61"/>
    <w:rsid w:val="001301D9"/>
    <w:rsid w:val="001462AD"/>
    <w:rsid w:val="00150222"/>
    <w:rsid w:val="00152FEF"/>
    <w:rsid w:val="00162CAE"/>
    <w:rsid w:val="0017743F"/>
    <w:rsid w:val="001806B4"/>
    <w:rsid w:val="001A4031"/>
    <w:rsid w:val="001A53B9"/>
    <w:rsid w:val="001B11A8"/>
    <w:rsid w:val="00203EF5"/>
    <w:rsid w:val="002072B4"/>
    <w:rsid w:val="00214235"/>
    <w:rsid w:val="00243F87"/>
    <w:rsid w:val="002501FC"/>
    <w:rsid w:val="0025071F"/>
    <w:rsid w:val="00250A65"/>
    <w:rsid w:val="0025199F"/>
    <w:rsid w:val="0026434D"/>
    <w:rsid w:val="00264F16"/>
    <w:rsid w:val="00266B15"/>
    <w:rsid w:val="002829AC"/>
    <w:rsid w:val="00282BD2"/>
    <w:rsid w:val="00290E24"/>
    <w:rsid w:val="002A740A"/>
    <w:rsid w:val="002B7819"/>
    <w:rsid w:val="002C1CF3"/>
    <w:rsid w:val="002D58CD"/>
    <w:rsid w:val="002D6186"/>
    <w:rsid w:val="002E7D5A"/>
    <w:rsid w:val="002F58FB"/>
    <w:rsid w:val="00304E46"/>
    <w:rsid w:val="003223FA"/>
    <w:rsid w:val="00326F05"/>
    <w:rsid w:val="00332B8C"/>
    <w:rsid w:val="0035372F"/>
    <w:rsid w:val="00394809"/>
    <w:rsid w:val="003A6B50"/>
    <w:rsid w:val="003B18DF"/>
    <w:rsid w:val="003B3E04"/>
    <w:rsid w:val="003D26C0"/>
    <w:rsid w:val="003D2C3C"/>
    <w:rsid w:val="003F15F6"/>
    <w:rsid w:val="003F6352"/>
    <w:rsid w:val="0040029B"/>
    <w:rsid w:val="00406FCE"/>
    <w:rsid w:val="00407E83"/>
    <w:rsid w:val="00421AD8"/>
    <w:rsid w:val="0044796B"/>
    <w:rsid w:val="00457FEF"/>
    <w:rsid w:val="004664E3"/>
    <w:rsid w:val="00470FA5"/>
    <w:rsid w:val="0048151A"/>
    <w:rsid w:val="004C269D"/>
    <w:rsid w:val="004F280B"/>
    <w:rsid w:val="00501AC4"/>
    <w:rsid w:val="0050210B"/>
    <w:rsid w:val="00502D1C"/>
    <w:rsid w:val="0051598D"/>
    <w:rsid w:val="00523239"/>
    <w:rsid w:val="005362CB"/>
    <w:rsid w:val="00537FD1"/>
    <w:rsid w:val="00544A7D"/>
    <w:rsid w:val="00546051"/>
    <w:rsid w:val="005466BD"/>
    <w:rsid w:val="00546B72"/>
    <w:rsid w:val="00554F00"/>
    <w:rsid w:val="00556DBB"/>
    <w:rsid w:val="00557028"/>
    <w:rsid w:val="00580D8A"/>
    <w:rsid w:val="005846C0"/>
    <w:rsid w:val="00594512"/>
    <w:rsid w:val="005A35D5"/>
    <w:rsid w:val="005A666B"/>
    <w:rsid w:val="005A6BF0"/>
    <w:rsid w:val="005B6F21"/>
    <w:rsid w:val="005C1551"/>
    <w:rsid w:val="005C2BA8"/>
    <w:rsid w:val="005C347A"/>
    <w:rsid w:val="005E0910"/>
    <w:rsid w:val="005E1EE6"/>
    <w:rsid w:val="005E31F2"/>
    <w:rsid w:val="005E75CC"/>
    <w:rsid w:val="00605E0B"/>
    <w:rsid w:val="00611825"/>
    <w:rsid w:val="0061475B"/>
    <w:rsid w:val="00686D73"/>
    <w:rsid w:val="006B6977"/>
    <w:rsid w:val="006B7B4A"/>
    <w:rsid w:val="006C47BC"/>
    <w:rsid w:val="006C7811"/>
    <w:rsid w:val="006F623D"/>
    <w:rsid w:val="00712439"/>
    <w:rsid w:val="00736A05"/>
    <w:rsid w:val="0074700D"/>
    <w:rsid w:val="00753DB8"/>
    <w:rsid w:val="00784D7C"/>
    <w:rsid w:val="00787A1C"/>
    <w:rsid w:val="00794019"/>
    <w:rsid w:val="007A589D"/>
    <w:rsid w:val="008128D7"/>
    <w:rsid w:val="00817444"/>
    <w:rsid w:val="008351CF"/>
    <w:rsid w:val="00847BDD"/>
    <w:rsid w:val="0087027F"/>
    <w:rsid w:val="00872D11"/>
    <w:rsid w:val="008B6D19"/>
    <w:rsid w:val="008C4D04"/>
    <w:rsid w:val="008D1492"/>
    <w:rsid w:val="0090074E"/>
    <w:rsid w:val="00901098"/>
    <w:rsid w:val="009016D8"/>
    <w:rsid w:val="009122D7"/>
    <w:rsid w:val="00915CEE"/>
    <w:rsid w:val="00920E73"/>
    <w:rsid w:val="009212B4"/>
    <w:rsid w:val="009244B3"/>
    <w:rsid w:val="0092657B"/>
    <w:rsid w:val="00951595"/>
    <w:rsid w:val="00967D76"/>
    <w:rsid w:val="00971266"/>
    <w:rsid w:val="00974E02"/>
    <w:rsid w:val="00997493"/>
    <w:rsid w:val="009A3E35"/>
    <w:rsid w:val="009C1F72"/>
    <w:rsid w:val="009D2CF5"/>
    <w:rsid w:val="009E779F"/>
    <w:rsid w:val="009F7052"/>
    <w:rsid w:val="00A338CF"/>
    <w:rsid w:val="00A34BDD"/>
    <w:rsid w:val="00A35853"/>
    <w:rsid w:val="00A53BC9"/>
    <w:rsid w:val="00A71721"/>
    <w:rsid w:val="00A73913"/>
    <w:rsid w:val="00A85F46"/>
    <w:rsid w:val="00A87C58"/>
    <w:rsid w:val="00AE6FD6"/>
    <w:rsid w:val="00AF3545"/>
    <w:rsid w:val="00AF55C3"/>
    <w:rsid w:val="00B01DB8"/>
    <w:rsid w:val="00B250B0"/>
    <w:rsid w:val="00B33432"/>
    <w:rsid w:val="00B53F54"/>
    <w:rsid w:val="00B626E5"/>
    <w:rsid w:val="00B62E29"/>
    <w:rsid w:val="00BB49D8"/>
    <w:rsid w:val="00BC577D"/>
    <w:rsid w:val="00BD4295"/>
    <w:rsid w:val="00BD7454"/>
    <w:rsid w:val="00BD7569"/>
    <w:rsid w:val="00C06FE4"/>
    <w:rsid w:val="00C202C8"/>
    <w:rsid w:val="00C242FA"/>
    <w:rsid w:val="00C316C4"/>
    <w:rsid w:val="00C365B4"/>
    <w:rsid w:val="00C36669"/>
    <w:rsid w:val="00C43C10"/>
    <w:rsid w:val="00C44E83"/>
    <w:rsid w:val="00C55BD8"/>
    <w:rsid w:val="00C63563"/>
    <w:rsid w:val="00C745C1"/>
    <w:rsid w:val="00C773A4"/>
    <w:rsid w:val="00C95659"/>
    <w:rsid w:val="00CA24F6"/>
    <w:rsid w:val="00CB1B38"/>
    <w:rsid w:val="00CF043C"/>
    <w:rsid w:val="00CF06E2"/>
    <w:rsid w:val="00CF0B7A"/>
    <w:rsid w:val="00D01FE5"/>
    <w:rsid w:val="00D10784"/>
    <w:rsid w:val="00D16F57"/>
    <w:rsid w:val="00D217CD"/>
    <w:rsid w:val="00D26806"/>
    <w:rsid w:val="00D45009"/>
    <w:rsid w:val="00D6002F"/>
    <w:rsid w:val="00D64553"/>
    <w:rsid w:val="00D73813"/>
    <w:rsid w:val="00D8385B"/>
    <w:rsid w:val="00D86E5D"/>
    <w:rsid w:val="00DD67D7"/>
    <w:rsid w:val="00DF78BC"/>
    <w:rsid w:val="00E771B9"/>
    <w:rsid w:val="00E87C61"/>
    <w:rsid w:val="00E911F4"/>
    <w:rsid w:val="00EE4C70"/>
    <w:rsid w:val="00EE5B1A"/>
    <w:rsid w:val="00EF2185"/>
    <w:rsid w:val="00F03868"/>
    <w:rsid w:val="00F03D56"/>
    <w:rsid w:val="00F042E8"/>
    <w:rsid w:val="00F13C4D"/>
    <w:rsid w:val="00F278BC"/>
    <w:rsid w:val="00F5738E"/>
    <w:rsid w:val="00F92D6A"/>
    <w:rsid w:val="00FB3B82"/>
    <w:rsid w:val="00FB3EA8"/>
    <w:rsid w:val="00FC4846"/>
    <w:rsid w:val="00FD12FD"/>
    <w:rsid w:val="00FD619C"/>
    <w:rsid w:val="00FE6B1B"/>
    <w:rsid w:val="00FF17AE"/>
    <w:rsid w:val="00FF727F"/>
    <w:rsid w:val="0160DA32"/>
    <w:rsid w:val="01DBAE15"/>
    <w:rsid w:val="02640576"/>
    <w:rsid w:val="02DDCF27"/>
    <w:rsid w:val="02EC4F76"/>
    <w:rsid w:val="031FBB5B"/>
    <w:rsid w:val="04667530"/>
    <w:rsid w:val="04E09418"/>
    <w:rsid w:val="058A2C17"/>
    <w:rsid w:val="05D5AABC"/>
    <w:rsid w:val="06C380F5"/>
    <w:rsid w:val="08A24C08"/>
    <w:rsid w:val="09112CC9"/>
    <w:rsid w:val="095C8AB7"/>
    <w:rsid w:val="09FE9F23"/>
    <w:rsid w:val="0A78758F"/>
    <w:rsid w:val="0A910F45"/>
    <w:rsid w:val="0AB0591E"/>
    <w:rsid w:val="0C2DABFD"/>
    <w:rsid w:val="0C44F6D4"/>
    <w:rsid w:val="0CAEFC23"/>
    <w:rsid w:val="0CDEA4B0"/>
    <w:rsid w:val="0D9D5144"/>
    <w:rsid w:val="0DCC47EC"/>
    <w:rsid w:val="0E6E037C"/>
    <w:rsid w:val="0E990E05"/>
    <w:rsid w:val="0EBCB8B4"/>
    <w:rsid w:val="0EF653D7"/>
    <w:rsid w:val="0FAF5AFC"/>
    <w:rsid w:val="0FFBDE46"/>
    <w:rsid w:val="1315CFCF"/>
    <w:rsid w:val="131F4DB7"/>
    <w:rsid w:val="147D4A8D"/>
    <w:rsid w:val="1765F048"/>
    <w:rsid w:val="1840D0D9"/>
    <w:rsid w:val="1886993E"/>
    <w:rsid w:val="1942DE09"/>
    <w:rsid w:val="1982116E"/>
    <w:rsid w:val="19E29F01"/>
    <w:rsid w:val="19F4773A"/>
    <w:rsid w:val="1AB2E9D5"/>
    <w:rsid w:val="1AEE78CD"/>
    <w:rsid w:val="1AFD8AD6"/>
    <w:rsid w:val="1B8FC7AD"/>
    <w:rsid w:val="1BCBB68B"/>
    <w:rsid w:val="1BD42C32"/>
    <w:rsid w:val="1CBF2954"/>
    <w:rsid w:val="1DEC8909"/>
    <w:rsid w:val="1E23EC6C"/>
    <w:rsid w:val="1ECED3C7"/>
    <w:rsid w:val="1F385DB7"/>
    <w:rsid w:val="1F9F08BD"/>
    <w:rsid w:val="1FDAF51D"/>
    <w:rsid w:val="20398A47"/>
    <w:rsid w:val="2071845C"/>
    <w:rsid w:val="216D395A"/>
    <w:rsid w:val="227AF455"/>
    <w:rsid w:val="228808EC"/>
    <w:rsid w:val="239BE960"/>
    <w:rsid w:val="24C7F0BF"/>
    <w:rsid w:val="258F37C0"/>
    <w:rsid w:val="26BA8A49"/>
    <w:rsid w:val="2725ACB1"/>
    <w:rsid w:val="27DAB83A"/>
    <w:rsid w:val="28CED790"/>
    <w:rsid w:val="298026C9"/>
    <w:rsid w:val="2A636CE1"/>
    <w:rsid w:val="2B5E4D42"/>
    <w:rsid w:val="2B8B394D"/>
    <w:rsid w:val="2B971BD2"/>
    <w:rsid w:val="2BC4A594"/>
    <w:rsid w:val="2CAD7FFC"/>
    <w:rsid w:val="2CBE7F12"/>
    <w:rsid w:val="2D7F0EFE"/>
    <w:rsid w:val="2EFA65B3"/>
    <w:rsid w:val="2FCC1A86"/>
    <w:rsid w:val="3274DE29"/>
    <w:rsid w:val="3287EFCE"/>
    <w:rsid w:val="32FD26E1"/>
    <w:rsid w:val="34A2710F"/>
    <w:rsid w:val="3577B4D8"/>
    <w:rsid w:val="36410719"/>
    <w:rsid w:val="367677EE"/>
    <w:rsid w:val="379C5366"/>
    <w:rsid w:val="37D9EFB2"/>
    <w:rsid w:val="38A95A7C"/>
    <w:rsid w:val="3AF38309"/>
    <w:rsid w:val="3DB91EF3"/>
    <w:rsid w:val="3F81DBB9"/>
    <w:rsid w:val="3FE99FEE"/>
    <w:rsid w:val="403224F7"/>
    <w:rsid w:val="40B5BC72"/>
    <w:rsid w:val="4143EEA5"/>
    <w:rsid w:val="414DF7B9"/>
    <w:rsid w:val="42597BBA"/>
    <w:rsid w:val="42BD374E"/>
    <w:rsid w:val="43418A8A"/>
    <w:rsid w:val="43F138BF"/>
    <w:rsid w:val="43F2FD87"/>
    <w:rsid w:val="461CD183"/>
    <w:rsid w:val="46486BE9"/>
    <w:rsid w:val="464C2084"/>
    <w:rsid w:val="47CE930C"/>
    <w:rsid w:val="47EA638B"/>
    <w:rsid w:val="47F6D3D0"/>
    <w:rsid w:val="486C6A23"/>
    <w:rsid w:val="486FE63F"/>
    <w:rsid w:val="4945EE28"/>
    <w:rsid w:val="4A966062"/>
    <w:rsid w:val="4CB7E5C1"/>
    <w:rsid w:val="4E5CF2B6"/>
    <w:rsid w:val="505115AF"/>
    <w:rsid w:val="5098673D"/>
    <w:rsid w:val="5098ADE8"/>
    <w:rsid w:val="50D66E22"/>
    <w:rsid w:val="5283E4D4"/>
    <w:rsid w:val="5330FA56"/>
    <w:rsid w:val="53587B47"/>
    <w:rsid w:val="53D130EB"/>
    <w:rsid w:val="546EDEB9"/>
    <w:rsid w:val="54877E6C"/>
    <w:rsid w:val="54BA6898"/>
    <w:rsid w:val="57C4B77D"/>
    <w:rsid w:val="57FB6296"/>
    <w:rsid w:val="5882C757"/>
    <w:rsid w:val="58B8D068"/>
    <w:rsid w:val="591A35C2"/>
    <w:rsid w:val="5BAC61EA"/>
    <w:rsid w:val="5DC321F0"/>
    <w:rsid w:val="5DC9DBE1"/>
    <w:rsid w:val="5E1B3945"/>
    <w:rsid w:val="5E3F1649"/>
    <w:rsid w:val="5EFD454A"/>
    <w:rsid w:val="5FC7C020"/>
    <w:rsid w:val="5FE283B9"/>
    <w:rsid w:val="606EC105"/>
    <w:rsid w:val="60E36B45"/>
    <w:rsid w:val="61104FF0"/>
    <w:rsid w:val="611AA095"/>
    <w:rsid w:val="612BC7CB"/>
    <w:rsid w:val="625228EA"/>
    <w:rsid w:val="635AB35E"/>
    <w:rsid w:val="6441E342"/>
    <w:rsid w:val="6520C152"/>
    <w:rsid w:val="657FFF62"/>
    <w:rsid w:val="66107C87"/>
    <w:rsid w:val="6644ADCD"/>
    <w:rsid w:val="68A4B256"/>
    <w:rsid w:val="68FD1A26"/>
    <w:rsid w:val="6B3ACE22"/>
    <w:rsid w:val="6CE76608"/>
    <w:rsid w:val="6D328959"/>
    <w:rsid w:val="6D3D242E"/>
    <w:rsid w:val="6D757B9E"/>
    <w:rsid w:val="6E054B2A"/>
    <w:rsid w:val="6E0AC58C"/>
    <w:rsid w:val="70CD2E26"/>
    <w:rsid w:val="7162E772"/>
    <w:rsid w:val="723FBB1D"/>
    <w:rsid w:val="72891BD2"/>
    <w:rsid w:val="745EBA29"/>
    <w:rsid w:val="74C4BA34"/>
    <w:rsid w:val="74C6A875"/>
    <w:rsid w:val="79304FD5"/>
    <w:rsid w:val="7BD1A5ED"/>
    <w:rsid w:val="7BDB0CF9"/>
    <w:rsid w:val="7C53680C"/>
    <w:rsid w:val="7C9869AE"/>
    <w:rsid w:val="7D037217"/>
    <w:rsid w:val="7D29F2C3"/>
    <w:rsid w:val="7D8012F2"/>
    <w:rsid w:val="7D9B8A53"/>
    <w:rsid w:val="7E29736B"/>
    <w:rsid w:val="7F0EF44A"/>
    <w:rsid w:val="7F3ECE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B334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33432"/>
    <w:rPr>
      <w:sz w:val="20"/>
      <w:szCs w:val="20"/>
    </w:rPr>
  </w:style>
  <w:style w:type="table" w:customStyle="1" w:styleId="Tablenone1">
    <w:name w:val="Table none1"/>
    <w:basedOn w:val="NormaleTabelle"/>
    <w:next w:val="Tabellenraster"/>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Absatz-Standardschriftar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Standard"/>
    <w:link w:val="Ref1"/>
    <w:uiPriority w:val="99"/>
    <w:rsid w:val="00B33432"/>
    <w:pPr>
      <w:spacing w:before="120" w:line="240" w:lineRule="exact"/>
    </w:pPr>
    <w:rPr>
      <w:rFonts w:ascii="Arial" w:eastAsia="MS PGothic" w:hAnsi="Arial"/>
      <w:sz w:val="16"/>
      <w:szCs w:val="20"/>
      <w:vertAlign w:val="superscript"/>
      <w:lang w:val="nl-BE"/>
    </w:rPr>
  </w:style>
  <w:style w:type="table" w:styleId="Tabellenraster">
    <w:name w:val="Table Grid"/>
    <w:basedOn w:val="NormaleTabelle"/>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B33432"/>
    <w:rPr>
      <w:vertAlign w:val="superscript"/>
    </w:rPr>
  </w:style>
  <w:style w:type="paragraph" w:styleId="Kopfzeile">
    <w:name w:val="header"/>
    <w:basedOn w:val="Standard"/>
    <w:link w:val="KopfzeileZchn"/>
    <w:uiPriority w:val="99"/>
    <w:unhideWhenUsed/>
    <w:rsid w:val="00F03D5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03D56"/>
  </w:style>
  <w:style w:type="paragraph" w:styleId="Fuzeile">
    <w:name w:val="footer"/>
    <w:basedOn w:val="Standard"/>
    <w:link w:val="FuzeileZchn"/>
    <w:uiPriority w:val="99"/>
    <w:unhideWhenUsed/>
    <w:rsid w:val="00F03D5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03D56"/>
  </w:style>
  <w:style w:type="paragraph" w:styleId="Sprechblasentext">
    <w:name w:val="Balloon Text"/>
    <w:basedOn w:val="Standard"/>
    <w:link w:val="SprechblasentextZchn"/>
    <w:uiPriority w:val="99"/>
    <w:semiHidden/>
    <w:unhideWhenUsed/>
    <w:rsid w:val="002D618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186"/>
    <w:rPr>
      <w:rFonts w:ascii="Segoe UI" w:hAnsi="Segoe UI" w:cs="Segoe UI"/>
      <w:sz w:val="18"/>
      <w:szCs w:val="18"/>
    </w:rPr>
  </w:style>
  <w:style w:type="character" w:styleId="Hyperlink">
    <w:name w:val="Hyperlink"/>
    <w:basedOn w:val="Absatz-Standardschriftart"/>
    <w:uiPriority w:val="99"/>
    <w:unhideWhenUsed/>
    <w:rsid w:val="00901098"/>
    <w:rPr>
      <w:color w:val="0563C1" w:themeColor="hyperlink"/>
      <w:u w:val="single"/>
    </w:rPr>
  </w:style>
  <w:style w:type="character" w:styleId="NichtaufgelsteErwhnung">
    <w:name w:val="Unresolved Mention"/>
    <w:basedOn w:val="Absatz-Standardschriftart"/>
    <w:uiPriority w:val="99"/>
    <w:semiHidden/>
    <w:unhideWhenUsed/>
    <w:rsid w:val="00901098"/>
    <w:rPr>
      <w:color w:val="605E5C"/>
      <w:shd w:val="clear" w:color="auto" w:fill="E1DFDD"/>
    </w:rPr>
  </w:style>
  <w:style w:type="character" w:styleId="BesuchterLink">
    <w:name w:val="FollowedHyperlink"/>
    <w:basedOn w:val="Absatz-Standardschriftart"/>
    <w:uiPriority w:val="99"/>
    <w:semiHidden/>
    <w:unhideWhenUsed/>
    <w:rsid w:val="00901098"/>
    <w:rPr>
      <w:color w:val="954F72" w:themeColor="followedHyperlink"/>
      <w:u w:val="single"/>
    </w:rPr>
  </w:style>
  <w:style w:type="paragraph" w:customStyle="1" w:styleId="TableParagraph">
    <w:name w:val="Table Paragraph"/>
    <w:basedOn w:val="Standard"/>
    <w:uiPriority w:val="1"/>
    <w:qFormat/>
    <w:rsid w:val="08A24C08"/>
    <w:pPr>
      <w:widowControl w:val="0"/>
    </w:pPr>
    <w:rPr>
      <w:rFonts w:ascii="Arial" w:eastAsia="Arial" w:hAnsi="Arial" w:cs="Arial"/>
    </w:rPr>
  </w:style>
  <w:style w:type="paragraph" w:styleId="Listenabsatz">
    <w:name w:val="List Paragraph"/>
    <w:basedOn w:val="Standard"/>
    <w:uiPriority w:val="34"/>
    <w:qFormat/>
    <w:rsid w:val="005C2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ma.europa.eu/press-news/consultations/call-evidence-review-ucits-eligible-assets-directiv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47A265BA3AD2D479F02CD8C915BFD6B" ma:contentTypeVersion="4" ma:contentTypeDescription="Ein neues Dokument erstellen." ma:contentTypeScope="" ma:versionID="010789d65e147922d3c5055c2482e48e">
  <xsd:schema xmlns:xsd="http://www.w3.org/2001/XMLSchema" xmlns:xs="http://www.w3.org/2001/XMLSchema" xmlns:p="http://schemas.microsoft.com/office/2006/metadata/properties" xmlns:ns2="af178473-64f2-4e09-b8c1-25182d49f7f8" targetNamespace="http://schemas.microsoft.com/office/2006/metadata/properties" ma:root="true" ma:fieldsID="a98fdf2c3307ed1a073ebac30f2d2ae3" ns2:_="">
    <xsd:import namespace="af178473-64f2-4e09-b8c1-25182d49f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8473-64f2-4e09-b8c1-25182d49f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E5E44-F82A-4CA2-8027-F72F06EC0E36}">
  <ds:schemaRefs>
    <ds:schemaRef ds:uri="http://schemas.openxmlformats.org/officeDocument/2006/bibliography"/>
  </ds:schemaRefs>
</ds:datastoreItem>
</file>

<file path=customXml/itemProps2.xml><?xml version="1.0" encoding="utf-8"?>
<ds:datastoreItem xmlns:ds="http://schemas.openxmlformats.org/officeDocument/2006/customXml" ds:itemID="{070DE1D3-137E-4EE5-9819-CE5321FF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8473-64f2-4e09-b8c1-25182d49f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697FA-BE24-4878-AFDB-AD64CEE091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EC7362-CE0E-45A1-9F25-BE624802C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2081</Words>
  <Characters>13114</Characters>
  <Application>Microsoft Office Word</Application>
  <DocSecurity>0</DocSecurity>
  <Lines>109</Lines>
  <Paragraphs>30</Paragraphs>
  <ScaleCrop>false</ScaleCrop>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Andreas Maskow</cp:lastModifiedBy>
  <cp:revision>4</cp:revision>
  <dcterms:created xsi:type="dcterms:W3CDTF">2024-08-07T09:20:00Z</dcterms:created>
  <dcterms:modified xsi:type="dcterms:W3CDTF">2024-08-07T09:26:00Z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0x010100947A265BA3AD2D479F02CD8C915BFD6B</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