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50" w:line="276" w:lineRule="auto"/>
        <w:jc w:val="both"/>
        <w:rPr>
          <w:rFonts w:ascii="Arial" w:cs="Arial" w:eastAsia="Arial" w:hAnsi="Arial"/>
          <w:b w:val="1"/>
          <w:color w:val="181818"/>
          <w:sz w:val="20"/>
          <w:szCs w:val="20"/>
        </w:rPr>
      </w:pPr>
      <w:r w:rsidDel="00000000" w:rsidR="00000000" w:rsidRPr="00000000">
        <w:rPr>
          <w:rFonts w:ascii="Arial" w:cs="Arial" w:eastAsia="Arial" w:hAnsi="Arial"/>
          <w:b w:val="1"/>
          <w:color w:val="181818"/>
          <w:sz w:val="20"/>
          <w:szCs w:val="20"/>
          <w:rtl w:val="0"/>
        </w:rPr>
        <w:t xml:space="preserve">Annex – Question 20. Table on eligible assets UCITS EAD. </w:t>
      </w:r>
    </w:p>
    <w:p w:rsidR="00000000" w:rsidDel="00000000" w:rsidP="00000000" w:rsidRDefault="00000000" w:rsidRPr="00000000" w14:paraId="00000002">
      <w:pPr>
        <w:spacing w:after="250" w:line="276" w:lineRule="auto"/>
        <w:jc w:val="both"/>
        <w:rPr>
          <w:rFonts w:ascii="Arial" w:cs="Arial" w:eastAsia="Arial" w:hAnsi="Arial"/>
          <w:color w:val="181818"/>
          <w:sz w:val="20"/>
          <w:szCs w:val="20"/>
        </w:rPr>
      </w:pPr>
      <w:r w:rsidDel="00000000" w:rsidR="00000000" w:rsidRPr="00000000">
        <w:rPr>
          <w:rFonts w:ascii="Arial" w:cs="Arial" w:eastAsia="Arial" w:hAnsi="Arial"/>
          <w:color w:val="181818"/>
          <w:sz w:val="20"/>
          <w:szCs w:val="20"/>
          <w:rtl w:val="0"/>
        </w:rPr>
        <w:t xml:space="preserve">For the purposes of Question 20, please complete the table below with the requested information, taking into account the instructions provided in the footnotes. After having completed the form, please save the document (according to the following convention: “ESMA_Q20_nameofrespondent”) and upload it online at </w:t>
      </w:r>
      <w:hyperlink r:id="rId8">
        <w:r w:rsidDel="00000000" w:rsidR="00000000" w:rsidRPr="00000000">
          <w:rPr>
            <w:rFonts w:ascii="Arial" w:cs="Arial" w:eastAsia="Arial" w:hAnsi="Arial"/>
            <w:color w:val="0563c1"/>
            <w:sz w:val="20"/>
            <w:szCs w:val="20"/>
            <w:u w:val="single"/>
            <w:rtl w:val="0"/>
          </w:rPr>
          <w:t xml:space="preserve">https://www.esma.europa.eu/press-news/consultations/call-evidence-review-ucits-eligible-assets-directive</w:t>
        </w:r>
      </w:hyperlink>
      <w:r w:rsidDel="00000000" w:rsidR="00000000" w:rsidRPr="00000000">
        <w:rPr>
          <w:rFonts w:ascii="Arial" w:cs="Arial" w:eastAsia="Arial" w:hAnsi="Arial"/>
          <w:i w:val="1"/>
          <w:color w:val="181818"/>
          <w:sz w:val="20"/>
          <w:szCs w:val="20"/>
          <w:rtl w:val="0"/>
        </w:rPr>
        <w:t xml:space="preserve"> </w:t>
      </w:r>
      <w:r w:rsidDel="00000000" w:rsidR="00000000" w:rsidRPr="00000000">
        <w:rPr>
          <w:rFonts w:ascii="Arial" w:cs="Arial" w:eastAsia="Arial" w:hAnsi="Arial"/>
          <w:color w:val="181818"/>
          <w:sz w:val="20"/>
          <w:szCs w:val="20"/>
          <w:rtl w:val="0"/>
        </w:rPr>
        <w:t xml:space="preserve">under the heading </w:t>
      </w:r>
      <w:r w:rsidDel="00000000" w:rsidR="00000000" w:rsidRPr="00000000">
        <w:rPr>
          <w:rFonts w:ascii="Arial" w:cs="Arial" w:eastAsia="Arial" w:hAnsi="Arial"/>
          <w:i w:val="1"/>
          <w:color w:val="181818"/>
          <w:sz w:val="20"/>
          <w:szCs w:val="20"/>
          <w:rtl w:val="0"/>
        </w:rPr>
        <w:t xml:space="preserve">‘Your input - Consultations’</w:t>
      </w:r>
      <w:r w:rsidDel="00000000" w:rsidR="00000000" w:rsidRPr="00000000">
        <w:rPr>
          <w:rFonts w:ascii="Arial" w:cs="Arial" w:eastAsia="Arial" w:hAnsi="Arial"/>
          <w:color w:val="181818"/>
          <w:sz w:val="20"/>
          <w:szCs w:val="20"/>
          <w:rtl w:val="0"/>
        </w:rPr>
        <w:t xml:space="preserve">, as an Annex to the Reply Form. In case you upload a pdf file, please choose an editable form. </w:t>
      </w:r>
    </w:p>
    <w:tbl>
      <w:tblPr>
        <w:tblStyle w:val="Table1"/>
        <w:tblW w:w="93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0"/>
        <w:gridCol w:w="1680"/>
        <w:gridCol w:w="1770"/>
        <w:gridCol w:w="1050"/>
        <w:gridCol w:w="2715"/>
        <w:tblGridChange w:id="0">
          <w:tblGrid>
            <w:gridCol w:w="2100"/>
            <w:gridCol w:w="1680"/>
            <w:gridCol w:w="1770"/>
            <w:gridCol w:w="1050"/>
            <w:gridCol w:w="2715"/>
          </w:tblGrid>
        </w:tblGridChange>
      </w:tblGrid>
      <w:tr>
        <w:trPr>
          <w:cantSplit w:val="0"/>
          <w:tblHeader w:val="0"/>
        </w:trPr>
        <w:tc>
          <w:tcPr/>
          <w:p w:rsidR="00000000" w:rsidDel="00000000" w:rsidP="00000000" w:rsidRDefault="00000000" w:rsidRPr="00000000" w14:paraId="00000003">
            <w:pPr>
              <w:spacing w:after="250" w:line="276" w:lineRule="auto"/>
              <w:jc w:val="center"/>
              <w:rPr>
                <w:rFonts w:ascii="Arial" w:cs="Arial" w:eastAsia="Arial" w:hAnsi="Arial"/>
                <w:b w:val="1"/>
                <w:color w:val="181818"/>
              </w:rPr>
            </w:pPr>
            <w:r w:rsidDel="00000000" w:rsidR="00000000" w:rsidRPr="00000000">
              <w:rPr>
                <w:rFonts w:ascii="Arial" w:cs="Arial" w:eastAsia="Arial" w:hAnsi="Arial"/>
                <w:b w:val="1"/>
                <w:color w:val="181818"/>
                <w:rtl w:val="0"/>
              </w:rPr>
              <w:t xml:space="preserve">Asset class</w:t>
            </w:r>
            <w:r w:rsidDel="00000000" w:rsidR="00000000" w:rsidRPr="00000000">
              <w:rPr>
                <w:rFonts w:ascii="Arial" w:cs="Arial" w:eastAsia="Arial" w:hAnsi="Arial"/>
                <w:b w:val="1"/>
                <w:color w:val="181818"/>
                <w:vertAlign w:val="superscript"/>
              </w:rPr>
              <w:footnoteReference w:customMarkFollows="0" w:id="0"/>
            </w:r>
            <w:r w:rsidDel="00000000" w:rsidR="00000000" w:rsidRPr="00000000">
              <w:rPr>
                <w:rtl w:val="0"/>
              </w:rPr>
            </w:r>
          </w:p>
        </w:tc>
        <w:tc>
          <w:tcPr/>
          <w:p w:rsidR="00000000" w:rsidDel="00000000" w:rsidP="00000000" w:rsidRDefault="00000000" w:rsidRPr="00000000" w14:paraId="00000004">
            <w:pPr>
              <w:spacing w:after="250" w:line="276" w:lineRule="auto"/>
              <w:jc w:val="center"/>
              <w:rPr>
                <w:rFonts w:ascii="Arial" w:cs="Arial" w:eastAsia="Arial" w:hAnsi="Arial"/>
                <w:b w:val="1"/>
                <w:color w:val="181818"/>
              </w:rPr>
            </w:pPr>
            <w:r w:rsidDel="00000000" w:rsidR="00000000" w:rsidRPr="00000000">
              <w:rPr>
                <w:rFonts w:ascii="Arial" w:cs="Arial" w:eastAsia="Arial" w:hAnsi="Arial"/>
                <w:b w:val="1"/>
                <w:color w:val="181818"/>
                <w:rtl w:val="0"/>
              </w:rPr>
              <w:t xml:space="preserve">Merits of allowing direct UCITS exposures</w:t>
            </w:r>
          </w:p>
        </w:tc>
        <w:tc>
          <w:tcPr/>
          <w:p w:rsidR="00000000" w:rsidDel="00000000" w:rsidP="00000000" w:rsidRDefault="00000000" w:rsidRPr="00000000" w14:paraId="00000005">
            <w:pPr>
              <w:spacing w:after="250" w:line="276" w:lineRule="auto"/>
              <w:jc w:val="center"/>
              <w:rPr>
                <w:rFonts w:ascii="Arial" w:cs="Arial" w:eastAsia="Arial" w:hAnsi="Arial"/>
                <w:b w:val="1"/>
                <w:color w:val="181818"/>
              </w:rPr>
            </w:pPr>
            <w:r w:rsidDel="00000000" w:rsidR="00000000" w:rsidRPr="00000000">
              <w:rPr>
                <w:rFonts w:ascii="Arial" w:cs="Arial" w:eastAsia="Arial" w:hAnsi="Arial"/>
                <w:b w:val="1"/>
                <w:color w:val="181818"/>
                <w:rtl w:val="0"/>
              </w:rPr>
              <w:t xml:space="preserve">Merits of allowing </w:t>
            </w:r>
            <w:r w:rsidDel="00000000" w:rsidR="00000000" w:rsidRPr="00000000">
              <w:rPr>
                <w:rFonts w:ascii="Arial" w:cs="Arial" w:eastAsia="Arial" w:hAnsi="Arial"/>
                <w:b w:val="1"/>
                <w:i w:val="1"/>
                <w:color w:val="181818"/>
                <w:rtl w:val="0"/>
              </w:rPr>
              <w:t xml:space="preserve">indirect</w:t>
            </w:r>
            <w:r w:rsidDel="00000000" w:rsidR="00000000" w:rsidRPr="00000000">
              <w:rPr>
                <w:rFonts w:ascii="Arial" w:cs="Arial" w:eastAsia="Arial" w:hAnsi="Arial"/>
                <w:b w:val="1"/>
                <w:color w:val="181818"/>
                <w:rtl w:val="0"/>
              </w:rPr>
              <w:t xml:space="preserve"> UCITS exposures</w:t>
            </w:r>
            <w:r w:rsidDel="00000000" w:rsidR="00000000" w:rsidRPr="00000000">
              <w:rPr>
                <w:rFonts w:ascii="Arial" w:cs="Arial" w:eastAsia="Arial" w:hAnsi="Arial"/>
                <w:b w:val="1"/>
                <w:color w:val="181818"/>
                <w:vertAlign w:val="superscript"/>
              </w:rPr>
              <w:footnoteReference w:customMarkFollows="0" w:id="1"/>
            </w:r>
            <w:r w:rsidDel="00000000" w:rsidR="00000000" w:rsidRPr="00000000">
              <w:rPr>
                <w:rtl w:val="0"/>
              </w:rPr>
            </w:r>
          </w:p>
        </w:tc>
        <w:tc>
          <w:tcPr/>
          <w:p w:rsidR="00000000" w:rsidDel="00000000" w:rsidP="00000000" w:rsidRDefault="00000000" w:rsidRPr="00000000" w14:paraId="00000006">
            <w:pPr>
              <w:spacing w:after="250" w:line="276" w:lineRule="auto"/>
              <w:jc w:val="center"/>
              <w:rPr>
                <w:rFonts w:ascii="Arial" w:cs="Arial" w:eastAsia="Arial" w:hAnsi="Arial"/>
                <w:b w:val="1"/>
                <w:color w:val="181818"/>
              </w:rPr>
            </w:pPr>
            <w:r w:rsidDel="00000000" w:rsidR="00000000" w:rsidRPr="00000000">
              <w:rPr>
                <w:rFonts w:ascii="Arial" w:cs="Arial" w:eastAsia="Arial" w:hAnsi="Arial"/>
                <w:b w:val="1"/>
                <w:color w:val="181818"/>
                <w:rtl w:val="0"/>
              </w:rPr>
              <w:t xml:space="preserve">Extent/amount of existing UCITS exposures</w:t>
            </w:r>
            <w:r w:rsidDel="00000000" w:rsidR="00000000" w:rsidRPr="00000000">
              <w:rPr>
                <w:rFonts w:ascii="Arial" w:cs="Arial" w:eastAsia="Arial" w:hAnsi="Arial"/>
                <w:b w:val="1"/>
                <w:color w:val="181818"/>
                <w:vertAlign w:val="superscript"/>
              </w:rPr>
              <w:footnoteReference w:customMarkFollows="0" w:id="2"/>
            </w:r>
            <w:r w:rsidDel="00000000" w:rsidR="00000000" w:rsidRPr="00000000">
              <w:rPr>
                <w:rFonts w:ascii="Arial" w:cs="Arial" w:eastAsia="Arial" w:hAnsi="Arial"/>
                <w:b w:val="1"/>
                <w:color w:val="181818"/>
                <w:rtl w:val="0"/>
              </w:rPr>
              <w:t xml:space="preserve"> </w:t>
            </w:r>
          </w:p>
        </w:tc>
        <w:tc>
          <w:tcPr/>
          <w:p w:rsidR="00000000" w:rsidDel="00000000" w:rsidP="00000000" w:rsidRDefault="00000000" w:rsidRPr="00000000" w14:paraId="00000007">
            <w:pPr>
              <w:spacing w:after="250" w:line="276" w:lineRule="auto"/>
              <w:jc w:val="center"/>
              <w:rPr>
                <w:rFonts w:ascii="Arial" w:cs="Arial" w:eastAsia="Arial" w:hAnsi="Arial"/>
                <w:b w:val="1"/>
                <w:color w:val="181818"/>
              </w:rPr>
            </w:pPr>
            <w:r w:rsidDel="00000000" w:rsidR="00000000" w:rsidRPr="00000000">
              <w:rPr>
                <w:rFonts w:ascii="Arial" w:cs="Arial" w:eastAsia="Arial" w:hAnsi="Arial"/>
                <w:b w:val="1"/>
                <w:color w:val="181818"/>
                <w:rtl w:val="0"/>
              </w:rPr>
              <w:t xml:space="preserve">Additional comments</w:t>
            </w:r>
            <w:r w:rsidDel="00000000" w:rsidR="00000000" w:rsidRPr="00000000">
              <w:rPr>
                <w:rFonts w:ascii="Arial" w:cs="Arial" w:eastAsia="Arial" w:hAnsi="Arial"/>
                <w:b w:val="1"/>
                <w:vertAlign w:val="superscript"/>
              </w:rPr>
              <w:footnoteReference w:customMarkFollows="0" w:id="3"/>
            </w:r>
            <w:r w:rsidDel="00000000" w:rsidR="00000000" w:rsidRPr="00000000">
              <w:rPr>
                <w:rtl w:val="0"/>
              </w:rPr>
            </w:r>
          </w:p>
        </w:tc>
      </w:tr>
      <w:tr>
        <w:trPr>
          <w:cantSplit w:val="0"/>
          <w:tblHeader w:val="0"/>
        </w:trPr>
        <w:tc>
          <w:tcPr/>
          <w:p w:rsidR="00000000" w:rsidDel="00000000" w:rsidP="00000000" w:rsidRDefault="00000000" w:rsidRPr="00000000" w14:paraId="00000008">
            <w:pPr>
              <w:spacing w:after="250" w:line="276" w:lineRule="auto"/>
              <w:rPr>
                <w:rFonts w:ascii="Arial" w:cs="Arial" w:eastAsia="Arial" w:hAnsi="Arial"/>
                <w:color w:val="181818"/>
              </w:rPr>
            </w:pPr>
            <w:r w:rsidDel="00000000" w:rsidR="00000000" w:rsidRPr="00000000">
              <w:rPr>
                <w:rFonts w:ascii="Arial" w:cs="Arial" w:eastAsia="Arial" w:hAnsi="Arial"/>
                <w:rtl w:val="0"/>
              </w:rPr>
              <w:t xml:space="preserve">1. Loans</w:t>
            </w:r>
            <w:r w:rsidDel="00000000" w:rsidR="00000000" w:rsidRPr="00000000">
              <w:rPr>
                <w:rFonts w:ascii="Arial" w:cs="Arial" w:eastAsia="Arial" w:hAnsi="Arial"/>
                <w:vertAlign w:val="superscript"/>
              </w:rPr>
              <w:footnoteReference w:customMarkFollows="0" w:id="4"/>
            </w:r>
            <w:r w:rsidDel="00000000" w:rsidR="00000000" w:rsidRPr="00000000">
              <w:rPr>
                <w:rtl w:val="0"/>
              </w:rPr>
            </w:r>
          </w:p>
        </w:tc>
        <w:tc>
          <w:tcPr/>
          <w:p w:rsidR="00000000" w:rsidDel="00000000" w:rsidP="00000000" w:rsidRDefault="00000000" w:rsidRPr="00000000" w14:paraId="00000009">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0A">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0B">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0C">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0D">
            <w:pPr>
              <w:spacing w:after="250" w:line="276" w:lineRule="auto"/>
              <w:rPr>
                <w:rFonts w:ascii="Arial" w:cs="Arial" w:eastAsia="Arial" w:hAnsi="Arial"/>
              </w:rPr>
            </w:pPr>
            <w:r w:rsidDel="00000000" w:rsidR="00000000" w:rsidRPr="00000000">
              <w:rPr>
                <w:rFonts w:ascii="Arial" w:cs="Arial" w:eastAsia="Arial" w:hAnsi="Arial"/>
                <w:rtl w:val="0"/>
              </w:rPr>
              <w:t xml:space="preserve">2. Catastrophe bonds (‘Cat bonds’)</w:t>
            </w:r>
          </w:p>
        </w:tc>
        <w:tc>
          <w:tcPr/>
          <w:p w:rsidR="00000000" w:rsidDel="00000000" w:rsidP="00000000" w:rsidRDefault="00000000" w:rsidRPr="00000000" w14:paraId="0000000E">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0F">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10">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11">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after="250" w:line="276" w:lineRule="auto"/>
              <w:rPr>
                <w:rFonts w:ascii="Arial" w:cs="Arial" w:eastAsia="Arial" w:hAnsi="Arial"/>
                <w:color w:val="181818"/>
              </w:rPr>
            </w:pPr>
            <w:r w:rsidDel="00000000" w:rsidR="00000000" w:rsidRPr="00000000">
              <w:rPr>
                <w:rFonts w:ascii="Arial" w:cs="Arial" w:eastAsia="Arial" w:hAnsi="Arial"/>
                <w:rtl w:val="0"/>
              </w:rPr>
              <w:t xml:space="preserve">3. Contingent Convertible bonds (‘CoCo bonds’)</w:t>
            </w:r>
            <w:r w:rsidDel="00000000" w:rsidR="00000000" w:rsidRPr="00000000">
              <w:rPr>
                <w:rtl w:val="0"/>
              </w:rPr>
            </w:r>
          </w:p>
        </w:tc>
        <w:tc>
          <w:tcPr/>
          <w:p w:rsidR="00000000" w:rsidDel="00000000" w:rsidP="00000000" w:rsidRDefault="00000000" w:rsidRPr="00000000" w14:paraId="00000013">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14">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15">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16">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after="250" w:line="276" w:lineRule="auto"/>
              <w:rPr>
                <w:rFonts w:ascii="Arial" w:cs="Arial" w:eastAsia="Arial" w:hAnsi="Arial"/>
                <w:color w:val="181818"/>
              </w:rPr>
            </w:pPr>
            <w:r w:rsidDel="00000000" w:rsidR="00000000" w:rsidRPr="00000000">
              <w:rPr>
                <w:rFonts w:ascii="Arial" w:cs="Arial" w:eastAsia="Arial" w:hAnsi="Arial"/>
                <w:rtl w:val="0"/>
              </w:rPr>
              <w:t xml:space="preserve">4. Unrated bonds</w:t>
            </w:r>
            <w:r w:rsidDel="00000000" w:rsidR="00000000" w:rsidRPr="00000000">
              <w:rPr>
                <w:rtl w:val="0"/>
              </w:rPr>
            </w:r>
          </w:p>
        </w:tc>
        <w:tc>
          <w:tcPr/>
          <w:p w:rsidR="00000000" w:rsidDel="00000000" w:rsidP="00000000" w:rsidRDefault="00000000" w:rsidRPr="00000000" w14:paraId="00000018">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19">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1A">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1B">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after="250" w:line="276" w:lineRule="auto"/>
              <w:rPr>
                <w:rFonts w:ascii="Arial" w:cs="Arial" w:eastAsia="Arial" w:hAnsi="Arial"/>
                <w:color w:val="181818"/>
              </w:rPr>
            </w:pPr>
            <w:r w:rsidDel="00000000" w:rsidR="00000000" w:rsidRPr="00000000">
              <w:rPr>
                <w:rFonts w:ascii="Arial" w:cs="Arial" w:eastAsia="Arial" w:hAnsi="Arial"/>
                <w:rtl w:val="0"/>
              </w:rPr>
              <w:t xml:space="preserve">5. Distressed securities</w:t>
            </w:r>
            <w:r w:rsidDel="00000000" w:rsidR="00000000" w:rsidRPr="00000000">
              <w:rPr>
                <w:rtl w:val="0"/>
              </w:rPr>
            </w:r>
          </w:p>
        </w:tc>
        <w:tc>
          <w:tcPr/>
          <w:p w:rsidR="00000000" w:rsidDel="00000000" w:rsidP="00000000" w:rsidRDefault="00000000" w:rsidRPr="00000000" w14:paraId="0000001D">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1E">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1F">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20">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21">
            <w:pPr>
              <w:spacing w:after="250" w:line="276" w:lineRule="auto"/>
              <w:rPr>
                <w:rFonts w:ascii="Arial" w:cs="Arial" w:eastAsia="Arial" w:hAnsi="Arial"/>
              </w:rPr>
            </w:pPr>
            <w:r w:rsidDel="00000000" w:rsidR="00000000" w:rsidRPr="00000000">
              <w:rPr>
                <w:rFonts w:ascii="Arial" w:cs="Arial" w:eastAsia="Arial" w:hAnsi="Arial"/>
                <w:rtl w:val="0"/>
              </w:rPr>
              <w:t xml:space="preserve">6. Unlisted equities</w:t>
            </w:r>
            <w:r w:rsidDel="00000000" w:rsidR="00000000" w:rsidRPr="00000000">
              <w:rPr>
                <w:rFonts w:ascii="Arial" w:cs="Arial" w:eastAsia="Arial" w:hAnsi="Arial"/>
                <w:vertAlign w:val="superscript"/>
              </w:rPr>
              <w:footnoteReference w:customMarkFollows="0" w:id="5"/>
            </w:r>
            <w:r w:rsidDel="00000000" w:rsidR="00000000" w:rsidRPr="00000000">
              <w:rPr>
                <w:rtl w:val="0"/>
              </w:rPr>
            </w:r>
          </w:p>
        </w:tc>
        <w:tc>
          <w:tcPr/>
          <w:p w:rsidR="00000000" w:rsidDel="00000000" w:rsidP="00000000" w:rsidRDefault="00000000" w:rsidRPr="00000000" w14:paraId="00000022">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23">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24">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25">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after="250" w:line="276" w:lineRule="auto"/>
              <w:rPr>
                <w:rFonts w:ascii="Arial" w:cs="Arial" w:eastAsia="Arial" w:hAnsi="Arial"/>
              </w:rPr>
            </w:pPr>
            <w:r w:rsidDel="00000000" w:rsidR="00000000" w:rsidRPr="00000000">
              <w:rPr>
                <w:rFonts w:ascii="Arial" w:cs="Arial" w:eastAsia="Arial" w:hAnsi="Arial"/>
                <w:rtl w:val="0"/>
              </w:rPr>
              <w:t xml:space="preserve">7. Crypto assets</w:t>
            </w:r>
            <w:r w:rsidDel="00000000" w:rsidR="00000000" w:rsidRPr="00000000">
              <w:rPr>
                <w:rFonts w:ascii="Arial" w:cs="Arial" w:eastAsia="Arial" w:hAnsi="Arial"/>
                <w:vertAlign w:val="superscript"/>
              </w:rPr>
              <w:footnoteReference w:customMarkFollows="0" w:id="6"/>
            </w:r>
            <w:r w:rsidDel="00000000" w:rsidR="00000000" w:rsidRPr="00000000">
              <w:rPr>
                <w:rtl w:val="0"/>
              </w:rPr>
            </w:r>
          </w:p>
        </w:tc>
        <w:tc>
          <w:tcPr/>
          <w:p w:rsidR="00000000" w:rsidDel="00000000" w:rsidP="00000000" w:rsidRDefault="00000000" w:rsidRPr="00000000" w14:paraId="00000027">
            <w:pPr>
              <w:spacing w:line="276" w:lineRule="auto"/>
              <w:rPr>
                <w:rFonts w:ascii="Arial" w:cs="Arial" w:eastAsia="Arial" w:hAnsi="Arial"/>
              </w:rPr>
            </w:pPr>
            <w:r w:rsidDel="00000000" w:rsidR="00000000" w:rsidRPr="00000000">
              <w:rPr>
                <w:rFonts w:ascii="Arial" w:cs="Arial" w:eastAsia="Arial" w:hAnsi="Arial"/>
                <w:rtl w:val="0"/>
              </w:rPr>
              <w:t xml:space="preserve">1. Diversification: Crypto assets can offer diversification benefits due to their relatively low correlation with traditional asset classes like equities and bonds.</w:t>
            </w:r>
          </w:p>
          <w:p w:rsidR="00000000" w:rsidDel="00000000" w:rsidP="00000000" w:rsidRDefault="00000000" w:rsidRPr="00000000" w14:paraId="0000002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line="276" w:lineRule="auto"/>
              <w:rPr>
                <w:rFonts w:ascii="Arial" w:cs="Arial" w:eastAsia="Arial" w:hAnsi="Arial"/>
              </w:rPr>
            </w:pPr>
            <w:r w:rsidDel="00000000" w:rsidR="00000000" w:rsidRPr="00000000">
              <w:rPr>
                <w:rFonts w:ascii="Arial" w:cs="Arial" w:eastAsia="Arial" w:hAnsi="Arial"/>
                <w:rtl w:val="0"/>
              </w:rPr>
              <w:t xml:space="preserve">2. Potential High Returns: Crypto assets' historical volatility and high returns can appeal to investors seeking higher risk-adjusted returns.</w:t>
            </w:r>
          </w:p>
          <w:p w:rsidR="00000000" w:rsidDel="00000000" w:rsidP="00000000" w:rsidRDefault="00000000" w:rsidRPr="00000000" w14:paraId="0000002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B">
            <w:pPr>
              <w:spacing w:line="276" w:lineRule="auto"/>
              <w:rPr>
                <w:rFonts w:ascii="Arial" w:cs="Arial" w:eastAsia="Arial" w:hAnsi="Arial"/>
              </w:rPr>
            </w:pPr>
            <w:r w:rsidDel="00000000" w:rsidR="00000000" w:rsidRPr="00000000">
              <w:rPr>
                <w:rFonts w:ascii="Arial" w:cs="Arial" w:eastAsia="Arial" w:hAnsi="Arial"/>
                <w:rtl w:val="0"/>
              </w:rPr>
              <w:t xml:space="preserve">3. Innovation and Modernisation: The inclusion of crypto assets can modernise UCITS offerings, attracting tech-savvy and younger investors.</w:t>
            </w:r>
          </w:p>
          <w:p w:rsidR="00000000" w:rsidDel="00000000" w:rsidP="00000000" w:rsidRDefault="00000000" w:rsidRPr="00000000" w14:paraId="0000002C">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2D">
            <w:pPr>
              <w:spacing w:line="276" w:lineRule="auto"/>
              <w:rPr>
                <w:rFonts w:ascii="Arial" w:cs="Arial" w:eastAsia="Arial" w:hAnsi="Arial"/>
              </w:rPr>
            </w:pPr>
            <w:r w:rsidDel="00000000" w:rsidR="00000000" w:rsidRPr="00000000">
              <w:rPr>
                <w:rFonts w:ascii="Arial" w:cs="Arial" w:eastAsia="Arial" w:hAnsi="Arial"/>
                <w:rtl w:val="0"/>
              </w:rPr>
              <w:t xml:space="preserve">1. Risk Mitigation: Indirect exposure can mitigate some of the direct risks related to crypto-assets, offering a diversified basket of assets.</w:t>
            </w:r>
          </w:p>
          <w:p w:rsidR="00000000" w:rsidDel="00000000" w:rsidP="00000000" w:rsidRDefault="00000000" w:rsidRPr="00000000" w14:paraId="0000002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line="276" w:lineRule="auto"/>
              <w:rPr>
                <w:rFonts w:ascii="Arial" w:cs="Arial" w:eastAsia="Arial" w:hAnsi="Arial"/>
                <w:color w:val="181818"/>
              </w:rPr>
            </w:pPr>
            <w:r w:rsidDel="00000000" w:rsidR="00000000" w:rsidRPr="00000000">
              <w:rPr>
                <w:rFonts w:ascii="Arial" w:cs="Arial" w:eastAsia="Arial" w:hAnsi="Arial"/>
                <w:rtl w:val="0"/>
              </w:rPr>
              <w:t xml:space="preserve">2. Liquidity and Tradability: ETFs and ETPs can provide better liquidity compared to direct holdings, enabling easier entry and exit points for investors.</w:t>
            </w:r>
            <w:r w:rsidDel="00000000" w:rsidR="00000000" w:rsidRPr="00000000">
              <w:rPr>
                <w:rtl w:val="0"/>
              </w:rPr>
            </w:r>
          </w:p>
        </w:tc>
        <w:tc>
          <w:tcPr/>
          <w:p w:rsidR="00000000" w:rsidDel="00000000" w:rsidP="00000000" w:rsidRDefault="00000000" w:rsidRPr="00000000" w14:paraId="00000030">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31">
            <w:pPr>
              <w:spacing w:line="276" w:lineRule="auto"/>
              <w:rPr>
                <w:rFonts w:ascii="Arial" w:cs="Arial" w:eastAsia="Arial" w:hAnsi="Arial"/>
              </w:rPr>
            </w:pPr>
            <w:r w:rsidDel="00000000" w:rsidR="00000000" w:rsidRPr="00000000">
              <w:rPr>
                <w:rFonts w:ascii="Arial" w:cs="Arial" w:eastAsia="Arial" w:hAnsi="Arial"/>
                <w:rtl w:val="0"/>
              </w:rPr>
              <w:t xml:space="preserve">Implementation of MiCA and Its Impact</w:t>
            </w:r>
          </w:p>
          <w:p w:rsidR="00000000" w:rsidDel="00000000" w:rsidP="00000000" w:rsidRDefault="00000000" w:rsidRPr="00000000" w14:paraId="0000003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line="276" w:lineRule="auto"/>
              <w:rPr>
                <w:rFonts w:ascii="Arial" w:cs="Arial" w:eastAsia="Arial" w:hAnsi="Arial"/>
              </w:rPr>
            </w:pPr>
            <w:r w:rsidDel="00000000" w:rsidR="00000000" w:rsidRPr="00000000">
              <w:rPr>
                <w:rFonts w:ascii="Arial" w:cs="Arial" w:eastAsia="Arial" w:hAnsi="Arial"/>
                <w:rtl w:val="0"/>
              </w:rPr>
              <w:t xml:space="preserve">The Markets in Crypto-Assets (MiCA) regulation, once implemented, will significantly impact potential UCITS exposure to crypto assets:</w:t>
            </w:r>
          </w:p>
          <w:p w:rsidR="00000000" w:rsidDel="00000000" w:rsidP="00000000" w:rsidRDefault="00000000" w:rsidRPr="00000000" w14:paraId="0000003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5">
            <w:pPr>
              <w:spacing w:line="276" w:lineRule="auto"/>
              <w:rPr>
                <w:rFonts w:ascii="Arial" w:cs="Arial" w:eastAsia="Arial" w:hAnsi="Arial"/>
              </w:rPr>
            </w:pPr>
            <w:r w:rsidDel="00000000" w:rsidR="00000000" w:rsidRPr="00000000">
              <w:rPr>
                <w:rFonts w:ascii="Arial" w:cs="Arial" w:eastAsia="Arial" w:hAnsi="Arial"/>
                <w:rtl w:val="0"/>
              </w:rPr>
              <w:t xml:space="preserve">1. Increased Regulatory Clarity: MiCA provides a comprehensive regulatory framework for crypto assets, which include standards for market integrity, consumer protection, and anti-money laundering (AML) measures. Furthermore, the whitepaper requirements for crypto assets under MiCA will provide for better clarity and transparency with regards to investing in this asset class. </w:t>
            </w:r>
          </w:p>
          <w:p w:rsidR="00000000" w:rsidDel="00000000" w:rsidP="00000000" w:rsidRDefault="00000000" w:rsidRPr="00000000" w14:paraId="0000003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line="276" w:lineRule="auto"/>
              <w:rPr>
                <w:rFonts w:ascii="Arial" w:cs="Arial" w:eastAsia="Arial" w:hAnsi="Arial"/>
              </w:rPr>
            </w:pPr>
            <w:r w:rsidDel="00000000" w:rsidR="00000000" w:rsidRPr="00000000">
              <w:rPr>
                <w:rFonts w:ascii="Arial" w:cs="Arial" w:eastAsia="Arial" w:hAnsi="Arial"/>
                <w:rtl w:val="0"/>
              </w:rPr>
              <w:t xml:space="preserve">2. Enhanced Investor Protection: With MiCA's regulatory oversight, investors will benefit from enhanced protection, reducing some perceived risks associated with crypto assets. However, due to this, MiCA may impose restrictions on certain types of crypto assets or investment strategies, mitigating risks and potentially limiting the scope of UCITS exposure.</w:t>
            </w:r>
          </w:p>
          <w:p w:rsidR="00000000" w:rsidDel="00000000" w:rsidP="00000000" w:rsidRDefault="00000000" w:rsidRPr="00000000" w14:paraId="0000003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line="276" w:lineRule="auto"/>
              <w:rPr>
                <w:rFonts w:ascii="Arial" w:cs="Arial" w:eastAsia="Arial" w:hAnsi="Arial"/>
              </w:rPr>
            </w:pPr>
            <w:r w:rsidDel="00000000" w:rsidR="00000000" w:rsidRPr="00000000">
              <w:rPr>
                <w:rFonts w:ascii="Arial" w:cs="Arial" w:eastAsia="Arial" w:hAnsi="Arial"/>
                <w:rtl w:val="0"/>
              </w:rPr>
              <w:t xml:space="preserve">3. Types of Crypto Assets: Different types of crypto assets (e.g., Bitcoin, Ethereum, and stablecoins) present unique risk profiles. Therefore, MiCA's categorisation will be notably helpful in determining their eligibility for UCITS.</w:t>
            </w:r>
          </w:p>
          <w:p w:rsidR="00000000" w:rsidDel="00000000" w:rsidP="00000000" w:rsidRDefault="00000000" w:rsidRPr="00000000" w14:paraId="0000003A">
            <w:pPr>
              <w:spacing w:after="240" w:before="240" w:line="276" w:lineRule="auto"/>
              <w:rPr>
                <w:rFonts w:ascii="Arial" w:cs="Arial" w:eastAsia="Arial" w:hAnsi="Arial"/>
              </w:rPr>
            </w:pPr>
            <w:r w:rsidDel="00000000" w:rsidR="00000000" w:rsidRPr="00000000">
              <w:rPr>
                <w:rFonts w:ascii="Arial" w:cs="Arial" w:eastAsia="Arial" w:hAnsi="Arial"/>
                <w:rtl w:val="0"/>
              </w:rPr>
              <w:t xml:space="preserve">Furthermore, the SEC's approval of the Bitcoin ETF provides a relevant precedent and additional support for the inclusion of crypto assets within UCITS (SEC’s statement on the approval of spot Bitcoin ETF available here - </w:t>
            </w:r>
            <w:hyperlink r:id="rId9">
              <w:r w:rsidDel="00000000" w:rsidR="00000000" w:rsidRPr="00000000">
                <w:rPr>
                  <w:rFonts w:ascii="Arial" w:cs="Arial" w:eastAsia="Arial" w:hAnsi="Arial"/>
                  <w:color w:val="1155cc"/>
                  <w:u w:val="single"/>
                  <w:rtl w:val="0"/>
                </w:rPr>
                <w:t xml:space="preserve">https://www.sec.gov/newsroom/speeches-statements/gensler-statement-spot-bitcoin-011023</w:t>
              </w:r>
            </w:hyperlink>
            <w:r w:rsidDel="00000000" w:rsidR="00000000" w:rsidRPr="00000000">
              <w:rPr>
                <w:rFonts w:ascii="Arial" w:cs="Arial" w:eastAsia="Arial" w:hAnsi="Arial"/>
                <w:rtl w:val="0"/>
              </w:rPr>
              <w:t xml:space="preserve">). Key points from the SEC's approval can be adapted to argue that MiCA-defined crypto assets should be considered suitable for direct and indirect UCITS exposure due to the regulatory clarity around them:</w:t>
            </w:r>
          </w:p>
          <w:p w:rsidR="00000000" w:rsidDel="00000000" w:rsidP="00000000" w:rsidRDefault="00000000" w:rsidRPr="00000000" w14:paraId="0000003B">
            <w:pPr>
              <w:spacing w:after="240" w:before="240" w:line="276" w:lineRule="auto"/>
              <w:rPr>
                <w:rFonts w:ascii="Arial" w:cs="Arial" w:eastAsia="Arial" w:hAnsi="Arial"/>
                <w:b w:val="1"/>
              </w:rPr>
            </w:pPr>
            <w:r w:rsidDel="00000000" w:rsidR="00000000" w:rsidRPr="00000000">
              <w:rPr>
                <w:rFonts w:ascii="Arial" w:cs="Arial" w:eastAsia="Arial" w:hAnsi="Arial"/>
                <w:b w:val="1"/>
                <w:rtl w:val="0"/>
              </w:rPr>
              <w:t xml:space="preserve">Regulatory Support and Precedent:</w:t>
            </w:r>
          </w:p>
          <w:p w:rsidR="00000000" w:rsidDel="00000000" w:rsidP="00000000" w:rsidRDefault="00000000" w:rsidRPr="00000000" w14:paraId="0000003C">
            <w:pPr>
              <w:spacing w:after="240" w:before="240" w:line="276" w:lineRule="auto"/>
              <w:rPr>
                <w:rFonts w:ascii="Arial" w:cs="Arial" w:eastAsia="Arial" w:hAnsi="Arial"/>
              </w:rPr>
            </w:pPr>
            <w:r w:rsidDel="00000000" w:rsidR="00000000" w:rsidRPr="00000000">
              <w:rPr>
                <w:rFonts w:ascii="Arial" w:cs="Arial" w:eastAsia="Arial" w:hAnsi="Arial"/>
                <w:b w:val="1"/>
                <w:rtl w:val="0"/>
              </w:rPr>
              <w:t xml:space="preserve">1. Regulatory Clarity:</w:t>
            </w:r>
            <w:r w:rsidDel="00000000" w:rsidR="00000000" w:rsidRPr="00000000">
              <w:rPr>
                <w:rFonts w:ascii="Arial" w:cs="Arial" w:eastAsia="Arial" w:hAnsi="Arial"/>
                <w:rtl w:val="0"/>
              </w:rPr>
              <w:t xml:space="preserve"> As per the SEC's statement, "Importantly, today’s Commission action is cabined to ETPs holding one non-security commodity, Bitcoin. It should in no way signal the Commission’s willingness to approve listing standards for crypto asset securities." This clarity can be paralleled with MiCA’s regulatory framework, which aims to define and classify various crypto assets, ensuring that they meet specific regulatory standards.</w:t>
            </w:r>
          </w:p>
          <w:p w:rsidR="00000000" w:rsidDel="00000000" w:rsidP="00000000" w:rsidRDefault="00000000" w:rsidRPr="00000000" w14:paraId="0000003D">
            <w:pPr>
              <w:spacing w:after="240" w:before="240" w:line="276" w:lineRule="auto"/>
              <w:rPr>
                <w:rFonts w:ascii="Arial" w:cs="Arial" w:eastAsia="Arial" w:hAnsi="Arial"/>
                <w:b w:val="1"/>
              </w:rPr>
            </w:pPr>
            <w:r w:rsidDel="00000000" w:rsidR="00000000" w:rsidRPr="00000000">
              <w:rPr>
                <w:rFonts w:ascii="Arial" w:cs="Arial" w:eastAsia="Arial" w:hAnsi="Arial"/>
                <w:b w:val="1"/>
                <w:rtl w:val="0"/>
              </w:rPr>
              <w:t xml:space="preserve">Existing Market Exposure:</w:t>
            </w:r>
          </w:p>
          <w:p w:rsidR="00000000" w:rsidDel="00000000" w:rsidP="00000000" w:rsidRDefault="00000000" w:rsidRPr="00000000" w14:paraId="0000003E">
            <w:pPr>
              <w:spacing w:after="240" w:before="240" w:line="276" w:lineRule="auto"/>
              <w:rPr>
                <w:rFonts w:ascii="Arial" w:cs="Arial" w:eastAsia="Arial" w:hAnsi="Arial"/>
              </w:rPr>
            </w:pP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Current Market Practices:</w:t>
            </w:r>
            <w:r w:rsidDel="00000000" w:rsidR="00000000" w:rsidRPr="00000000">
              <w:rPr>
                <w:rFonts w:ascii="Arial" w:cs="Arial" w:eastAsia="Arial" w:hAnsi="Arial"/>
                <w:rtl w:val="0"/>
              </w:rPr>
              <w:t xml:space="preserve"> Investors today can already buy and sell or otherwise gain exposure to bitcoin (and various other crypto assets) at a number of brokerage houses, through mutual funds, on national securities exchanges, through peer-to-peer payment apps, and on crypto trading platforms. This widespread accessibility highlights the growing acceptance and integration of crypto assets within mainstream financial markets, suggesting a strong foundation for their inclusion in UCITS.</w:t>
            </w:r>
          </w:p>
          <w:p w:rsidR="00000000" w:rsidDel="00000000" w:rsidP="00000000" w:rsidRDefault="00000000" w:rsidRPr="00000000" w14:paraId="0000003F">
            <w:pPr>
              <w:spacing w:after="240" w:before="240" w:line="276" w:lineRule="auto"/>
              <w:rPr>
                <w:rFonts w:ascii="Arial" w:cs="Arial" w:eastAsia="Arial" w:hAnsi="Arial"/>
              </w:rPr>
            </w:pPr>
            <w:r w:rsidDel="00000000" w:rsidR="00000000" w:rsidRPr="00000000">
              <w:rPr>
                <w:rFonts w:ascii="Arial" w:cs="Arial" w:eastAsia="Arial" w:hAnsi="Arial"/>
                <w:rtl w:val="0"/>
              </w:rPr>
              <w:t xml:space="preserve">By leveraging these points, it can be argued that MiCA-defined crypto assets, given their regulatory clarity and existing market presence, are suitable for both direct and indirect UCITS exposure. This alignment with established regulatory practices and market behaviors will further enhance investor confidence and market integrity.</w:t>
            </w:r>
          </w:p>
          <w:p w:rsidR="00000000" w:rsidDel="00000000" w:rsidP="00000000" w:rsidRDefault="00000000" w:rsidRPr="00000000" w14:paraId="00000040">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after="250" w:line="276" w:lineRule="auto"/>
              <w:rPr>
                <w:rFonts w:ascii="Arial" w:cs="Arial" w:eastAsia="Arial" w:hAnsi="Arial"/>
              </w:rPr>
            </w:pPr>
            <w:r w:rsidDel="00000000" w:rsidR="00000000" w:rsidRPr="00000000">
              <w:rPr>
                <w:rFonts w:ascii="Arial" w:cs="Arial" w:eastAsia="Arial" w:hAnsi="Arial"/>
                <w:rtl w:val="0"/>
              </w:rPr>
              <w:t xml:space="preserve">8. Commodities and precious metals</w:t>
            </w:r>
            <w:r w:rsidDel="00000000" w:rsidR="00000000" w:rsidRPr="00000000">
              <w:rPr>
                <w:rFonts w:ascii="Arial" w:cs="Arial" w:eastAsia="Arial" w:hAnsi="Arial"/>
                <w:vertAlign w:val="superscript"/>
              </w:rPr>
              <w:footnoteReference w:customMarkFollows="0" w:id="7"/>
            </w:r>
            <w:r w:rsidDel="00000000" w:rsidR="00000000" w:rsidRPr="00000000">
              <w:rPr>
                <w:rtl w:val="0"/>
              </w:rPr>
            </w:r>
          </w:p>
        </w:tc>
        <w:tc>
          <w:tcPr/>
          <w:p w:rsidR="00000000" w:rsidDel="00000000" w:rsidP="00000000" w:rsidRDefault="00000000" w:rsidRPr="00000000" w14:paraId="00000042">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43">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44">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45">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after="250" w:line="276" w:lineRule="auto"/>
              <w:rPr>
                <w:rFonts w:ascii="Arial" w:cs="Arial" w:eastAsia="Arial" w:hAnsi="Arial"/>
              </w:rPr>
            </w:pPr>
            <w:r w:rsidDel="00000000" w:rsidR="00000000" w:rsidRPr="00000000">
              <w:rPr>
                <w:rFonts w:ascii="Arial" w:cs="Arial" w:eastAsia="Arial" w:hAnsi="Arial"/>
                <w:rtl w:val="0"/>
              </w:rPr>
              <w:t xml:space="preserve">9. Exchange-traded commodities (‘ETCs’)</w:t>
            </w:r>
          </w:p>
        </w:tc>
        <w:tc>
          <w:tcPr/>
          <w:p w:rsidR="00000000" w:rsidDel="00000000" w:rsidP="00000000" w:rsidRDefault="00000000" w:rsidRPr="00000000" w14:paraId="00000047">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48">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49">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4A">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4B">
            <w:pPr>
              <w:spacing w:after="250" w:line="276" w:lineRule="auto"/>
              <w:rPr>
                <w:rFonts w:ascii="Arial" w:cs="Arial" w:eastAsia="Arial" w:hAnsi="Arial"/>
              </w:rPr>
            </w:pPr>
            <w:r w:rsidDel="00000000" w:rsidR="00000000" w:rsidRPr="00000000">
              <w:rPr>
                <w:rFonts w:ascii="Arial" w:cs="Arial" w:eastAsia="Arial" w:hAnsi="Arial"/>
                <w:rtl w:val="0"/>
              </w:rPr>
              <w:t xml:space="preserve">10. Real estate</w:t>
            </w:r>
          </w:p>
        </w:tc>
        <w:tc>
          <w:tcPr/>
          <w:p w:rsidR="00000000" w:rsidDel="00000000" w:rsidP="00000000" w:rsidRDefault="00000000" w:rsidRPr="00000000" w14:paraId="0000004C">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4D">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4E">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4F">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50">
            <w:pPr>
              <w:spacing w:after="250" w:line="276" w:lineRule="auto"/>
              <w:rPr>
                <w:rFonts w:ascii="Arial" w:cs="Arial" w:eastAsia="Arial" w:hAnsi="Arial"/>
              </w:rPr>
            </w:pPr>
            <w:r w:rsidDel="00000000" w:rsidR="00000000" w:rsidRPr="00000000">
              <w:rPr>
                <w:rFonts w:ascii="Arial" w:cs="Arial" w:eastAsia="Arial" w:hAnsi="Arial"/>
                <w:rtl w:val="0"/>
              </w:rPr>
              <w:t xml:space="preserve">11. Real Estate Investment Trusts (‘REITs’)</w:t>
            </w:r>
          </w:p>
        </w:tc>
        <w:tc>
          <w:tcPr/>
          <w:p w:rsidR="00000000" w:rsidDel="00000000" w:rsidP="00000000" w:rsidRDefault="00000000" w:rsidRPr="00000000" w14:paraId="00000051">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52">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53">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54">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55">
            <w:pPr>
              <w:spacing w:after="250" w:line="276" w:lineRule="auto"/>
              <w:rPr>
                <w:rFonts w:ascii="Arial" w:cs="Arial" w:eastAsia="Arial" w:hAnsi="Arial"/>
              </w:rPr>
            </w:pPr>
            <w:r w:rsidDel="00000000" w:rsidR="00000000" w:rsidRPr="00000000">
              <w:rPr>
                <w:rFonts w:ascii="Arial" w:cs="Arial" w:eastAsia="Arial" w:hAnsi="Arial"/>
                <w:rtl w:val="0"/>
              </w:rPr>
              <w:t xml:space="preserve">12. Special Purpose Acquisition Companies (‘SPACs’)</w:t>
            </w:r>
          </w:p>
        </w:tc>
        <w:tc>
          <w:tcPr/>
          <w:p w:rsidR="00000000" w:rsidDel="00000000" w:rsidP="00000000" w:rsidRDefault="00000000" w:rsidRPr="00000000" w14:paraId="00000056">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57">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58">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59">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after="250" w:line="276" w:lineRule="auto"/>
              <w:rPr>
                <w:rFonts w:ascii="Arial" w:cs="Arial" w:eastAsia="Arial" w:hAnsi="Arial"/>
              </w:rPr>
            </w:pPr>
            <w:r w:rsidDel="00000000" w:rsidR="00000000" w:rsidRPr="00000000">
              <w:rPr>
                <w:rFonts w:ascii="Arial" w:cs="Arial" w:eastAsia="Arial" w:hAnsi="Arial"/>
                <w:rtl w:val="0"/>
              </w:rPr>
              <w:t xml:space="preserve">13. EU AIFs</w:t>
            </w:r>
            <w:r w:rsidDel="00000000" w:rsidR="00000000" w:rsidRPr="00000000">
              <w:rPr>
                <w:rFonts w:ascii="Arial" w:cs="Arial" w:eastAsia="Arial" w:hAnsi="Arial"/>
                <w:vertAlign w:val="superscript"/>
              </w:rPr>
              <w:footnoteReference w:customMarkFollows="0" w:id="8"/>
            </w:r>
            <w:r w:rsidDel="00000000" w:rsidR="00000000" w:rsidRPr="00000000">
              <w:rPr>
                <w:rtl w:val="0"/>
              </w:rPr>
            </w:r>
          </w:p>
        </w:tc>
        <w:tc>
          <w:tcPr/>
          <w:p w:rsidR="00000000" w:rsidDel="00000000" w:rsidP="00000000" w:rsidRDefault="00000000" w:rsidRPr="00000000" w14:paraId="0000005B">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5C">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5D">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5E">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5F">
            <w:pPr>
              <w:spacing w:after="250" w:line="276" w:lineRule="auto"/>
              <w:rPr>
                <w:rFonts w:ascii="Arial" w:cs="Arial" w:eastAsia="Arial" w:hAnsi="Arial"/>
              </w:rPr>
            </w:pPr>
            <w:r w:rsidDel="00000000" w:rsidR="00000000" w:rsidRPr="00000000">
              <w:rPr>
                <w:rFonts w:ascii="Arial" w:cs="Arial" w:eastAsia="Arial" w:hAnsi="Arial"/>
                <w:rtl w:val="0"/>
              </w:rPr>
              <w:t xml:space="preserve">14. Non-EU AIFs</w:t>
            </w:r>
          </w:p>
        </w:tc>
        <w:tc>
          <w:tcPr/>
          <w:p w:rsidR="00000000" w:rsidDel="00000000" w:rsidP="00000000" w:rsidRDefault="00000000" w:rsidRPr="00000000" w14:paraId="00000060">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61">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62">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63">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64">
            <w:pPr>
              <w:spacing w:after="250" w:line="276" w:lineRule="auto"/>
              <w:rPr>
                <w:rFonts w:ascii="Arial" w:cs="Arial" w:eastAsia="Arial" w:hAnsi="Arial"/>
              </w:rPr>
            </w:pPr>
            <w:r w:rsidDel="00000000" w:rsidR="00000000" w:rsidRPr="00000000">
              <w:rPr>
                <w:rFonts w:ascii="Arial" w:cs="Arial" w:eastAsia="Arial" w:hAnsi="Arial"/>
                <w:rtl w:val="0"/>
              </w:rPr>
              <w:t xml:space="preserve">15. Emission allowances</w:t>
            </w:r>
          </w:p>
        </w:tc>
        <w:tc>
          <w:tcPr/>
          <w:p w:rsidR="00000000" w:rsidDel="00000000" w:rsidP="00000000" w:rsidRDefault="00000000" w:rsidRPr="00000000" w14:paraId="00000065">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66">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67">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68">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69">
            <w:pPr>
              <w:spacing w:after="250" w:line="276" w:lineRule="auto"/>
              <w:rPr>
                <w:rFonts w:ascii="Arial" w:cs="Arial" w:eastAsia="Arial" w:hAnsi="Arial"/>
              </w:rPr>
            </w:pPr>
            <w:r w:rsidDel="00000000" w:rsidR="00000000" w:rsidRPr="00000000">
              <w:rPr>
                <w:rFonts w:ascii="Arial" w:cs="Arial" w:eastAsia="Arial" w:hAnsi="Arial"/>
                <w:rtl w:val="0"/>
              </w:rPr>
              <w:t xml:space="preserve">16. Delta-one instruments</w:t>
            </w:r>
          </w:p>
        </w:tc>
        <w:tc>
          <w:tcPr/>
          <w:p w:rsidR="00000000" w:rsidDel="00000000" w:rsidP="00000000" w:rsidRDefault="00000000" w:rsidRPr="00000000" w14:paraId="0000006A">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6B">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6C">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6D">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6E">
            <w:pPr>
              <w:spacing w:after="250" w:line="276" w:lineRule="auto"/>
              <w:rPr>
                <w:rFonts w:ascii="Arial" w:cs="Arial" w:eastAsia="Arial" w:hAnsi="Arial"/>
              </w:rPr>
            </w:pPr>
            <w:r w:rsidDel="00000000" w:rsidR="00000000" w:rsidRPr="00000000">
              <w:rPr>
                <w:rFonts w:ascii="Arial" w:cs="Arial" w:eastAsia="Arial" w:hAnsi="Arial"/>
                <w:rtl w:val="0"/>
              </w:rPr>
              <w:t xml:space="preserve">17. Exchange-traded notes (‘ETNs’)</w:t>
            </w:r>
          </w:p>
        </w:tc>
        <w:tc>
          <w:tcPr/>
          <w:p w:rsidR="00000000" w:rsidDel="00000000" w:rsidP="00000000" w:rsidRDefault="00000000" w:rsidRPr="00000000" w14:paraId="0000006F">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70">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71">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72">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73">
            <w:pPr>
              <w:spacing w:after="250" w:line="276" w:lineRule="auto"/>
              <w:rPr>
                <w:rFonts w:ascii="Arial" w:cs="Arial" w:eastAsia="Arial" w:hAnsi="Arial"/>
              </w:rPr>
            </w:pPr>
            <w:r w:rsidDel="00000000" w:rsidR="00000000" w:rsidRPr="00000000">
              <w:rPr>
                <w:rFonts w:ascii="Arial" w:cs="Arial" w:eastAsia="Arial" w:hAnsi="Arial"/>
                <w:rtl w:val="0"/>
              </w:rPr>
              <w:t xml:space="preserve">18. Asset-backed securities (‘ABS’) including mortgage-backed securities (‘MBS’)</w:t>
            </w:r>
          </w:p>
        </w:tc>
        <w:tc>
          <w:tcPr/>
          <w:p w:rsidR="00000000" w:rsidDel="00000000" w:rsidP="00000000" w:rsidRDefault="00000000" w:rsidRPr="00000000" w14:paraId="00000074">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75">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76">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77">
            <w:pPr>
              <w:spacing w:after="250" w:line="276" w:lineRule="auto"/>
              <w:jc w:val="both"/>
              <w:rPr>
                <w:rFonts w:ascii="Arial" w:cs="Arial" w:eastAsia="Arial" w:hAnsi="Arial"/>
                <w:color w:val="181818"/>
              </w:rPr>
            </w:pPr>
            <w:r w:rsidDel="00000000" w:rsidR="00000000" w:rsidRPr="00000000">
              <w:rPr>
                <w:rtl w:val="0"/>
              </w:rPr>
            </w:r>
          </w:p>
        </w:tc>
      </w:tr>
      <w:tr>
        <w:trPr>
          <w:cantSplit w:val="0"/>
          <w:tblHeader w:val="0"/>
        </w:trPr>
        <w:tc>
          <w:tcPr/>
          <w:p w:rsidR="00000000" w:rsidDel="00000000" w:rsidP="00000000" w:rsidRDefault="00000000" w:rsidRPr="00000000" w14:paraId="00000078">
            <w:pPr>
              <w:spacing w:after="250" w:line="276" w:lineRule="auto"/>
              <w:rPr>
                <w:rFonts w:ascii="Arial" w:cs="Arial" w:eastAsia="Arial" w:hAnsi="Arial"/>
              </w:rPr>
            </w:pPr>
            <w:r w:rsidDel="00000000" w:rsidR="00000000" w:rsidRPr="00000000">
              <w:rPr>
                <w:rFonts w:ascii="Arial" w:cs="Arial" w:eastAsia="Arial" w:hAnsi="Arial"/>
                <w:rtl w:val="0"/>
              </w:rPr>
              <w:t xml:space="preserve">19. Other relevant asset classes (please specify)</w:t>
            </w:r>
          </w:p>
        </w:tc>
        <w:tc>
          <w:tcPr/>
          <w:p w:rsidR="00000000" w:rsidDel="00000000" w:rsidP="00000000" w:rsidRDefault="00000000" w:rsidRPr="00000000" w14:paraId="00000079">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7A">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7B">
            <w:pPr>
              <w:spacing w:after="250" w:line="276" w:lineRule="auto"/>
              <w:jc w:val="both"/>
              <w:rPr>
                <w:rFonts w:ascii="Arial" w:cs="Arial" w:eastAsia="Arial" w:hAnsi="Arial"/>
                <w:color w:val="181818"/>
              </w:rPr>
            </w:pPr>
            <w:r w:rsidDel="00000000" w:rsidR="00000000" w:rsidRPr="00000000">
              <w:rPr>
                <w:rtl w:val="0"/>
              </w:rPr>
            </w:r>
          </w:p>
        </w:tc>
        <w:tc>
          <w:tcPr/>
          <w:p w:rsidR="00000000" w:rsidDel="00000000" w:rsidP="00000000" w:rsidRDefault="00000000" w:rsidRPr="00000000" w14:paraId="0000007C">
            <w:pPr>
              <w:spacing w:after="250" w:line="276" w:lineRule="auto"/>
              <w:jc w:val="both"/>
              <w:rPr>
                <w:rFonts w:ascii="Arial" w:cs="Arial" w:eastAsia="Arial" w:hAnsi="Arial"/>
                <w:color w:val="181818"/>
              </w:rPr>
            </w:pPr>
            <w:r w:rsidDel="00000000" w:rsidR="00000000" w:rsidRPr="00000000">
              <w:rPr>
                <w:rtl w:val="0"/>
              </w:rPr>
            </w:r>
          </w:p>
        </w:tc>
      </w:tr>
    </w:tbl>
    <w:p w:rsidR="00000000" w:rsidDel="00000000" w:rsidP="00000000" w:rsidRDefault="00000000" w:rsidRPr="00000000" w14:paraId="0000007D">
      <w:pPr>
        <w:spacing w:after="120" w:line="276" w:lineRule="auto"/>
        <w:jc w:val="both"/>
        <w:rPr>
          <w:rFonts w:ascii="Arial" w:cs="Arial" w:eastAsia="Arial" w:hAnsi="Arial"/>
          <w:color w:val="181818"/>
          <w:sz w:val="20"/>
          <w:szCs w:val="20"/>
        </w:rPr>
      </w:pPr>
      <w:r w:rsidDel="00000000" w:rsidR="00000000" w:rsidRPr="00000000">
        <w:rPr>
          <w:rtl w:val="0"/>
        </w:rPr>
      </w:r>
    </w:p>
    <w:p w:rsidR="00000000" w:rsidDel="00000000" w:rsidP="00000000" w:rsidRDefault="00000000" w:rsidRPr="00000000" w14:paraId="0000007E">
      <w:pPr>
        <w:rPr>
          <w:rFonts w:ascii="Arial" w:cs="Arial" w:eastAsia="Arial" w:hAnsi="Arial"/>
          <w:sz w:val="20"/>
          <w:szCs w:val="20"/>
        </w:rPr>
      </w:pPr>
      <w:r w:rsidDel="00000000" w:rsidR="00000000" w:rsidRPr="00000000">
        <w:rPr>
          <w:rtl w:val="0"/>
        </w:rPr>
      </w:r>
    </w:p>
    <w:sectPr>
      <w:head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ESMA acknowledges that most of the asset classes listed below have not been clearly defined in EU legislation and this might be a source of divergent interpretations and misunderstandings. Where possible, ESMA invites stakeholders to specify their understanding or definition of the relevant asset classes under the “additional comments” box.</w:t>
      </w:r>
    </w:p>
  </w:footnote>
  <w:footnote w:id="1">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Where relevant, please distinguish between indirect exposures via instruments such as delta-one instruments, exchange-traded products, derivatives, or AIFs (EU or non-EU). </w:t>
      </w:r>
    </w:p>
  </w:footnote>
  <w:footnote w:id="2">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Please share any available data or estimates that help to assess the amount or extent to which there are existing UCITS exposures (distinguishing between direct and indirect, where possible) to these asset classes. Where no reliable data is available, ESMA would appreciate receiving estimates in terms of numbers and/or percentages of UCITS exposed to these asset classes and what is the average proportion in the relevant portfolios. Any additional data and insights on strategies, techniques and instruments used to gain exposure to these asset classes would be also highly appreciated.</w:t>
      </w:r>
    </w:p>
  </w:footnote>
  <w:footnote w:id="3">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Please include under this column any other evidence or views that you would like to share. </w:t>
      </w:r>
    </w:p>
  </w:footnote>
  <w:footnote w:id="4">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Where relevant, please distinguish between leveraged/structured loans, collateralised loan obligations (CLOs) and other types of loans or loan participations (please specify).</w:t>
      </w:r>
    </w:p>
  </w:footnote>
  <w:footnote w:id="5">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Where relevant, please distinguish between equity instruments issued by (1) private companies and (2) shares in public companies that that are not listed.</w:t>
      </w:r>
    </w:p>
  </w:footnote>
  <w:footnote w:id="6">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Where relevant, please specify what type of crypto assets and whether the implementation of MICA will change anything in terms of your assessment. With respect to indirect exposures, ESMA is particularly interested in stakeholder input on exchange-traded products including ETFs with crypto assets as an underlying. </w:t>
      </w:r>
    </w:p>
  </w:footnote>
  <w:footnote w:id="7">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respect to indirect exposures, ESMA is particularly interested in stakeholder input on ETFs with commodities/precious metals as underlying. Please note that under the current UCITS rules, precious metals and certificates representing them are not eligible (Article 50(2)(b) of the UCITS Directive).</w:t>
      </w:r>
    </w:p>
  </w:footnote>
  <w:footnote w:id="8">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Where relevant, please distinguish between different types of AIFs (e.g. open-ended, closed-ended) and investment strategies (e.g. real estate, private equity, hedge funds).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tabs>
        <w:tab w:val="center" w:leader="none" w:pos="4513"/>
        <w:tab w:val="right" w:leader="none" w:pos="9026"/>
      </w:tabs>
      <w:spacing w:after="0" w:line="240" w:lineRule="auto"/>
      <w:jc w:val="right"/>
      <w:rPr>
        <w:rFonts w:ascii="Arial" w:cs="Arial" w:eastAsia="Arial" w:hAnsi="Arial"/>
        <w:smallCaps w:val="1"/>
        <w:color w:val="ff0000"/>
      </w:rPr>
    </w:pPr>
    <w:r w:rsidDel="00000000" w:rsidR="00000000" w:rsidRPr="00000000">
      <w:rPr>
        <w:rFonts w:ascii="Arial" w:cs="Arial" w:eastAsia="Arial" w:hAnsi="Arial"/>
        <w:smallCaps w:val="1"/>
        <w:color w:val="ff0000"/>
      </w:rPr>
      <w:drawing>
        <wp:anchor allowOverlap="1" behindDoc="0" distB="0" distT="0" distL="114300" distR="114300" hidden="0" layoutInCell="1" locked="0" relativeHeight="0" simplePos="0">
          <wp:simplePos x="0" y="0"/>
          <wp:positionH relativeFrom="page">
            <wp:posOffset>892914</wp:posOffset>
          </wp:positionH>
          <wp:positionV relativeFrom="page">
            <wp:posOffset>547370</wp:posOffset>
          </wp:positionV>
          <wp:extent cx="2296800" cy="601200"/>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96800" cy="601200"/>
                  </a:xfrm>
                  <a:prstGeom prst="rect"/>
                  <a:ln/>
                </pic:spPr>
              </pic:pic>
            </a:graphicData>
          </a:graphic>
        </wp:anchor>
      </w:drawing>
    </w:r>
    <w:r w:rsidDel="00000000" w:rsidR="00000000" w:rsidRPr="00000000">
      <w:rPr>
        <w:rFonts w:ascii="Arial" w:cs="Arial" w:eastAsia="Arial" w:hAnsi="Arial"/>
        <w:color w:val="001b4f"/>
        <w:sz w:val="16"/>
        <w:szCs w:val="16"/>
        <w:rtl w:val="0"/>
      </w:rPr>
      <w:t xml:space="preserve">7 May 2024</w:t>
    </w:r>
    <w:r w:rsidDel="00000000" w:rsidR="00000000" w:rsidRPr="00000000">
      <w:rPr>
        <w:rtl w:val="0"/>
      </w:rPr>
    </w:r>
  </w:p>
  <w:p w:rsidR="00000000" w:rsidDel="00000000" w:rsidP="00000000" w:rsidRDefault="00000000" w:rsidRPr="00000000" w14:paraId="00000089">
    <w:pPr>
      <w:tabs>
        <w:tab w:val="center" w:leader="none" w:pos="4513"/>
        <w:tab w:val="right" w:leader="none" w:pos="9026"/>
      </w:tabs>
      <w:spacing w:after="0" w:line="240" w:lineRule="auto"/>
      <w:jc w:val="right"/>
      <w:rPr>
        <w:rFonts w:ascii="Arial" w:cs="Arial" w:eastAsia="Arial" w:hAnsi="Arial"/>
        <w:color w:val="001b4f"/>
        <w:sz w:val="16"/>
        <w:szCs w:val="16"/>
      </w:rPr>
    </w:pPr>
    <w:r w:rsidDel="00000000" w:rsidR="00000000" w:rsidRPr="00000000">
      <w:rPr>
        <w:rFonts w:ascii="Arial" w:cs="Arial" w:eastAsia="Arial" w:hAnsi="Arial"/>
        <w:color w:val="001b4f"/>
        <w:sz w:val="16"/>
        <w:szCs w:val="16"/>
        <w:rtl w:val="0"/>
      </w:rPr>
      <w:t xml:space="preserve">ESMA 34-1270380148-1066</w:t>
    </w:r>
  </w:p>
  <w:p w:rsidR="00000000" w:rsidDel="00000000" w:rsidP="00000000" w:rsidRDefault="00000000" w:rsidRPr="00000000" w14:paraId="0000008A">
    <w:pPr>
      <w:spacing w:after="250" w:line="276" w:lineRule="auto"/>
      <w:jc w:val="both"/>
      <w:rPr>
        <w:rFonts w:ascii="Arial" w:cs="Arial" w:eastAsia="Arial" w:hAnsi="Arial"/>
        <w:color w:val="181818"/>
      </w:rPr>
    </w:pPr>
    <w:r w:rsidDel="00000000" w:rsidR="00000000" w:rsidRPr="00000000">
      <w:rPr>
        <w:rtl w:val="0"/>
      </w:rPr>
    </w:r>
  </w:p>
  <w:p w:rsidR="00000000" w:rsidDel="00000000" w:rsidP="00000000" w:rsidRDefault="00000000" w:rsidRPr="00000000" w14:paraId="0000008B">
    <w:pPr>
      <w:spacing w:after="250" w:line="276" w:lineRule="auto"/>
      <w:jc w:val="both"/>
      <w:rPr>
        <w:rFonts w:ascii="Arial" w:cs="Arial" w:eastAsia="Arial" w:hAnsi="Arial"/>
        <w:color w:val="181818"/>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link w:val="FootnoteTextChar"/>
    <w:uiPriority w:val="99"/>
    <w:semiHidden w:val="1"/>
    <w:unhideWhenUsed w:val="1"/>
    <w:rsid w:val="00B33432"/>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B33432"/>
    <w:rPr>
      <w:sz w:val="20"/>
      <w:szCs w:val="20"/>
    </w:rPr>
  </w:style>
  <w:style w:type="table" w:styleId="Tablenone1" w:customStyle="1">
    <w:name w:val="Table none1"/>
    <w:basedOn w:val="TableNormal"/>
    <w:next w:val="TableGrid"/>
    <w:uiPriority w:val="39"/>
    <w:rsid w:val="00B33432"/>
    <w:pPr>
      <w:spacing w:after="0" w:line="240" w:lineRule="auto"/>
    </w:pPr>
    <w:rPr>
      <w:rFonts w:eastAsia="MS PGothic"/>
      <w:sz w:val="20"/>
      <w:szCs w:val="20"/>
      <w:lang w:val="nl-BE"/>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1" w:customStyle="1">
    <w:name w:val="Ref1"/>
    <w:basedOn w:val="DefaultParagraphFont"/>
    <w:link w:val="Superscript6Point"/>
    <w:uiPriority w:val="99"/>
    <w:unhideWhenUsed w:val="1"/>
    <w:qFormat w:val="1"/>
    <w:rsid w:val="00B33432"/>
    <w:rPr>
      <w:rFonts w:ascii="Arial" w:hAnsi="Arial"/>
      <w:sz w:val="16"/>
      <w:vertAlign w:val="superscript"/>
    </w:rPr>
  </w:style>
  <w:style w:type="paragraph" w:styleId="Superscript6Point" w:customStyle="1">
    <w:name w:val="Superscript 6 Point"/>
    <w:aliases w:val="Odwołanie przypisu,de nota al pie,footnote ref,2001+ Fußnotenzeichen, Exposant 3 Point,BVI fnr Знак Знак,BVI fnr Car Car Знак Знак,BVI fnr Car Знак Знак,R,16 Point,number"/>
    <w:basedOn w:val="Normal"/>
    <w:link w:val="Ref1"/>
    <w:uiPriority w:val="99"/>
    <w:rsid w:val="00B33432"/>
    <w:pPr>
      <w:spacing w:before="120" w:line="240" w:lineRule="exact"/>
    </w:pPr>
    <w:rPr>
      <w:rFonts w:ascii="Arial" w:eastAsia="MS PGothic" w:hAnsi="Arial"/>
      <w:sz w:val="16"/>
      <w:szCs w:val="20"/>
      <w:vertAlign w:val="superscript"/>
      <w:lang w:val="nl-BE"/>
    </w:rPr>
  </w:style>
  <w:style w:type="table" w:styleId="TableGrid">
    <w:name w:val="Table Grid"/>
    <w:basedOn w:val="TableNormal"/>
    <w:uiPriority w:val="39"/>
    <w:rsid w:val="00B334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basedOn w:val="DefaultParagraphFont"/>
    <w:uiPriority w:val="99"/>
    <w:semiHidden w:val="1"/>
    <w:unhideWhenUsed w:val="1"/>
    <w:rsid w:val="00B33432"/>
    <w:rPr>
      <w:vertAlign w:val="superscript"/>
    </w:rPr>
  </w:style>
  <w:style w:type="paragraph" w:styleId="Header">
    <w:name w:val="header"/>
    <w:basedOn w:val="Normal"/>
    <w:link w:val="HeaderChar"/>
    <w:uiPriority w:val="99"/>
    <w:unhideWhenUsed w:val="1"/>
    <w:rsid w:val="00F03D56"/>
    <w:pPr>
      <w:tabs>
        <w:tab w:val="center" w:pos="4680"/>
        <w:tab w:val="right" w:pos="9360"/>
      </w:tabs>
      <w:spacing w:after="0" w:line="240" w:lineRule="auto"/>
    </w:pPr>
  </w:style>
  <w:style w:type="character" w:styleId="HeaderChar" w:customStyle="1">
    <w:name w:val="Header Char"/>
    <w:basedOn w:val="DefaultParagraphFont"/>
    <w:link w:val="Header"/>
    <w:uiPriority w:val="99"/>
    <w:rsid w:val="00F03D56"/>
  </w:style>
  <w:style w:type="paragraph" w:styleId="Footer">
    <w:name w:val="footer"/>
    <w:basedOn w:val="Normal"/>
    <w:link w:val="FooterChar"/>
    <w:uiPriority w:val="99"/>
    <w:unhideWhenUsed w:val="1"/>
    <w:rsid w:val="00F03D56"/>
    <w:pPr>
      <w:tabs>
        <w:tab w:val="center" w:pos="4680"/>
        <w:tab w:val="right" w:pos="9360"/>
      </w:tabs>
      <w:spacing w:after="0" w:line="240" w:lineRule="auto"/>
    </w:pPr>
  </w:style>
  <w:style w:type="character" w:styleId="FooterChar" w:customStyle="1">
    <w:name w:val="Footer Char"/>
    <w:basedOn w:val="DefaultParagraphFont"/>
    <w:link w:val="Footer"/>
    <w:uiPriority w:val="99"/>
    <w:rsid w:val="00F03D56"/>
  </w:style>
  <w:style w:type="paragraph" w:styleId="BalloonText">
    <w:name w:val="Balloon Text"/>
    <w:basedOn w:val="Normal"/>
    <w:link w:val="BalloonTextChar"/>
    <w:uiPriority w:val="99"/>
    <w:semiHidden w:val="1"/>
    <w:unhideWhenUsed w:val="1"/>
    <w:rsid w:val="002D618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D6186"/>
    <w:rPr>
      <w:rFonts w:ascii="Segoe UI" w:cs="Segoe UI" w:hAnsi="Segoe UI"/>
      <w:sz w:val="18"/>
      <w:szCs w:val="18"/>
    </w:rPr>
  </w:style>
  <w:style w:type="character" w:styleId="Hyperlink">
    <w:name w:val="Hyperlink"/>
    <w:basedOn w:val="DefaultParagraphFont"/>
    <w:uiPriority w:val="99"/>
    <w:unhideWhenUsed w:val="1"/>
    <w:rsid w:val="00901098"/>
    <w:rPr>
      <w:color w:val="0563c1" w:themeColor="hyperlink"/>
      <w:u w:val="single"/>
    </w:rPr>
  </w:style>
  <w:style w:type="character" w:styleId="UnresolvedMention">
    <w:name w:val="Unresolved Mention"/>
    <w:basedOn w:val="DefaultParagraphFont"/>
    <w:uiPriority w:val="99"/>
    <w:semiHidden w:val="1"/>
    <w:unhideWhenUsed w:val="1"/>
    <w:rsid w:val="00901098"/>
    <w:rPr>
      <w:color w:val="605e5c"/>
      <w:shd w:color="auto" w:fill="e1dfdd" w:val="clear"/>
    </w:rPr>
  </w:style>
  <w:style w:type="character" w:styleId="FollowedHyperlink">
    <w:name w:val="FollowedHyperlink"/>
    <w:basedOn w:val="DefaultParagraphFont"/>
    <w:uiPriority w:val="99"/>
    <w:semiHidden w:val="1"/>
    <w:unhideWhenUsed w:val="1"/>
    <w:rsid w:val="00901098"/>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www.sec.gov/newsroom/speeches-statements/gensler-statement-spot-bitcoin-011023"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esma.europa.eu/press-news/consultations/call-evidence-review-ucits-eligible-assets-direct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ZhmddRV5u1bdfax+MApC2ZMfMA==">CgMxLjAyCGguZ2pkZ3hzMgloLjMwajB6bGw4AHIhMWxvQk5VTmx1b1EzMFA0Qy1HWlhjVzNYa2tCWmdQWm8y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2024-05-23T00:38:00Z</dcterms:created>
  <dc:creator>Arina Costila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TeamName">
    <vt:lpwstr>5</vt:lpwstr>
  </property>
  <property fmtid="{D5CDD505-2E9C-101B-9397-08002B2CF9AE}" pid="4" name="Topic">
    <vt:lpwstr>254</vt:lpwstr>
  </property>
  <property fmtid="{D5CDD505-2E9C-101B-9397-08002B2CF9AE}" pid="5" name="ConfidentialityLevel">
    <vt:lpwstr>6;#Regular|07f1e362-856b-423d-bea6-a14079762141</vt:lpwstr>
  </property>
  <property fmtid="{D5CDD505-2E9C-101B-9397-08002B2CF9AE}" pid="6" name="TeamTopic">
    <vt:lpwstr>33;#UCITS|a853cb80-aed9-44bd-ac2a-0e80b5a444d7</vt:lpwstr>
  </property>
  <property fmtid="{D5CDD505-2E9C-101B-9397-08002B2CF9AE}" pid="7" name="DocumentType">
    <vt:lpwstr>DocumentType</vt:lpwstr>
  </property>
  <property fmtid="{D5CDD505-2E9C-101B-9397-08002B2CF9AE}" pid="8" name="EsmaAudience">
    <vt:lpwstr>EsmaAudience</vt:lpwstr>
  </property>
  <property fmtid="{D5CDD505-2E9C-101B-9397-08002B2CF9AE}" pid="9" name="_dlc_DocIdItemGuid">
    <vt:lpwstr>1a846c82-0d53-46e2-86e5-7d75005f4a47</vt:lpwstr>
  </property>
</Properties>
</file>