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EF7FE" w14:textId="05BFA884" w:rsidR="66107C87" w:rsidRPr="009609FD" w:rsidRDefault="7C53680C" w:rsidP="3FE99FEE">
      <w:pPr>
        <w:spacing w:after="250" w:line="276" w:lineRule="auto"/>
        <w:jc w:val="both"/>
        <w:rPr>
          <w:rFonts w:ascii="Arial" w:eastAsia="MS PGothic" w:hAnsi="Arial" w:cs="Arial"/>
          <w:b/>
          <w:bCs/>
          <w:color w:val="181818"/>
          <w:lang w:val="fr-BE"/>
        </w:rPr>
      </w:pPr>
      <w:r w:rsidRPr="009609FD">
        <w:rPr>
          <w:rFonts w:ascii="Arial" w:eastAsia="MS PGothic" w:hAnsi="Arial" w:cs="Arial"/>
          <w:b/>
          <w:bCs/>
          <w:color w:val="181818"/>
          <w:lang w:val="fr-BE"/>
        </w:rPr>
        <w:t xml:space="preserve">Annex </w:t>
      </w:r>
      <w:r w:rsidR="2A636CE1" w:rsidRPr="009609FD">
        <w:rPr>
          <w:rFonts w:ascii="Arial" w:eastAsia="MS PGothic" w:hAnsi="Arial" w:cs="Arial"/>
          <w:b/>
          <w:bCs/>
          <w:color w:val="181818"/>
          <w:lang w:val="fr-BE"/>
        </w:rPr>
        <w:t xml:space="preserve">– </w:t>
      </w:r>
      <w:r w:rsidR="002F58FB" w:rsidRPr="009609FD">
        <w:rPr>
          <w:rFonts w:ascii="Arial" w:eastAsia="MS PGothic" w:hAnsi="Arial" w:cs="Arial"/>
          <w:b/>
          <w:bCs/>
          <w:color w:val="181818"/>
          <w:lang w:val="fr-BE"/>
        </w:rPr>
        <w:t>Question 20</w:t>
      </w:r>
      <w:r w:rsidR="00394809" w:rsidRPr="009609FD">
        <w:rPr>
          <w:rFonts w:ascii="Arial" w:eastAsia="MS PGothic" w:hAnsi="Arial" w:cs="Arial"/>
          <w:b/>
          <w:bCs/>
          <w:color w:val="181818"/>
          <w:lang w:val="fr-BE"/>
        </w:rPr>
        <w:t>.</w:t>
      </w:r>
      <w:r w:rsidR="002D58CD" w:rsidRPr="009609FD">
        <w:rPr>
          <w:rFonts w:ascii="Arial" w:eastAsia="MS PGothic" w:hAnsi="Arial" w:cs="Arial"/>
          <w:b/>
          <w:bCs/>
          <w:color w:val="181818"/>
          <w:lang w:val="fr-BE"/>
        </w:rPr>
        <w:t xml:space="preserve"> </w:t>
      </w:r>
      <w:r w:rsidR="00394809" w:rsidRPr="009609FD">
        <w:rPr>
          <w:rFonts w:ascii="Arial" w:eastAsia="MS PGothic" w:hAnsi="Arial" w:cs="Arial"/>
          <w:b/>
          <w:bCs/>
          <w:color w:val="181818"/>
          <w:lang w:val="fr-BE"/>
        </w:rPr>
        <w:t>T</w:t>
      </w:r>
      <w:r w:rsidR="002D58CD" w:rsidRPr="009609FD">
        <w:rPr>
          <w:rFonts w:ascii="Arial" w:eastAsia="MS PGothic" w:hAnsi="Arial" w:cs="Arial"/>
          <w:b/>
          <w:bCs/>
          <w:color w:val="181818"/>
          <w:lang w:val="fr-BE"/>
        </w:rPr>
        <w:t xml:space="preserve">able on </w:t>
      </w:r>
      <w:proofErr w:type="spellStart"/>
      <w:r w:rsidR="0048151A" w:rsidRPr="009609FD">
        <w:rPr>
          <w:rFonts w:ascii="Arial" w:eastAsia="MS PGothic" w:hAnsi="Arial" w:cs="Arial"/>
          <w:b/>
          <w:bCs/>
          <w:color w:val="181818"/>
          <w:lang w:val="fr-BE"/>
        </w:rPr>
        <w:t>eligible</w:t>
      </w:r>
      <w:proofErr w:type="spellEnd"/>
      <w:r w:rsidR="0048151A" w:rsidRPr="009609FD">
        <w:rPr>
          <w:rFonts w:ascii="Arial" w:eastAsia="MS PGothic" w:hAnsi="Arial" w:cs="Arial"/>
          <w:b/>
          <w:bCs/>
          <w:color w:val="181818"/>
          <w:lang w:val="fr-BE"/>
        </w:rPr>
        <w:t xml:space="preserve"> assets </w:t>
      </w:r>
      <w:r w:rsidR="002F58FB" w:rsidRPr="009609FD">
        <w:rPr>
          <w:rFonts w:ascii="Arial" w:eastAsia="MS PGothic" w:hAnsi="Arial" w:cs="Arial"/>
          <w:b/>
          <w:bCs/>
          <w:color w:val="181818"/>
          <w:lang w:val="fr-BE"/>
        </w:rPr>
        <w:t>UCITS EAD</w:t>
      </w:r>
      <w:r w:rsidR="53D130EB" w:rsidRPr="009609FD">
        <w:rPr>
          <w:rFonts w:ascii="Arial" w:eastAsia="MS PGothic" w:hAnsi="Arial" w:cs="Arial"/>
          <w:b/>
          <w:bCs/>
          <w:color w:val="181818"/>
          <w:lang w:val="fr-BE"/>
        </w:rPr>
        <w:t xml:space="preserve">. </w:t>
      </w:r>
    </w:p>
    <w:p w14:paraId="10145F69" w14:textId="4B8E6890" w:rsidR="00554F00" w:rsidRDefault="002F58FB" w:rsidP="3FE99FEE">
      <w:pPr>
        <w:spacing w:after="250" w:line="276" w:lineRule="auto"/>
        <w:jc w:val="both"/>
        <w:rPr>
          <w:rFonts w:ascii="Arial" w:eastAsia="MS PGothic" w:hAnsi="Arial" w:cs="Arial"/>
          <w:color w:val="181818"/>
          <w:szCs w:val="20"/>
        </w:rPr>
      </w:pPr>
      <w:r w:rsidRPr="002F58FB">
        <w:rPr>
          <w:rFonts w:ascii="Arial" w:eastAsia="MS PGothic" w:hAnsi="Arial" w:cs="Arial"/>
          <w:color w:val="181818"/>
          <w:szCs w:val="20"/>
        </w:rPr>
        <w:t xml:space="preserve">For the purposes of Question 20, please </w:t>
      </w:r>
      <w:r w:rsidR="00A87C58">
        <w:rPr>
          <w:rFonts w:ascii="Arial" w:eastAsia="MS PGothic" w:hAnsi="Arial" w:cs="Arial"/>
          <w:color w:val="181818"/>
          <w:szCs w:val="20"/>
        </w:rPr>
        <w:t>complete</w:t>
      </w:r>
      <w:r w:rsidRPr="002F58FB">
        <w:rPr>
          <w:rFonts w:ascii="Arial" w:eastAsia="MS PGothic" w:hAnsi="Arial" w:cs="Arial"/>
          <w:color w:val="181818"/>
          <w:szCs w:val="20"/>
        </w:rPr>
        <w:t xml:space="preserve"> the table </w:t>
      </w:r>
      <w:r w:rsidR="006C47BC">
        <w:rPr>
          <w:rFonts w:ascii="Arial" w:eastAsia="MS PGothic" w:hAnsi="Arial" w:cs="Arial"/>
          <w:color w:val="181818"/>
          <w:szCs w:val="20"/>
        </w:rPr>
        <w:t>below</w:t>
      </w:r>
      <w:r w:rsidRPr="002F58FB">
        <w:rPr>
          <w:rFonts w:ascii="Arial" w:eastAsia="MS PGothic" w:hAnsi="Arial" w:cs="Arial"/>
          <w:color w:val="181818"/>
          <w:szCs w:val="20"/>
        </w:rPr>
        <w:t xml:space="preserve"> with the requested information</w:t>
      </w:r>
      <w:r w:rsidR="00F042E8">
        <w:rPr>
          <w:rFonts w:ascii="Arial" w:eastAsia="MS PGothic" w:hAnsi="Arial" w:cs="Arial"/>
          <w:color w:val="181818"/>
          <w:szCs w:val="20"/>
        </w:rPr>
        <w:t xml:space="preserve">, taking into account the instructions </w:t>
      </w:r>
      <w:r w:rsidR="00FB3EA8">
        <w:rPr>
          <w:rFonts w:ascii="Arial" w:eastAsia="MS PGothic" w:hAnsi="Arial" w:cs="Arial"/>
          <w:color w:val="181818"/>
          <w:szCs w:val="20"/>
        </w:rPr>
        <w:t xml:space="preserve">provided in </w:t>
      </w:r>
      <w:r w:rsidR="006B7B4A">
        <w:rPr>
          <w:rFonts w:ascii="Arial" w:eastAsia="MS PGothic" w:hAnsi="Arial" w:cs="Arial"/>
          <w:color w:val="181818"/>
          <w:szCs w:val="20"/>
        </w:rPr>
        <w:t>the footnotes</w:t>
      </w:r>
      <w:r w:rsidRPr="002F58FB">
        <w:rPr>
          <w:rFonts w:ascii="Arial" w:eastAsia="MS PGothic" w:hAnsi="Arial" w:cs="Arial"/>
          <w:color w:val="181818"/>
          <w:szCs w:val="20"/>
        </w:rPr>
        <w:t xml:space="preserve">. After </w:t>
      </w:r>
      <w:r w:rsidR="003D2C3C">
        <w:rPr>
          <w:rFonts w:ascii="Arial" w:eastAsia="MS PGothic" w:hAnsi="Arial" w:cs="Arial"/>
          <w:color w:val="181818"/>
          <w:szCs w:val="20"/>
        </w:rPr>
        <w:t>having</w:t>
      </w:r>
      <w:r w:rsidRPr="002F58FB">
        <w:rPr>
          <w:rFonts w:ascii="Arial" w:eastAsia="MS PGothic" w:hAnsi="Arial" w:cs="Arial"/>
          <w:color w:val="181818"/>
          <w:szCs w:val="20"/>
        </w:rPr>
        <w:t xml:space="preserve"> </w:t>
      </w:r>
      <w:r w:rsidR="00F042E8">
        <w:rPr>
          <w:rFonts w:ascii="Arial" w:eastAsia="MS PGothic" w:hAnsi="Arial" w:cs="Arial"/>
          <w:color w:val="181818"/>
          <w:szCs w:val="20"/>
        </w:rPr>
        <w:t xml:space="preserve">completed </w:t>
      </w:r>
      <w:r w:rsidRPr="002F58FB">
        <w:rPr>
          <w:rFonts w:ascii="Arial" w:eastAsia="MS PGothic" w:hAnsi="Arial" w:cs="Arial"/>
          <w:color w:val="181818"/>
          <w:szCs w:val="20"/>
        </w:rPr>
        <w:t xml:space="preserve">the form, </w:t>
      </w:r>
      <w:r w:rsidR="00FD12FD">
        <w:rPr>
          <w:rFonts w:ascii="Arial" w:eastAsia="MS PGothic" w:hAnsi="Arial" w:cs="Arial"/>
          <w:color w:val="181818"/>
          <w:szCs w:val="20"/>
        </w:rPr>
        <w:t xml:space="preserve">please </w:t>
      </w:r>
      <w:r w:rsidRPr="002F58FB">
        <w:rPr>
          <w:rFonts w:ascii="Arial" w:eastAsia="MS PGothic" w:hAnsi="Arial" w:cs="Arial"/>
          <w:color w:val="181818"/>
          <w:szCs w:val="20"/>
        </w:rPr>
        <w:t xml:space="preserve">save the document </w:t>
      </w:r>
      <w:r w:rsidR="0040029B">
        <w:rPr>
          <w:rFonts w:ascii="Arial" w:eastAsia="MS PGothic" w:hAnsi="Arial" w:cs="Arial"/>
          <w:color w:val="181818"/>
          <w:szCs w:val="20"/>
        </w:rPr>
        <w:t>(</w:t>
      </w:r>
      <w:r w:rsidR="00FE6B1B">
        <w:rPr>
          <w:rFonts w:ascii="Arial" w:eastAsia="MS PGothic" w:hAnsi="Arial" w:cs="Arial"/>
          <w:color w:val="181818"/>
          <w:szCs w:val="20"/>
        </w:rPr>
        <w:t>according to the following convention:</w:t>
      </w:r>
      <w:r w:rsidRPr="002F58FB">
        <w:rPr>
          <w:rFonts w:ascii="Arial" w:eastAsia="MS PGothic" w:hAnsi="Arial" w:cs="Arial"/>
          <w:color w:val="181818"/>
          <w:szCs w:val="20"/>
        </w:rPr>
        <w:t xml:space="preserve"> </w:t>
      </w:r>
      <w:r w:rsidR="00FE6B1B">
        <w:rPr>
          <w:rFonts w:ascii="Arial" w:eastAsia="MS PGothic" w:hAnsi="Arial" w:cs="Arial"/>
          <w:color w:val="181818"/>
          <w:szCs w:val="20"/>
        </w:rPr>
        <w:t>“</w:t>
      </w:r>
      <w:r w:rsidRPr="002F58FB">
        <w:rPr>
          <w:rFonts w:ascii="Arial" w:eastAsia="MS PGothic" w:hAnsi="Arial" w:cs="Arial"/>
          <w:color w:val="181818"/>
          <w:szCs w:val="20"/>
        </w:rPr>
        <w:t>ESMA_</w:t>
      </w:r>
      <w:r w:rsidR="00915CEE">
        <w:rPr>
          <w:rFonts w:ascii="Arial" w:eastAsia="MS PGothic" w:hAnsi="Arial" w:cs="Arial"/>
          <w:color w:val="181818"/>
          <w:szCs w:val="20"/>
        </w:rPr>
        <w:t>Q20</w:t>
      </w:r>
      <w:r w:rsidRPr="002F58FB">
        <w:rPr>
          <w:rFonts w:ascii="Arial" w:eastAsia="MS PGothic" w:hAnsi="Arial" w:cs="Arial"/>
          <w:color w:val="181818"/>
          <w:szCs w:val="20"/>
        </w:rPr>
        <w:t>_nameofrespondent</w:t>
      </w:r>
      <w:r w:rsidR="00915CEE">
        <w:rPr>
          <w:rFonts w:ascii="Arial" w:eastAsia="MS PGothic" w:hAnsi="Arial" w:cs="Arial"/>
          <w:color w:val="181818"/>
          <w:szCs w:val="20"/>
        </w:rPr>
        <w:t>”</w:t>
      </w:r>
      <w:r w:rsidR="0040029B">
        <w:rPr>
          <w:rFonts w:ascii="Arial" w:eastAsia="MS PGothic" w:hAnsi="Arial" w:cs="Arial"/>
          <w:color w:val="181818"/>
          <w:szCs w:val="20"/>
        </w:rPr>
        <w:t>)</w:t>
      </w:r>
      <w:r w:rsidRPr="002F58FB">
        <w:rPr>
          <w:rFonts w:ascii="Arial" w:eastAsia="MS PGothic" w:hAnsi="Arial" w:cs="Arial"/>
          <w:color w:val="181818"/>
          <w:szCs w:val="20"/>
        </w:rPr>
        <w:t xml:space="preserve"> and</w:t>
      </w:r>
      <w:r w:rsidR="0040029B">
        <w:rPr>
          <w:rFonts w:ascii="Arial" w:eastAsia="MS PGothic" w:hAnsi="Arial" w:cs="Arial"/>
          <w:color w:val="181818"/>
          <w:szCs w:val="20"/>
        </w:rPr>
        <w:t xml:space="preserve"> </w:t>
      </w:r>
      <w:r w:rsidR="0051598D">
        <w:rPr>
          <w:rFonts w:ascii="Arial" w:eastAsia="MS PGothic" w:hAnsi="Arial" w:cs="Arial"/>
          <w:color w:val="181818"/>
          <w:szCs w:val="20"/>
        </w:rPr>
        <w:t xml:space="preserve">upload </w:t>
      </w:r>
      <w:r w:rsidR="0040029B">
        <w:rPr>
          <w:rFonts w:ascii="Arial" w:eastAsia="MS PGothic" w:hAnsi="Arial" w:cs="Arial"/>
          <w:color w:val="181818"/>
          <w:szCs w:val="20"/>
        </w:rPr>
        <w:t>it</w:t>
      </w:r>
      <w:r w:rsidR="006C7811">
        <w:rPr>
          <w:rFonts w:ascii="Arial" w:eastAsia="MS PGothic" w:hAnsi="Arial" w:cs="Arial"/>
          <w:color w:val="181818"/>
          <w:szCs w:val="20"/>
        </w:rPr>
        <w:t xml:space="preserve"> </w:t>
      </w:r>
      <w:r w:rsidR="005A6BF0" w:rsidRPr="005A6BF0">
        <w:rPr>
          <w:rFonts w:ascii="Arial" w:eastAsia="MS PGothic" w:hAnsi="Arial" w:cs="Arial"/>
          <w:bCs/>
          <w:color w:val="181818"/>
          <w:szCs w:val="20"/>
        </w:rPr>
        <w:t xml:space="preserve">online at </w:t>
      </w:r>
      <w:hyperlink r:id="rId11" w:history="1">
        <w:r w:rsidR="00901098" w:rsidRPr="00150222">
          <w:rPr>
            <w:rStyle w:val="Hyperlink"/>
            <w:rFonts w:ascii="Arial" w:eastAsia="MS PGothic" w:hAnsi="Arial" w:cs="Arial"/>
            <w:bCs/>
            <w:szCs w:val="20"/>
          </w:rPr>
          <w:t>https://www.esma.europa.eu/press-news/consultations/call-evidence-review-ucits-eligible-assets-directive</w:t>
        </w:r>
      </w:hyperlink>
      <w:r w:rsidR="00901098">
        <w:rPr>
          <w:rFonts w:ascii="Arial" w:eastAsia="MS PGothic" w:hAnsi="Arial" w:cs="Arial"/>
          <w:bCs/>
          <w:i/>
          <w:iCs/>
          <w:color w:val="181818"/>
          <w:szCs w:val="20"/>
        </w:rPr>
        <w:t xml:space="preserve"> </w:t>
      </w:r>
      <w:r w:rsidR="005A6BF0" w:rsidRPr="005A6BF0">
        <w:rPr>
          <w:rFonts w:ascii="Arial" w:eastAsia="MS PGothic" w:hAnsi="Arial" w:cs="Arial"/>
          <w:bCs/>
          <w:color w:val="181818"/>
          <w:szCs w:val="20"/>
        </w:rPr>
        <w:t xml:space="preserve">under the heading </w:t>
      </w:r>
      <w:r w:rsidR="005A6BF0" w:rsidRPr="005A6BF0">
        <w:rPr>
          <w:rFonts w:ascii="Arial" w:eastAsia="MS PGothic" w:hAnsi="Arial" w:cs="Arial"/>
          <w:bCs/>
          <w:i/>
          <w:iCs/>
          <w:color w:val="181818"/>
          <w:szCs w:val="20"/>
        </w:rPr>
        <w:t>‘Your input - Consultations’</w:t>
      </w:r>
      <w:r w:rsidR="005A6BF0">
        <w:rPr>
          <w:rFonts w:ascii="Arial" w:eastAsia="MS PGothic" w:hAnsi="Arial" w:cs="Arial"/>
          <w:bCs/>
          <w:color w:val="181818"/>
          <w:szCs w:val="20"/>
        </w:rPr>
        <w:t>, as an Annex to the Reply Form</w:t>
      </w:r>
      <w:r w:rsidR="0040029B">
        <w:rPr>
          <w:rFonts w:ascii="Arial" w:eastAsia="MS PGothic" w:hAnsi="Arial" w:cs="Arial"/>
          <w:color w:val="181818"/>
          <w:szCs w:val="20"/>
        </w:rPr>
        <w:t xml:space="preserve">. </w:t>
      </w:r>
      <w:r w:rsidR="008B6D19">
        <w:rPr>
          <w:rFonts w:ascii="Arial" w:eastAsia="MS PGothic" w:hAnsi="Arial" w:cs="Arial"/>
          <w:color w:val="181818"/>
          <w:szCs w:val="20"/>
        </w:rPr>
        <w:t xml:space="preserve">In case you upload a pdf file, please choose an editable form. </w:t>
      </w:r>
    </w:p>
    <w:p w14:paraId="3D66D304" w14:textId="4FFC7823" w:rsidR="00A119B6" w:rsidRDefault="00A119B6" w:rsidP="00A119B6">
      <w:pPr>
        <w:spacing w:after="250" w:line="276" w:lineRule="auto"/>
        <w:jc w:val="both"/>
        <w:rPr>
          <w:rFonts w:ascii="Arial" w:eastAsia="MS PGothic" w:hAnsi="Arial" w:cs="Arial"/>
          <w:color w:val="181818"/>
          <w:lang w:val="en-US"/>
        </w:rPr>
      </w:pPr>
      <w:r w:rsidRPr="00F74F0E">
        <w:rPr>
          <w:rFonts w:ascii="Arial" w:eastAsia="MS PGothic" w:hAnsi="Arial" w:cs="Arial"/>
          <w:color w:val="181818"/>
          <w:u w:val="single"/>
          <w:lang w:val="en-US"/>
        </w:rPr>
        <w:t>General remarks</w:t>
      </w:r>
      <w:r>
        <w:rPr>
          <w:rFonts w:ascii="Arial" w:eastAsia="MS PGothic" w:hAnsi="Arial" w:cs="Arial"/>
          <w:color w:val="181818"/>
          <w:lang w:val="en-US"/>
        </w:rPr>
        <w:t>:</w:t>
      </w:r>
    </w:p>
    <w:p w14:paraId="2CBA040A" w14:textId="77777777" w:rsidR="00A119B6" w:rsidRDefault="00A119B6" w:rsidP="00A119B6">
      <w:pPr>
        <w:spacing w:after="250" w:line="276" w:lineRule="auto"/>
        <w:jc w:val="both"/>
        <w:rPr>
          <w:rFonts w:ascii="Arial" w:eastAsia="MS PGothic" w:hAnsi="Arial" w:cs="Arial"/>
          <w:color w:val="181818"/>
          <w:lang w:val="en-US"/>
        </w:rPr>
      </w:pPr>
      <w:r w:rsidRPr="00D21D20">
        <w:rPr>
          <w:rFonts w:ascii="Arial" w:eastAsia="MS PGothic" w:hAnsi="Arial" w:cs="Arial"/>
          <w:color w:val="181818"/>
          <w:lang w:val="en-US"/>
        </w:rPr>
        <w:t xml:space="preserve">The data and responses provided regarding the specified </w:t>
      </w:r>
      <w:r>
        <w:rPr>
          <w:rFonts w:ascii="Arial" w:eastAsia="MS PGothic" w:hAnsi="Arial" w:cs="Arial"/>
          <w:color w:val="181818"/>
          <w:lang w:val="en-US"/>
        </w:rPr>
        <w:t>assets</w:t>
      </w:r>
      <w:r w:rsidRPr="004E00C9">
        <w:rPr>
          <w:rFonts w:ascii="Arial" w:eastAsia="MS PGothic" w:hAnsi="Arial" w:cs="Arial"/>
          <w:color w:val="181818"/>
          <w:lang w:val="en-US"/>
        </w:rPr>
        <w:t xml:space="preserve"> </w:t>
      </w:r>
      <w:r w:rsidRPr="00D21D20">
        <w:rPr>
          <w:rFonts w:ascii="Arial" w:eastAsia="MS PGothic" w:hAnsi="Arial" w:cs="Arial"/>
          <w:color w:val="181818"/>
          <w:lang w:val="en-US"/>
        </w:rPr>
        <w:t>are presented for ESMA's deliberation. The contributions from EFAMA should be regarded as overarching considerations pertinent to the particular asset</w:t>
      </w:r>
      <w:r>
        <w:rPr>
          <w:rFonts w:ascii="Arial" w:eastAsia="MS PGothic" w:hAnsi="Arial" w:cs="Arial"/>
          <w:color w:val="181818"/>
          <w:lang w:val="en-US"/>
        </w:rPr>
        <w:t xml:space="preserve"> classes</w:t>
      </w:r>
      <w:r w:rsidRPr="00D21D20">
        <w:rPr>
          <w:rFonts w:ascii="Arial" w:eastAsia="MS PGothic" w:hAnsi="Arial" w:cs="Arial"/>
          <w:color w:val="181818"/>
          <w:lang w:val="en-US"/>
        </w:rPr>
        <w:t xml:space="preserve">. Consequently, these reflections should </w:t>
      </w:r>
      <w:r w:rsidRPr="00C631EE">
        <w:rPr>
          <w:rFonts w:ascii="Arial" w:eastAsia="MS PGothic" w:hAnsi="Arial" w:cs="Arial"/>
          <w:b/>
          <w:bCs/>
          <w:color w:val="181818"/>
          <w:lang w:val="en-US"/>
        </w:rPr>
        <w:t>not be construed as a consensus by EFAMA and its members that all the listed assets qualify as suitable investments for UCITS</w:t>
      </w:r>
      <w:r w:rsidRPr="00D21D20">
        <w:rPr>
          <w:rFonts w:ascii="Arial" w:eastAsia="MS PGothic" w:hAnsi="Arial" w:cs="Arial"/>
          <w:color w:val="181818"/>
          <w:lang w:val="en-US"/>
        </w:rPr>
        <w:t>.</w:t>
      </w:r>
      <w:r>
        <w:rPr>
          <w:rFonts w:ascii="Arial" w:eastAsia="MS PGothic" w:hAnsi="Arial" w:cs="Arial"/>
          <w:color w:val="181818"/>
          <w:lang w:val="en-US"/>
        </w:rPr>
        <w:t xml:space="preserve"> In particular, the data regarding existing direct/indirect exposures to these asset classes should not be viewed as representative of EFAMA’s membership.</w:t>
      </w:r>
    </w:p>
    <w:p w14:paraId="7739C753" w14:textId="77777777" w:rsidR="00A119B6" w:rsidRPr="0071106F" w:rsidRDefault="00A119B6" w:rsidP="00A119B6">
      <w:pPr>
        <w:spacing w:after="250" w:line="276" w:lineRule="auto"/>
        <w:jc w:val="both"/>
        <w:rPr>
          <w:rFonts w:ascii="Arial" w:eastAsia="MS PGothic" w:hAnsi="Arial" w:cs="Arial"/>
          <w:color w:val="181818"/>
        </w:rPr>
      </w:pPr>
      <w:r>
        <w:rPr>
          <w:rFonts w:ascii="Arial" w:eastAsia="MS PGothic" w:hAnsi="Arial" w:cs="Arial"/>
          <w:color w:val="181818"/>
          <w:lang w:val="en-US"/>
        </w:rPr>
        <w:t xml:space="preserve">As ESMA has requested respondents to consider points such as liquidity, availability of a reliable valuation, etc., in the context of this question, we have set out some broader general remarks on these points to be kept in mind when considering our asset-specific comments. </w:t>
      </w:r>
    </w:p>
    <w:p w14:paraId="7EA0B73B" w14:textId="77777777" w:rsidR="00A119B6" w:rsidRDefault="00A119B6" w:rsidP="00A119B6">
      <w:pPr>
        <w:spacing w:after="250" w:line="276" w:lineRule="auto"/>
        <w:jc w:val="both"/>
        <w:rPr>
          <w:rFonts w:ascii="Arial" w:hAnsi="Arial" w:cs="Arial"/>
          <w:color w:val="181818"/>
          <w:lang w:val="en-BE"/>
        </w:rPr>
      </w:pPr>
      <w:r>
        <w:rPr>
          <w:rFonts w:ascii="Arial" w:hAnsi="Arial" w:cs="Arial"/>
          <w:color w:val="181818"/>
        </w:rPr>
        <w:t xml:space="preserve">Regarding </w:t>
      </w:r>
      <w:r>
        <w:rPr>
          <w:rFonts w:ascii="Arial" w:hAnsi="Arial" w:cs="Arial"/>
          <w:b/>
          <w:bCs/>
          <w:color w:val="181818"/>
        </w:rPr>
        <w:t>liquidity</w:t>
      </w:r>
      <w:r>
        <w:rPr>
          <w:rFonts w:ascii="Arial" w:hAnsi="Arial" w:cs="Arial"/>
          <w:color w:val="181818"/>
        </w:rPr>
        <w:t>, we have set out below any asset-specific considerations in the table below. As a general remark though, we wish to highlight that</w:t>
      </w:r>
      <w:r>
        <w:rPr>
          <w:rFonts w:ascii="Arial" w:hAnsi="Arial" w:cs="Arial"/>
          <w:b/>
          <w:bCs/>
          <w:color w:val="181818"/>
        </w:rPr>
        <w:t xml:space="preserve"> </w:t>
      </w:r>
      <w:r>
        <w:rPr>
          <w:rFonts w:ascii="Arial" w:hAnsi="Arial" w:cs="Arial"/>
          <w:color w:val="181818"/>
        </w:rPr>
        <w:t xml:space="preserve">for any funds investing a significant portion into the below asset classes referred to in Question 20, </w:t>
      </w:r>
      <w:r w:rsidRPr="002A041A">
        <w:rPr>
          <w:rFonts w:ascii="Arial" w:hAnsi="Arial" w:cs="Arial"/>
          <w:color w:val="181818"/>
          <w:lang w:val="en-BE"/>
        </w:rPr>
        <w:t xml:space="preserve">the </w:t>
      </w:r>
      <w:r>
        <w:rPr>
          <w:rFonts w:ascii="Arial" w:hAnsi="Arial" w:cs="Arial"/>
          <w:color w:val="181818"/>
          <w:lang w:val="en-BE"/>
        </w:rPr>
        <w:t>portfolio manager</w:t>
      </w:r>
      <w:r w:rsidRPr="002A041A">
        <w:rPr>
          <w:rFonts w:ascii="Arial" w:hAnsi="Arial" w:cs="Arial"/>
          <w:color w:val="181818"/>
          <w:lang w:val="en-BE"/>
        </w:rPr>
        <w:t xml:space="preserve"> is expected to ensure </w:t>
      </w:r>
      <w:r>
        <w:rPr>
          <w:rFonts w:ascii="Arial" w:hAnsi="Arial" w:cs="Arial"/>
          <w:color w:val="181818"/>
          <w:lang w:val="en-BE"/>
        </w:rPr>
        <w:t>they</w:t>
      </w:r>
      <w:r w:rsidRPr="002A041A">
        <w:rPr>
          <w:rFonts w:ascii="Arial" w:hAnsi="Arial" w:cs="Arial"/>
          <w:color w:val="181818"/>
          <w:lang w:val="en-BE"/>
        </w:rPr>
        <w:t xml:space="preserve"> can manage liquidity on a day to day basis respecting the contractual constraints of the UCITS (redemption frequency, notice period, available </w:t>
      </w:r>
      <w:proofErr w:type="spellStart"/>
      <w:r w:rsidRPr="002A041A">
        <w:rPr>
          <w:rFonts w:ascii="Arial" w:hAnsi="Arial" w:cs="Arial"/>
          <w:color w:val="181818"/>
          <w:lang w:val="en-BE"/>
        </w:rPr>
        <w:t>LMTs</w:t>
      </w:r>
      <w:proofErr w:type="spellEnd"/>
      <w:r w:rsidRPr="002A041A">
        <w:rPr>
          <w:rFonts w:ascii="Arial" w:hAnsi="Arial" w:cs="Arial"/>
          <w:color w:val="181818"/>
          <w:lang w:val="en-BE"/>
        </w:rPr>
        <w:t>).</w:t>
      </w:r>
      <w:r>
        <w:rPr>
          <w:rFonts w:ascii="Arial" w:hAnsi="Arial" w:cs="Arial"/>
          <w:color w:val="181818"/>
          <w:lang w:val="en-BE"/>
        </w:rPr>
        <w:t xml:space="preserve"> </w:t>
      </w:r>
      <w:r w:rsidRPr="002A041A">
        <w:rPr>
          <w:rFonts w:ascii="Arial" w:hAnsi="Arial" w:cs="Arial"/>
          <w:color w:val="181818"/>
          <w:lang w:val="en-BE"/>
        </w:rPr>
        <w:t xml:space="preserve">The appropriateness of the notice period, the redemption frequency and the list of available </w:t>
      </w:r>
      <w:proofErr w:type="spellStart"/>
      <w:r w:rsidRPr="002A041A">
        <w:rPr>
          <w:rFonts w:ascii="Arial" w:hAnsi="Arial" w:cs="Arial"/>
          <w:color w:val="181818"/>
          <w:lang w:val="en-BE"/>
        </w:rPr>
        <w:t>LMTs</w:t>
      </w:r>
      <w:proofErr w:type="spellEnd"/>
      <w:r w:rsidRPr="002A041A">
        <w:rPr>
          <w:rFonts w:ascii="Arial" w:hAnsi="Arial" w:cs="Arial"/>
          <w:color w:val="181818"/>
          <w:lang w:val="en-BE"/>
        </w:rPr>
        <w:t xml:space="preserve"> are also independently assessed during the </w:t>
      </w:r>
      <w:r>
        <w:rPr>
          <w:rFonts w:ascii="Arial" w:hAnsi="Arial" w:cs="Arial"/>
          <w:color w:val="181818"/>
          <w:lang w:val="en-BE"/>
        </w:rPr>
        <w:t>risk assessment</w:t>
      </w:r>
      <w:r w:rsidRPr="002A041A">
        <w:rPr>
          <w:rFonts w:ascii="Arial" w:hAnsi="Arial" w:cs="Arial"/>
          <w:color w:val="181818"/>
          <w:lang w:val="en-BE"/>
        </w:rPr>
        <w:t xml:space="preserve"> analysis by the </w:t>
      </w:r>
      <w:r>
        <w:rPr>
          <w:rFonts w:ascii="Arial" w:hAnsi="Arial" w:cs="Arial"/>
          <w:color w:val="181818"/>
          <w:lang w:val="en-BE"/>
        </w:rPr>
        <w:t>risk management function</w:t>
      </w:r>
      <w:r w:rsidRPr="002A041A">
        <w:rPr>
          <w:rFonts w:ascii="Arial" w:hAnsi="Arial" w:cs="Arial"/>
          <w:color w:val="181818"/>
          <w:lang w:val="en-BE"/>
        </w:rPr>
        <w:t>. This is performed prior to the launch of the UCITS considering the proposed investment policy of the fund, all assets types permissible by prospectus and included in the model portfolio.</w:t>
      </w:r>
    </w:p>
    <w:p w14:paraId="76A24AD7" w14:textId="77777777" w:rsidR="00A119B6" w:rsidRDefault="00A119B6" w:rsidP="00A119B6">
      <w:pPr>
        <w:spacing w:after="250" w:line="276" w:lineRule="auto"/>
        <w:jc w:val="both"/>
        <w:rPr>
          <w:rFonts w:ascii="Arial" w:hAnsi="Arial" w:cs="Arial"/>
          <w:color w:val="181818"/>
        </w:rPr>
      </w:pPr>
      <w:r>
        <w:rPr>
          <w:rFonts w:ascii="Arial" w:hAnsi="Arial" w:cs="Arial"/>
          <w:color w:val="181818"/>
          <w:lang w:val="en-BE"/>
        </w:rPr>
        <w:t xml:space="preserve">Regarding the availability of a </w:t>
      </w:r>
      <w:r w:rsidRPr="003B39E6">
        <w:rPr>
          <w:rFonts w:ascii="Arial" w:hAnsi="Arial" w:cs="Arial"/>
          <w:b/>
          <w:bCs/>
          <w:color w:val="181818"/>
          <w:lang w:val="en-BE"/>
        </w:rPr>
        <w:t>reliable</w:t>
      </w:r>
      <w:r>
        <w:rPr>
          <w:rFonts w:ascii="Arial" w:hAnsi="Arial" w:cs="Arial"/>
          <w:color w:val="181818"/>
          <w:lang w:val="en-BE"/>
        </w:rPr>
        <w:t xml:space="preserve"> </w:t>
      </w:r>
      <w:r w:rsidRPr="003B39E6">
        <w:rPr>
          <w:rFonts w:ascii="Arial" w:hAnsi="Arial" w:cs="Arial"/>
          <w:b/>
          <w:bCs/>
          <w:color w:val="181818"/>
          <w:lang w:val="en-BE"/>
        </w:rPr>
        <w:t>valuation</w:t>
      </w:r>
      <w:r>
        <w:rPr>
          <w:rFonts w:ascii="Arial" w:hAnsi="Arial" w:cs="Arial"/>
          <w:color w:val="181818"/>
          <w:lang w:val="en-BE"/>
        </w:rPr>
        <w:t xml:space="preserve">, </w:t>
      </w:r>
      <w:r>
        <w:rPr>
          <w:rFonts w:ascii="Arial" w:hAnsi="Arial" w:cs="Arial"/>
          <w:color w:val="181818"/>
        </w:rPr>
        <w:t xml:space="preserve">as a </w:t>
      </w:r>
      <w:r w:rsidRPr="00D63069">
        <w:rPr>
          <w:rFonts w:ascii="Arial" w:hAnsi="Arial" w:cs="Arial"/>
          <w:color w:val="181818"/>
          <w:u w:val="single"/>
        </w:rPr>
        <w:t>general remark</w:t>
      </w:r>
      <w:r>
        <w:rPr>
          <w:rFonts w:ascii="Arial" w:hAnsi="Arial" w:cs="Arial"/>
          <w:b/>
          <w:bCs/>
          <w:color w:val="181818"/>
        </w:rPr>
        <w:t xml:space="preserve"> </w:t>
      </w:r>
      <w:r>
        <w:rPr>
          <w:rFonts w:ascii="Arial" w:hAnsi="Arial" w:cs="Arial"/>
          <w:color w:val="181818"/>
        </w:rPr>
        <w:t>applicable to all asset classes, we refer to our overview on the valuation process, including embedded due diligence, as provided in Question 10.</w:t>
      </w:r>
      <w:r w:rsidRPr="00C778E6">
        <w:rPr>
          <w:rFonts w:ascii="Arial" w:hAnsi="Arial" w:cs="Arial"/>
          <w:color w:val="181818"/>
        </w:rPr>
        <w:t xml:space="preserve"> </w:t>
      </w:r>
    </w:p>
    <w:p w14:paraId="743E0148" w14:textId="3811B7C6" w:rsidR="009609FD" w:rsidRPr="00A119B6" w:rsidRDefault="00A119B6" w:rsidP="3FE99FEE">
      <w:pPr>
        <w:spacing w:after="250" w:line="276" w:lineRule="auto"/>
        <w:jc w:val="both"/>
        <w:rPr>
          <w:rFonts w:ascii="Arial" w:hAnsi="Arial" w:cs="Arial"/>
          <w:color w:val="181818"/>
        </w:rPr>
      </w:pPr>
      <w:r>
        <w:rPr>
          <w:rFonts w:ascii="Arial" w:hAnsi="Arial" w:cs="Arial"/>
          <w:color w:val="181818"/>
        </w:rPr>
        <w:lastRenderedPageBreak/>
        <w:t xml:space="preserve">Regarding </w:t>
      </w:r>
      <w:r>
        <w:rPr>
          <w:rFonts w:ascii="Arial" w:hAnsi="Arial" w:cs="Arial"/>
          <w:b/>
          <w:bCs/>
          <w:color w:val="181818"/>
        </w:rPr>
        <w:t>risk management</w:t>
      </w:r>
      <w:r>
        <w:rPr>
          <w:rFonts w:ascii="Arial" w:hAnsi="Arial" w:cs="Arial"/>
          <w:color w:val="181818"/>
        </w:rPr>
        <w:t>, managers have noted that as part of their risk management process, for certain asset classes, such as a number of those indicated in Question 20, a dedicated risk questionnaire would be provided to the portfolio manager which could, as a result, lead to additional risk measures being included in the risk management process of the UCITS (e.g. additional trigger risk monitoring).</w:t>
      </w:r>
    </w:p>
    <w:tbl>
      <w:tblPr>
        <w:tblStyle w:val="Tablenone1"/>
        <w:tblW w:w="13887" w:type="dxa"/>
        <w:tblLook w:val="04A0" w:firstRow="1" w:lastRow="0" w:firstColumn="1" w:lastColumn="0" w:noHBand="0" w:noVBand="1"/>
      </w:tblPr>
      <w:tblGrid>
        <w:gridCol w:w="1383"/>
        <w:gridCol w:w="3643"/>
        <w:gridCol w:w="2404"/>
        <w:gridCol w:w="1977"/>
        <w:gridCol w:w="4480"/>
      </w:tblGrid>
      <w:tr w:rsidR="00B33432" w:rsidRPr="00B33432" w14:paraId="42644C63" w14:textId="77777777" w:rsidTr="00654E41">
        <w:tc>
          <w:tcPr>
            <w:tcW w:w="1271" w:type="dxa"/>
          </w:tcPr>
          <w:p w14:paraId="0268D242"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Asset class</w:t>
            </w:r>
            <w:r w:rsidRPr="00B33432">
              <w:rPr>
                <w:rFonts w:ascii="Arial" w:hAnsi="Arial" w:cs="Arial"/>
                <w:b/>
                <w:bCs/>
                <w:color w:val="181818"/>
                <w:sz w:val="16"/>
                <w:vertAlign w:val="superscript"/>
              </w:rPr>
              <w:footnoteReference w:id="2"/>
            </w:r>
          </w:p>
        </w:tc>
        <w:tc>
          <w:tcPr>
            <w:tcW w:w="3686" w:type="dxa"/>
          </w:tcPr>
          <w:p w14:paraId="60F87FED" w14:textId="77777777" w:rsidR="00B33432" w:rsidRPr="009609FD" w:rsidRDefault="00B33432" w:rsidP="00B33432">
            <w:pPr>
              <w:spacing w:after="250" w:line="276" w:lineRule="auto"/>
              <w:jc w:val="center"/>
              <w:rPr>
                <w:rFonts w:ascii="Arial" w:hAnsi="Arial" w:cs="Arial"/>
                <w:b/>
                <w:bCs/>
                <w:color w:val="181818"/>
                <w:lang w:val="en-US"/>
              </w:rPr>
            </w:pPr>
            <w:r w:rsidRPr="009609FD">
              <w:rPr>
                <w:rFonts w:ascii="Arial" w:hAnsi="Arial" w:cs="Arial"/>
                <w:b/>
                <w:bCs/>
                <w:color w:val="181818"/>
                <w:lang w:val="en-US"/>
              </w:rPr>
              <w:t>Merits of allowing direct UCITS exposures</w:t>
            </w:r>
          </w:p>
        </w:tc>
        <w:tc>
          <w:tcPr>
            <w:tcW w:w="2409" w:type="dxa"/>
          </w:tcPr>
          <w:p w14:paraId="49FEA0C2" w14:textId="77777777" w:rsidR="00B33432" w:rsidRPr="009609FD" w:rsidRDefault="00B33432" w:rsidP="00B33432">
            <w:pPr>
              <w:spacing w:after="250" w:line="276" w:lineRule="auto"/>
              <w:jc w:val="center"/>
              <w:rPr>
                <w:rFonts w:ascii="Arial" w:hAnsi="Arial" w:cs="Arial"/>
                <w:b/>
                <w:bCs/>
                <w:color w:val="181818"/>
                <w:lang w:val="en-US"/>
              </w:rPr>
            </w:pPr>
            <w:r w:rsidRPr="009609FD">
              <w:rPr>
                <w:rFonts w:ascii="Arial" w:hAnsi="Arial" w:cs="Arial"/>
                <w:b/>
                <w:bCs/>
                <w:color w:val="181818"/>
                <w:lang w:val="en-US"/>
              </w:rPr>
              <w:t xml:space="preserve">Merits of allowing </w:t>
            </w:r>
            <w:r w:rsidRPr="009609FD">
              <w:rPr>
                <w:rFonts w:ascii="Arial" w:hAnsi="Arial" w:cs="Arial"/>
                <w:b/>
                <w:i/>
                <w:color w:val="181818"/>
                <w:lang w:val="en-US"/>
              </w:rPr>
              <w:t>indirect</w:t>
            </w:r>
            <w:r w:rsidRPr="009609FD">
              <w:rPr>
                <w:rFonts w:ascii="Arial" w:hAnsi="Arial" w:cs="Arial"/>
                <w:b/>
                <w:bCs/>
                <w:color w:val="181818"/>
                <w:lang w:val="en-US"/>
              </w:rPr>
              <w:t xml:space="preserve"> UCITS exposures</w:t>
            </w:r>
            <w:r w:rsidRPr="00B33432">
              <w:rPr>
                <w:rFonts w:ascii="Arial" w:hAnsi="Arial" w:cs="Arial"/>
                <w:b/>
                <w:bCs/>
                <w:color w:val="181818"/>
                <w:sz w:val="16"/>
                <w:vertAlign w:val="superscript"/>
              </w:rPr>
              <w:footnoteReference w:id="3"/>
            </w:r>
          </w:p>
        </w:tc>
        <w:tc>
          <w:tcPr>
            <w:tcW w:w="1985" w:type="dxa"/>
          </w:tcPr>
          <w:p w14:paraId="5668F975" w14:textId="77777777" w:rsidR="00B33432" w:rsidRPr="009609FD" w:rsidRDefault="00B33432" w:rsidP="00B33432">
            <w:pPr>
              <w:spacing w:after="250" w:line="276" w:lineRule="auto"/>
              <w:jc w:val="center"/>
              <w:rPr>
                <w:rFonts w:ascii="Arial" w:hAnsi="Arial" w:cs="Arial"/>
                <w:b/>
                <w:bCs/>
                <w:color w:val="181818"/>
                <w:lang w:val="en-US"/>
              </w:rPr>
            </w:pPr>
            <w:r w:rsidRPr="009609FD">
              <w:rPr>
                <w:rFonts w:ascii="Arial" w:hAnsi="Arial" w:cs="Arial"/>
                <w:b/>
                <w:bCs/>
                <w:color w:val="181818"/>
                <w:lang w:val="en-US"/>
              </w:rPr>
              <w:t>Extent/amount of existing UCITS exposures</w:t>
            </w:r>
            <w:r w:rsidRPr="00B33432">
              <w:rPr>
                <w:rFonts w:ascii="Arial" w:hAnsi="Arial" w:cs="Arial"/>
                <w:b/>
                <w:bCs/>
                <w:color w:val="181818"/>
                <w:sz w:val="16"/>
                <w:vertAlign w:val="superscript"/>
              </w:rPr>
              <w:footnoteReference w:id="4"/>
            </w:r>
            <w:r w:rsidRPr="009609FD">
              <w:rPr>
                <w:rFonts w:ascii="Arial" w:hAnsi="Arial" w:cs="Arial"/>
                <w:b/>
                <w:bCs/>
                <w:color w:val="181818"/>
                <w:lang w:val="en-US"/>
              </w:rPr>
              <w:t xml:space="preserve"> </w:t>
            </w:r>
          </w:p>
        </w:tc>
        <w:tc>
          <w:tcPr>
            <w:tcW w:w="4536" w:type="dxa"/>
          </w:tcPr>
          <w:p w14:paraId="50147042" w14:textId="77777777" w:rsidR="00B33432" w:rsidRPr="00B33432" w:rsidRDefault="00B33432" w:rsidP="00B33432">
            <w:pPr>
              <w:spacing w:after="250" w:line="276" w:lineRule="auto"/>
              <w:jc w:val="center"/>
              <w:rPr>
                <w:rFonts w:ascii="Arial" w:hAnsi="Arial" w:cs="Arial"/>
                <w:b/>
                <w:bCs/>
                <w:color w:val="181818"/>
              </w:rPr>
            </w:pPr>
            <w:proofErr w:type="spellStart"/>
            <w:r w:rsidRPr="00B33432">
              <w:rPr>
                <w:rFonts w:ascii="Arial" w:hAnsi="Arial" w:cs="Arial"/>
                <w:b/>
                <w:bCs/>
                <w:color w:val="181818"/>
              </w:rPr>
              <w:t>Additional</w:t>
            </w:r>
            <w:proofErr w:type="spellEnd"/>
            <w:r w:rsidRPr="00B33432">
              <w:rPr>
                <w:rFonts w:ascii="Arial" w:hAnsi="Arial" w:cs="Arial"/>
                <w:b/>
                <w:bCs/>
                <w:color w:val="181818"/>
              </w:rPr>
              <w:t xml:space="preserve"> </w:t>
            </w:r>
            <w:proofErr w:type="spellStart"/>
            <w:r w:rsidRPr="00B33432">
              <w:rPr>
                <w:rFonts w:ascii="Arial" w:hAnsi="Arial" w:cs="Arial"/>
                <w:b/>
                <w:bCs/>
                <w:color w:val="181818"/>
              </w:rPr>
              <w:t>comments</w:t>
            </w:r>
            <w:proofErr w:type="spellEnd"/>
            <w:r w:rsidRPr="00B33432">
              <w:rPr>
                <w:rFonts w:ascii="Arial" w:hAnsi="Arial" w:cs="Arial"/>
                <w:b/>
                <w:bCs/>
                <w:vertAlign w:val="superscript"/>
              </w:rPr>
              <w:footnoteReference w:id="5"/>
            </w:r>
          </w:p>
        </w:tc>
      </w:tr>
      <w:tr w:rsidR="00605FAA" w:rsidRPr="00B33432" w14:paraId="52801425" w14:textId="77777777" w:rsidTr="00654E41">
        <w:tc>
          <w:tcPr>
            <w:tcW w:w="1271" w:type="dxa"/>
          </w:tcPr>
          <w:p w14:paraId="06FDDDF6" w14:textId="77777777" w:rsidR="00605FAA" w:rsidRPr="00B33432" w:rsidRDefault="00605FAA" w:rsidP="00605FAA">
            <w:pPr>
              <w:spacing w:after="250" w:line="276" w:lineRule="auto"/>
              <w:rPr>
                <w:rFonts w:ascii="Arial" w:hAnsi="Arial" w:cs="Arial"/>
                <w:color w:val="181818"/>
              </w:rPr>
            </w:pPr>
            <w:r w:rsidRPr="00B33432">
              <w:rPr>
                <w:rFonts w:ascii="Arial" w:hAnsi="Arial" w:cs="Arial"/>
              </w:rPr>
              <w:t xml:space="preserve">1. </w:t>
            </w:r>
            <w:proofErr w:type="spellStart"/>
            <w:r w:rsidRPr="00B33432">
              <w:rPr>
                <w:rFonts w:ascii="Arial" w:hAnsi="Arial" w:cs="Arial"/>
              </w:rPr>
              <w:t>Loans</w:t>
            </w:r>
            <w:proofErr w:type="spellEnd"/>
            <w:r w:rsidRPr="00B33432">
              <w:rPr>
                <w:rFonts w:ascii="Arial" w:hAnsi="Arial" w:cs="Arial"/>
                <w:sz w:val="16"/>
                <w:vertAlign w:val="superscript"/>
              </w:rPr>
              <w:footnoteReference w:id="6"/>
            </w:r>
          </w:p>
        </w:tc>
        <w:tc>
          <w:tcPr>
            <w:tcW w:w="3686" w:type="dxa"/>
          </w:tcPr>
          <w:p w14:paraId="77EF12BD" w14:textId="77777777" w:rsidR="00605FAA" w:rsidRPr="00605FAA" w:rsidRDefault="00605FAA" w:rsidP="00605FAA">
            <w:pPr>
              <w:spacing w:after="250" w:line="276" w:lineRule="auto"/>
              <w:jc w:val="both"/>
              <w:rPr>
                <w:rFonts w:ascii="Arial" w:hAnsi="Arial" w:cs="Arial"/>
                <w:i/>
                <w:iCs/>
                <w:color w:val="181818"/>
                <w:lang w:val="en-US"/>
              </w:rPr>
            </w:pPr>
            <w:r w:rsidRPr="00605FAA">
              <w:rPr>
                <w:rFonts w:ascii="Arial" w:hAnsi="Arial" w:cs="Arial"/>
                <w:i/>
                <w:iCs/>
                <w:color w:val="181818"/>
                <w:lang w:val="en-US"/>
              </w:rPr>
              <w:t>See additional comments in Appendix 1.</w:t>
            </w:r>
          </w:p>
          <w:p w14:paraId="29AED4B2" w14:textId="77777777" w:rsidR="00605FAA" w:rsidRPr="00605FAA" w:rsidRDefault="00605FAA" w:rsidP="00605FAA">
            <w:pPr>
              <w:spacing w:after="250" w:line="276" w:lineRule="auto"/>
              <w:jc w:val="both"/>
              <w:rPr>
                <w:rFonts w:ascii="Arial" w:hAnsi="Arial" w:cs="Arial"/>
                <w:color w:val="181818"/>
                <w:lang w:val="en-US"/>
              </w:rPr>
            </w:pPr>
            <w:r w:rsidRPr="00605FAA">
              <w:rPr>
                <w:rFonts w:ascii="Arial" w:hAnsi="Arial" w:cs="Arial"/>
                <w:color w:val="181818"/>
                <w:lang w:val="en-US"/>
              </w:rPr>
              <w:t>(1) Diversification in issuer type, as the type of issuer will differ to those of standard bonds, complementing traditional credit exposure.</w:t>
            </w:r>
          </w:p>
          <w:p w14:paraId="33228A34" w14:textId="77777777" w:rsidR="00605FAA" w:rsidRPr="00605FAA" w:rsidRDefault="00605FAA" w:rsidP="00605FAA">
            <w:pPr>
              <w:spacing w:after="250" w:line="276" w:lineRule="auto"/>
              <w:jc w:val="both"/>
              <w:rPr>
                <w:rFonts w:ascii="Arial" w:hAnsi="Arial" w:cs="Arial"/>
                <w:color w:val="181818"/>
                <w:lang w:val="en-US"/>
              </w:rPr>
            </w:pPr>
            <w:r w:rsidRPr="00605FAA">
              <w:rPr>
                <w:rFonts w:ascii="Arial" w:hAnsi="Arial" w:cs="Arial"/>
                <w:color w:val="181818"/>
                <w:lang w:val="en-US"/>
              </w:rPr>
              <w:t xml:space="preserve">(2) It provides access to an established market, e.g. in line with the </w:t>
            </w:r>
            <w:r w:rsidRPr="00605FAA">
              <w:rPr>
                <w:rFonts w:ascii="Arial" w:hAnsi="Arial" w:cs="Arial"/>
                <w:color w:val="181818"/>
                <w:lang w:val="en-US"/>
              </w:rPr>
              <w:lastRenderedPageBreak/>
              <w:t xml:space="preserve">requirements of the US Investment Company Act of 1940 for </w:t>
            </w:r>
            <w:proofErr w:type="spellStart"/>
            <w:r w:rsidRPr="00605FAA">
              <w:rPr>
                <w:rFonts w:ascii="Arial" w:hAnsi="Arial" w:cs="Arial"/>
                <w:color w:val="181818"/>
                <w:lang w:val="en-US"/>
              </w:rPr>
              <w:t>standardised</w:t>
            </w:r>
            <w:proofErr w:type="spellEnd"/>
            <w:r w:rsidRPr="00605FAA">
              <w:rPr>
                <w:rFonts w:ascii="Arial" w:hAnsi="Arial" w:cs="Arial"/>
                <w:color w:val="181818"/>
                <w:lang w:val="en-US"/>
              </w:rPr>
              <w:t xml:space="preserve"> loans, especially senior/leveraged loans. </w:t>
            </w:r>
          </w:p>
          <w:p w14:paraId="4F1CC90D" w14:textId="77777777" w:rsidR="00605FAA" w:rsidRPr="00605FAA" w:rsidRDefault="00605FAA" w:rsidP="00605FAA">
            <w:pPr>
              <w:spacing w:after="250" w:line="276" w:lineRule="auto"/>
              <w:jc w:val="both"/>
              <w:rPr>
                <w:rFonts w:ascii="Arial" w:hAnsi="Arial" w:cs="Arial"/>
                <w:color w:val="181818"/>
                <w:lang w:val="en-US"/>
              </w:rPr>
            </w:pPr>
            <w:r w:rsidRPr="00605FAA">
              <w:rPr>
                <w:rFonts w:ascii="Arial" w:hAnsi="Arial" w:cs="Arial"/>
                <w:color w:val="181818"/>
                <w:lang w:val="en-US"/>
              </w:rPr>
              <w:t>(3) Where the UCITS is invested in assets related to the issuer, it can benefit the portfolio to permit the UCITS to assist in restructuring actions of that issuer through participating in loans it issues.</w:t>
            </w:r>
          </w:p>
          <w:p w14:paraId="1E59E199" w14:textId="77777777" w:rsidR="00605FAA" w:rsidRPr="00605FAA" w:rsidRDefault="00605FAA" w:rsidP="00605FAA">
            <w:pPr>
              <w:spacing w:after="250" w:line="276" w:lineRule="auto"/>
              <w:jc w:val="both"/>
              <w:rPr>
                <w:rFonts w:ascii="Arial" w:hAnsi="Arial" w:cs="Arial"/>
                <w:color w:val="181818"/>
                <w:lang w:val="en-US"/>
              </w:rPr>
            </w:pPr>
            <w:r w:rsidRPr="00605FAA">
              <w:rPr>
                <w:rFonts w:ascii="Arial" w:hAnsi="Arial" w:cs="Arial"/>
                <w:color w:val="181818"/>
                <w:lang w:val="en-US"/>
              </w:rPr>
              <w:t>(4) Loans provide potential for higher yields to investors, relative to public credit such as IG and HY bonds, with insultation from the price-effects of rate duration, owing to their floating-rate nature.</w:t>
            </w:r>
          </w:p>
          <w:p w14:paraId="7930774E" w14:textId="77777777" w:rsidR="00605FAA" w:rsidRPr="00605FAA" w:rsidRDefault="00605FAA" w:rsidP="00605FAA">
            <w:pPr>
              <w:spacing w:after="250" w:line="276" w:lineRule="auto"/>
              <w:jc w:val="both"/>
              <w:rPr>
                <w:rFonts w:ascii="Arial" w:hAnsi="Arial" w:cs="Arial"/>
                <w:color w:val="181818"/>
                <w:lang w:val="en-US"/>
              </w:rPr>
            </w:pPr>
            <w:r w:rsidRPr="00605FAA">
              <w:rPr>
                <w:rFonts w:ascii="Arial" w:hAnsi="Arial" w:cs="Arial"/>
                <w:color w:val="181818"/>
                <w:lang w:val="en-US"/>
              </w:rPr>
              <w:t xml:space="preserve">(5) There is well-established liquidity. In the large-cap, leveraged loan market, over 90% of loans are daily tradeable via more than 20 OTC trading desks. However, we note that settlement times in European leveraged loans can be longer than bonds given the absence of an exchange, though developments in the US loan market suggest a potential for European settlement times to reduce. </w:t>
            </w:r>
            <w:r w:rsidRPr="00605FAA">
              <w:rPr>
                <w:rFonts w:ascii="Arial" w:hAnsi="Arial" w:cs="Arial"/>
                <w:color w:val="181818"/>
                <w:lang w:val="en-US"/>
              </w:rPr>
              <w:lastRenderedPageBreak/>
              <w:t>European loan market trading liquidity is strong, consisting of secondary trading activity (at around 30% annual turnover) and inherent prepayment features of the asset class (around 25% average per annum).</w:t>
            </w:r>
          </w:p>
          <w:p w14:paraId="672A6659" w14:textId="535DEB8A" w:rsidR="00605FAA" w:rsidRPr="00605FAA" w:rsidRDefault="00605FAA" w:rsidP="00605FAA">
            <w:pPr>
              <w:spacing w:after="250" w:line="276" w:lineRule="auto"/>
              <w:jc w:val="both"/>
              <w:rPr>
                <w:rFonts w:ascii="Arial" w:hAnsi="Arial" w:cs="Arial"/>
                <w:color w:val="181818"/>
                <w:lang w:val="en-US"/>
              </w:rPr>
            </w:pPr>
            <w:r w:rsidRPr="00605FAA">
              <w:rPr>
                <w:rFonts w:ascii="Arial" w:hAnsi="Arial" w:cs="Arial"/>
                <w:color w:val="181818"/>
                <w:lang w:val="en-US"/>
              </w:rPr>
              <w:t>Our view is that asset managers should be in a position to develop market understanding and approaches to risk management regarding the selection of loans, including regarding their transferability and liquidity.</w:t>
            </w:r>
          </w:p>
        </w:tc>
        <w:tc>
          <w:tcPr>
            <w:tcW w:w="2409" w:type="dxa"/>
          </w:tcPr>
          <w:p w14:paraId="5521DEE1" w14:textId="77777777" w:rsidR="00605FAA" w:rsidRPr="00605FAA" w:rsidRDefault="00605FAA" w:rsidP="00605FAA">
            <w:pPr>
              <w:spacing w:after="250" w:line="276" w:lineRule="auto"/>
              <w:jc w:val="both"/>
              <w:rPr>
                <w:rFonts w:ascii="Arial" w:hAnsi="Arial" w:cs="Arial"/>
                <w:color w:val="181818"/>
                <w:lang w:val="en-US"/>
              </w:rPr>
            </w:pPr>
            <w:r w:rsidRPr="00605FAA">
              <w:rPr>
                <w:rFonts w:ascii="Arial" w:hAnsi="Arial" w:cs="Arial"/>
                <w:color w:val="181818"/>
                <w:lang w:val="en-US"/>
              </w:rPr>
              <w:lastRenderedPageBreak/>
              <w:t>Indirect exposure can be obtained via, for example, an SPV, a derivative instrument, a CLO tranche, loan participation note or a loan originating AIF.</w:t>
            </w:r>
          </w:p>
          <w:p w14:paraId="0A37501D" w14:textId="0F703E19" w:rsidR="00605FAA" w:rsidRPr="00605FAA" w:rsidRDefault="00605FAA" w:rsidP="00605FAA">
            <w:pPr>
              <w:spacing w:after="250" w:line="276" w:lineRule="auto"/>
              <w:jc w:val="both"/>
              <w:rPr>
                <w:rFonts w:ascii="Arial" w:hAnsi="Arial" w:cs="Arial"/>
                <w:color w:val="181818"/>
                <w:lang w:val="en-US"/>
              </w:rPr>
            </w:pPr>
            <w:r w:rsidRPr="00605FAA">
              <w:rPr>
                <w:rFonts w:ascii="Arial" w:hAnsi="Arial" w:cs="Arial"/>
                <w:color w:val="181818"/>
                <w:lang w:val="en-US"/>
              </w:rPr>
              <w:t xml:space="preserve">Indirect exposure can provide a more </w:t>
            </w:r>
            <w:r w:rsidRPr="00605FAA">
              <w:rPr>
                <w:rFonts w:ascii="Arial" w:hAnsi="Arial" w:cs="Arial"/>
                <w:color w:val="181818"/>
                <w:lang w:val="en-US"/>
              </w:rPr>
              <w:lastRenderedPageBreak/>
              <w:t>diversified exposure to the underlying loans, though please note our general remarks on the pros/cons of indirect exposure at Question 21. Where indirect exposure is via CLOs, credit risk can be reduced via the IG CLO tranche investment.</w:t>
            </w:r>
          </w:p>
        </w:tc>
        <w:tc>
          <w:tcPr>
            <w:tcW w:w="1985" w:type="dxa"/>
          </w:tcPr>
          <w:p w14:paraId="600B0F2F" w14:textId="77777777" w:rsidR="00605FAA" w:rsidRPr="00605FAA" w:rsidRDefault="00605FAA" w:rsidP="00605FAA">
            <w:pPr>
              <w:spacing w:after="250" w:line="276" w:lineRule="auto"/>
              <w:jc w:val="both"/>
              <w:rPr>
                <w:rFonts w:ascii="Arial" w:hAnsi="Arial" w:cs="Arial"/>
                <w:color w:val="181818"/>
                <w:lang w:val="en-US"/>
              </w:rPr>
            </w:pPr>
            <w:r w:rsidRPr="00605FAA">
              <w:rPr>
                <w:rFonts w:ascii="Arial" w:hAnsi="Arial" w:cs="Arial"/>
                <w:color w:val="181818"/>
                <w:lang w:val="en-US"/>
              </w:rPr>
              <w:lastRenderedPageBreak/>
              <w:t xml:space="preserve">The below figures are </w:t>
            </w:r>
            <w:r w:rsidRPr="00605FAA">
              <w:rPr>
                <w:rFonts w:ascii="Arial" w:hAnsi="Arial" w:cs="Arial"/>
                <w:b/>
                <w:bCs/>
                <w:color w:val="181818"/>
                <w:lang w:val="en-US"/>
              </w:rPr>
              <w:t>not representative</w:t>
            </w:r>
            <w:r w:rsidRPr="00605FAA">
              <w:rPr>
                <w:rFonts w:ascii="Arial" w:hAnsi="Arial" w:cs="Arial"/>
                <w:color w:val="181818"/>
                <w:lang w:val="en-US"/>
              </w:rPr>
              <w:t xml:space="preserve"> of all EFAMA members.</w:t>
            </w:r>
          </w:p>
          <w:p w14:paraId="23527091" w14:textId="77777777" w:rsidR="00605FAA" w:rsidRPr="00605FAA" w:rsidRDefault="00605FAA" w:rsidP="00605FAA">
            <w:pPr>
              <w:spacing w:after="250" w:line="276" w:lineRule="auto"/>
              <w:jc w:val="both"/>
              <w:rPr>
                <w:rFonts w:ascii="Arial" w:hAnsi="Arial" w:cs="Arial"/>
                <w:color w:val="181818"/>
                <w:lang w:val="en-US"/>
              </w:rPr>
            </w:pPr>
            <w:r w:rsidRPr="00605FAA">
              <w:rPr>
                <w:rFonts w:ascii="Arial" w:hAnsi="Arial" w:cs="Arial"/>
                <w:color w:val="181818"/>
                <w:lang w:val="en-US"/>
              </w:rPr>
              <w:t xml:space="preserve">For direct exposure to loans, responding </w:t>
            </w:r>
            <w:r w:rsidRPr="00605FAA">
              <w:rPr>
                <w:rFonts w:ascii="Arial" w:hAnsi="Arial" w:cs="Arial"/>
                <w:color w:val="181818"/>
                <w:lang w:val="en-US"/>
              </w:rPr>
              <w:lastRenderedPageBreak/>
              <w:t>members reported from 0 – 1%.</w:t>
            </w:r>
          </w:p>
          <w:p w14:paraId="5DAB6C7B" w14:textId="2CB53322" w:rsidR="00605FAA" w:rsidRPr="00605FAA" w:rsidRDefault="00605FAA" w:rsidP="00605FAA">
            <w:pPr>
              <w:spacing w:after="250" w:line="276" w:lineRule="auto"/>
              <w:jc w:val="both"/>
              <w:rPr>
                <w:rFonts w:ascii="Arial" w:hAnsi="Arial" w:cs="Arial"/>
                <w:color w:val="181818"/>
                <w:lang w:val="en-US"/>
              </w:rPr>
            </w:pPr>
            <w:r w:rsidRPr="00605FAA">
              <w:rPr>
                <w:rFonts w:ascii="Arial" w:hAnsi="Arial" w:cs="Arial"/>
                <w:color w:val="181818"/>
                <w:lang w:val="en-US"/>
              </w:rPr>
              <w:t>With respect to CLOs specifically, those who responded reported that exposure can usually range from 5 – 35%, whether direct or indirect. We note that dedicated funds can have up to 100% exposure.</w:t>
            </w:r>
          </w:p>
        </w:tc>
        <w:tc>
          <w:tcPr>
            <w:tcW w:w="4536" w:type="dxa"/>
          </w:tcPr>
          <w:p w14:paraId="3E776BA1" w14:textId="77777777" w:rsidR="00605FAA" w:rsidRPr="00605FAA" w:rsidRDefault="00605FAA" w:rsidP="00605FAA">
            <w:pPr>
              <w:spacing w:after="250" w:line="276" w:lineRule="auto"/>
              <w:jc w:val="both"/>
              <w:rPr>
                <w:rFonts w:ascii="Arial" w:hAnsi="Arial" w:cs="Arial"/>
                <w:color w:val="181818"/>
                <w:lang w:val="en-US"/>
              </w:rPr>
            </w:pPr>
            <w:r w:rsidRPr="00605FAA">
              <w:rPr>
                <w:rFonts w:ascii="Arial" w:hAnsi="Arial" w:cs="Arial"/>
                <w:b/>
                <w:bCs/>
                <w:color w:val="181818"/>
                <w:lang w:val="en-US"/>
              </w:rPr>
              <w:lastRenderedPageBreak/>
              <w:t>Regulator views</w:t>
            </w:r>
            <w:r w:rsidRPr="00605FAA">
              <w:rPr>
                <w:rFonts w:ascii="Arial" w:hAnsi="Arial" w:cs="Arial"/>
                <w:color w:val="181818"/>
                <w:lang w:val="en-US"/>
              </w:rPr>
              <w:t>: there is divergence as to whether loans can be considered transferable securities and as regards their treatment by national competent authorities.</w:t>
            </w:r>
          </w:p>
          <w:p w14:paraId="0668D5E2" w14:textId="77777777" w:rsidR="00605FAA" w:rsidRPr="00605FAA" w:rsidRDefault="00605FAA" w:rsidP="00605FAA">
            <w:pPr>
              <w:spacing w:after="250" w:line="276" w:lineRule="auto"/>
              <w:jc w:val="both"/>
              <w:rPr>
                <w:rFonts w:ascii="Arial" w:hAnsi="Arial" w:cs="Arial"/>
                <w:color w:val="181818"/>
                <w:lang w:val="en-US"/>
              </w:rPr>
            </w:pPr>
            <w:r w:rsidRPr="00605FAA">
              <w:rPr>
                <w:rFonts w:ascii="Arial" w:hAnsi="Arial" w:cs="Arial"/>
                <w:color w:val="181818"/>
                <w:lang w:val="en-US"/>
              </w:rPr>
              <w:t xml:space="preserve">In line with ESMA’s request, we have set out below any specific characteristics of the underlying markets in terms of obtaining reliable valuation information, liquidity, etc. Please note </w:t>
            </w:r>
            <w:r w:rsidRPr="00605FAA">
              <w:rPr>
                <w:rFonts w:ascii="Arial" w:hAnsi="Arial" w:cs="Arial"/>
                <w:color w:val="181818"/>
                <w:lang w:val="en-US"/>
              </w:rPr>
              <w:lastRenderedPageBreak/>
              <w:t>in the context of our general remarks, above the table.</w:t>
            </w:r>
          </w:p>
          <w:p w14:paraId="7EE20322" w14:textId="77777777" w:rsidR="00605FAA" w:rsidRPr="00605FAA" w:rsidRDefault="00605FAA" w:rsidP="00605FAA">
            <w:pPr>
              <w:spacing w:after="250" w:line="276" w:lineRule="auto"/>
              <w:jc w:val="both"/>
              <w:rPr>
                <w:rFonts w:ascii="Arial" w:hAnsi="Arial" w:cs="Arial"/>
                <w:color w:val="181818"/>
                <w:lang w:val="en-US"/>
              </w:rPr>
            </w:pPr>
            <w:r w:rsidRPr="00605FAA">
              <w:rPr>
                <w:rFonts w:ascii="Arial" w:hAnsi="Arial" w:cs="Arial"/>
                <w:b/>
                <w:bCs/>
                <w:color w:val="181818"/>
                <w:lang w:val="en-US"/>
              </w:rPr>
              <w:t>Liquidity</w:t>
            </w:r>
            <w:r w:rsidRPr="00605FAA">
              <w:rPr>
                <w:rFonts w:ascii="Arial" w:hAnsi="Arial" w:cs="Arial"/>
                <w:color w:val="181818"/>
                <w:lang w:val="en-US"/>
              </w:rPr>
              <w:t xml:space="preserve">: For loans, we understand that the bank loans market, in particular for broadly syndicated loans, appears to have deep liquidity, and to exhibit features similar to the corporate high yield market. Another comparable market is for floating rate notes (which are UCITS eligible), to which loans share some structural similarities and credit risk similarities, </w:t>
            </w:r>
            <w:r>
              <w:rPr>
                <w:rFonts w:ascii="Arial" w:hAnsi="Arial" w:cs="Arial"/>
                <w:color w:val="181818"/>
                <w:lang w:val="en-GB"/>
              </w:rPr>
              <w:t xml:space="preserve">though that market is quite small and concentrated in a comparison to the European loan market. </w:t>
            </w:r>
            <w:r w:rsidRPr="00605FAA">
              <w:rPr>
                <w:rFonts w:ascii="Arial" w:hAnsi="Arial" w:cs="Arial"/>
                <w:color w:val="181818"/>
                <w:lang w:val="en-US"/>
              </w:rPr>
              <w:t xml:space="preserve">In terms of liquidity guardrails, some members report limiting overall loan exposure (e.g. between 2 – 15%) and bearing in mind longer settlement timeframes for disposal of this asset (likely more than 7 calendar days). Participation notes and CLOs tend to be structured to provide greater liquidity than direct investment in loans, with CLOs in particular being traded in secondary markets. </w:t>
            </w:r>
          </w:p>
          <w:p w14:paraId="3F9F2CDB" w14:textId="77777777" w:rsidR="00605FAA" w:rsidRPr="00605FAA" w:rsidRDefault="00605FAA" w:rsidP="00605FAA">
            <w:pPr>
              <w:spacing w:after="250" w:line="276" w:lineRule="auto"/>
              <w:jc w:val="both"/>
              <w:rPr>
                <w:rFonts w:ascii="Arial" w:hAnsi="Arial" w:cs="Arial"/>
                <w:color w:val="181818"/>
                <w:lang w:val="en-US"/>
              </w:rPr>
            </w:pPr>
            <w:r w:rsidRPr="00605FAA">
              <w:rPr>
                <w:rFonts w:ascii="Arial" w:hAnsi="Arial" w:cs="Arial"/>
                <w:b/>
                <w:bCs/>
                <w:color w:val="181818"/>
                <w:lang w:val="en-US"/>
              </w:rPr>
              <w:t>Reliable Valuation</w:t>
            </w:r>
            <w:r w:rsidRPr="00605FAA">
              <w:rPr>
                <w:rFonts w:ascii="Arial" w:hAnsi="Arial" w:cs="Arial"/>
                <w:color w:val="181818"/>
                <w:lang w:val="en-US"/>
              </w:rPr>
              <w:t xml:space="preserve">: In exceptional circumstances the mark to model valuation methodology can be </w:t>
            </w:r>
            <w:proofErr w:type="spellStart"/>
            <w:r w:rsidRPr="00605FAA">
              <w:rPr>
                <w:rFonts w:ascii="Arial" w:hAnsi="Arial" w:cs="Arial"/>
                <w:color w:val="181818"/>
                <w:lang w:val="en-US"/>
              </w:rPr>
              <w:t>utilised</w:t>
            </w:r>
            <w:proofErr w:type="spellEnd"/>
            <w:r w:rsidRPr="00605FAA">
              <w:rPr>
                <w:rFonts w:ascii="Arial" w:hAnsi="Arial" w:cs="Arial"/>
                <w:color w:val="181818"/>
                <w:lang w:val="en-US"/>
              </w:rPr>
              <w:t>. In these circumstances the valuation</w:t>
            </w:r>
            <w:r w:rsidRPr="00B14951">
              <w:rPr>
                <w:rFonts w:ascii="Arial" w:hAnsi="Arial" w:cs="Arial"/>
                <w:color w:val="181818"/>
                <w:lang w:val="en-GB"/>
              </w:rPr>
              <w:t xml:space="preserve"> </w:t>
            </w:r>
            <w:r w:rsidRPr="00605FAA">
              <w:rPr>
                <w:rFonts w:ascii="Arial" w:hAnsi="Arial" w:cs="Arial"/>
                <w:color w:val="181818"/>
                <w:lang w:val="en-US"/>
              </w:rPr>
              <w:t xml:space="preserve">is based on independent pricing from a large selection of brokers (more than 20 in Europe). The valuation model calculates the present value of predicted cash flows using a discount curve that </w:t>
            </w:r>
            <w:r w:rsidRPr="00605FAA">
              <w:rPr>
                <w:rFonts w:ascii="Arial" w:hAnsi="Arial" w:cs="Arial"/>
                <w:color w:val="181818"/>
                <w:lang w:val="en-US"/>
              </w:rPr>
              <w:lastRenderedPageBreak/>
              <w:t>incorporates the creditworthiness of the borrower. The model also takes into account the scheme of redemption, coupon payments, interest curve and discount spread of each loan. Reliability of the valuation is ensured by determining that the pricing process is separate and distinct from the investment units, use of a third-party valuation agent and administrator, and valuation inputs are consistent.</w:t>
            </w:r>
          </w:p>
          <w:p w14:paraId="02EB378F" w14:textId="5888B0FD" w:rsidR="00605FAA" w:rsidRPr="00605FAA" w:rsidRDefault="00605FAA" w:rsidP="00605FAA">
            <w:pPr>
              <w:spacing w:after="250" w:line="276" w:lineRule="auto"/>
              <w:jc w:val="both"/>
              <w:rPr>
                <w:rFonts w:ascii="Arial" w:hAnsi="Arial" w:cs="Arial"/>
                <w:color w:val="181818"/>
                <w:lang w:val="en-US"/>
              </w:rPr>
            </w:pPr>
            <w:r w:rsidRPr="00605FAA">
              <w:rPr>
                <w:rFonts w:ascii="Arial" w:hAnsi="Arial" w:cs="Arial"/>
                <w:b/>
                <w:bCs/>
                <w:color w:val="181818"/>
                <w:lang w:val="en-US"/>
              </w:rPr>
              <w:t>Other</w:t>
            </w:r>
            <w:r w:rsidRPr="00605FAA">
              <w:rPr>
                <w:rFonts w:ascii="Arial" w:hAnsi="Arial" w:cs="Arial"/>
                <w:color w:val="181818"/>
                <w:lang w:val="en-US"/>
              </w:rPr>
              <w:t xml:space="preserve">: we note also differences between loans and CLOs. Loans provide the fund recourse to the borrower and underlying assets in the event of default, while </w:t>
            </w:r>
            <w:r w:rsidRPr="001576C9">
              <w:rPr>
                <w:rFonts w:ascii="Arial" w:hAnsi="Arial" w:cs="Arial"/>
                <w:color w:val="181818"/>
                <w:lang w:val="en-GB"/>
              </w:rPr>
              <w:t xml:space="preserve">a CLO </w:t>
            </w:r>
            <w:r>
              <w:rPr>
                <w:rFonts w:ascii="Arial" w:hAnsi="Arial" w:cs="Arial"/>
                <w:color w:val="181818"/>
                <w:lang w:val="en-GB"/>
              </w:rPr>
              <w:t xml:space="preserve">operates </w:t>
            </w:r>
            <w:r w:rsidRPr="001576C9">
              <w:rPr>
                <w:rFonts w:ascii="Arial" w:hAnsi="Arial" w:cs="Arial"/>
                <w:color w:val="181818"/>
                <w:lang w:val="en-GB"/>
              </w:rPr>
              <w:t>like a note and</w:t>
            </w:r>
            <w:r>
              <w:rPr>
                <w:rFonts w:ascii="Arial" w:hAnsi="Arial" w:cs="Arial"/>
                <w:color w:val="181818"/>
                <w:lang w:val="en-GB"/>
              </w:rPr>
              <w:t>,</w:t>
            </w:r>
            <w:r w:rsidRPr="001576C9">
              <w:rPr>
                <w:rFonts w:ascii="Arial" w:hAnsi="Arial" w:cs="Arial"/>
                <w:color w:val="181818"/>
                <w:lang w:val="en-GB"/>
              </w:rPr>
              <w:t xml:space="preserve"> depending on</w:t>
            </w:r>
            <w:r>
              <w:rPr>
                <w:rFonts w:ascii="Arial" w:hAnsi="Arial" w:cs="Arial"/>
                <w:color w:val="181818"/>
                <w:lang w:val="en-GB"/>
              </w:rPr>
              <w:t xml:space="preserve"> the</w:t>
            </w:r>
            <w:r w:rsidRPr="001576C9">
              <w:rPr>
                <w:rFonts w:ascii="Arial" w:hAnsi="Arial" w:cs="Arial"/>
                <w:color w:val="181818"/>
                <w:lang w:val="en-GB"/>
              </w:rPr>
              <w:t xml:space="preserve"> tranche</w:t>
            </w:r>
            <w:r>
              <w:rPr>
                <w:rFonts w:ascii="Arial" w:hAnsi="Arial" w:cs="Arial"/>
                <w:color w:val="181818"/>
                <w:lang w:val="en-GB"/>
              </w:rPr>
              <w:t>,</w:t>
            </w:r>
            <w:r w:rsidRPr="001576C9">
              <w:rPr>
                <w:rFonts w:ascii="Arial" w:hAnsi="Arial" w:cs="Arial"/>
                <w:color w:val="181818"/>
                <w:lang w:val="en-GB"/>
              </w:rPr>
              <w:t xml:space="preserve"> would provide principal and interest payments.</w:t>
            </w:r>
          </w:p>
        </w:tc>
      </w:tr>
      <w:tr w:rsidR="00EC5981" w:rsidRPr="00B33432" w14:paraId="131FC414" w14:textId="77777777" w:rsidTr="00654E41">
        <w:tc>
          <w:tcPr>
            <w:tcW w:w="1271" w:type="dxa"/>
          </w:tcPr>
          <w:p w14:paraId="55346258" w14:textId="77777777" w:rsidR="00EC5981" w:rsidRPr="00B33432" w:rsidRDefault="00EC5981" w:rsidP="00EC5981">
            <w:pPr>
              <w:spacing w:after="250" w:line="276" w:lineRule="auto"/>
              <w:rPr>
                <w:rFonts w:ascii="Arial" w:hAnsi="Arial" w:cs="Arial"/>
              </w:rPr>
            </w:pPr>
            <w:r w:rsidRPr="00B33432">
              <w:rPr>
                <w:rFonts w:ascii="Arial" w:hAnsi="Arial" w:cs="Arial"/>
              </w:rPr>
              <w:lastRenderedPageBreak/>
              <w:t xml:space="preserve">2. </w:t>
            </w:r>
            <w:proofErr w:type="spellStart"/>
            <w:r w:rsidRPr="00B33432">
              <w:rPr>
                <w:rFonts w:ascii="Arial" w:hAnsi="Arial" w:cs="Arial"/>
              </w:rPr>
              <w:t>Catastrophe</w:t>
            </w:r>
            <w:proofErr w:type="spellEnd"/>
            <w:r w:rsidRPr="00B33432">
              <w:rPr>
                <w:rFonts w:ascii="Arial" w:hAnsi="Arial" w:cs="Arial"/>
              </w:rPr>
              <w:t xml:space="preserve"> </w:t>
            </w:r>
            <w:proofErr w:type="spellStart"/>
            <w:r w:rsidRPr="00B33432">
              <w:rPr>
                <w:rFonts w:ascii="Arial" w:hAnsi="Arial" w:cs="Arial"/>
              </w:rPr>
              <w:t>bonds</w:t>
            </w:r>
            <w:proofErr w:type="spellEnd"/>
            <w:r w:rsidRPr="00B33432">
              <w:rPr>
                <w:rFonts w:ascii="Arial" w:hAnsi="Arial" w:cs="Arial"/>
              </w:rPr>
              <w:t xml:space="preserve"> (‘Cat </w:t>
            </w:r>
            <w:proofErr w:type="spellStart"/>
            <w:r w:rsidRPr="00B33432">
              <w:rPr>
                <w:rFonts w:ascii="Arial" w:hAnsi="Arial" w:cs="Arial"/>
              </w:rPr>
              <w:t>bonds</w:t>
            </w:r>
            <w:proofErr w:type="spellEnd"/>
            <w:r w:rsidRPr="00B33432">
              <w:rPr>
                <w:rFonts w:ascii="Arial" w:hAnsi="Arial" w:cs="Arial"/>
              </w:rPr>
              <w:t>’)</w:t>
            </w:r>
          </w:p>
        </w:tc>
        <w:tc>
          <w:tcPr>
            <w:tcW w:w="3686" w:type="dxa"/>
          </w:tcPr>
          <w:p w14:paraId="12DDFB00" w14:textId="77777777" w:rsidR="00EC5981" w:rsidRPr="00EC5981" w:rsidRDefault="00EC5981" w:rsidP="00EC5981">
            <w:pPr>
              <w:spacing w:after="250" w:line="276" w:lineRule="auto"/>
              <w:jc w:val="both"/>
              <w:rPr>
                <w:rFonts w:ascii="Arial" w:hAnsi="Arial" w:cs="Arial"/>
                <w:i/>
                <w:iCs/>
                <w:color w:val="181818"/>
                <w:lang w:val="en-US"/>
              </w:rPr>
            </w:pPr>
            <w:bookmarkStart w:id="0" w:name="_Hlk171345532"/>
            <w:r w:rsidRPr="00EC5981">
              <w:rPr>
                <w:rFonts w:ascii="Arial" w:hAnsi="Arial" w:cs="Arial"/>
                <w:i/>
                <w:iCs/>
                <w:color w:val="181818"/>
                <w:lang w:val="en-US"/>
              </w:rPr>
              <w:t>See additional comments in Appendix 2.</w:t>
            </w:r>
          </w:p>
          <w:p w14:paraId="68F2E46C" w14:textId="77777777" w:rsidR="00EC5981" w:rsidRPr="00EC5981" w:rsidRDefault="00EC5981" w:rsidP="00EC5981">
            <w:pPr>
              <w:spacing w:after="250" w:line="276" w:lineRule="auto"/>
              <w:jc w:val="both"/>
              <w:rPr>
                <w:rFonts w:ascii="Arial" w:hAnsi="Arial" w:cs="Arial"/>
                <w:color w:val="181818"/>
                <w:lang w:val="en-US"/>
              </w:rPr>
            </w:pPr>
            <w:r w:rsidRPr="00EC5981">
              <w:rPr>
                <w:rFonts w:ascii="Arial" w:hAnsi="Arial" w:cs="Arial"/>
                <w:color w:val="181818"/>
                <w:lang w:val="en-US"/>
              </w:rPr>
              <w:t>(1) Low correlation to the broader financial market, being related instead to natural disasters, reduces risk through diversifying the portfolio.</w:t>
            </w:r>
          </w:p>
          <w:p w14:paraId="4931F0A1" w14:textId="77777777" w:rsidR="00EC5981" w:rsidRPr="00EC5981" w:rsidRDefault="00EC5981" w:rsidP="00EC5981">
            <w:pPr>
              <w:spacing w:after="250" w:line="276" w:lineRule="auto"/>
              <w:jc w:val="both"/>
              <w:rPr>
                <w:rFonts w:ascii="Arial" w:hAnsi="Arial" w:cs="Arial"/>
                <w:color w:val="181818"/>
                <w:lang w:val="en-US"/>
              </w:rPr>
            </w:pPr>
            <w:r w:rsidRPr="00EC5981">
              <w:rPr>
                <w:rFonts w:ascii="Arial" w:hAnsi="Arial" w:cs="Arial"/>
                <w:color w:val="181818"/>
                <w:lang w:val="en-US"/>
              </w:rPr>
              <w:t xml:space="preserve">(2) They bring potential for higher yields to investors even in low or negative interest rate environments, having higher interest rates compared to similarly rated traditional corporate </w:t>
            </w:r>
            <w:r w:rsidRPr="00EC5981">
              <w:rPr>
                <w:rFonts w:ascii="Arial" w:hAnsi="Arial" w:cs="Arial"/>
                <w:color w:val="181818"/>
                <w:lang w:val="en-US"/>
              </w:rPr>
              <w:lastRenderedPageBreak/>
              <w:t>bonds. This can be seen for example through the Swiss Re Global Cat Bond Total Return Index, which shows annual positive returns in 16 of the 17 past years, tracking the aggregate performance of all USD, EUR and JPY denominated CAT bonds, capturing all ratings, perils and triggers.</w:t>
            </w:r>
          </w:p>
          <w:p w14:paraId="1BE931D3" w14:textId="77777777" w:rsidR="00EC5981" w:rsidRPr="00EC5981" w:rsidRDefault="00EC5981" w:rsidP="00EC5981">
            <w:pPr>
              <w:spacing w:after="250" w:line="276" w:lineRule="auto"/>
              <w:jc w:val="both"/>
              <w:rPr>
                <w:rFonts w:ascii="Arial" w:hAnsi="Arial" w:cs="Arial"/>
                <w:color w:val="181818"/>
                <w:lang w:val="en-US"/>
              </w:rPr>
            </w:pPr>
            <w:r w:rsidRPr="00EC5981">
              <w:rPr>
                <w:rFonts w:ascii="Arial" w:hAnsi="Arial" w:cs="Arial"/>
                <w:color w:val="181818"/>
                <w:lang w:val="en-US"/>
              </w:rPr>
              <w:t>(3) Low volatility of returns in comparison to other financial assets.</w:t>
            </w:r>
          </w:p>
          <w:p w14:paraId="5C291D41" w14:textId="77777777" w:rsidR="00EC5981" w:rsidRPr="00EC5981" w:rsidRDefault="00EC5981" w:rsidP="00EC5981">
            <w:pPr>
              <w:spacing w:after="250" w:line="276" w:lineRule="auto"/>
              <w:jc w:val="both"/>
              <w:rPr>
                <w:rFonts w:ascii="Arial" w:hAnsi="Arial" w:cs="Arial"/>
                <w:color w:val="181818"/>
                <w:lang w:val="en-US"/>
              </w:rPr>
            </w:pPr>
            <w:r w:rsidRPr="00EC5981">
              <w:rPr>
                <w:rFonts w:ascii="Arial" w:hAnsi="Arial" w:cs="Arial"/>
                <w:color w:val="181818"/>
                <w:lang w:val="en-US"/>
              </w:rPr>
              <w:t xml:space="preserve">(4) Structured to provide a fixed and floating rate of return, with the former reflecting risk premium and the floating being compensation for </w:t>
            </w:r>
            <w:proofErr w:type="spellStart"/>
            <w:r w:rsidRPr="00EC5981">
              <w:rPr>
                <w:rFonts w:ascii="Arial" w:hAnsi="Arial" w:cs="Arial"/>
                <w:color w:val="181818"/>
                <w:lang w:val="en-US"/>
              </w:rPr>
              <w:t>collateralisaton</w:t>
            </w:r>
            <w:proofErr w:type="spellEnd"/>
            <w:r w:rsidRPr="00EC5981">
              <w:rPr>
                <w:rFonts w:ascii="Arial" w:hAnsi="Arial" w:cs="Arial"/>
                <w:color w:val="181818"/>
                <w:lang w:val="en-US"/>
              </w:rPr>
              <w:t>. Includes prevailing money market rates in overall returns and reduces exposure to mark to market adjustments when interest rates rise.</w:t>
            </w:r>
          </w:p>
          <w:p w14:paraId="305429E5" w14:textId="77777777" w:rsidR="00EC5981" w:rsidRPr="00EC5981" w:rsidRDefault="00EC5981" w:rsidP="00EC5981">
            <w:pPr>
              <w:spacing w:after="250" w:line="276" w:lineRule="auto"/>
              <w:jc w:val="both"/>
              <w:rPr>
                <w:rFonts w:ascii="Arial" w:hAnsi="Arial" w:cs="Arial"/>
                <w:color w:val="181818"/>
                <w:lang w:val="en-US"/>
              </w:rPr>
            </w:pPr>
            <w:r w:rsidRPr="00EC5981">
              <w:rPr>
                <w:rFonts w:ascii="Arial" w:hAnsi="Arial" w:cs="Arial"/>
                <w:color w:val="181818"/>
                <w:lang w:val="en-US"/>
              </w:rPr>
              <w:t>(5) Low duration, which reduces risk.</w:t>
            </w:r>
          </w:p>
          <w:p w14:paraId="6A05A809" w14:textId="27D80385" w:rsidR="00EC5981" w:rsidRPr="00EC5981" w:rsidRDefault="00EC5981" w:rsidP="00EC5981">
            <w:pPr>
              <w:spacing w:after="250" w:line="276" w:lineRule="auto"/>
              <w:jc w:val="both"/>
              <w:rPr>
                <w:rFonts w:ascii="Arial" w:hAnsi="Arial" w:cs="Arial"/>
                <w:color w:val="181818"/>
                <w:lang w:val="en-US"/>
              </w:rPr>
            </w:pPr>
            <w:r w:rsidRPr="00EC5981">
              <w:rPr>
                <w:rFonts w:ascii="Arial" w:hAnsi="Arial" w:cs="Arial"/>
                <w:color w:val="181818"/>
                <w:lang w:val="en-US"/>
              </w:rPr>
              <w:t xml:space="preserve">(6) In terms of broader financial stability and resilience of societies towards climate change, cat bonds play an important role in addressing exposure growth, demographic trends and environmental and climate changes. </w:t>
            </w:r>
            <w:r w:rsidRPr="00EC5981">
              <w:rPr>
                <w:rFonts w:ascii="Arial" w:hAnsi="Arial" w:cs="Arial"/>
                <w:color w:val="181818"/>
                <w:lang w:val="en-US"/>
              </w:rPr>
              <w:lastRenderedPageBreak/>
              <w:t xml:space="preserve">The ECB and EIOPA in April 2023 noted in their joint discussion paper on reducing the climate insurance protection gap that catastrophe insurance is key to mitigating macroeconomic losses following extreme climate-related events. As only a quarter of climate-related catastrophe losses are insured in the EU, this can increase government debt burdens and also pose financial stability risk. It recommends that the use of financial markets to transfer risks via cat bonds can support the reinsurance of these risks. </w:t>
            </w:r>
            <w:bookmarkEnd w:id="0"/>
          </w:p>
        </w:tc>
        <w:tc>
          <w:tcPr>
            <w:tcW w:w="2409" w:type="dxa"/>
          </w:tcPr>
          <w:p w14:paraId="5A39BBE3" w14:textId="250BCA2D" w:rsidR="00EC5981" w:rsidRPr="00EC5981" w:rsidRDefault="00EC5981" w:rsidP="00EC5981">
            <w:pPr>
              <w:spacing w:after="250" w:line="276" w:lineRule="auto"/>
              <w:jc w:val="both"/>
              <w:rPr>
                <w:rFonts w:ascii="Arial" w:hAnsi="Arial" w:cs="Arial"/>
                <w:color w:val="181818"/>
                <w:lang w:val="en-US"/>
              </w:rPr>
            </w:pPr>
            <w:r w:rsidRPr="00EC5981">
              <w:rPr>
                <w:rFonts w:ascii="Arial" w:hAnsi="Arial" w:cs="Arial"/>
                <w:color w:val="181818"/>
                <w:lang w:val="en-US"/>
              </w:rPr>
              <w:lastRenderedPageBreak/>
              <w:t>Members noted indirect exposure through other CIUs, following a fund-of-funds structure, has been quite common and provide similar benefits to direct exposure to cat bonds, namely diversification and attractive yields.</w:t>
            </w:r>
          </w:p>
        </w:tc>
        <w:tc>
          <w:tcPr>
            <w:tcW w:w="1985" w:type="dxa"/>
          </w:tcPr>
          <w:p w14:paraId="5057F76A" w14:textId="77777777" w:rsidR="00EC5981" w:rsidRPr="00EC5981" w:rsidRDefault="00EC5981" w:rsidP="00EC5981">
            <w:pPr>
              <w:spacing w:after="250" w:line="276" w:lineRule="auto"/>
              <w:jc w:val="both"/>
              <w:rPr>
                <w:rFonts w:ascii="Arial" w:hAnsi="Arial" w:cs="Arial"/>
                <w:color w:val="181818"/>
                <w:lang w:val="en-US"/>
              </w:rPr>
            </w:pPr>
            <w:r w:rsidRPr="00EC5981">
              <w:rPr>
                <w:rFonts w:ascii="Arial" w:hAnsi="Arial" w:cs="Arial"/>
                <w:color w:val="181818"/>
                <w:lang w:val="en-US"/>
              </w:rPr>
              <w:t>Dedicated cat bond UCITS typically consist of only cat bonds and cash, with cash accounting for 3 – 15% of the UCITS and cat bonds accounting for the remainder (85 – 97%).</w:t>
            </w:r>
          </w:p>
          <w:p w14:paraId="41C8F396" w14:textId="59BB79E5" w:rsidR="00EC5981" w:rsidRPr="00EC5981" w:rsidRDefault="00EC5981" w:rsidP="00EC5981">
            <w:pPr>
              <w:spacing w:after="250" w:line="276" w:lineRule="auto"/>
              <w:jc w:val="both"/>
              <w:rPr>
                <w:rFonts w:ascii="Arial" w:hAnsi="Arial" w:cs="Arial"/>
                <w:color w:val="181818"/>
                <w:lang w:val="en-US"/>
              </w:rPr>
            </w:pPr>
            <w:r w:rsidRPr="00EC5981">
              <w:rPr>
                <w:rFonts w:ascii="Arial" w:hAnsi="Arial" w:cs="Arial"/>
                <w:color w:val="181818"/>
                <w:lang w:val="en-US"/>
              </w:rPr>
              <w:lastRenderedPageBreak/>
              <w:t>The market for cat bond UCITS has grown since 2010 to over USD 12bn, with 16 UCITS Cat Bond Funds available as at May 2024.</w:t>
            </w:r>
          </w:p>
        </w:tc>
        <w:tc>
          <w:tcPr>
            <w:tcW w:w="4536" w:type="dxa"/>
          </w:tcPr>
          <w:p w14:paraId="08401E9C" w14:textId="77777777" w:rsidR="00EC5981" w:rsidRPr="00EC5981" w:rsidRDefault="00EC5981" w:rsidP="00EC5981">
            <w:pPr>
              <w:spacing w:after="250" w:line="276" w:lineRule="auto"/>
              <w:jc w:val="both"/>
              <w:rPr>
                <w:rFonts w:ascii="Arial" w:hAnsi="Arial" w:cs="Arial"/>
                <w:color w:val="181818"/>
                <w:lang w:val="en-US"/>
              </w:rPr>
            </w:pPr>
            <w:r w:rsidRPr="00EC5981">
              <w:rPr>
                <w:rFonts w:ascii="Arial" w:hAnsi="Arial" w:cs="Arial"/>
                <w:b/>
                <w:bCs/>
                <w:color w:val="181818"/>
                <w:lang w:val="en-US"/>
              </w:rPr>
              <w:lastRenderedPageBreak/>
              <w:t>Liquidity</w:t>
            </w:r>
            <w:r w:rsidRPr="00EC5981">
              <w:rPr>
                <w:rFonts w:ascii="Arial" w:hAnsi="Arial" w:cs="Arial"/>
                <w:color w:val="181818"/>
                <w:lang w:val="en-US"/>
              </w:rPr>
              <w:t xml:space="preserve">: there is an active secondary market with main traders including Aon Securities, Guy Carpenter Securities, Gallagher Re Securities, Royal Bank of Canada, Goldman Sachs, Guggenheim Securities, </w:t>
            </w:r>
            <w:proofErr w:type="spellStart"/>
            <w:r w:rsidRPr="00EC5981">
              <w:rPr>
                <w:rFonts w:ascii="Arial" w:hAnsi="Arial" w:cs="Arial"/>
                <w:color w:val="181818"/>
                <w:lang w:val="en-US"/>
              </w:rPr>
              <w:t>Tulet</w:t>
            </w:r>
            <w:proofErr w:type="spellEnd"/>
            <w:r w:rsidRPr="00EC5981">
              <w:rPr>
                <w:rFonts w:ascii="Arial" w:hAnsi="Arial" w:cs="Arial"/>
                <w:color w:val="181818"/>
                <w:lang w:val="en-US"/>
              </w:rPr>
              <w:t xml:space="preserve"> </w:t>
            </w:r>
            <w:proofErr w:type="spellStart"/>
            <w:r w:rsidRPr="00EC5981">
              <w:rPr>
                <w:rFonts w:ascii="Arial" w:hAnsi="Arial" w:cs="Arial"/>
                <w:color w:val="181818"/>
                <w:lang w:val="en-US"/>
              </w:rPr>
              <w:t>Prebon</w:t>
            </w:r>
            <w:proofErr w:type="spellEnd"/>
            <w:r w:rsidRPr="00EC5981">
              <w:rPr>
                <w:rFonts w:ascii="Arial" w:hAnsi="Arial" w:cs="Arial"/>
                <w:color w:val="181818"/>
                <w:lang w:val="en-US"/>
              </w:rPr>
              <w:t xml:space="preserve">, BNPP and Swiss Re. Also, the short-term nature of the bond implies a high turnover in the market per year, while almost 15 years of history indicates that cat bonds funds have been able to serve the market throughout natural disasters such as Covid-19 and hurricanes. Asset turnover in the cat bond market (traded volume, maturities, </w:t>
            </w:r>
            <w:r w:rsidRPr="00EC5981">
              <w:rPr>
                <w:rFonts w:ascii="Arial" w:hAnsi="Arial" w:cs="Arial"/>
                <w:color w:val="181818"/>
                <w:lang w:val="en-US"/>
              </w:rPr>
              <w:lastRenderedPageBreak/>
              <w:t>coupons) is similar to the volume observed at the NYSE under normal circumstances.</w:t>
            </w:r>
          </w:p>
          <w:p w14:paraId="1EE3070A" w14:textId="77777777" w:rsidR="00EC5981" w:rsidRPr="00EC5981" w:rsidRDefault="00EC5981" w:rsidP="00EC5981">
            <w:pPr>
              <w:spacing w:after="250" w:line="276" w:lineRule="auto"/>
              <w:jc w:val="both"/>
              <w:rPr>
                <w:rFonts w:ascii="Arial" w:hAnsi="Arial" w:cs="Arial"/>
                <w:color w:val="181818"/>
                <w:lang w:val="en-US"/>
              </w:rPr>
            </w:pPr>
            <w:r w:rsidRPr="00EC5981">
              <w:rPr>
                <w:rFonts w:ascii="Arial" w:hAnsi="Arial" w:cs="Arial"/>
                <w:b/>
                <w:bCs/>
                <w:color w:val="181818"/>
                <w:lang w:val="en-US"/>
              </w:rPr>
              <w:t>Reliable Valuation</w:t>
            </w:r>
            <w:r w:rsidRPr="00EC5981">
              <w:rPr>
                <w:rFonts w:ascii="Arial" w:hAnsi="Arial" w:cs="Arial"/>
                <w:color w:val="181818"/>
                <w:lang w:val="en-US"/>
              </w:rPr>
              <w:t>: please note our general comments regarding managers’ practices for obtaining a reliable valuation. For cat bonds specifically, a valuation is obtained by assessing the expected payout of the cat bond, which is based on the probability of occurrence of the trigger event, structure of the bond and current market conditions. Managers would tend to value the bonds weekly and on the last business day of each calendar month. Pricing sources would include pricing sheets from the main brokers (Aon Securities, Guy Carpenter Securities, Gallagher Re Securities, or IDC, Swiss Re, ICE, JPM or BNP Paribas) and, as an additional source, secondary market trades that are captured in TRACE.</w:t>
            </w:r>
          </w:p>
          <w:p w14:paraId="0691BF3C" w14:textId="77777777" w:rsidR="00EC5981" w:rsidRPr="00EC5981" w:rsidRDefault="00EC5981" w:rsidP="00EC5981">
            <w:pPr>
              <w:spacing w:after="250" w:line="276" w:lineRule="auto"/>
              <w:jc w:val="both"/>
              <w:rPr>
                <w:rFonts w:ascii="Arial" w:hAnsi="Arial" w:cs="Arial"/>
                <w:color w:val="181818"/>
                <w:lang w:val="en-US"/>
              </w:rPr>
            </w:pPr>
            <w:r w:rsidRPr="00EC5981">
              <w:rPr>
                <w:rFonts w:ascii="Arial" w:hAnsi="Arial" w:cs="Arial"/>
                <w:b/>
                <w:bCs/>
                <w:color w:val="181818"/>
                <w:lang w:val="en-US"/>
              </w:rPr>
              <w:t>Other risk management</w:t>
            </w:r>
            <w:r w:rsidRPr="00EC5981">
              <w:rPr>
                <w:rFonts w:ascii="Arial" w:hAnsi="Arial" w:cs="Arial"/>
                <w:color w:val="181818"/>
                <w:lang w:val="en-US"/>
              </w:rPr>
              <w:t>: full or partial loss of capital is possible on the occurrence of a “trigger event”. This risk is mitigated by: (</w:t>
            </w:r>
            <w:proofErr w:type="spellStart"/>
            <w:r w:rsidRPr="00EC5981">
              <w:rPr>
                <w:rFonts w:ascii="Arial" w:hAnsi="Arial" w:cs="Arial"/>
                <w:color w:val="181818"/>
                <w:lang w:val="en-US"/>
              </w:rPr>
              <w:t>i</w:t>
            </w:r>
            <w:proofErr w:type="spellEnd"/>
            <w:r w:rsidRPr="00EC5981">
              <w:rPr>
                <w:rFonts w:ascii="Arial" w:hAnsi="Arial" w:cs="Arial"/>
                <w:color w:val="181818"/>
                <w:lang w:val="en-US"/>
              </w:rPr>
              <w:t xml:space="preserve">) a stringent legal framework, in terms of contractually defined perils, triggers, loss calculation mechanisms, (ii) availability of third party models coupled with in-house tools to assess risk (it is critical to ensure the catastrophe model is accurate in estimating the severity and frequency of the trigger event, and periodically reviewed and updated); (iii) </w:t>
            </w:r>
            <w:r w:rsidRPr="00EC5981">
              <w:rPr>
                <w:rFonts w:ascii="Arial" w:hAnsi="Arial" w:cs="Arial"/>
                <w:color w:val="181818"/>
                <w:lang w:val="en-US"/>
              </w:rPr>
              <w:lastRenderedPageBreak/>
              <w:t xml:space="preserve">delegating investment decisions to managers with the necessary risk and model specific, actuarial, structural and legal know-how plus a proven track record; (iv) diversifying the fund by reference to peril, geographic region, lines of business (e.g. commercial, residential, </w:t>
            </w:r>
            <w:proofErr w:type="spellStart"/>
            <w:r w:rsidRPr="00EC5981">
              <w:rPr>
                <w:rFonts w:ascii="Arial" w:hAnsi="Arial" w:cs="Arial"/>
                <w:color w:val="181818"/>
                <w:lang w:val="en-US"/>
              </w:rPr>
              <w:t>etc</w:t>
            </w:r>
            <w:proofErr w:type="spellEnd"/>
            <w:r w:rsidRPr="00EC5981">
              <w:rPr>
                <w:rFonts w:ascii="Arial" w:hAnsi="Arial" w:cs="Arial"/>
                <w:color w:val="181818"/>
                <w:lang w:val="en-US"/>
              </w:rPr>
              <w:t>), and the loss trigger mechanism (indemnity-based, parametric, etc.).</w:t>
            </w:r>
          </w:p>
          <w:p w14:paraId="72A3D3EC" w14:textId="206227E8" w:rsidR="00EC5981" w:rsidRPr="00EC5981" w:rsidRDefault="00EC5981" w:rsidP="00EC5981">
            <w:pPr>
              <w:spacing w:after="250" w:line="276" w:lineRule="auto"/>
              <w:jc w:val="both"/>
              <w:rPr>
                <w:rFonts w:ascii="Arial" w:hAnsi="Arial" w:cs="Arial"/>
                <w:color w:val="181818"/>
                <w:lang w:val="en-US"/>
              </w:rPr>
            </w:pPr>
            <w:r w:rsidRPr="00EC5981">
              <w:rPr>
                <w:rFonts w:ascii="Arial" w:hAnsi="Arial" w:cs="Arial"/>
                <w:color w:val="181818"/>
                <w:lang w:val="en-US"/>
              </w:rPr>
              <w:t xml:space="preserve">Other risk-management points to note are the structure of the SPV, providing bankruptcy remoteness from the sponsor, as well as the investment of principal in high quality securities as collateral such as MMIs or </w:t>
            </w:r>
            <w:proofErr w:type="spellStart"/>
            <w:r w:rsidRPr="00EC5981">
              <w:rPr>
                <w:rFonts w:ascii="Arial" w:hAnsi="Arial" w:cs="Arial"/>
                <w:color w:val="181818"/>
                <w:lang w:val="en-US"/>
              </w:rPr>
              <w:t>TBills</w:t>
            </w:r>
            <w:proofErr w:type="spellEnd"/>
            <w:r w:rsidRPr="00EC5981">
              <w:rPr>
                <w:rFonts w:ascii="Arial" w:hAnsi="Arial" w:cs="Arial"/>
                <w:color w:val="181818"/>
                <w:lang w:val="en-US"/>
              </w:rPr>
              <w:t>.</w:t>
            </w:r>
          </w:p>
        </w:tc>
      </w:tr>
      <w:tr w:rsidR="0079715F" w:rsidRPr="00B33432" w14:paraId="756B6A0E" w14:textId="77777777" w:rsidTr="00654E41">
        <w:tc>
          <w:tcPr>
            <w:tcW w:w="1271" w:type="dxa"/>
          </w:tcPr>
          <w:p w14:paraId="2C56CC88" w14:textId="77777777" w:rsidR="0079715F" w:rsidRPr="00B33432" w:rsidRDefault="0079715F" w:rsidP="0079715F">
            <w:pPr>
              <w:spacing w:after="250" w:line="276" w:lineRule="auto"/>
              <w:rPr>
                <w:rFonts w:ascii="Arial" w:hAnsi="Arial" w:cs="Arial"/>
                <w:color w:val="181818"/>
              </w:rPr>
            </w:pPr>
            <w:r w:rsidRPr="00B33432">
              <w:rPr>
                <w:rFonts w:ascii="Arial" w:hAnsi="Arial" w:cs="Arial"/>
              </w:rPr>
              <w:lastRenderedPageBreak/>
              <w:t xml:space="preserve">3. Contingent Convertible </w:t>
            </w:r>
            <w:proofErr w:type="spellStart"/>
            <w:r w:rsidRPr="00B33432">
              <w:rPr>
                <w:rFonts w:ascii="Arial" w:hAnsi="Arial" w:cs="Arial"/>
              </w:rPr>
              <w:t>bonds</w:t>
            </w:r>
            <w:proofErr w:type="spellEnd"/>
            <w:r w:rsidRPr="00B33432">
              <w:rPr>
                <w:rFonts w:ascii="Arial" w:hAnsi="Arial" w:cs="Arial"/>
              </w:rPr>
              <w:t xml:space="preserve"> (‘</w:t>
            </w:r>
            <w:proofErr w:type="spellStart"/>
            <w:r w:rsidRPr="00B33432">
              <w:rPr>
                <w:rFonts w:ascii="Arial" w:hAnsi="Arial" w:cs="Arial"/>
              </w:rPr>
              <w:t>CoCo</w:t>
            </w:r>
            <w:proofErr w:type="spellEnd"/>
            <w:r w:rsidRPr="00B33432">
              <w:rPr>
                <w:rFonts w:ascii="Arial" w:hAnsi="Arial" w:cs="Arial"/>
              </w:rPr>
              <w:t xml:space="preserve"> </w:t>
            </w:r>
            <w:proofErr w:type="spellStart"/>
            <w:r w:rsidRPr="00B33432">
              <w:rPr>
                <w:rFonts w:ascii="Arial" w:hAnsi="Arial" w:cs="Arial"/>
              </w:rPr>
              <w:t>bonds</w:t>
            </w:r>
            <w:proofErr w:type="spellEnd"/>
            <w:r w:rsidRPr="00B33432">
              <w:rPr>
                <w:rFonts w:ascii="Arial" w:hAnsi="Arial" w:cs="Arial"/>
              </w:rPr>
              <w:t>’)</w:t>
            </w:r>
          </w:p>
        </w:tc>
        <w:tc>
          <w:tcPr>
            <w:tcW w:w="3686" w:type="dxa"/>
          </w:tcPr>
          <w:p w14:paraId="44C95C08" w14:textId="77777777" w:rsidR="0079715F" w:rsidRPr="0079715F" w:rsidRDefault="0079715F" w:rsidP="0079715F">
            <w:pPr>
              <w:spacing w:after="250" w:line="276" w:lineRule="auto"/>
              <w:jc w:val="both"/>
              <w:rPr>
                <w:rFonts w:ascii="Arial" w:hAnsi="Arial" w:cs="Arial"/>
                <w:color w:val="181818"/>
                <w:lang w:val="en-US"/>
              </w:rPr>
            </w:pPr>
            <w:r w:rsidRPr="0079715F">
              <w:rPr>
                <w:rFonts w:ascii="Arial" w:hAnsi="Arial" w:cs="Arial"/>
                <w:color w:val="181818"/>
                <w:lang w:val="en-US"/>
              </w:rPr>
              <w:t>(1) Higher yields than traditional bonds in addition to consistent returns. They can be particularly interesting in the context of HY management or HY diversification of an IG fund.</w:t>
            </w:r>
          </w:p>
          <w:p w14:paraId="7BDC8076" w14:textId="77777777" w:rsidR="0079715F" w:rsidRPr="0079715F" w:rsidRDefault="0079715F" w:rsidP="0079715F">
            <w:pPr>
              <w:spacing w:after="250" w:line="276" w:lineRule="auto"/>
              <w:jc w:val="both"/>
              <w:rPr>
                <w:rFonts w:ascii="Arial" w:hAnsi="Arial" w:cs="Arial"/>
                <w:color w:val="181818"/>
                <w:lang w:val="en-US"/>
              </w:rPr>
            </w:pPr>
            <w:r w:rsidRPr="0079715F">
              <w:rPr>
                <w:rFonts w:ascii="Arial" w:hAnsi="Arial" w:cs="Arial"/>
                <w:color w:val="181818"/>
                <w:lang w:val="en-US"/>
              </w:rPr>
              <w:t>(2) Diversified senior exposures provide attractive relative value along the capital structure.</w:t>
            </w:r>
          </w:p>
          <w:p w14:paraId="55391BBD" w14:textId="77777777" w:rsidR="0079715F" w:rsidRPr="0079715F" w:rsidRDefault="0079715F" w:rsidP="0079715F">
            <w:pPr>
              <w:spacing w:after="250" w:line="276" w:lineRule="auto"/>
              <w:jc w:val="both"/>
              <w:rPr>
                <w:rFonts w:ascii="Arial" w:hAnsi="Arial" w:cs="Arial"/>
                <w:color w:val="181818"/>
                <w:lang w:val="en-US"/>
              </w:rPr>
            </w:pPr>
            <w:r w:rsidRPr="0079715F">
              <w:rPr>
                <w:rFonts w:ascii="Arial" w:hAnsi="Arial" w:cs="Arial"/>
                <w:color w:val="181818"/>
                <w:lang w:val="en-US"/>
              </w:rPr>
              <w:t xml:space="preserve">(3) Conversion to equity can reduce credit risk for investors by strengthening the resilience of the issuer in instances of stress – where </w:t>
            </w:r>
            <w:r w:rsidRPr="0079715F">
              <w:rPr>
                <w:rFonts w:ascii="Arial" w:hAnsi="Arial" w:cs="Arial"/>
                <w:color w:val="181818"/>
                <w:lang w:val="en-US"/>
              </w:rPr>
              <w:lastRenderedPageBreak/>
              <w:t xml:space="preserve">the issuer’s position improves, the conversion to equity at a </w:t>
            </w:r>
            <w:proofErr w:type="spellStart"/>
            <w:r w:rsidRPr="0079715F">
              <w:rPr>
                <w:rFonts w:ascii="Arial" w:hAnsi="Arial" w:cs="Arial"/>
                <w:color w:val="181818"/>
                <w:lang w:val="en-US"/>
              </w:rPr>
              <w:t>favourable</w:t>
            </w:r>
            <w:proofErr w:type="spellEnd"/>
            <w:r w:rsidRPr="0079715F">
              <w:rPr>
                <w:rFonts w:ascii="Arial" w:hAnsi="Arial" w:cs="Arial"/>
                <w:color w:val="181818"/>
                <w:lang w:val="en-US"/>
              </w:rPr>
              <w:t xml:space="preserve"> ratio offers a potential for capital appreciation.</w:t>
            </w:r>
          </w:p>
          <w:p w14:paraId="0D0B940D" w14:textId="0AE9F8A8" w:rsidR="0079715F" w:rsidRPr="0079715F" w:rsidRDefault="0079715F" w:rsidP="0079715F">
            <w:pPr>
              <w:spacing w:after="250" w:line="276" w:lineRule="auto"/>
              <w:jc w:val="both"/>
              <w:rPr>
                <w:rFonts w:ascii="Arial" w:hAnsi="Arial" w:cs="Arial"/>
                <w:color w:val="181818"/>
                <w:lang w:val="en-US"/>
              </w:rPr>
            </w:pPr>
            <w:r w:rsidRPr="0079715F">
              <w:rPr>
                <w:rFonts w:ascii="Arial" w:hAnsi="Arial" w:cs="Arial"/>
                <w:color w:val="181818"/>
                <w:lang w:val="en-US"/>
              </w:rPr>
              <w:t xml:space="preserve">We believe a 100% allocation to a diversified portfolio of coco bonds should be permissible – this would level the playing field with existing UCITS ETFs which track coco indices. </w:t>
            </w:r>
          </w:p>
        </w:tc>
        <w:tc>
          <w:tcPr>
            <w:tcW w:w="2409" w:type="dxa"/>
          </w:tcPr>
          <w:p w14:paraId="4CF4F416" w14:textId="77777777" w:rsidR="0079715F" w:rsidRPr="0079715F" w:rsidRDefault="0079715F" w:rsidP="0079715F">
            <w:pPr>
              <w:spacing w:after="250" w:line="276" w:lineRule="auto"/>
              <w:jc w:val="both"/>
              <w:rPr>
                <w:rFonts w:ascii="Arial" w:hAnsi="Arial" w:cs="Arial"/>
                <w:color w:val="181818"/>
                <w:lang w:val="en-US"/>
              </w:rPr>
            </w:pPr>
            <w:r w:rsidRPr="0079715F">
              <w:rPr>
                <w:rFonts w:ascii="Arial" w:hAnsi="Arial" w:cs="Arial"/>
                <w:color w:val="181818"/>
                <w:lang w:val="en-US"/>
              </w:rPr>
              <w:lastRenderedPageBreak/>
              <w:t>Indirect exposure can provide access to a broadly diversified universe and expertise if not available internally.</w:t>
            </w:r>
          </w:p>
          <w:p w14:paraId="0E27B00A" w14:textId="77777777" w:rsidR="0079715F" w:rsidRPr="0079715F" w:rsidRDefault="0079715F" w:rsidP="0079715F">
            <w:pPr>
              <w:spacing w:after="250" w:line="276" w:lineRule="auto"/>
              <w:jc w:val="both"/>
              <w:rPr>
                <w:rFonts w:ascii="Arial" w:hAnsi="Arial" w:cs="Arial"/>
                <w:color w:val="181818"/>
                <w:lang w:val="en-US"/>
              </w:rPr>
            </w:pPr>
          </w:p>
        </w:tc>
        <w:tc>
          <w:tcPr>
            <w:tcW w:w="1985" w:type="dxa"/>
          </w:tcPr>
          <w:p w14:paraId="6C44CC87" w14:textId="77777777" w:rsidR="0079715F" w:rsidRPr="0079715F" w:rsidRDefault="0079715F" w:rsidP="0079715F">
            <w:pPr>
              <w:spacing w:after="250" w:line="276" w:lineRule="auto"/>
              <w:jc w:val="both"/>
              <w:rPr>
                <w:rFonts w:ascii="Arial" w:hAnsi="Arial" w:cs="Arial"/>
                <w:color w:val="181818"/>
                <w:lang w:val="en-US"/>
              </w:rPr>
            </w:pPr>
            <w:r w:rsidRPr="0079715F">
              <w:rPr>
                <w:rFonts w:ascii="Arial" w:hAnsi="Arial" w:cs="Arial"/>
                <w:color w:val="181818"/>
                <w:lang w:val="en-US"/>
              </w:rPr>
              <w:t>Dedicated financial subordinated funds can have up to 50% or even over 75% exposure.</w:t>
            </w:r>
          </w:p>
          <w:p w14:paraId="60061E4C" w14:textId="26673D66" w:rsidR="0079715F" w:rsidRPr="0079715F" w:rsidRDefault="0079715F" w:rsidP="0079715F">
            <w:pPr>
              <w:spacing w:after="250" w:line="276" w:lineRule="auto"/>
              <w:jc w:val="both"/>
              <w:rPr>
                <w:rFonts w:ascii="Arial" w:hAnsi="Arial" w:cs="Arial"/>
                <w:color w:val="181818"/>
                <w:lang w:val="en-US"/>
              </w:rPr>
            </w:pPr>
            <w:r w:rsidRPr="0079715F">
              <w:rPr>
                <w:rFonts w:ascii="Arial" w:hAnsi="Arial" w:cs="Arial"/>
                <w:color w:val="181818"/>
                <w:lang w:val="en-US"/>
              </w:rPr>
              <w:t>We have observed other funds having no more than 10 – 20% depending on the risk profile.</w:t>
            </w:r>
          </w:p>
        </w:tc>
        <w:tc>
          <w:tcPr>
            <w:tcW w:w="4536" w:type="dxa"/>
          </w:tcPr>
          <w:p w14:paraId="61AB2A53" w14:textId="77777777" w:rsidR="0079715F" w:rsidRPr="0079715F" w:rsidRDefault="0079715F" w:rsidP="0079715F">
            <w:pPr>
              <w:spacing w:after="250" w:line="276" w:lineRule="auto"/>
              <w:jc w:val="both"/>
              <w:rPr>
                <w:rFonts w:ascii="Arial" w:hAnsi="Arial" w:cs="Arial"/>
                <w:color w:val="181818"/>
                <w:lang w:val="en-US"/>
              </w:rPr>
            </w:pPr>
            <w:r w:rsidRPr="0079715F">
              <w:rPr>
                <w:rFonts w:ascii="Arial" w:hAnsi="Arial" w:cs="Arial"/>
                <w:b/>
                <w:bCs/>
                <w:color w:val="181818"/>
                <w:lang w:val="en-US"/>
              </w:rPr>
              <w:t>Regulator views</w:t>
            </w:r>
            <w:r w:rsidRPr="0079715F">
              <w:rPr>
                <w:rFonts w:ascii="Arial" w:hAnsi="Arial" w:cs="Arial"/>
                <w:color w:val="181818"/>
                <w:lang w:val="en-US"/>
              </w:rPr>
              <w:t xml:space="preserve">: there is divergence as to the treatment of coco bonds by national competent authorities. Additional scrutiny is required, for example, by the AMF in France and by the Central Bank of Ireland. </w:t>
            </w:r>
          </w:p>
          <w:p w14:paraId="7E839BCC" w14:textId="77777777" w:rsidR="0079715F" w:rsidRPr="0079715F" w:rsidRDefault="0079715F" w:rsidP="0079715F">
            <w:pPr>
              <w:spacing w:after="250" w:line="276" w:lineRule="auto"/>
              <w:jc w:val="both"/>
              <w:rPr>
                <w:rFonts w:ascii="Arial" w:hAnsi="Arial" w:cs="Arial"/>
                <w:color w:val="181818"/>
                <w:lang w:val="en-US"/>
              </w:rPr>
            </w:pPr>
            <w:r w:rsidRPr="0079715F">
              <w:rPr>
                <w:rFonts w:ascii="Arial" w:hAnsi="Arial" w:cs="Arial"/>
                <w:b/>
                <w:bCs/>
                <w:color w:val="181818"/>
                <w:lang w:val="en-US"/>
              </w:rPr>
              <w:t>Liquidity</w:t>
            </w:r>
            <w:r w:rsidRPr="0079715F">
              <w:rPr>
                <w:rFonts w:ascii="Arial" w:hAnsi="Arial" w:cs="Arial"/>
                <w:color w:val="181818"/>
                <w:lang w:val="en-US"/>
              </w:rPr>
              <w:t xml:space="preserve">: while less liquid than traditional bonds, coco bonds are very liquid, being actively traded in primary and secondary markets. The liquidity of the coco bond will depend on factors such as the credit rating of the issuing financial institution and the complexity of the conversion mechanism. Coco bonds are large issues, unlike </w:t>
            </w:r>
            <w:r w:rsidRPr="0079715F">
              <w:rPr>
                <w:rFonts w:ascii="Arial" w:hAnsi="Arial" w:cs="Arial"/>
                <w:color w:val="181818"/>
                <w:lang w:val="en-US"/>
              </w:rPr>
              <w:lastRenderedPageBreak/>
              <w:t>securities with similar yields rated B, and carry a lower risk than equities.</w:t>
            </w:r>
          </w:p>
          <w:p w14:paraId="19FCE5A9" w14:textId="77777777" w:rsidR="0079715F" w:rsidRPr="0079715F" w:rsidRDefault="0079715F" w:rsidP="0079715F">
            <w:pPr>
              <w:spacing w:after="250" w:line="276" w:lineRule="auto"/>
              <w:jc w:val="both"/>
              <w:rPr>
                <w:rFonts w:ascii="Arial" w:hAnsi="Arial" w:cs="Arial"/>
                <w:color w:val="181818"/>
                <w:lang w:val="en-US"/>
              </w:rPr>
            </w:pPr>
            <w:r w:rsidRPr="0079715F">
              <w:rPr>
                <w:rFonts w:ascii="Arial" w:hAnsi="Arial" w:cs="Arial"/>
                <w:b/>
                <w:bCs/>
                <w:color w:val="181818"/>
                <w:lang w:val="en-US"/>
              </w:rPr>
              <w:t>Reliable Valuation</w:t>
            </w:r>
            <w:r w:rsidRPr="0079715F">
              <w:rPr>
                <w:rFonts w:ascii="Arial" w:hAnsi="Arial" w:cs="Arial"/>
                <w:color w:val="181818"/>
                <w:lang w:val="en-US"/>
              </w:rPr>
              <w:t xml:space="preserve">: we refer to our general remarks on the practice of obtaining a reliable valuation. As listed instruments, there generally exist multiple contributors and generic contributions from data providers by which to value coco bonds, and the manager must assess whether these are representative of the market (for example, we note data vendors such as ICE, Markit, </w:t>
            </w:r>
            <w:proofErr w:type="spellStart"/>
            <w:r w:rsidRPr="0079715F">
              <w:rPr>
                <w:rFonts w:ascii="Arial" w:hAnsi="Arial" w:cs="Arial"/>
                <w:color w:val="181818"/>
                <w:lang w:val="en-US"/>
              </w:rPr>
              <w:t>Refinativ</w:t>
            </w:r>
            <w:proofErr w:type="spellEnd"/>
            <w:r w:rsidRPr="0079715F">
              <w:rPr>
                <w:rFonts w:ascii="Arial" w:hAnsi="Arial" w:cs="Arial"/>
                <w:color w:val="181818"/>
                <w:lang w:val="en-US"/>
              </w:rPr>
              <w:t xml:space="preserve">). There is no market-standard valuation model – the use of a theoretical model is useful in particular, where market price is not available. This could take the form valuing a portfolio of equity derivatives which generate the same cash flow as the coco bond, or valuing an ordinary bond and discounting for the risk of conversion. Checking at least weekly the consistency of prices derived from marked to market against marked to model permits managers to monitor deviations and to conduct a more in-depth analysis in the event of a significant deviation (e.g. 10% for less liquid cocos). The French AMF requires a specific agreement, whereby UCITS managers must establish risk monitoring arrangements which include a counter-valuation process, to permit a better understanding of the drivers of the </w:t>
            </w:r>
            <w:r w:rsidRPr="0079715F">
              <w:rPr>
                <w:rFonts w:ascii="Arial" w:hAnsi="Arial" w:cs="Arial"/>
                <w:color w:val="181818"/>
                <w:lang w:val="en-US"/>
              </w:rPr>
              <w:lastRenderedPageBreak/>
              <w:t>underlying market/transactional price used to value the asset and its consistency.</w:t>
            </w:r>
          </w:p>
          <w:p w14:paraId="44EAFD9C" w14:textId="16034450" w:rsidR="0079715F" w:rsidRPr="0079715F" w:rsidRDefault="0079715F" w:rsidP="0079715F">
            <w:pPr>
              <w:spacing w:after="250" w:line="276" w:lineRule="auto"/>
              <w:jc w:val="both"/>
              <w:rPr>
                <w:rFonts w:ascii="Arial" w:hAnsi="Arial" w:cs="Arial"/>
                <w:color w:val="181818"/>
                <w:lang w:val="en-US"/>
              </w:rPr>
            </w:pPr>
            <w:r w:rsidRPr="0079715F">
              <w:rPr>
                <w:rFonts w:ascii="Arial" w:hAnsi="Arial" w:cs="Arial"/>
                <w:b/>
                <w:bCs/>
                <w:color w:val="181818"/>
                <w:lang w:val="en-US"/>
              </w:rPr>
              <w:t>Other risk management</w:t>
            </w:r>
            <w:r w:rsidRPr="0079715F">
              <w:rPr>
                <w:rFonts w:ascii="Arial" w:hAnsi="Arial" w:cs="Arial"/>
                <w:color w:val="181818"/>
                <w:lang w:val="en-US"/>
              </w:rPr>
              <w:t xml:space="preserve">: the risks inherent to coco bonds is that their coupon payments are discretionary and may be cancelled at any time for any reason, as well as their possibility to be written down or converted into equity upon the occurrence of a given trigger. Given the complexity of coco bonds, these risks are managed by UCITS managers using a multi-factor analysis to properly </w:t>
            </w:r>
            <w:proofErr w:type="spellStart"/>
            <w:r w:rsidRPr="0079715F">
              <w:rPr>
                <w:rFonts w:ascii="Arial" w:hAnsi="Arial" w:cs="Arial"/>
                <w:color w:val="181818"/>
                <w:lang w:val="en-US"/>
              </w:rPr>
              <w:t>analyse</w:t>
            </w:r>
            <w:proofErr w:type="spellEnd"/>
            <w:r w:rsidRPr="0079715F">
              <w:rPr>
                <w:rFonts w:ascii="Arial" w:hAnsi="Arial" w:cs="Arial"/>
                <w:color w:val="181818"/>
                <w:lang w:val="en-US"/>
              </w:rPr>
              <w:t xml:space="preserve"> and value their associated risks – </w:t>
            </w:r>
            <w:proofErr w:type="spellStart"/>
            <w:r w:rsidRPr="0079715F">
              <w:rPr>
                <w:rFonts w:ascii="Arial" w:hAnsi="Arial" w:cs="Arial"/>
                <w:color w:val="181818"/>
                <w:lang w:val="en-US"/>
              </w:rPr>
              <w:t>analysing</w:t>
            </w:r>
            <w:proofErr w:type="spellEnd"/>
            <w:r w:rsidRPr="0079715F">
              <w:rPr>
                <w:rFonts w:ascii="Arial" w:hAnsi="Arial" w:cs="Arial"/>
                <w:color w:val="181818"/>
                <w:lang w:val="en-US"/>
              </w:rPr>
              <w:t xml:space="preserve"> the trigger level to assess the exposure of the bond to conversion risk, rating of the instrument (if available), frequency of coupon payments, etc. Coco bonds are </w:t>
            </w:r>
            <w:proofErr w:type="spellStart"/>
            <w:r w:rsidRPr="0079715F">
              <w:rPr>
                <w:rFonts w:ascii="Arial" w:hAnsi="Arial" w:cs="Arial"/>
                <w:color w:val="181818"/>
                <w:lang w:val="en-US"/>
              </w:rPr>
              <w:t>standardised</w:t>
            </w:r>
            <w:proofErr w:type="spellEnd"/>
            <w:r w:rsidRPr="0079715F">
              <w:rPr>
                <w:rFonts w:ascii="Arial" w:hAnsi="Arial" w:cs="Arial"/>
                <w:color w:val="181818"/>
                <w:lang w:val="en-US"/>
              </w:rPr>
              <w:t xml:space="preserve"> and regulated, with a decade of track record. The liquidity and credit risk of these issuers are monitored by the portfolio manager and analysts as for all other issuers and the current regulation seems satisfactory on these instruments. </w:t>
            </w:r>
          </w:p>
        </w:tc>
      </w:tr>
      <w:tr w:rsidR="00C00803" w:rsidRPr="00B33432" w14:paraId="02325B0B" w14:textId="77777777" w:rsidTr="00654E41">
        <w:tc>
          <w:tcPr>
            <w:tcW w:w="1271" w:type="dxa"/>
          </w:tcPr>
          <w:p w14:paraId="4EA5968E" w14:textId="77777777" w:rsidR="00C00803" w:rsidRPr="00B33432" w:rsidRDefault="00C00803" w:rsidP="00C00803">
            <w:pPr>
              <w:spacing w:after="250" w:line="276" w:lineRule="auto"/>
              <w:rPr>
                <w:rFonts w:ascii="Arial" w:hAnsi="Arial" w:cs="Arial"/>
                <w:color w:val="181818"/>
              </w:rPr>
            </w:pPr>
            <w:r w:rsidRPr="00B33432">
              <w:rPr>
                <w:rFonts w:ascii="Arial" w:hAnsi="Arial" w:cs="Arial"/>
              </w:rPr>
              <w:lastRenderedPageBreak/>
              <w:t xml:space="preserve">4. </w:t>
            </w:r>
            <w:proofErr w:type="spellStart"/>
            <w:r w:rsidRPr="00B33432">
              <w:rPr>
                <w:rFonts w:ascii="Arial" w:hAnsi="Arial" w:cs="Arial"/>
              </w:rPr>
              <w:t>Unrated</w:t>
            </w:r>
            <w:proofErr w:type="spellEnd"/>
            <w:r w:rsidRPr="00B33432">
              <w:rPr>
                <w:rFonts w:ascii="Arial" w:hAnsi="Arial" w:cs="Arial"/>
              </w:rPr>
              <w:t xml:space="preserve"> </w:t>
            </w:r>
            <w:proofErr w:type="spellStart"/>
            <w:r w:rsidRPr="00B33432">
              <w:rPr>
                <w:rFonts w:ascii="Arial" w:hAnsi="Arial" w:cs="Arial"/>
              </w:rPr>
              <w:t>bonds</w:t>
            </w:r>
            <w:proofErr w:type="spellEnd"/>
          </w:p>
        </w:tc>
        <w:tc>
          <w:tcPr>
            <w:tcW w:w="3686" w:type="dxa"/>
          </w:tcPr>
          <w:p w14:paraId="69439796" w14:textId="77777777" w:rsidR="00C00803" w:rsidRPr="00C00803" w:rsidRDefault="00C00803" w:rsidP="00C00803">
            <w:pPr>
              <w:spacing w:after="250" w:line="276" w:lineRule="auto"/>
              <w:jc w:val="both"/>
              <w:rPr>
                <w:rFonts w:ascii="Arial" w:hAnsi="Arial" w:cs="Arial"/>
                <w:color w:val="181818"/>
                <w:lang w:val="en-US"/>
              </w:rPr>
            </w:pPr>
            <w:r w:rsidRPr="00C00803">
              <w:rPr>
                <w:rFonts w:ascii="Arial" w:hAnsi="Arial" w:cs="Arial"/>
                <w:color w:val="181818"/>
                <w:lang w:val="en-US"/>
              </w:rPr>
              <w:t xml:space="preserve">(1) Higher yields and diversification compared to traditional bonds. This is in part because it permits the UCITS manager to gain exposure to markets which have been overlooked or are not available in the rated bonds market, or to issues which are too new or small to </w:t>
            </w:r>
            <w:r w:rsidRPr="00C00803">
              <w:rPr>
                <w:rFonts w:ascii="Arial" w:hAnsi="Arial" w:cs="Arial"/>
                <w:color w:val="181818"/>
                <w:lang w:val="en-US"/>
              </w:rPr>
              <w:lastRenderedPageBreak/>
              <w:t>have the resources to obtain a credit rating, in which the manager has sufficient internal expertise to conduct its own due diligence and assessment of the creditworthiness of the bond or has closer familiarity with the issuer. These could be a portion of a well-diversified high yield portfolio.</w:t>
            </w:r>
          </w:p>
          <w:p w14:paraId="611B4D13" w14:textId="77777777" w:rsidR="00C00803" w:rsidRPr="00C00803" w:rsidRDefault="00C00803" w:rsidP="00C00803">
            <w:pPr>
              <w:spacing w:after="250" w:line="276" w:lineRule="auto"/>
              <w:jc w:val="both"/>
              <w:rPr>
                <w:rFonts w:ascii="Arial" w:hAnsi="Arial" w:cs="Arial"/>
                <w:color w:val="181818"/>
                <w:lang w:val="en-US"/>
              </w:rPr>
            </w:pPr>
            <w:r w:rsidRPr="00C00803">
              <w:rPr>
                <w:rFonts w:ascii="Arial" w:hAnsi="Arial" w:cs="Arial"/>
                <w:color w:val="181818"/>
                <w:lang w:val="en-US"/>
              </w:rPr>
              <w:t xml:space="preserve">(2) Gains may be </w:t>
            </w:r>
            <w:proofErr w:type="spellStart"/>
            <w:r w:rsidRPr="00C00803">
              <w:rPr>
                <w:rFonts w:ascii="Arial" w:hAnsi="Arial" w:cs="Arial"/>
                <w:color w:val="181818"/>
                <w:lang w:val="en-US"/>
              </w:rPr>
              <w:t>realised</w:t>
            </w:r>
            <w:proofErr w:type="spellEnd"/>
            <w:r w:rsidRPr="00C00803">
              <w:rPr>
                <w:rFonts w:ascii="Arial" w:hAnsi="Arial" w:cs="Arial"/>
                <w:color w:val="181818"/>
                <w:lang w:val="en-US"/>
              </w:rPr>
              <w:t xml:space="preserve"> whether the manager considers that the bond may obtain a rating in the future, increasing its value.</w:t>
            </w:r>
          </w:p>
          <w:p w14:paraId="6F68CE35" w14:textId="77777777" w:rsidR="00C00803" w:rsidRPr="00374659" w:rsidRDefault="00C00803" w:rsidP="00C00803">
            <w:pPr>
              <w:spacing w:after="250" w:line="276" w:lineRule="auto"/>
              <w:jc w:val="both"/>
              <w:rPr>
                <w:rFonts w:ascii="Arial" w:hAnsi="Arial" w:cs="Arial"/>
                <w:color w:val="181818"/>
                <w:lang w:val="en-US"/>
              </w:rPr>
            </w:pPr>
            <w:r w:rsidRPr="00374659">
              <w:rPr>
                <w:rFonts w:ascii="Arial" w:hAnsi="Arial" w:cs="Arial"/>
                <w:color w:val="181818"/>
                <w:lang w:val="en-US"/>
              </w:rPr>
              <w:t xml:space="preserve">(3) It does not automatically oblige the manager to divest where the rating of a bond it holds has been withdrawn. </w:t>
            </w:r>
          </w:p>
          <w:p w14:paraId="4B94D5A5" w14:textId="77777777" w:rsidR="00C00803" w:rsidRPr="00374659" w:rsidRDefault="00C00803" w:rsidP="00C00803">
            <w:pPr>
              <w:spacing w:after="250" w:line="276" w:lineRule="auto"/>
              <w:jc w:val="both"/>
              <w:rPr>
                <w:rFonts w:ascii="Arial" w:hAnsi="Arial" w:cs="Arial"/>
                <w:color w:val="181818"/>
                <w:lang w:val="en-US"/>
              </w:rPr>
            </w:pPr>
          </w:p>
        </w:tc>
        <w:tc>
          <w:tcPr>
            <w:tcW w:w="2409" w:type="dxa"/>
          </w:tcPr>
          <w:p w14:paraId="3DEEC669" w14:textId="22BBAE35" w:rsidR="00C00803" w:rsidRPr="00374659" w:rsidRDefault="00C00803" w:rsidP="00C00803">
            <w:pPr>
              <w:spacing w:after="250" w:line="276" w:lineRule="auto"/>
              <w:jc w:val="both"/>
              <w:rPr>
                <w:rFonts w:ascii="Arial" w:hAnsi="Arial" w:cs="Arial"/>
                <w:color w:val="181818"/>
                <w:lang w:val="en-US"/>
              </w:rPr>
            </w:pPr>
            <w:r w:rsidRPr="00D259AA">
              <w:rPr>
                <w:rFonts w:ascii="Arial" w:hAnsi="Arial" w:cs="Arial"/>
                <w:color w:val="181818"/>
                <w:lang w:val="en-US"/>
              </w:rPr>
              <w:lastRenderedPageBreak/>
              <w:t xml:space="preserve">Indirect exposure may be </w:t>
            </w:r>
            <w:r>
              <w:rPr>
                <w:rFonts w:ascii="Arial" w:hAnsi="Arial" w:cs="Arial"/>
                <w:color w:val="181818"/>
                <w:lang w:val="en-US"/>
              </w:rPr>
              <w:t xml:space="preserve">obtained by, for example, </w:t>
            </w:r>
            <w:r w:rsidRPr="00D259AA">
              <w:rPr>
                <w:rFonts w:ascii="Arial" w:hAnsi="Arial" w:cs="Arial"/>
                <w:color w:val="181818"/>
                <w:lang w:val="en-US"/>
              </w:rPr>
              <w:t>convertible notes.</w:t>
            </w:r>
          </w:p>
        </w:tc>
        <w:tc>
          <w:tcPr>
            <w:tcW w:w="1985" w:type="dxa"/>
          </w:tcPr>
          <w:p w14:paraId="3656B9AB" w14:textId="1516F0E9" w:rsidR="00C00803" w:rsidRPr="00374659" w:rsidRDefault="00C00803" w:rsidP="00C00803">
            <w:pPr>
              <w:spacing w:after="250" w:line="276" w:lineRule="auto"/>
              <w:jc w:val="both"/>
              <w:rPr>
                <w:rFonts w:ascii="Arial" w:hAnsi="Arial" w:cs="Arial"/>
                <w:color w:val="181818"/>
                <w:lang w:val="en-US"/>
              </w:rPr>
            </w:pPr>
            <w:r w:rsidRPr="00374659">
              <w:rPr>
                <w:rFonts w:ascii="Arial" w:hAnsi="Arial" w:cs="Arial"/>
                <w:color w:val="181818"/>
                <w:lang w:val="en-US"/>
              </w:rPr>
              <w:t>We observe typically from 0 – 5%, in some cases up to 10%, in a cross-section of our membership.</w:t>
            </w:r>
          </w:p>
        </w:tc>
        <w:tc>
          <w:tcPr>
            <w:tcW w:w="4536" w:type="dxa"/>
          </w:tcPr>
          <w:p w14:paraId="2C24E354" w14:textId="77777777" w:rsidR="00C00803" w:rsidRPr="00374659" w:rsidRDefault="00C00803" w:rsidP="00C00803">
            <w:pPr>
              <w:spacing w:after="250" w:line="276" w:lineRule="auto"/>
              <w:jc w:val="both"/>
              <w:rPr>
                <w:rFonts w:ascii="Arial" w:hAnsi="Arial" w:cs="Arial"/>
                <w:color w:val="181818"/>
                <w:lang w:val="en-US"/>
              </w:rPr>
            </w:pPr>
            <w:r w:rsidRPr="00374659">
              <w:rPr>
                <w:rFonts w:ascii="Arial" w:hAnsi="Arial" w:cs="Arial"/>
                <w:b/>
                <w:bCs/>
                <w:color w:val="181818"/>
                <w:lang w:val="en-US"/>
              </w:rPr>
              <w:t>Reliable Valuation</w:t>
            </w:r>
            <w:r w:rsidRPr="00374659">
              <w:rPr>
                <w:rFonts w:ascii="Arial" w:hAnsi="Arial" w:cs="Arial"/>
                <w:color w:val="181818"/>
                <w:lang w:val="en-US"/>
              </w:rPr>
              <w:t>: where the unrated bonds still has pricing vendor coverage, the procedure as outlined in our general remark above applies. If there is no  price coverage, the valuation team will do the research, discuss with portfolio manager and fair value the position.</w:t>
            </w:r>
          </w:p>
          <w:p w14:paraId="45FB0818" w14:textId="1E31C856" w:rsidR="00C00803" w:rsidRPr="00374659" w:rsidRDefault="00C00803" w:rsidP="00C00803">
            <w:pPr>
              <w:spacing w:after="250" w:line="276" w:lineRule="auto"/>
              <w:jc w:val="both"/>
              <w:rPr>
                <w:rFonts w:ascii="Arial" w:hAnsi="Arial" w:cs="Arial"/>
                <w:color w:val="181818"/>
                <w:lang w:val="en-US"/>
              </w:rPr>
            </w:pPr>
            <w:r w:rsidRPr="00374659">
              <w:rPr>
                <w:rFonts w:ascii="Arial" w:hAnsi="Arial" w:cs="Arial"/>
                <w:b/>
                <w:bCs/>
                <w:color w:val="181818"/>
                <w:lang w:val="en-US"/>
              </w:rPr>
              <w:lastRenderedPageBreak/>
              <w:t>Other risk management</w:t>
            </w:r>
            <w:r w:rsidRPr="00374659">
              <w:rPr>
                <w:rFonts w:ascii="Arial" w:hAnsi="Arial" w:cs="Arial"/>
                <w:color w:val="181818"/>
                <w:lang w:val="en-US"/>
              </w:rPr>
              <w:t>: as the creditworthiness of these bonds has not been assessed by a major credit rating agency, the UCITS manager must internally assess the risk of default of the issuer and broader risk of the bond following an internal rating policy, which is in any case required in accordance with the CRA Directive (Directive 2013/14/EU). This is managed by having sufficient expertise at the level of the UCITS manager to assign an accurate internal rating to come to a proper conclusion of inherent credit risk.</w:t>
            </w:r>
            <w:r w:rsidRPr="00977DB2">
              <w:rPr>
                <w:lang w:val="en-US"/>
              </w:rPr>
              <w:t xml:space="preserve"> </w:t>
            </w:r>
            <w:r w:rsidRPr="00374659">
              <w:rPr>
                <w:rFonts w:ascii="Arial" w:hAnsi="Arial" w:cs="Arial"/>
                <w:color w:val="181818"/>
                <w:lang w:val="en-US"/>
              </w:rPr>
              <w:t>The liquidity and credit risk of these securities are monitored by portfolio manager and analysts as for all other issuers and the current regulatory elements seem satisfactory on these instruments.</w:t>
            </w:r>
          </w:p>
        </w:tc>
      </w:tr>
      <w:tr w:rsidR="00374659" w:rsidRPr="00B33432" w14:paraId="68D99D9D" w14:textId="77777777" w:rsidTr="00654E41">
        <w:tc>
          <w:tcPr>
            <w:tcW w:w="1271" w:type="dxa"/>
          </w:tcPr>
          <w:p w14:paraId="17D8B71D" w14:textId="77777777" w:rsidR="00374659" w:rsidRPr="00B33432" w:rsidRDefault="00374659" w:rsidP="00374659">
            <w:pPr>
              <w:spacing w:after="250" w:line="276" w:lineRule="auto"/>
              <w:rPr>
                <w:rFonts w:ascii="Arial" w:hAnsi="Arial" w:cs="Arial"/>
                <w:color w:val="181818"/>
              </w:rPr>
            </w:pPr>
            <w:r w:rsidRPr="00B33432">
              <w:rPr>
                <w:rFonts w:ascii="Arial" w:hAnsi="Arial" w:cs="Arial"/>
              </w:rPr>
              <w:lastRenderedPageBreak/>
              <w:t xml:space="preserve">5. </w:t>
            </w:r>
            <w:proofErr w:type="spellStart"/>
            <w:r w:rsidRPr="00B33432">
              <w:rPr>
                <w:rFonts w:ascii="Arial" w:hAnsi="Arial" w:cs="Arial"/>
              </w:rPr>
              <w:t>Distressed</w:t>
            </w:r>
            <w:proofErr w:type="spellEnd"/>
            <w:r w:rsidRPr="00B33432">
              <w:rPr>
                <w:rFonts w:ascii="Arial" w:hAnsi="Arial" w:cs="Arial"/>
              </w:rPr>
              <w:t xml:space="preserve"> </w:t>
            </w:r>
            <w:proofErr w:type="spellStart"/>
            <w:r w:rsidRPr="00B33432">
              <w:rPr>
                <w:rFonts w:ascii="Arial" w:hAnsi="Arial" w:cs="Arial"/>
              </w:rPr>
              <w:t>securities</w:t>
            </w:r>
            <w:proofErr w:type="spellEnd"/>
          </w:p>
        </w:tc>
        <w:tc>
          <w:tcPr>
            <w:tcW w:w="3686" w:type="dxa"/>
          </w:tcPr>
          <w:p w14:paraId="2EE8FABF" w14:textId="77777777" w:rsidR="00374659" w:rsidRPr="00374659" w:rsidRDefault="00374659" w:rsidP="00374659">
            <w:pPr>
              <w:spacing w:after="250" w:line="276" w:lineRule="auto"/>
              <w:jc w:val="both"/>
              <w:rPr>
                <w:rFonts w:ascii="Arial" w:hAnsi="Arial" w:cs="Arial"/>
                <w:color w:val="181818"/>
                <w:lang w:val="en-US"/>
              </w:rPr>
            </w:pPr>
            <w:r w:rsidRPr="00374659">
              <w:rPr>
                <w:rFonts w:ascii="Arial" w:hAnsi="Arial" w:cs="Arial"/>
                <w:color w:val="181818"/>
                <w:lang w:val="en-US"/>
              </w:rPr>
              <w:t>(1) UCITS managers are not automatically obliged to sell any bonds which have unexpectedly defaulted or been downgraded and which may potentially recover.</w:t>
            </w:r>
          </w:p>
          <w:p w14:paraId="3AE84DEC" w14:textId="77777777" w:rsidR="00374659" w:rsidRPr="00374659" w:rsidRDefault="00374659" w:rsidP="00374659">
            <w:pPr>
              <w:spacing w:after="250" w:line="276" w:lineRule="auto"/>
              <w:jc w:val="both"/>
              <w:rPr>
                <w:rFonts w:ascii="Arial" w:hAnsi="Arial" w:cs="Arial"/>
                <w:color w:val="181818"/>
                <w:lang w:val="en-US"/>
              </w:rPr>
            </w:pPr>
            <w:r w:rsidRPr="00374659">
              <w:rPr>
                <w:rFonts w:ascii="Arial" w:hAnsi="Arial" w:cs="Arial"/>
                <w:color w:val="181818"/>
                <w:lang w:val="en-US"/>
              </w:rPr>
              <w:t xml:space="preserve">(2) Securities acquired in a distressed state allow for potentially higher yields where purchased at an undervalue and where the issuer may recover, in which </w:t>
            </w:r>
            <w:r w:rsidRPr="00374659">
              <w:rPr>
                <w:rFonts w:ascii="Arial" w:hAnsi="Arial" w:cs="Arial"/>
                <w:color w:val="181818"/>
                <w:lang w:val="en-US"/>
              </w:rPr>
              <w:lastRenderedPageBreak/>
              <w:t>the manager may play an active role e.g. through being involved in restructuring. They provide a risk/return profile similar to equities with a limited downside and a significant upside if a proper restructuring solution is found.</w:t>
            </w:r>
          </w:p>
          <w:p w14:paraId="049F31CB" w14:textId="7D023D15" w:rsidR="00374659" w:rsidRPr="00374659" w:rsidRDefault="00374659" w:rsidP="00374659">
            <w:pPr>
              <w:spacing w:after="250" w:line="276" w:lineRule="auto"/>
              <w:jc w:val="both"/>
              <w:rPr>
                <w:rFonts w:ascii="Arial" w:hAnsi="Arial" w:cs="Arial"/>
                <w:color w:val="181818"/>
                <w:lang w:val="en-US"/>
              </w:rPr>
            </w:pPr>
            <w:r w:rsidRPr="00374659">
              <w:rPr>
                <w:rFonts w:ascii="Arial" w:hAnsi="Arial" w:cs="Arial"/>
                <w:color w:val="181818"/>
                <w:lang w:val="en-US"/>
              </w:rPr>
              <w:t>(3) As there is no official definition of distressed investments, UCITS are obliged to have exposure to distressed investments simply by benchmark universes – as normal high yield benchmarks and ETFs do have exposure to distressed assets (defined as rated below CCC-).</w:t>
            </w:r>
          </w:p>
        </w:tc>
        <w:tc>
          <w:tcPr>
            <w:tcW w:w="2409" w:type="dxa"/>
          </w:tcPr>
          <w:p w14:paraId="53128261" w14:textId="77777777" w:rsidR="00374659" w:rsidRPr="00374659" w:rsidRDefault="00374659" w:rsidP="00374659">
            <w:pPr>
              <w:spacing w:after="250" w:line="276" w:lineRule="auto"/>
              <w:jc w:val="both"/>
              <w:rPr>
                <w:rFonts w:ascii="Arial" w:hAnsi="Arial" w:cs="Arial"/>
                <w:color w:val="181818"/>
                <w:lang w:val="en-US"/>
              </w:rPr>
            </w:pPr>
          </w:p>
        </w:tc>
        <w:tc>
          <w:tcPr>
            <w:tcW w:w="1985" w:type="dxa"/>
          </w:tcPr>
          <w:p w14:paraId="59EE537A" w14:textId="77777777" w:rsidR="00374659" w:rsidRPr="00374659" w:rsidRDefault="00374659" w:rsidP="00374659">
            <w:pPr>
              <w:spacing w:after="250" w:line="276" w:lineRule="auto"/>
              <w:jc w:val="both"/>
              <w:rPr>
                <w:rFonts w:ascii="Arial" w:hAnsi="Arial" w:cs="Arial"/>
                <w:color w:val="181818"/>
                <w:lang w:val="en-US"/>
              </w:rPr>
            </w:pPr>
            <w:r w:rsidRPr="00374659">
              <w:rPr>
                <w:rFonts w:ascii="Arial" w:hAnsi="Arial" w:cs="Arial"/>
                <w:color w:val="181818"/>
                <w:lang w:val="en-US"/>
              </w:rPr>
              <w:t>Some of our members have reported typical exposures of well below 10%, commonly between 0 – 5%.</w:t>
            </w:r>
          </w:p>
          <w:p w14:paraId="62486C05" w14:textId="27054B1C" w:rsidR="00374659" w:rsidRPr="00374659" w:rsidRDefault="00374659" w:rsidP="00374659">
            <w:pPr>
              <w:spacing w:after="250" w:line="276" w:lineRule="auto"/>
              <w:jc w:val="both"/>
              <w:rPr>
                <w:rFonts w:ascii="Arial" w:hAnsi="Arial" w:cs="Arial"/>
                <w:color w:val="181818"/>
                <w:lang w:val="en-US"/>
              </w:rPr>
            </w:pPr>
            <w:r w:rsidRPr="00374659">
              <w:rPr>
                <w:rFonts w:ascii="Arial" w:hAnsi="Arial" w:cs="Arial"/>
                <w:color w:val="181818"/>
                <w:lang w:val="en-US"/>
              </w:rPr>
              <w:t xml:space="preserve">Exposure to distressed </w:t>
            </w:r>
            <w:r w:rsidRPr="00374659">
              <w:rPr>
                <w:rFonts w:ascii="Arial" w:hAnsi="Arial" w:cs="Arial"/>
                <w:color w:val="181818"/>
                <w:lang w:val="en-US"/>
              </w:rPr>
              <w:lastRenderedPageBreak/>
              <w:t>securities would typically be found in UCITS marketed as High Yield and Opportunistic.</w:t>
            </w:r>
          </w:p>
        </w:tc>
        <w:tc>
          <w:tcPr>
            <w:tcW w:w="4536" w:type="dxa"/>
          </w:tcPr>
          <w:p w14:paraId="111F3835" w14:textId="77777777" w:rsidR="00374659" w:rsidRPr="00374659" w:rsidRDefault="00374659" w:rsidP="00374659">
            <w:pPr>
              <w:spacing w:after="250" w:line="276" w:lineRule="auto"/>
              <w:jc w:val="both"/>
              <w:rPr>
                <w:rFonts w:ascii="Arial" w:hAnsi="Arial" w:cs="Arial"/>
                <w:color w:val="181818"/>
                <w:lang w:val="en-US"/>
              </w:rPr>
            </w:pPr>
            <w:r w:rsidRPr="00374659">
              <w:rPr>
                <w:rFonts w:ascii="Arial" w:hAnsi="Arial" w:cs="Arial"/>
                <w:b/>
                <w:bCs/>
                <w:color w:val="181818"/>
                <w:lang w:val="en-US"/>
              </w:rPr>
              <w:lastRenderedPageBreak/>
              <w:t>Liquidity</w:t>
            </w:r>
            <w:r w:rsidRPr="00374659">
              <w:rPr>
                <w:rFonts w:ascii="Arial" w:hAnsi="Arial" w:cs="Arial"/>
                <w:color w:val="181818"/>
                <w:lang w:val="en-US"/>
              </w:rPr>
              <w:t xml:space="preserve">: a distressed security will typically be less liquid than an IG security, being mostly traded OTC as opposed within formal exchanges, with the pool limited to more </w:t>
            </w:r>
            <w:proofErr w:type="spellStart"/>
            <w:r w:rsidRPr="00374659">
              <w:rPr>
                <w:rFonts w:ascii="Arial" w:hAnsi="Arial" w:cs="Arial"/>
                <w:color w:val="181818"/>
                <w:lang w:val="en-US"/>
              </w:rPr>
              <w:t>specialised</w:t>
            </w:r>
            <w:proofErr w:type="spellEnd"/>
            <w:r w:rsidRPr="00374659">
              <w:rPr>
                <w:rFonts w:ascii="Arial" w:hAnsi="Arial" w:cs="Arial"/>
                <w:color w:val="181818"/>
                <w:lang w:val="en-US"/>
              </w:rPr>
              <w:t xml:space="preserve"> investors, lower trading volumes and more price volatility given the uncertain nature of the issuers financial condition. However, distressed securities defined by a certain rating are not necessarily trading illiquid or at distressed prices. Managers can ensure holding </w:t>
            </w:r>
            <w:r w:rsidRPr="00374659">
              <w:rPr>
                <w:rFonts w:ascii="Arial" w:hAnsi="Arial" w:cs="Arial"/>
                <w:color w:val="181818"/>
                <w:lang w:val="en-US"/>
              </w:rPr>
              <w:lastRenderedPageBreak/>
              <w:t>distressed securities does not impact the ability to meet redemptions by limiting their holding of this asset type, regular monitoring and stress testing at asset and portfolio level, staggering the maturity of the securities, etc.</w:t>
            </w:r>
          </w:p>
          <w:p w14:paraId="4101652C" w14:textId="75BC0438" w:rsidR="00374659" w:rsidRPr="00374659" w:rsidRDefault="00374659" w:rsidP="00374659">
            <w:pPr>
              <w:spacing w:after="250" w:line="276" w:lineRule="auto"/>
              <w:jc w:val="both"/>
              <w:rPr>
                <w:rFonts w:ascii="Arial" w:hAnsi="Arial" w:cs="Arial"/>
                <w:color w:val="181818"/>
                <w:lang w:val="en-US"/>
              </w:rPr>
            </w:pPr>
            <w:r w:rsidRPr="00374659">
              <w:rPr>
                <w:rFonts w:ascii="Arial" w:hAnsi="Arial" w:cs="Arial"/>
                <w:b/>
                <w:bCs/>
                <w:color w:val="181818"/>
                <w:lang w:val="en-US"/>
              </w:rPr>
              <w:t>Reliable Valuation</w:t>
            </w:r>
            <w:r w:rsidRPr="00374659">
              <w:rPr>
                <w:rFonts w:ascii="Arial" w:hAnsi="Arial" w:cs="Arial"/>
                <w:color w:val="181818"/>
                <w:lang w:val="en-US"/>
              </w:rPr>
              <w:t>: where the distressed security still has pricing vendor coverage, the procedure as outlined in our general remark above applies. If there is no  price coverage, the valuation team will do the research, discuss with portfolio manager and fair value the position.</w:t>
            </w:r>
          </w:p>
        </w:tc>
      </w:tr>
      <w:tr w:rsidR="006D5487" w:rsidRPr="00B33432" w14:paraId="2B493676" w14:textId="77777777" w:rsidTr="00654E41">
        <w:tc>
          <w:tcPr>
            <w:tcW w:w="1271" w:type="dxa"/>
          </w:tcPr>
          <w:p w14:paraId="45E99430" w14:textId="77777777" w:rsidR="006D5487" w:rsidRPr="00B33432" w:rsidRDefault="006D5487" w:rsidP="006D5487">
            <w:pPr>
              <w:spacing w:after="250" w:line="276" w:lineRule="auto"/>
              <w:rPr>
                <w:rFonts w:ascii="Arial" w:hAnsi="Arial" w:cs="Arial"/>
              </w:rPr>
            </w:pPr>
            <w:r w:rsidRPr="00B33432">
              <w:rPr>
                <w:rFonts w:ascii="Arial" w:hAnsi="Arial" w:cs="Arial"/>
              </w:rPr>
              <w:lastRenderedPageBreak/>
              <w:t xml:space="preserve">6. </w:t>
            </w:r>
            <w:proofErr w:type="spellStart"/>
            <w:r w:rsidRPr="00B33432">
              <w:rPr>
                <w:rFonts w:ascii="Arial" w:hAnsi="Arial" w:cs="Arial"/>
              </w:rPr>
              <w:t>Unlisted</w:t>
            </w:r>
            <w:proofErr w:type="spellEnd"/>
            <w:r w:rsidRPr="00B33432">
              <w:rPr>
                <w:rFonts w:ascii="Arial" w:hAnsi="Arial" w:cs="Arial"/>
              </w:rPr>
              <w:t xml:space="preserve"> </w:t>
            </w:r>
            <w:proofErr w:type="spellStart"/>
            <w:r w:rsidRPr="00B33432">
              <w:rPr>
                <w:rFonts w:ascii="Arial" w:hAnsi="Arial" w:cs="Arial"/>
              </w:rPr>
              <w:t>equities</w:t>
            </w:r>
            <w:proofErr w:type="spellEnd"/>
            <w:r w:rsidRPr="00B33432">
              <w:rPr>
                <w:rFonts w:ascii="Arial" w:hAnsi="Arial" w:cs="Arial"/>
                <w:sz w:val="16"/>
                <w:vertAlign w:val="superscript"/>
              </w:rPr>
              <w:footnoteReference w:id="7"/>
            </w:r>
          </w:p>
        </w:tc>
        <w:tc>
          <w:tcPr>
            <w:tcW w:w="3686" w:type="dxa"/>
          </w:tcPr>
          <w:p w14:paraId="2D0B3BBF" w14:textId="77777777" w:rsidR="006D5487" w:rsidRPr="006D5487" w:rsidRDefault="006D5487" w:rsidP="006D5487">
            <w:pPr>
              <w:spacing w:after="250" w:line="276" w:lineRule="auto"/>
              <w:jc w:val="both"/>
              <w:rPr>
                <w:rFonts w:ascii="Arial" w:hAnsi="Arial" w:cs="Arial"/>
                <w:color w:val="181818"/>
                <w:lang w:val="en-US"/>
              </w:rPr>
            </w:pPr>
            <w:r w:rsidRPr="006D5487">
              <w:rPr>
                <w:rFonts w:ascii="Arial" w:hAnsi="Arial" w:cs="Arial"/>
                <w:color w:val="181818"/>
                <w:lang w:val="en-US"/>
              </w:rPr>
              <w:t>(1) Potential for high returns, where the company grows and may ultimately be acquired for a premium or become listed. Selective private investing can deliver superior long-term investment results to fund investors and has directly and indirectly enhanced public equity investing,  e.g., deeper knowledge about disruptive technologies and business models on the horizon. Once combined with long-</w:t>
            </w:r>
            <w:r w:rsidRPr="006D5487">
              <w:rPr>
                <w:rFonts w:ascii="Arial" w:hAnsi="Arial" w:cs="Arial"/>
                <w:color w:val="181818"/>
                <w:lang w:val="en-US"/>
              </w:rPr>
              <w:lastRenderedPageBreak/>
              <w:t xml:space="preserve">term investment horizon and with a disciplined internal process carefully considering the risks of exposures to such assets, investing in this asset class can lead to important investment opportunities allowing identification and access to exceptional private companies with high odds of growth and becoming successful public companies. </w:t>
            </w:r>
          </w:p>
          <w:p w14:paraId="22FFE7B4" w14:textId="77777777" w:rsidR="006D5487" w:rsidRPr="006D5487" w:rsidRDefault="006D5487" w:rsidP="006D5487">
            <w:pPr>
              <w:spacing w:after="250" w:line="276" w:lineRule="auto"/>
              <w:jc w:val="both"/>
              <w:rPr>
                <w:rFonts w:ascii="Arial" w:hAnsi="Arial" w:cs="Arial"/>
                <w:color w:val="181818"/>
                <w:lang w:val="en-US"/>
              </w:rPr>
            </w:pPr>
            <w:r w:rsidRPr="006D5487">
              <w:rPr>
                <w:rFonts w:ascii="Arial" w:hAnsi="Arial" w:cs="Arial"/>
                <w:color w:val="181818"/>
                <w:lang w:val="en-US"/>
              </w:rPr>
              <w:t>(2) Exposure to unlisted equity can be created passively, through a corporate debt restructuring involving debt-for-equity swaps – this will provide positive optionality, so there is a potentially strong inventive to keep those assets in the best interests of the investors. A specific example of this is Russian securities, which are now no longer listed, however UCITS managers still hold them and must be able to trade them OTC.</w:t>
            </w:r>
          </w:p>
          <w:p w14:paraId="4B99056E" w14:textId="4E68ABA6" w:rsidR="006D5487" w:rsidRPr="006D5487" w:rsidRDefault="006D5487" w:rsidP="006D5487">
            <w:pPr>
              <w:spacing w:after="250" w:line="276" w:lineRule="auto"/>
              <w:jc w:val="both"/>
              <w:rPr>
                <w:rFonts w:ascii="Arial" w:hAnsi="Arial" w:cs="Arial"/>
                <w:color w:val="181818"/>
                <w:lang w:val="en-US"/>
              </w:rPr>
            </w:pPr>
            <w:r w:rsidRPr="006D5487">
              <w:rPr>
                <w:rFonts w:ascii="Arial" w:hAnsi="Arial" w:cs="Arial"/>
                <w:color w:val="181818"/>
                <w:lang w:val="en-US"/>
              </w:rPr>
              <w:t xml:space="preserve">This market has grown in importance as a source of capital formation and value-creation over the last 20 years, with mutual funds in recent years having engaged in increasingly more </w:t>
            </w:r>
            <w:r w:rsidRPr="006D5487">
              <w:rPr>
                <w:rFonts w:ascii="Arial" w:hAnsi="Arial" w:cs="Arial"/>
                <w:color w:val="181818"/>
                <w:lang w:val="en-US"/>
              </w:rPr>
              <w:lastRenderedPageBreak/>
              <w:t>private investing to capture this value creation.</w:t>
            </w:r>
          </w:p>
        </w:tc>
        <w:tc>
          <w:tcPr>
            <w:tcW w:w="2409" w:type="dxa"/>
          </w:tcPr>
          <w:p w14:paraId="1299C43A" w14:textId="208DCF2E" w:rsidR="006D5487" w:rsidRPr="006D5487" w:rsidRDefault="006D5487" w:rsidP="006D5487">
            <w:pPr>
              <w:spacing w:after="250" w:line="276" w:lineRule="auto"/>
              <w:jc w:val="both"/>
              <w:rPr>
                <w:rFonts w:ascii="Arial" w:hAnsi="Arial" w:cs="Arial"/>
                <w:color w:val="181818"/>
                <w:lang w:val="en-US"/>
              </w:rPr>
            </w:pPr>
            <w:r w:rsidRPr="006D5487">
              <w:rPr>
                <w:rFonts w:ascii="Arial" w:hAnsi="Arial" w:cs="Arial"/>
                <w:color w:val="181818"/>
                <w:lang w:val="en-US"/>
              </w:rPr>
              <w:lastRenderedPageBreak/>
              <w:t>Indirect exposure can be obtained via, e.g., rights and convertibles.</w:t>
            </w:r>
          </w:p>
        </w:tc>
        <w:tc>
          <w:tcPr>
            <w:tcW w:w="1985" w:type="dxa"/>
          </w:tcPr>
          <w:p w14:paraId="7B51E34F" w14:textId="77777777" w:rsidR="006D5487" w:rsidRPr="006D5487" w:rsidRDefault="006D5487" w:rsidP="006D5487">
            <w:pPr>
              <w:spacing w:after="250" w:line="276" w:lineRule="auto"/>
              <w:jc w:val="both"/>
              <w:rPr>
                <w:rFonts w:ascii="Arial" w:hAnsi="Arial" w:cs="Arial"/>
                <w:color w:val="181818"/>
                <w:lang w:val="en-US"/>
              </w:rPr>
            </w:pPr>
            <w:r w:rsidRPr="006D5487">
              <w:rPr>
                <w:rFonts w:ascii="Arial" w:hAnsi="Arial" w:cs="Arial"/>
                <w:color w:val="181818"/>
                <w:lang w:val="en-US"/>
              </w:rPr>
              <w:t xml:space="preserve">A cross-section of our members have reported exposures of below 5%. </w:t>
            </w:r>
          </w:p>
          <w:p w14:paraId="4DDBEF00" w14:textId="77777777" w:rsidR="006D5487" w:rsidRPr="006D5487" w:rsidRDefault="006D5487" w:rsidP="006D5487">
            <w:pPr>
              <w:spacing w:after="250" w:line="276" w:lineRule="auto"/>
              <w:jc w:val="both"/>
              <w:rPr>
                <w:rFonts w:ascii="Arial" w:hAnsi="Arial" w:cs="Arial"/>
                <w:color w:val="181818"/>
                <w:lang w:val="en-US"/>
              </w:rPr>
            </w:pPr>
          </w:p>
        </w:tc>
        <w:tc>
          <w:tcPr>
            <w:tcW w:w="4536" w:type="dxa"/>
          </w:tcPr>
          <w:p w14:paraId="0F8A5878" w14:textId="77777777" w:rsidR="006D5487" w:rsidRPr="006D5487" w:rsidRDefault="006D5487" w:rsidP="006D5487">
            <w:pPr>
              <w:spacing w:after="250" w:line="276" w:lineRule="auto"/>
              <w:jc w:val="both"/>
              <w:rPr>
                <w:rFonts w:ascii="Arial" w:hAnsi="Arial" w:cs="Arial"/>
                <w:color w:val="181818"/>
                <w:lang w:val="en-US"/>
              </w:rPr>
            </w:pPr>
            <w:r w:rsidRPr="006D5487">
              <w:rPr>
                <w:rFonts w:ascii="Arial" w:hAnsi="Arial" w:cs="Arial"/>
                <w:b/>
                <w:bCs/>
                <w:color w:val="181818"/>
                <w:lang w:val="en-US"/>
              </w:rPr>
              <w:t>Liquidity</w:t>
            </w:r>
            <w:r w:rsidRPr="006D5487">
              <w:rPr>
                <w:rFonts w:ascii="Arial" w:hAnsi="Arial" w:cs="Arial"/>
                <w:color w:val="181818"/>
                <w:lang w:val="en-US"/>
              </w:rPr>
              <w:t>: as these are not listed on public exchanges, these assets are less liquid than listed equities. Guardrails applied to this asset class can include the implementation of ‘traffic light systems’ coupled with periodic assessments and reporting to the senior management.</w:t>
            </w:r>
          </w:p>
          <w:p w14:paraId="4970B65B" w14:textId="77777777" w:rsidR="006D5487" w:rsidRPr="006D5487" w:rsidRDefault="006D5487" w:rsidP="006D5487">
            <w:pPr>
              <w:spacing w:after="250" w:line="276" w:lineRule="auto"/>
              <w:jc w:val="both"/>
              <w:rPr>
                <w:rFonts w:ascii="Arial" w:hAnsi="Arial" w:cs="Arial"/>
                <w:color w:val="181818"/>
                <w:lang w:val="en-US"/>
              </w:rPr>
            </w:pPr>
            <w:r w:rsidRPr="006D5487">
              <w:rPr>
                <w:rFonts w:ascii="Arial" w:hAnsi="Arial" w:cs="Arial"/>
                <w:b/>
                <w:bCs/>
                <w:color w:val="181818"/>
                <w:lang w:val="en-US"/>
              </w:rPr>
              <w:t>Reliable Valuation</w:t>
            </w:r>
            <w:r w:rsidRPr="006D5487">
              <w:rPr>
                <w:rFonts w:ascii="Arial" w:hAnsi="Arial" w:cs="Arial"/>
                <w:color w:val="181818"/>
                <w:lang w:val="en-US"/>
              </w:rPr>
              <w:t xml:space="preserve">: in case of no price coverage, internal valuation processes can be established to fair value the position. Along with </w:t>
            </w:r>
            <w:r w:rsidRPr="006D5487">
              <w:rPr>
                <w:rFonts w:ascii="Arial" w:hAnsi="Arial" w:cs="Arial"/>
                <w:color w:val="181818"/>
                <w:lang w:val="en-US"/>
              </w:rPr>
              <w:lastRenderedPageBreak/>
              <w:t>potential and regular official accounting information.</w:t>
            </w:r>
          </w:p>
          <w:p w14:paraId="3461D779" w14:textId="041094D5" w:rsidR="006D5487" w:rsidRPr="006D5487" w:rsidRDefault="006D5487" w:rsidP="006D5487">
            <w:pPr>
              <w:spacing w:after="250" w:line="276" w:lineRule="auto"/>
              <w:jc w:val="both"/>
              <w:rPr>
                <w:rFonts w:ascii="Arial" w:hAnsi="Arial" w:cs="Arial"/>
                <w:color w:val="181818"/>
                <w:lang w:val="en-US"/>
              </w:rPr>
            </w:pPr>
            <w:r w:rsidRPr="006D5487">
              <w:rPr>
                <w:rFonts w:ascii="Arial" w:hAnsi="Arial" w:cs="Arial"/>
                <w:b/>
                <w:bCs/>
                <w:color w:val="181818"/>
                <w:lang w:val="en-US"/>
              </w:rPr>
              <w:t>Other risk management</w:t>
            </w:r>
            <w:r w:rsidRPr="006D5487">
              <w:rPr>
                <w:rFonts w:ascii="Arial" w:hAnsi="Arial" w:cs="Arial"/>
                <w:color w:val="181818"/>
                <w:lang w:val="en-US"/>
              </w:rPr>
              <w:t>: some of our members report that they typically only invest if there is a commitment to list or be publicly traded within 1 year.</w:t>
            </w:r>
          </w:p>
        </w:tc>
      </w:tr>
      <w:tr w:rsidR="002257F6" w:rsidRPr="00B33432" w14:paraId="5539B04B" w14:textId="77777777" w:rsidTr="00654E41">
        <w:tc>
          <w:tcPr>
            <w:tcW w:w="1271" w:type="dxa"/>
          </w:tcPr>
          <w:p w14:paraId="378D969D" w14:textId="77777777" w:rsidR="002257F6" w:rsidRPr="00B33432" w:rsidRDefault="002257F6" w:rsidP="002257F6">
            <w:pPr>
              <w:spacing w:after="250" w:line="276" w:lineRule="auto"/>
              <w:rPr>
                <w:rFonts w:ascii="Arial" w:hAnsi="Arial" w:cs="Arial"/>
              </w:rPr>
            </w:pPr>
            <w:r w:rsidRPr="00B33432">
              <w:rPr>
                <w:rFonts w:ascii="Arial" w:hAnsi="Arial" w:cs="Arial"/>
              </w:rPr>
              <w:lastRenderedPageBreak/>
              <w:t>7. Crypto assets</w:t>
            </w:r>
            <w:r w:rsidRPr="00B33432">
              <w:rPr>
                <w:rFonts w:ascii="Arial" w:hAnsi="Arial" w:cs="Arial"/>
                <w:vertAlign w:val="superscript"/>
              </w:rPr>
              <w:footnoteReference w:id="8"/>
            </w:r>
          </w:p>
        </w:tc>
        <w:tc>
          <w:tcPr>
            <w:tcW w:w="3686" w:type="dxa"/>
          </w:tcPr>
          <w:p w14:paraId="3FA4119B" w14:textId="77777777" w:rsidR="002257F6" w:rsidRPr="002257F6" w:rsidRDefault="002257F6" w:rsidP="002257F6">
            <w:pPr>
              <w:spacing w:after="250" w:line="276" w:lineRule="auto"/>
              <w:jc w:val="both"/>
              <w:rPr>
                <w:rFonts w:ascii="Arial" w:hAnsi="Arial" w:cs="Arial"/>
                <w:color w:val="181818"/>
                <w:lang w:val="en-US"/>
              </w:rPr>
            </w:pPr>
            <w:r w:rsidRPr="002257F6">
              <w:rPr>
                <w:rFonts w:ascii="Arial" w:hAnsi="Arial" w:cs="Arial"/>
                <w:color w:val="181818"/>
                <w:lang w:val="en-US"/>
              </w:rPr>
              <w:t xml:space="preserve">We believe this topic is too broad and nuanced to comprehensively address within the context of this consultation. Regulatory and market practice is still developing in this area. </w:t>
            </w:r>
          </w:p>
          <w:p w14:paraId="14443B62" w14:textId="77777777" w:rsidR="002257F6" w:rsidRPr="002257F6" w:rsidRDefault="002257F6" w:rsidP="002257F6">
            <w:pPr>
              <w:spacing w:after="250" w:line="276" w:lineRule="auto"/>
              <w:jc w:val="both"/>
              <w:rPr>
                <w:rFonts w:ascii="Arial" w:hAnsi="Arial" w:cs="Arial"/>
                <w:color w:val="181818"/>
                <w:lang w:val="en-US"/>
              </w:rPr>
            </w:pPr>
            <w:r w:rsidRPr="002257F6">
              <w:rPr>
                <w:rFonts w:ascii="Arial" w:hAnsi="Arial" w:cs="Arial"/>
                <w:color w:val="181818"/>
                <w:lang w:val="en-US"/>
              </w:rPr>
              <w:t xml:space="preserve">Related to this, it is important to differentiate between sub-categories of crypto-assets, in particular those within the scope of </w:t>
            </w:r>
            <w:proofErr w:type="spellStart"/>
            <w:r w:rsidRPr="002257F6">
              <w:rPr>
                <w:rFonts w:ascii="Arial" w:hAnsi="Arial" w:cs="Arial"/>
                <w:color w:val="181818"/>
                <w:lang w:val="en-US"/>
              </w:rPr>
              <w:t>MiCAR</w:t>
            </w:r>
            <w:proofErr w:type="spellEnd"/>
            <w:r w:rsidRPr="002257F6">
              <w:rPr>
                <w:rFonts w:ascii="Arial" w:hAnsi="Arial" w:cs="Arial"/>
                <w:color w:val="181818"/>
                <w:lang w:val="en-US"/>
              </w:rPr>
              <w:t xml:space="preserve"> and those within the scope of MiFID II. When it comes to </w:t>
            </w:r>
            <w:proofErr w:type="spellStart"/>
            <w:r w:rsidRPr="002257F6">
              <w:rPr>
                <w:rFonts w:ascii="Arial" w:hAnsi="Arial" w:cs="Arial"/>
                <w:color w:val="181818"/>
                <w:lang w:val="en-US"/>
              </w:rPr>
              <w:t>tokenising</w:t>
            </w:r>
            <w:proofErr w:type="spellEnd"/>
            <w:r w:rsidRPr="002257F6">
              <w:rPr>
                <w:rFonts w:ascii="Arial" w:hAnsi="Arial" w:cs="Arial"/>
                <w:color w:val="181818"/>
                <w:lang w:val="en-US"/>
              </w:rPr>
              <w:t xml:space="preserve"> an eligible asset (i.e., representing its ownership rights using DLT), this could bring efficiencies to post-trade and compliance processes, via automation, smart contracts, identity verification. This is because DLT creates a single, digital record of ownership to verify ownership title and authenticity. It can also allow for greater liquidity by enabling fractional ownership in an underlying asset. We note our response to Question 25, </w:t>
            </w:r>
            <w:r w:rsidRPr="002257F6">
              <w:rPr>
                <w:rFonts w:ascii="Arial" w:hAnsi="Arial" w:cs="Arial"/>
                <w:color w:val="181818"/>
                <w:lang w:val="en-US"/>
              </w:rPr>
              <w:lastRenderedPageBreak/>
              <w:t>below, suggesting to clarify via guidance that tokenization of an eligible asset would not impact the eligibility of that asset, in alignment with MiFID II.</w:t>
            </w:r>
          </w:p>
          <w:p w14:paraId="3CF2D8B6" w14:textId="18A6CA70" w:rsidR="002257F6" w:rsidRPr="002257F6" w:rsidRDefault="002257F6" w:rsidP="002257F6">
            <w:pPr>
              <w:spacing w:after="250" w:line="276" w:lineRule="auto"/>
              <w:jc w:val="both"/>
              <w:rPr>
                <w:rFonts w:ascii="Arial" w:hAnsi="Arial" w:cs="Arial"/>
                <w:color w:val="181818"/>
                <w:lang w:val="en-US"/>
              </w:rPr>
            </w:pPr>
            <w:r w:rsidRPr="002257F6">
              <w:rPr>
                <w:rFonts w:ascii="Arial" w:hAnsi="Arial" w:cs="Arial"/>
                <w:color w:val="181818"/>
                <w:lang w:val="en-US"/>
              </w:rPr>
              <w:t>With respect to cryptocurrencies, this raises important considerations which must be thoroughly considered.</w:t>
            </w:r>
          </w:p>
        </w:tc>
        <w:tc>
          <w:tcPr>
            <w:tcW w:w="2409" w:type="dxa"/>
          </w:tcPr>
          <w:p w14:paraId="51B0E821" w14:textId="77777777" w:rsidR="002257F6" w:rsidRPr="002257F6" w:rsidRDefault="002257F6" w:rsidP="002257F6">
            <w:pPr>
              <w:spacing w:after="250" w:line="276" w:lineRule="auto"/>
              <w:jc w:val="both"/>
              <w:rPr>
                <w:rFonts w:ascii="Arial" w:hAnsi="Arial" w:cs="Arial"/>
                <w:color w:val="181818"/>
                <w:lang w:val="en-US"/>
              </w:rPr>
            </w:pPr>
            <w:r w:rsidRPr="002257F6">
              <w:rPr>
                <w:rFonts w:ascii="Arial" w:hAnsi="Arial" w:cs="Arial"/>
                <w:color w:val="181818"/>
                <w:lang w:val="en-US"/>
              </w:rPr>
              <w:lastRenderedPageBreak/>
              <w:t>Indirect exposure can be obtained via ETPs, investment in other CIUs, derivative products and thematic equities.</w:t>
            </w:r>
          </w:p>
          <w:p w14:paraId="0AC611BC" w14:textId="77777777" w:rsidR="002257F6" w:rsidRDefault="002257F6" w:rsidP="002257F6">
            <w:pPr>
              <w:spacing w:after="250" w:line="276" w:lineRule="auto"/>
              <w:jc w:val="both"/>
              <w:rPr>
                <w:rFonts w:ascii="Arial" w:hAnsi="Arial" w:cs="Arial"/>
                <w:color w:val="181818"/>
                <w:lang w:val="en-US"/>
              </w:rPr>
            </w:pPr>
            <w:r>
              <w:rPr>
                <w:rFonts w:ascii="Arial" w:hAnsi="Arial" w:cs="Arial"/>
                <w:color w:val="181818"/>
                <w:lang w:val="en-US"/>
              </w:rPr>
              <w:t xml:space="preserve">Without expressing a view on the appropriateness of exposure of UCITS to </w:t>
            </w:r>
            <w:proofErr w:type="spellStart"/>
            <w:r>
              <w:rPr>
                <w:rFonts w:ascii="Arial" w:hAnsi="Arial" w:cs="Arial"/>
                <w:color w:val="181818"/>
                <w:lang w:val="en-US"/>
              </w:rPr>
              <w:t>cryptoassets</w:t>
            </w:r>
            <w:proofErr w:type="spellEnd"/>
            <w:r>
              <w:rPr>
                <w:rFonts w:ascii="Arial" w:hAnsi="Arial" w:cs="Arial"/>
                <w:color w:val="181818"/>
                <w:lang w:val="en-US"/>
              </w:rPr>
              <w:t>, we broadly recognize that i</w:t>
            </w:r>
            <w:r w:rsidRPr="00AD64F6">
              <w:rPr>
                <w:rFonts w:ascii="Arial" w:hAnsi="Arial" w:cs="Arial"/>
                <w:color w:val="181818"/>
                <w:lang w:val="en-US"/>
              </w:rPr>
              <w:t xml:space="preserve">ndirect crypto asset exposure enables UCITS managers to gain exposure via traditional wrappers while </w:t>
            </w:r>
            <w:r>
              <w:rPr>
                <w:rFonts w:ascii="Arial" w:hAnsi="Arial" w:cs="Arial"/>
                <w:color w:val="181818"/>
                <w:lang w:val="en-US"/>
              </w:rPr>
              <w:t>removing</w:t>
            </w:r>
            <w:r w:rsidRPr="00AD64F6">
              <w:rPr>
                <w:rFonts w:ascii="Arial" w:hAnsi="Arial" w:cs="Arial"/>
                <w:color w:val="181818"/>
                <w:lang w:val="en-US"/>
              </w:rPr>
              <w:t xml:space="preserve"> certain challenges of direct investments</w:t>
            </w:r>
            <w:r>
              <w:rPr>
                <w:rFonts w:ascii="Arial" w:hAnsi="Arial" w:cs="Arial"/>
                <w:color w:val="181818"/>
                <w:lang w:val="en-US"/>
              </w:rPr>
              <w:t xml:space="preserve"> – in particular:</w:t>
            </w:r>
          </w:p>
          <w:p w14:paraId="6BA3014E" w14:textId="77777777" w:rsidR="002257F6" w:rsidRDefault="002257F6" w:rsidP="002257F6">
            <w:pPr>
              <w:spacing w:after="250" w:line="276" w:lineRule="auto"/>
              <w:jc w:val="both"/>
              <w:rPr>
                <w:rFonts w:ascii="Arial" w:hAnsi="Arial" w:cs="Arial"/>
                <w:color w:val="181818"/>
                <w:lang w:val="en-US"/>
              </w:rPr>
            </w:pPr>
            <w:r>
              <w:rPr>
                <w:rFonts w:ascii="Arial" w:hAnsi="Arial" w:cs="Arial"/>
                <w:color w:val="181818"/>
                <w:lang w:val="en-US"/>
              </w:rPr>
              <w:lastRenderedPageBreak/>
              <w:t>(1) The need for a specialized crypto asset custody setup</w:t>
            </w:r>
            <w:r w:rsidRPr="003A4051">
              <w:rPr>
                <w:rFonts w:ascii="Arial" w:hAnsi="Arial" w:cs="Arial"/>
                <w:color w:val="181818"/>
                <w:lang w:val="en-US"/>
              </w:rPr>
              <w:t xml:space="preserve">. Many custodians of UCITS funds are not yet able to offer this service, thus indirect crypto asset investments negate the requirement to onboard </w:t>
            </w:r>
            <w:r>
              <w:rPr>
                <w:rFonts w:ascii="Arial" w:hAnsi="Arial" w:cs="Arial"/>
                <w:color w:val="181818"/>
                <w:lang w:val="en-US"/>
              </w:rPr>
              <w:t xml:space="preserve">and due diligence </w:t>
            </w:r>
            <w:r w:rsidRPr="003A4051">
              <w:rPr>
                <w:rFonts w:ascii="Arial" w:hAnsi="Arial" w:cs="Arial"/>
                <w:color w:val="181818"/>
                <w:lang w:val="en-US"/>
              </w:rPr>
              <w:t>a separate specialized crypto asset custodian.</w:t>
            </w:r>
          </w:p>
          <w:p w14:paraId="0FB78278" w14:textId="67760D63" w:rsidR="002257F6" w:rsidRPr="002257F6" w:rsidRDefault="002257F6" w:rsidP="002257F6">
            <w:pPr>
              <w:spacing w:after="250" w:line="276" w:lineRule="auto"/>
              <w:jc w:val="both"/>
              <w:rPr>
                <w:rFonts w:ascii="Arial" w:hAnsi="Arial" w:cs="Arial"/>
                <w:color w:val="181818"/>
                <w:lang w:val="en-US"/>
              </w:rPr>
            </w:pPr>
            <w:r w:rsidRPr="002257F6">
              <w:rPr>
                <w:rFonts w:ascii="Arial" w:hAnsi="Arial" w:cs="Arial"/>
                <w:color w:val="181818"/>
                <w:lang w:val="en-US"/>
              </w:rPr>
              <w:t>(2) Access to crypto asset-specific liquidity venues. The liquidity of cryptocurrencies is spread across multiple, mostly crypto-specific, liquidity venues and traded against both fiat currencies and stablecoins. UCITS managers may not be able to efficiently access those crypto asset-specific liquidity venues, while crypto asset product structures do.</w:t>
            </w:r>
          </w:p>
        </w:tc>
        <w:tc>
          <w:tcPr>
            <w:tcW w:w="1985" w:type="dxa"/>
          </w:tcPr>
          <w:p w14:paraId="1FC39945" w14:textId="36EC7924" w:rsidR="002257F6" w:rsidRPr="002257F6" w:rsidRDefault="002257F6" w:rsidP="002257F6">
            <w:pPr>
              <w:spacing w:after="250" w:line="276" w:lineRule="auto"/>
              <w:jc w:val="both"/>
              <w:rPr>
                <w:rFonts w:ascii="Arial" w:hAnsi="Arial" w:cs="Arial"/>
                <w:color w:val="181818"/>
                <w:lang w:val="en-US"/>
              </w:rPr>
            </w:pPr>
            <w:r w:rsidRPr="002257F6">
              <w:rPr>
                <w:rFonts w:ascii="Arial" w:hAnsi="Arial" w:cs="Arial"/>
                <w:color w:val="181818"/>
                <w:lang w:val="en-US"/>
              </w:rPr>
              <w:lastRenderedPageBreak/>
              <w:t>Very limited indirect exposure of &lt;1% has been reported by certain of our members, having been gained via ETPs.</w:t>
            </w:r>
          </w:p>
        </w:tc>
        <w:tc>
          <w:tcPr>
            <w:tcW w:w="4536" w:type="dxa"/>
          </w:tcPr>
          <w:p w14:paraId="28F01C51" w14:textId="77777777" w:rsidR="002257F6" w:rsidRPr="002257F6" w:rsidRDefault="002257F6" w:rsidP="002257F6">
            <w:pPr>
              <w:spacing w:after="250" w:line="276" w:lineRule="auto"/>
              <w:jc w:val="both"/>
              <w:rPr>
                <w:rFonts w:ascii="Arial" w:hAnsi="Arial" w:cs="Arial"/>
                <w:color w:val="181818"/>
                <w:lang w:val="en-US"/>
              </w:rPr>
            </w:pPr>
            <w:r w:rsidRPr="002257F6">
              <w:rPr>
                <w:rFonts w:ascii="Arial" w:hAnsi="Arial" w:cs="Arial"/>
                <w:b/>
                <w:bCs/>
                <w:color w:val="181818"/>
                <w:lang w:val="en-US"/>
              </w:rPr>
              <w:t>Regulator views</w:t>
            </w:r>
            <w:r w:rsidRPr="002257F6">
              <w:rPr>
                <w:rFonts w:ascii="Arial" w:hAnsi="Arial" w:cs="Arial"/>
                <w:color w:val="181818"/>
                <w:lang w:val="en-US"/>
              </w:rPr>
              <w:t xml:space="preserve">:  there is divergence as to whether crypto assets can be considered transferable securities. For example, ESMA’s guidelines proposal on </w:t>
            </w:r>
            <w:proofErr w:type="spellStart"/>
            <w:r w:rsidRPr="002257F6">
              <w:rPr>
                <w:rFonts w:ascii="Arial" w:hAnsi="Arial" w:cs="Arial"/>
                <w:color w:val="181818"/>
                <w:lang w:val="en-US"/>
              </w:rPr>
              <w:t>MiCA</w:t>
            </w:r>
            <w:proofErr w:type="spellEnd"/>
            <w:r w:rsidRPr="002257F6">
              <w:rPr>
                <w:rFonts w:ascii="Arial" w:hAnsi="Arial" w:cs="Arial"/>
                <w:color w:val="181818"/>
                <w:lang w:val="en-US"/>
              </w:rPr>
              <w:t xml:space="preserve"> Regulation </w:t>
            </w:r>
            <w:proofErr w:type="spellStart"/>
            <w:r w:rsidRPr="002257F6">
              <w:rPr>
                <w:rFonts w:ascii="Arial" w:hAnsi="Arial" w:cs="Arial"/>
                <w:color w:val="181818"/>
                <w:lang w:val="en-US"/>
              </w:rPr>
              <w:t>recognise</w:t>
            </w:r>
            <w:proofErr w:type="spellEnd"/>
            <w:r w:rsidRPr="002257F6">
              <w:rPr>
                <w:rFonts w:ascii="Arial" w:hAnsi="Arial" w:cs="Arial"/>
                <w:color w:val="181818"/>
                <w:lang w:val="en-US"/>
              </w:rPr>
              <w:t xml:space="preserve"> that certain crypto assets can be classed as financial instruments under MiFID II. in </w:t>
            </w:r>
            <w:r w:rsidRPr="002257F6">
              <w:rPr>
                <w:rFonts w:ascii="Arial" w:hAnsi="Arial" w:cs="Arial"/>
                <w:b/>
                <w:bCs/>
                <w:color w:val="181818"/>
                <w:lang w:val="en-US"/>
              </w:rPr>
              <w:t>Ireland</w:t>
            </w:r>
            <w:r w:rsidRPr="002257F6">
              <w:rPr>
                <w:rFonts w:ascii="Arial" w:hAnsi="Arial" w:cs="Arial"/>
                <w:color w:val="181818"/>
                <w:lang w:val="en-US"/>
              </w:rPr>
              <w:t xml:space="preserve">, the CBI </w:t>
            </w:r>
            <w:proofErr w:type="spellStart"/>
            <w:r w:rsidRPr="002257F6">
              <w:rPr>
                <w:rFonts w:ascii="Arial" w:hAnsi="Arial" w:cs="Arial"/>
                <w:color w:val="181818"/>
                <w:lang w:val="en-US"/>
              </w:rPr>
              <w:t>recognises</w:t>
            </w:r>
            <w:proofErr w:type="spellEnd"/>
            <w:r w:rsidRPr="002257F6">
              <w:rPr>
                <w:rFonts w:ascii="Arial" w:hAnsi="Arial" w:cs="Arial"/>
                <w:color w:val="181818"/>
                <w:lang w:val="en-US"/>
              </w:rPr>
              <w:t xml:space="preserve"> that </w:t>
            </w:r>
            <w:proofErr w:type="spellStart"/>
            <w:r w:rsidRPr="002257F6">
              <w:rPr>
                <w:rFonts w:ascii="Arial" w:hAnsi="Arial" w:cs="Arial"/>
                <w:color w:val="181818"/>
                <w:lang w:val="en-US"/>
              </w:rPr>
              <w:t>tokenised</w:t>
            </w:r>
            <w:proofErr w:type="spellEnd"/>
            <w:r w:rsidRPr="002257F6">
              <w:rPr>
                <w:rFonts w:ascii="Arial" w:hAnsi="Arial" w:cs="Arial"/>
                <w:color w:val="181818"/>
                <w:lang w:val="en-US"/>
              </w:rPr>
              <w:t xml:space="preserve"> traditional assets may have a different risk profile to other digital assets based on an intangible or non-traditional underlying. Regarding the latter, the CBI states it is highly unlikely to approve direct or indirect exposure by a UCITS in light of their potential for significant risk (liquidity, credit, market, operational, etc.). In </w:t>
            </w:r>
            <w:r w:rsidRPr="002257F6">
              <w:rPr>
                <w:rFonts w:ascii="Arial" w:hAnsi="Arial" w:cs="Arial"/>
                <w:b/>
                <w:bCs/>
                <w:color w:val="181818"/>
                <w:lang w:val="en-US"/>
              </w:rPr>
              <w:t>Luxembourg</w:t>
            </w:r>
            <w:r w:rsidRPr="002257F6">
              <w:rPr>
                <w:rFonts w:ascii="Arial" w:hAnsi="Arial" w:cs="Arial"/>
                <w:color w:val="181818"/>
                <w:lang w:val="en-US"/>
              </w:rPr>
              <w:t xml:space="preserve">, the CSSF in its 2024 FAQ on Virtual Assets states that UCITS are not allowed to invest directly or indirectly in virtual assets, though this prohibition does not apply to digital assets fulfilling the definition of financial instruments and such digital assets could potentially fall within the scope of eligible assets for UCITS. In </w:t>
            </w:r>
            <w:r w:rsidRPr="002257F6">
              <w:rPr>
                <w:rFonts w:ascii="Arial" w:hAnsi="Arial" w:cs="Arial"/>
                <w:b/>
                <w:bCs/>
                <w:color w:val="181818"/>
                <w:lang w:val="en-US"/>
              </w:rPr>
              <w:t>Germany</w:t>
            </w:r>
            <w:r w:rsidRPr="002257F6">
              <w:rPr>
                <w:rFonts w:ascii="Arial" w:hAnsi="Arial" w:cs="Arial"/>
                <w:color w:val="181818"/>
                <w:lang w:val="en-US"/>
              </w:rPr>
              <w:t xml:space="preserve">, </w:t>
            </w:r>
            <w:hyperlink r:id="rId12" w:history="1">
              <w:r w:rsidRPr="002257F6">
                <w:rPr>
                  <w:rStyle w:val="Hyperlink"/>
                  <w:rFonts w:ascii="Arial" w:eastAsiaTheme="minorHAnsi" w:hAnsi="Arial" w:cs="Arial"/>
                  <w:lang w:val="en-US"/>
                </w:rPr>
                <w:t>BaFin FAQ</w:t>
              </w:r>
            </w:hyperlink>
            <w:r w:rsidRPr="002257F6">
              <w:rPr>
                <w:rFonts w:ascii="Arial" w:hAnsi="Arial" w:cs="Arial"/>
                <w:color w:val="181818"/>
                <w:lang w:val="en-US"/>
              </w:rPr>
              <w:t xml:space="preserve"> notes that UCITS are not permitted to invest directly in crypto assets such as Bitcoin, but may </w:t>
            </w:r>
            <w:r w:rsidRPr="002257F6">
              <w:rPr>
                <w:rFonts w:ascii="Arial" w:hAnsi="Arial" w:cs="Arial"/>
                <w:color w:val="181818"/>
                <w:lang w:val="en-US"/>
              </w:rPr>
              <w:lastRenderedPageBreak/>
              <w:t>participate in the price development of crypto assets indirectly by means of delta-one certificates.</w:t>
            </w:r>
          </w:p>
          <w:p w14:paraId="1E7B18C8" w14:textId="77777777" w:rsidR="002257F6" w:rsidRPr="002257F6" w:rsidRDefault="002257F6" w:rsidP="002257F6">
            <w:pPr>
              <w:spacing w:after="250" w:line="276" w:lineRule="auto"/>
              <w:jc w:val="both"/>
              <w:rPr>
                <w:rFonts w:ascii="Arial" w:hAnsi="Arial" w:cs="Arial"/>
                <w:color w:val="181818"/>
                <w:lang w:val="en-US"/>
              </w:rPr>
            </w:pPr>
            <w:r w:rsidRPr="002257F6">
              <w:rPr>
                <w:rFonts w:ascii="Arial" w:hAnsi="Arial" w:cs="Arial"/>
                <w:b/>
                <w:bCs/>
                <w:color w:val="181818"/>
                <w:lang w:val="en-US"/>
              </w:rPr>
              <w:t>Reliable Valuation</w:t>
            </w:r>
            <w:r w:rsidRPr="002257F6">
              <w:rPr>
                <w:rFonts w:ascii="Arial" w:hAnsi="Arial" w:cs="Arial"/>
                <w:color w:val="181818"/>
                <w:lang w:val="en-US"/>
              </w:rPr>
              <w:t>: other than asset-backed tokens, most digital assets do not have an inherent value based on underlying assets or potential cash flow they can generate. While most cryptocurrencies have self-imposed limits on their total supply which can help to maintain value, there is no consensus as to how to value cryptocurrencies and many have experienced high price volatility. For existing ETPs with a cryptocurrency underlying, the value is derived based on real-time trade prices from digital exchanges.</w:t>
            </w:r>
          </w:p>
          <w:p w14:paraId="0562CB0E" w14:textId="737283D3" w:rsidR="002257F6" w:rsidRPr="002257F6" w:rsidRDefault="002257F6" w:rsidP="002257F6">
            <w:pPr>
              <w:spacing w:after="250" w:line="276" w:lineRule="auto"/>
              <w:jc w:val="both"/>
              <w:rPr>
                <w:rFonts w:ascii="Arial" w:hAnsi="Arial" w:cs="Arial"/>
                <w:color w:val="181818"/>
                <w:lang w:val="en-US"/>
              </w:rPr>
            </w:pPr>
            <w:r w:rsidRPr="002257F6">
              <w:rPr>
                <w:rFonts w:ascii="Arial" w:hAnsi="Arial" w:cs="Arial"/>
                <w:b/>
                <w:bCs/>
                <w:color w:val="181818"/>
                <w:lang w:val="en-US"/>
              </w:rPr>
              <w:t>Other risk management</w:t>
            </w:r>
            <w:r w:rsidRPr="002257F6">
              <w:rPr>
                <w:rFonts w:ascii="Arial" w:hAnsi="Arial" w:cs="Arial"/>
                <w:color w:val="181818"/>
                <w:lang w:val="en-US"/>
              </w:rPr>
              <w:t xml:space="preserve">: for cryptocurrency, custodial arrangements can be a source of risk, in particular risk of hacking. Securing the private keys that enable </w:t>
            </w:r>
            <w:proofErr w:type="spellStart"/>
            <w:r w:rsidRPr="002257F6">
              <w:rPr>
                <w:rFonts w:ascii="Arial" w:hAnsi="Arial" w:cs="Arial"/>
                <w:color w:val="181818"/>
                <w:lang w:val="en-US"/>
              </w:rPr>
              <w:t>cryptoassets</w:t>
            </w:r>
            <w:proofErr w:type="spellEnd"/>
            <w:r w:rsidRPr="002257F6">
              <w:rPr>
                <w:rFonts w:ascii="Arial" w:hAnsi="Arial" w:cs="Arial"/>
                <w:color w:val="181818"/>
                <w:lang w:val="en-US"/>
              </w:rPr>
              <w:t xml:space="preserve"> to be transferred from one party to another is central to safeguarding </w:t>
            </w:r>
            <w:proofErr w:type="spellStart"/>
            <w:r w:rsidRPr="002257F6">
              <w:rPr>
                <w:rFonts w:ascii="Arial" w:hAnsi="Arial" w:cs="Arial"/>
                <w:color w:val="181818"/>
                <w:lang w:val="en-US"/>
              </w:rPr>
              <w:t>cryptoassets</w:t>
            </w:r>
            <w:proofErr w:type="spellEnd"/>
            <w:r w:rsidRPr="002257F6">
              <w:rPr>
                <w:rFonts w:ascii="Arial" w:hAnsi="Arial" w:cs="Arial"/>
                <w:color w:val="181818"/>
                <w:lang w:val="en-US"/>
              </w:rPr>
              <w:t>. High due diligence into the custodian and the digital wallet used will be central, and their procedures for safekeeping private keys.</w:t>
            </w:r>
          </w:p>
        </w:tc>
      </w:tr>
      <w:tr w:rsidR="00C435F7" w:rsidRPr="00B33432" w14:paraId="6582FE19" w14:textId="77777777" w:rsidTr="00654E41">
        <w:tc>
          <w:tcPr>
            <w:tcW w:w="1271" w:type="dxa"/>
          </w:tcPr>
          <w:p w14:paraId="73AF3CD4" w14:textId="77777777" w:rsidR="00C435F7" w:rsidRPr="00B33432" w:rsidRDefault="00C435F7" w:rsidP="00C435F7">
            <w:pPr>
              <w:spacing w:after="250" w:line="276" w:lineRule="auto"/>
              <w:rPr>
                <w:rFonts w:ascii="Arial" w:hAnsi="Arial" w:cs="Arial"/>
              </w:rPr>
            </w:pPr>
            <w:r w:rsidRPr="00B33432">
              <w:rPr>
                <w:rFonts w:ascii="Arial" w:hAnsi="Arial" w:cs="Arial"/>
              </w:rPr>
              <w:lastRenderedPageBreak/>
              <w:t xml:space="preserve">8. </w:t>
            </w:r>
            <w:proofErr w:type="spellStart"/>
            <w:r w:rsidRPr="00B33432">
              <w:rPr>
                <w:rFonts w:ascii="Arial" w:hAnsi="Arial" w:cs="Arial"/>
              </w:rPr>
              <w:t>Commodities</w:t>
            </w:r>
            <w:proofErr w:type="spellEnd"/>
            <w:r w:rsidRPr="00B33432">
              <w:rPr>
                <w:rFonts w:ascii="Arial" w:hAnsi="Arial" w:cs="Arial"/>
              </w:rPr>
              <w:t xml:space="preserve"> </w:t>
            </w:r>
            <w:proofErr w:type="spellStart"/>
            <w:r w:rsidRPr="00B33432">
              <w:rPr>
                <w:rFonts w:ascii="Arial" w:hAnsi="Arial" w:cs="Arial"/>
              </w:rPr>
              <w:t>and</w:t>
            </w:r>
            <w:proofErr w:type="spellEnd"/>
            <w:r w:rsidRPr="00B33432">
              <w:rPr>
                <w:rFonts w:ascii="Arial" w:hAnsi="Arial" w:cs="Arial"/>
              </w:rPr>
              <w:t xml:space="preserve"> </w:t>
            </w:r>
            <w:proofErr w:type="spellStart"/>
            <w:r w:rsidRPr="00B33432">
              <w:rPr>
                <w:rFonts w:ascii="Arial" w:hAnsi="Arial" w:cs="Arial"/>
              </w:rPr>
              <w:t>precious</w:t>
            </w:r>
            <w:proofErr w:type="spellEnd"/>
            <w:r w:rsidRPr="00B33432">
              <w:rPr>
                <w:rFonts w:ascii="Arial" w:hAnsi="Arial" w:cs="Arial"/>
              </w:rPr>
              <w:t xml:space="preserve"> </w:t>
            </w:r>
            <w:proofErr w:type="spellStart"/>
            <w:r w:rsidRPr="00B33432">
              <w:rPr>
                <w:rFonts w:ascii="Arial" w:hAnsi="Arial" w:cs="Arial"/>
              </w:rPr>
              <w:t>metals</w:t>
            </w:r>
            <w:proofErr w:type="spellEnd"/>
            <w:r w:rsidRPr="00B33432">
              <w:rPr>
                <w:rFonts w:ascii="Arial" w:hAnsi="Arial" w:cs="Arial"/>
                <w:sz w:val="16"/>
                <w:vertAlign w:val="superscript"/>
              </w:rPr>
              <w:footnoteReference w:id="9"/>
            </w:r>
          </w:p>
        </w:tc>
        <w:tc>
          <w:tcPr>
            <w:tcW w:w="3686" w:type="dxa"/>
          </w:tcPr>
          <w:p w14:paraId="34CE0A41" w14:textId="376AC351" w:rsidR="00C435F7" w:rsidRPr="00C435F7" w:rsidRDefault="00C435F7" w:rsidP="00C435F7">
            <w:pPr>
              <w:spacing w:after="250" w:line="276" w:lineRule="auto"/>
              <w:jc w:val="both"/>
              <w:rPr>
                <w:rFonts w:ascii="Arial" w:hAnsi="Arial" w:cs="Arial"/>
                <w:color w:val="181818"/>
                <w:lang w:val="en-US"/>
              </w:rPr>
            </w:pPr>
            <w:r w:rsidRPr="00C435F7">
              <w:rPr>
                <w:rFonts w:ascii="Arial" w:hAnsi="Arial" w:cs="Arial"/>
                <w:color w:val="181818"/>
                <w:lang w:val="en-US"/>
              </w:rPr>
              <w:t>Our members have not indicated merits of obtaining direct exposure to commodities and precious metals.</w:t>
            </w:r>
          </w:p>
        </w:tc>
        <w:tc>
          <w:tcPr>
            <w:tcW w:w="2409" w:type="dxa"/>
          </w:tcPr>
          <w:p w14:paraId="15D3D492" w14:textId="77777777" w:rsidR="00C435F7" w:rsidRPr="00C435F7" w:rsidRDefault="00C435F7" w:rsidP="00C435F7">
            <w:pPr>
              <w:spacing w:after="250" w:line="276" w:lineRule="auto"/>
              <w:jc w:val="both"/>
              <w:rPr>
                <w:rFonts w:ascii="Arial" w:hAnsi="Arial" w:cs="Arial"/>
                <w:color w:val="181818"/>
                <w:lang w:val="en-US"/>
              </w:rPr>
            </w:pPr>
            <w:r w:rsidRPr="00C435F7">
              <w:rPr>
                <w:rFonts w:ascii="Arial" w:hAnsi="Arial" w:cs="Arial"/>
                <w:color w:val="181818"/>
                <w:lang w:val="en-US"/>
              </w:rPr>
              <w:t>These asset classes, as an underlying, have low or no correlation with traditional asset classes, diversifying the portfolio and reducing risk, while also providing a good hedge against inflation.</w:t>
            </w:r>
          </w:p>
          <w:p w14:paraId="62EBF3C5" w14:textId="7A8E943E" w:rsidR="00C435F7" w:rsidRPr="00C435F7" w:rsidRDefault="00C435F7" w:rsidP="00C435F7">
            <w:pPr>
              <w:spacing w:after="250" w:line="276" w:lineRule="auto"/>
              <w:jc w:val="both"/>
              <w:rPr>
                <w:rFonts w:ascii="Arial" w:hAnsi="Arial" w:cs="Arial"/>
                <w:color w:val="181818"/>
                <w:lang w:val="en-US"/>
              </w:rPr>
            </w:pPr>
            <w:r w:rsidRPr="00C435F7">
              <w:rPr>
                <w:rFonts w:ascii="Arial" w:hAnsi="Arial" w:cs="Arial"/>
                <w:color w:val="181818"/>
                <w:lang w:val="en-US"/>
              </w:rPr>
              <w:t>Our members report indirect holdings by way of ETF and commodity indices in particular.</w:t>
            </w:r>
          </w:p>
        </w:tc>
        <w:tc>
          <w:tcPr>
            <w:tcW w:w="1985" w:type="dxa"/>
          </w:tcPr>
          <w:p w14:paraId="4AD9F8FF" w14:textId="77777777" w:rsidR="00C435F7" w:rsidRPr="00C435F7" w:rsidRDefault="00C435F7" w:rsidP="00C435F7">
            <w:pPr>
              <w:spacing w:after="250" w:line="276" w:lineRule="auto"/>
              <w:jc w:val="both"/>
              <w:rPr>
                <w:rFonts w:ascii="Arial" w:hAnsi="Arial" w:cs="Arial"/>
                <w:color w:val="181818"/>
                <w:lang w:val="en-US"/>
              </w:rPr>
            </w:pPr>
            <w:r w:rsidRPr="00C435F7">
              <w:rPr>
                <w:rFonts w:ascii="Arial" w:hAnsi="Arial" w:cs="Arial"/>
                <w:color w:val="181818"/>
                <w:lang w:val="en-US"/>
              </w:rPr>
              <w:t>Members have indicated to us that exposure is typically between 0 – 10%, gained indirectly.</w:t>
            </w:r>
          </w:p>
          <w:p w14:paraId="6D98A12B" w14:textId="27322CD3" w:rsidR="00C435F7" w:rsidRPr="00C435F7" w:rsidRDefault="00C435F7" w:rsidP="00C435F7">
            <w:pPr>
              <w:spacing w:after="250" w:line="276" w:lineRule="auto"/>
              <w:jc w:val="both"/>
              <w:rPr>
                <w:rFonts w:ascii="Arial" w:hAnsi="Arial" w:cs="Arial"/>
                <w:color w:val="181818"/>
                <w:lang w:val="en-US"/>
              </w:rPr>
            </w:pPr>
            <w:r w:rsidRPr="00C435F7">
              <w:rPr>
                <w:rFonts w:ascii="Arial" w:hAnsi="Arial" w:cs="Arial"/>
                <w:color w:val="181818"/>
                <w:lang w:val="en-US"/>
              </w:rPr>
              <w:t xml:space="preserve">For UCITS which are </w:t>
            </w:r>
            <w:proofErr w:type="spellStart"/>
            <w:r w:rsidRPr="00C435F7">
              <w:rPr>
                <w:rFonts w:ascii="Arial" w:hAnsi="Arial" w:cs="Arial"/>
                <w:color w:val="181818"/>
                <w:lang w:val="en-US"/>
              </w:rPr>
              <w:t>specialised</w:t>
            </w:r>
            <w:proofErr w:type="spellEnd"/>
            <w:r w:rsidRPr="00C435F7">
              <w:rPr>
                <w:rFonts w:ascii="Arial" w:hAnsi="Arial" w:cs="Arial"/>
                <w:color w:val="181818"/>
                <w:lang w:val="en-US"/>
              </w:rPr>
              <w:t xml:space="preserve"> in this asset class, the minimum indirect exposure (via derivative, ETC, ETF) can be at least 30%.</w:t>
            </w:r>
          </w:p>
        </w:tc>
        <w:tc>
          <w:tcPr>
            <w:tcW w:w="4536" w:type="dxa"/>
          </w:tcPr>
          <w:p w14:paraId="4AEE5A7E" w14:textId="77777777" w:rsidR="00C435F7" w:rsidRPr="00C435F7" w:rsidRDefault="00C435F7" w:rsidP="00C435F7">
            <w:pPr>
              <w:spacing w:after="250" w:line="276" w:lineRule="auto"/>
              <w:jc w:val="both"/>
              <w:rPr>
                <w:rFonts w:ascii="Arial" w:hAnsi="Arial" w:cs="Arial"/>
                <w:color w:val="181818"/>
                <w:lang w:val="en-US"/>
              </w:rPr>
            </w:pPr>
            <w:r w:rsidRPr="00C435F7">
              <w:rPr>
                <w:rFonts w:ascii="Arial" w:hAnsi="Arial" w:cs="Arial"/>
                <w:b/>
                <w:bCs/>
                <w:color w:val="181818"/>
                <w:lang w:val="en-US"/>
              </w:rPr>
              <w:t>Regulator views</w:t>
            </w:r>
            <w:r w:rsidRPr="00C435F7">
              <w:rPr>
                <w:rFonts w:ascii="Arial" w:hAnsi="Arial" w:cs="Arial"/>
                <w:color w:val="181818"/>
                <w:lang w:val="en-US"/>
              </w:rPr>
              <w:t xml:space="preserve">: differing guidance notes have been provided by national competent authorities. </w:t>
            </w:r>
          </w:p>
          <w:p w14:paraId="35126453" w14:textId="77777777" w:rsidR="00C435F7" w:rsidRPr="00C435F7" w:rsidRDefault="00C435F7" w:rsidP="00C435F7">
            <w:pPr>
              <w:spacing w:after="250" w:line="276" w:lineRule="auto"/>
              <w:jc w:val="both"/>
              <w:rPr>
                <w:rFonts w:ascii="Arial" w:hAnsi="Arial" w:cs="Arial"/>
                <w:color w:val="181818"/>
                <w:lang w:val="en-US"/>
              </w:rPr>
            </w:pPr>
            <w:r w:rsidRPr="00C435F7">
              <w:rPr>
                <w:rFonts w:ascii="Arial" w:hAnsi="Arial" w:cs="Arial"/>
                <w:b/>
                <w:bCs/>
                <w:color w:val="181818"/>
                <w:lang w:val="en-US"/>
              </w:rPr>
              <w:t>Liquidity</w:t>
            </w:r>
            <w:r w:rsidRPr="00C435F7">
              <w:rPr>
                <w:rFonts w:ascii="Arial" w:hAnsi="Arial" w:cs="Arial"/>
                <w:color w:val="181818"/>
                <w:lang w:val="en-US"/>
              </w:rPr>
              <w:t>: the main methods of indirectly investing in commodities and precious metals can be considered liquid. For ETFs and ETCs in particular, these are traded on major stock exchanges which provides high liquidity, while futures and options are traded on established, liquid exchanges.</w:t>
            </w:r>
          </w:p>
          <w:p w14:paraId="2946DB82" w14:textId="1D9F81BF" w:rsidR="00C435F7" w:rsidRPr="0013676F" w:rsidRDefault="00C435F7" w:rsidP="00C435F7">
            <w:pPr>
              <w:spacing w:after="250" w:line="276" w:lineRule="auto"/>
              <w:jc w:val="both"/>
              <w:rPr>
                <w:rFonts w:ascii="Arial" w:hAnsi="Arial" w:cs="Arial"/>
                <w:color w:val="181818"/>
                <w:lang w:val="en-US"/>
              </w:rPr>
            </w:pPr>
            <w:r w:rsidRPr="00C435F7">
              <w:rPr>
                <w:rFonts w:ascii="Arial" w:hAnsi="Arial" w:cs="Arial"/>
                <w:b/>
                <w:bCs/>
                <w:color w:val="181818"/>
                <w:lang w:val="en-US"/>
              </w:rPr>
              <w:t>Valuation</w:t>
            </w:r>
            <w:r w:rsidRPr="00C435F7">
              <w:rPr>
                <w:rFonts w:ascii="Arial" w:hAnsi="Arial" w:cs="Arial"/>
                <w:color w:val="181818"/>
                <w:lang w:val="en-US"/>
              </w:rPr>
              <w:t xml:space="preserve">: see our general remark above on valuation. Valuation of ETCs or ETFs is typically based on its market price, which is readily available. </w:t>
            </w:r>
            <w:r w:rsidRPr="0013676F">
              <w:rPr>
                <w:rFonts w:ascii="Arial" w:hAnsi="Arial" w:cs="Arial"/>
                <w:color w:val="181818"/>
                <w:lang w:val="en-US"/>
              </w:rPr>
              <w:t>Precious metals vendors such as BBG (LBMA) have been noted as an example.</w:t>
            </w:r>
          </w:p>
        </w:tc>
      </w:tr>
      <w:tr w:rsidR="0013676F" w:rsidRPr="00B33432" w14:paraId="1D06A7CA" w14:textId="77777777" w:rsidTr="00654E41">
        <w:tc>
          <w:tcPr>
            <w:tcW w:w="1271" w:type="dxa"/>
          </w:tcPr>
          <w:p w14:paraId="695108F8" w14:textId="77777777" w:rsidR="0013676F" w:rsidRPr="00B33432" w:rsidRDefault="0013676F" w:rsidP="0013676F">
            <w:pPr>
              <w:spacing w:after="250" w:line="276" w:lineRule="auto"/>
              <w:rPr>
                <w:rFonts w:ascii="Arial" w:hAnsi="Arial" w:cs="Arial"/>
              </w:rPr>
            </w:pPr>
            <w:r w:rsidRPr="00B33432">
              <w:rPr>
                <w:rFonts w:ascii="Arial" w:hAnsi="Arial" w:cs="Arial"/>
              </w:rPr>
              <w:t>9. Exchange-</w:t>
            </w:r>
            <w:proofErr w:type="spellStart"/>
            <w:r w:rsidRPr="00B33432">
              <w:rPr>
                <w:rFonts w:ascii="Arial" w:hAnsi="Arial" w:cs="Arial"/>
              </w:rPr>
              <w:t>traded</w:t>
            </w:r>
            <w:proofErr w:type="spellEnd"/>
            <w:r w:rsidRPr="00B33432">
              <w:rPr>
                <w:rFonts w:ascii="Arial" w:hAnsi="Arial" w:cs="Arial"/>
              </w:rPr>
              <w:t xml:space="preserve"> </w:t>
            </w:r>
            <w:proofErr w:type="spellStart"/>
            <w:r w:rsidRPr="00B33432">
              <w:rPr>
                <w:rFonts w:ascii="Arial" w:hAnsi="Arial" w:cs="Arial"/>
              </w:rPr>
              <w:t>commodities</w:t>
            </w:r>
            <w:proofErr w:type="spellEnd"/>
            <w:r w:rsidRPr="00B33432">
              <w:rPr>
                <w:rFonts w:ascii="Arial" w:hAnsi="Arial" w:cs="Arial"/>
              </w:rPr>
              <w:t xml:space="preserve"> (‘</w:t>
            </w:r>
            <w:proofErr w:type="spellStart"/>
            <w:r w:rsidRPr="00B33432">
              <w:rPr>
                <w:rFonts w:ascii="Arial" w:hAnsi="Arial" w:cs="Arial"/>
              </w:rPr>
              <w:t>ETCs</w:t>
            </w:r>
            <w:proofErr w:type="spellEnd"/>
            <w:r w:rsidRPr="00B33432">
              <w:rPr>
                <w:rFonts w:ascii="Arial" w:hAnsi="Arial" w:cs="Arial"/>
              </w:rPr>
              <w:t>’)</w:t>
            </w:r>
          </w:p>
        </w:tc>
        <w:tc>
          <w:tcPr>
            <w:tcW w:w="3686" w:type="dxa"/>
          </w:tcPr>
          <w:p w14:paraId="2AC1F2B1" w14:textId="77777777" w:rsidR="0013676F" w:rsidRPr="0013676F" w:rsidRDefault="0013676F" w:rsidP="0013676F">
            <w:pPr>
              <w:spacing w:after="250" w:line="276" w:lineRule="auto"/>
              <w:jc w:val="both"/>
              <w:rPr>
                <w:rFonts w:ascii="Arial" w:hAnsi="Arial" w:cs="Arial"/>
                <w:color w:val="181818"/>
                <w:lang w:val="en-US"/>
              </w:rPr>
            </w:pPr>
            <w:r w:rsidRPr="0013676F">
              <w:rPr>
                <w:rFonts w:ascii="Arial" w:hAnsi="Arial" w:cs="Arial"/>
                <w:color w:val="181818"/>
                <w:lang w:val="en-US"/>
              </w:rPr>
              <w:t>(1) Commodities have low or no correlation to traditional securities, diversifying the portfolio and reducing risk, while also providing a good hedge against inflation.</w:t>
            </w:r>
          </w:p>
          <w:p w14:paraId="6D884A10" w14:textId="77777777" w:rsidR="0013676F" w:rsidRDefault="0013676F" w:rsidP="0013676F">
            <w:pPr>
              <w:spacing w:after="250" w:line="276" w:lineRule="auto"/>
              <w:jc w:val="both"/>
              <w:rPr>
                <w:rFonts w:ascii="Arial" w:hAnsi="Arial" w:cs="Arial"/>
                <w:color w:val="181818"/>
                <w:lang w:val="en-GB"/>
              </w:rPr>
            </w:pPr>
            <w:r w:rsidRPr="0013676F">
              <w:rPr>
                <w:rFonts w:ascii="Arial" w:hAnsi="Arial" w:cs="Arial"/>
                <w:color w:val="181818"/>
                <w:lang w:val="en-US"/>
              </w:rPr>
              <w:t>(2) ETCs permit indirect exposure to the performance of commodities without direct physical ownership, and</w:t>
            </w:r>
            <w:r w:rsidRPr="00F93BA2">
              <w:rPr>
                <w:rFonts w:ascii="Arial" w:hAnsi="Arial" w:cs="Arial"/>
                <w:color w:val="181818"/>
                <w:lang w:val="en-GB"/>
              </w:rPr>
              <w:t xml:space="preserve"> give investors the opportunity to invest </w:t>
            </w:r>
            <w:r w:rsidRPr="00F93BA2">
              <w:rPr>
                <w:rFonts w:ascii="Arial" w:hAnsi="Arial" w:cs="Arial"/>
                <w:color w:val="181818"/>
                <w:lang w:val="en-GB"/>
              </w:rPr>
              <w:lastRenderedPageBreak/>
              <w:t xml:space="preserve">in markets in which they usually don’t have a direct access to such as metals, energy, livestock and other commodities. </w:t>
            </w:r>
            <w:r>
              <w:rPr>
                <w:rFonts w:ascii="Arial" w:hAnsi="Arial" w:cs="Arial"/>
                <w:color w:val="181818"/>
                <w:lang w:val="en-GB"/>
              </w:rPr>
              <w:t>Importantly, some ETCs on precious metals (such as gold) may bear lower risks than other ETCs, thanks to their structure similar to the one of some physical ETFs (with physical exposures kept on segregated accounts and a safe deposit box at an independent custodian). The structuring of ETCs is a key element to analyse before investing.</w:t>
            </w:r>
          </w:p>
          <w:p w14:paraId="5997CC1D" w14:textId="208E38E2" w:rsidR="0013676F" w:rsidRPr="0013676F" w:rsidRDefault="0013676F" w:rsidP="0013676F">
            <w:pPr>
              <w:spacing w:after="250" w:line="276" w:lineRule="auto"/>
              <w:jc w:val="both"/>
              <w:rPr>
                <w:rFonts w:ascii="Arial" w:hAnsi="Arial" w:cs="Arial"/>
                <w:color w:val="181818"/>
                <w:lang w:val="en-US"/>
              </w:rPr>
            </w:pPr>
            <w:r>
              <w:rPr>
                <w:rFonts w:ascii="Arial" w:hAnsi="Arial" w:cs="Arial"/>
                <w:color w:val="181818"/>
                <w:lang w:val="en-GB"/>
              </w:rPr>
              <w:t xml:space="preserve">(3) </w:t>
            </w:r>
            <w:r w:rsidRPr="00F93BA2">
              <w:rPr>
                <w:rFonts w:ascii="Arial" w:hAnsi="Arial" w:cs="Arial"/>
                <w:color w:val="181818"/>
                <w:lang w:val="en-GB"/>
              </w:rPr>
              <w:t>ETCs invest in one commodity or in a basket of different commodities. The latter helps to diversify the portfolio between the different commodities.</w:t>
            </w:r>
          </w:p>
        </w:tc>
        <w:tc>
          <w:tcPr>
            <w:tcW w:w="2409" w:type="dxa"/>
          </w:tcPr>
          <w:p w14:paraId="110FFD37" w14:textId="0B28ED54" w:rsidR="0013676F" w:rsidRPr="0013676F" w:rsidRDefault="0013676F" w:rsidP="0013676F">
            <w:pPr>
              <w:spacing w:after="250" w:line="276" w:lineRule="auto"/>
              <w:jc w:val="both"/>
              <w:rPr>
                <w:rFonts w:ascii="Arial" w:hAnsi="Arial" w:cs="Arial"/>
                <w:color w:val="181818"/>
                <w:lang w:val="en-US"/>
              </w:rPr>
            </w:pPr>
            <w:r w:rsidRPr="0013676F">
              <w:rPr>
                <w:rFonts w:ascii="Arial" w:hAnsi="Arial" w:cs="Arial"/>
                <w:color w:val="181818"/>
                <w:lang w:val="en-US"/>
              </w:rPr>
              <w:lastRenderedPageBreak/>
              <w:t>Certain members have reported gaining indirect exposure via ETFs.</w:t>
            </w:r>
          </w:p>
        </w:tc>
        <w:tc>
          <w:tcPr>
            <w:tcW w:w="1985" w:type="dxa"/>
          </w:tcPr>
          <w:p w14:paraId="6B699379" w14:textId="3C255DF9" w:rsidR="0013676F" w:rsidRPr="00B33432" w:rsidRDefault="0013676F" w:rsidP="0013676F">
            <w:pPr>
              <w:spacing w:after="250" w:line="276" w:lineRule="auto"/>
              <w:jc w:val="both"/>
              <w:rPr>
                <w:rFonts w:ascii="Arial" w:hAnsi="Arial" w:cs="Arial"/>
                <w:color w:val="181818"/>
              </w:rPr>
            </w:pPr>
            <w:proofErr w:type="spellStart"/>
            <w:r w:rsidRPr="00C778E6">
              <w:rPr>
                <w:rFonts w:ascii="Arial" w:hAnsi="Arial" w:cs="Arial"/>
                <w:color w:val="181818"/>
              </w:rPr>
              <w:t>Typically</w:t>
            </w:r>
            <w:proofErr w:type="spellEnd"/>
            <w:r w:rsidRPr="00C778E6">
              <w:rPr>
                <w:rFonts w:ascii="Arial" w:hAnsi="Arial" w:cs="Arial"/>
                <w:color w:val="181818"/>
              </w:rPr>
              <w:t xml:space="preserve"> </w:t>
            </w:r>
            <w:proofErr w:type="spellStart"/>
            <w:r w:rsidRPr="00C778E6">
              <w:rPr>
                <w:rFonts w:ascii="Arial" w:hAnsi="Arial" w:cs="Arial"/>
                <w:color w:val="181818"/>
              </w:rPr>
              <w:t>between</w:t>
            </w:r>
            <w:proofErr w:type="spellEnd"/>
            <w:r w:rsidRPr="00C778E6">
              <w:rPr>
                <w:rFonts w:ascii="Arial" w:hAnsi="Arial" w:cs="Arial"/>
                <w:color w:val="181818"/>
              </w:rPr>
              <w:t xml:space="preserve"> 0 – 10%</w:t>
            </w:r>
          </w:p>
        </w:tc>
        <w:tc>
          <w:tcPr>
            <w:tcW w:w="4536" w:type="dxa"/>
          </w:tcPr>
          <w:p w14:paraId="0092E49D" w14:textId="77777777" w:rsidR="0013676F" w:rsidRPr="0013676F" w:rsidRDefault="0013676F" w:rsidP="0013676F">
            <w:pPr>
              <w:spacing w:after="250" w:line="276" w:lineRule="auto"/>
              <w:jc w:val="both"/>
              <w:rPr>
                <w:rFonts w:ascii="Arial" w:hAnsi="Arial" w:cs="Arial"/>
                <w:color w:val="181818"/>
                <w:lang w:val="en-US"/>
              </w:rPr>
            </w:pPr>
            <w:r w:rsidRPr="0013676F">
              <w:rPr>
                <w:rFonts w:ascii="Arial" w:hAnsi="Arial" w:cs="Arial"/>
                <w:b/>
                <w:bCs/>
                <w:color w:val="181818"/>
                <w:lang w:val="en-US"/>
              </w:rPr>
              <w:t>Regulator views</w:t>
            </w:r>
            <w:r w:rsidRPr="0013676F">
              <w:rPr>
                <w:rFonts w:ascii="Arial" w:hAnsi="Arial" w:cs="Arial"/>
                <w:color w:val="181818"/>
                <w:lang w:val="en-US"/>
              </w:rPr>
              <w:t>: there is divergence as to the treatment of ETCs by national competent authorities.</w:t>
            </w:r>
          </w:p>
          <w:p w14:paraId="1E5915A2" w14:textId="77777777" w:rsidR="0013676F" w:rsidRPr="0013676F" w:rsidRDefault="0013676F" w:rsidP="0013676F">
            <w:pPr>
              <w:spacing w:after="250" w:line="276" w:lineRule="auto"/>
              <w:jc w:val="both"/>
              <w:rPr>
                <w:rFonts w:ascii="Arial" w:hAnsi="Arial" w:cs="Arial"/>
                <w:color w:val="181818"/>
                <w:lang w:val="en-US"/>
              </w:rPr>
            </w:pPr>
            <w:r w:rsidRPr="0013676F">
              <w:rPr>
                <w:rFonts w:ascii="Arial" w:hAnsi="Arial" w:cs="Arial"/>
                <w:b/>
                <w:bCs/>
                <w:color w:val="181818"/>
                <w:lang w:val="en-US"/>
              </w:rPr>
              <w:t>Liquidity</w:t>
            </w:r>
            <w:r w:rsidRPr="0013676F">
              <w:rPr>
                <w:rFonts w:ascii="Arial" w:hAnsi="Arial" w:cs="Arial"/>
                <w:color w:val="181818"/>
                <w:lang w:val="en-US"/>
              </w:rPr>
              <w:t xml:space="preserve">: ETCs are listed products and therefore benefit from liquidity on exchanges, but the main source of liquidity depends on the underlying liquidity. Therefore, it is important for </w:t>
            </w:r>
            <w:r w:rsidRPr="0013676F">
              <w:rPr>
                <w:rFonts w:ascii="Arial" w:hAnsi="Arial" w:cs="Arial"/>
                <w:color w:val="181818"/>
                <w:lang w:val="en-US"/>
              </w:rPr>
              <w:lastRenderedPageBreak/>
              <w:t xml:space="preserve">each investor to </w:t>
            </w:r>
            <w:proofErr w:type="spellStart"/>
            <w:r w:rsidRPr="0013676F">
              <w:rPr>
                <w:rFonts w:ascii="Arial" w:hAnsi="Arial" w:cs="Arial"/>
                <w:color w:val="181818"/>
                <w:lang w:val="en-US"/>
              </w:rPr>
              <w:t>analyse</w:t>
            </w:r>
            <w:proofErr w:type="spellEnd"/>
            <w:r w:rsidRPr="0013676F">
              <w:rPr>
                <w:rFonts w:ascii="Arial" w:hAnsi="Arial" w:cs="Arial"/>
                <w:color w:val="181818"/>
                <w:lang w:val="en-US"/>
              </w:rPr>
              <w:t xml:space="preserve"> the ETC structure and underlying before investing.</w:t>
            </w:r>
          </w:p>
          <w:p w14:paraId="3FE9F23F" w14:textId="5A9F9CFA" w:rsidR="0013676F" w:rsidRPr="0013676F" w:rsidRDefault="0013676F" w:rsidP="0013676F">
            <w:pPr>
              <w:spacing w:after="250" w:line="276" w:lineRule="auto"/>
              <w:jc w:val="both"/>
              <w:rPr>
                <w:rFonts w:ascii="Arial" w:hAnsi="Arial" w:cs="Arial"/>
                <w:color w:val="181818"/>
                <w:lang w:val="en-US"/>
              </w:rPr>
            </w:pPr>
            <w:r w:rsidRPr="0013676F">
              <w:rPr>
                <w:rFonts w:ascii="Arial" w:hAnsi="Arial" w:cs="Arial"/>
                <w:b/>
                <w:bCs/>
                <w:color w:val="181818"/>
                <w:lang w:val="en-US"/>
              </w:rPr>
              <w:t>Reliable Valuation</w:t>
            </w:r>
            <w:r w:rsidRPr="0013676F">
              <w:rPr>
                <w:rFonts w:ascii="Arial" w:hAnsi="Arial" w:cs="Arial"/>
                <w:color w:val="181818"/>
                <w:lang w:val="en-US"/>
              </w:rPr>
              <w:t xml:space="preserve">: valuation of ETCs is typically based on its market price, which is readily available, and in line with the general procedure mentioned above. Given the distinct structures of ETCs across exchanges, it is important for each investor to </w:t>
            </w:r>
            <w:proofErr w:type="spellStart"/>
            <w:r w:rsidRPr="0013676F">
              <w:rPr>
                <w:rFonts w:ascii="Arial" w:hAnsi="Arial" w:cs="Arial"/>
                <w:color w:val="181818"/>
                <w:lang w:val="en-US"/>
              </w:rPr>
              <w:t>analyse</w:t>
            </w:r>
            <w:proofErr w:type="spellEnd"/>
            <w:r w:rsidRPr="0013676F">
              <w:rPr>
                <w:rFonts w:ascii="Arial" w:hAnsi="Arial" w:cs="Arial"/>
                <w:color w:val="181818"/>
                <w:lang w:val="en-US"/>
              </w:rPr>
              <w:t xml:space="preserve"> the ETC structure and underlying before investing.</w:t>
            </w:r>
          </w:p>
        </w:tc>
      </w:tr>
      <w:tr w:rsidR="006F43A1" w:rsidRPr="00B33432" w14:paraId="241FBBEE" w14:textId="77777777" w:rsidTr="00654E41">
        <w:tc>
          <w:tcPr>
            <w:tcW w:w="1271" w:type="dxa"/>
          </w:tcPr>
          <w:p w14:paraId="168EC9A2" w14:textId="77777777" w:rsidR="006F43A1" w:rsidRPr="00B33432" w:rsidRDefault="006F43A1" w:rsidP="006F43A1">
            <w:pPr>
              <w:spacing w:after="250" w:line="276" w:lineRule="auto"/>
              <w:rPr>
                <w:rFonts w:ascii="Arial" w:hAnsi="Arial" w:cs="Arial"/>
              </w:rPr>
            </w:pPr>
            <w:r w:rsidRPr="00B33432">
              <w:rPr>
                <w:rFonts w:ascii="Arial" w:hAnsi="Arial" w:cs="Arial"/>
              </w:rPr>
              <w:lastRenderedPageBreak/>
              <w:t xml:space="preserve">10. Real </w:t>
            </w:r>
            <w:proofErr w:type="spellStart"/>
            <w:r w:rsidRPr="00B33432">
              <w:rPr>
                <w:rFonts w:ascii="Arial" w:hAnsi="Arial" w:cs="Arial"/>
              </w:rPr>
              <w:t>estate</w:t>
            </w:r>
            <w:proofErr w:type="spellEnd"/>
          </w:p>
        </w:tc>
        <w:tc>
          <w:tcPr>
            <w:tcW w:w="3686" w:type="dxa"/>
          </w:tcPr>
          <w:p w14:paraId="1F72F646" w14:textId="6C721C89" w:rsidR="006F43A1" w:rsidRPr="006F43A1" w:rsidRDefault="006F43A1" w:rsidP="006F43A1">
            <w:pPr>
              <w:spacing w:after="250" w:line="276" w:lineRule="auto"/>
              <w:jc w:val="both"/>
              <w:rPr>
                <w:rFonts w:ascii="Arial" w:hAnsi="Arial" w:cs="Arial"/>
                <w:color w:val="181818"/>
                <w:lang w:val="en-US"/>
              </w:rPr>
            </w:pPr>
            <w:r w:rsidRPr="006F43A1">
              <w:rPr>
                <w:rFonts w:ascii="Arial" w:hAnsi="Arial" w:cs="Arial"/>
                <w:color w:val="181818"/>
                <w:lang w:val="en-US"/>
              </w:rPr>
              <w:t>We understand that exposure would typically be indirect.</w:t>
            </w:r>
          </w:p>
        </w:tc>
        <w:tc>
          <w:tcPr>
            <w:tcW w:w="2409" w:type="dxa"/>
          </w:tcPr>
          <w:p w14:paraId="70BD9639" w14:textId="77777777" w:rsidR="006F43A1" w:rsidRPr="006F43A1" w:rsidRDefault="006F43A1" w:rsidP="006F43A1">
            <w:pPr>
              <w:spacing w:after="250" w:line="276" w:lineRule="auto"/>
              <w:jc w:val="both"/>
              <w:rPr>
                <w:rFonts w:ascii="Arial" w:hAnsi="Arial" w:cs="Arial"/>
                <w:color w:val="181818"/>
                <w:lang w:val="en-US"/>
              </w:rPr>
            </w:pPr>
            <w:r w:rsidRPr="006F43A1">
              <w:rPr>
                <w:rFonts w:ascii="Arial" w:hAnsi="Arial" w:cs="Arial"/>
                <w:color w:val="181818"/>
                <w:lang w:val="en-US"/>
              </w:rPr>
              <w:t>Indirect exposure would typically be achieved via investment in a REIT or CIUs holding real estate.</w:t>
            </w:r>
          </w:p>
          <w:p w14:paraId="3438FC9F" w14:textId="77777777" w:rsidR="006F43A1" w:rsidRPr="006F43A1" w:rsidRDefault="006F43A1" w:rsidP="006F43A1">
            <w:pPr>
              <w:spacing w:after="250" w:line="276" w:lineRule="auto"/>
              <w:jc w:val="both"/>
              <w:rPr>
                <w:rFonts w:ascii="Arial" w:hAnsi="Arial" w:cs="Arial"/>
                <w:color w:val="181818"/>
                <w:lang w:val="en-US"/>
              </w:rPr>
            </w:pPr>
            <w:r w:rsidRPr="006F43A1">
              <w:rPr>
                <w:rFonts w:ascii="Arial" w:hAnsi="Arial" w:cs="Arial"/>
                <w:color w:val="181818"/>
                <w:lang w:val="en-US"/>
              </w:rPr>
              <w:t xml:space="preserve">Real estate can offer higher than average, consistent returns. It can provide income generation from rent as well as capital </w:t>
            </w:r>
            <w:r w:rsidRPr="006F43A1">
              <w:rPr>
                <w:rFonts w:ascii="Arial" w:hAnsi="Arial" w:cs="Arial"/>
                <w:color w:val="181818"/>
                <w:lang w:val="en-US"/>
              </w:rPr>
              <w:lastRenderedPageBreak/>
              <w:t>appreciation where the value of the property rises.</w:t>
            </w:r>
          </w:p>
          <w:p w14:paraId="0940399B" w14:textId="77777777" w:rsidR="006F43A1" w:rsidRPr="006F43A1" w:rsidRDefault="006F43A1" w:rsidP="006F43A1">
            <w:pPr>
              <w:spacing w:after="250" w:line="276" w:lineRule="auto"/>
              <w:jc w:val="both"/>
              <w:rPr>
                <w:rFonts w:ascii="Arial" w:hAnsi="Arial" w:cs="Arial"/>
                <w:color w:val="181818"/>
                <w:lang w:val="en-US"/>
              </w:rPr>
            </w:pPr>
            <w:r w:rsidRPr="006F43A1">
              <w:rPr>
                <w:rFonts w:ascii="Arial" w:hAnsi="Arial" w:cs="Arial"/>
                <w:color w:val="181818"/>
                <w:lang w:val="en-US"/>
              </w:rPr>
              <w:t xml:space="preserve">Correlation with traditional asset classes have historically been low, with returns generated being independent from stock market fluctuations. </w:t>
            </w:r>
          </w:p>
          <w:p w14:paraId="08CE6F91" w14:textId="7FEE9A9D" w:rsidR="006F43A1" w:rsidRPr="006F43A1" w:rsidRDefault="006F43A1" w:rsidP="006F43A1">
            <w:pPr>
              <w:spacing w:after="250" w:line="276" w:lineRule="auto"/>
              <w:jc w:val="both"/>
              <w:rPr>
                <w:rFonts w:ascii="Arial" w:hAnsi="Arial" w:cs="Arial"/>
                <w:color w:val="181818"/>
                <w:lang w:val="en-US"/>
              </w:rPr>
            </w:pPr>
            <w:r w:rsidRPr="006F43A1">
              <w:rPr>
                <w:rFonts w:ascii="Arial" w:hAnsi="Arial" w:cs="Arial"/>
                <w:color w:val="181818"/>
                <w:lang w:val="en-US"/>
              </w:rPr>
              <w:t>Real estate can also be considered as a hedge against inflation.</w:t>
            </w:r>
          </w:p>
        </w:tc>
        <w:tc>
          <w:tcPr>
            <w:tcW w:w="1985" w:type="dxa"/>
          </w:tcPr>
          <w:p w14:paraId="61CDCEAD" w14:textId="77777777" w:rsidR="006F43A1" w:rsidRPr="006F43A1" w:rsidRDefault="006F43A1" w:rsidP="006F43A1">
            <w:pPr>
              <w:spacing w:after="250" w:line="276" w:lineRule="auto"/>
              <w:jc w:val="both"/>
              <w:rPr>
                <w:rFonts w:ascii="Arial" w:hAnsi="Arial" w:cs="Arial"/>
                <w:color w:val="181818"/>
                <w:lang w:val="en-US"/>
              </w:rPr>
            </w:pPr>
          </w:p>
        </w:tc>
        <w:tc>
          <w:tcPr>
            <w:tcW w:w="4536" w:type="dxa"/>
          </w:tcPr>
          <w:p w14:paraId="7FAE78C9" w14:textId="77777777" w:rsidR="006F43A1" w:rsidRPr="00A13DF5" w:rsidRDefault="006F43A1" w:rsidP="006F43A1">
            <w:pPr>
              <w:spacing w:after="250" w:line="276" w:lineRule="auto"/>
              <w:jc w:val="both"/>
              <w:rPr>
                <w:rFonts w:ascii="Arial" w:hAnsi="Arial" w:cs="Arial"/>
                <w:color w:val="181818"/>
                <w:lang w:val="en-US"/>
              </w:rPr>
            </w:pPr>
            <w:r w:rsidRPr="00A13DF5">
              <w:rPr>
                <w:rFonts w:ascii="Arial" w:hAnsi="Arial" w:cs="Arial"/>
                <w:b/>
                <w:bCs/>
                <w:color w:val="181818"/>
                <w:lang w:val="en-US"/>
              </w:rPr>
              <w:t>Liquidity</w:t>
            </w:r>
            <w:r w:rsidRPr="00A13DF5">
              <w:rPr>
                <w:rFonts w:ascii="Arial" w:hAnsi="Arial" w:cs="Arial"/>
                <w:color w:val="181818"/>
                <w:lang w:val="en-US"/>
              </w:rPr>
              <w:t>: REITs are highly liquid, as they are publicly traded. For CIUs, investing in real estate can provide periodic redemptions or may be closed ended; the liquidity of open-ended CIUs can be subject to market conditions. ABS, MBS and CLOs are traded in financial markets but their liquidity varies.</w:t>
            </w:r>
          </w:p>
          <w:p w14:paraId="6BB9E253" w14:textId="635CABAE" w:rsidR="006F43A1" w:rsidRPr="00A13DF5" w:rsidRDefault="006F43A1" w:rsidP="006F43A1">
            <w:pPr>
              <w:spacing w:after="250" w:line="276" w:lineRule="auto"/>
              <w:jc w:val="both"/>
              <w:rPr>
                <w:rFonts w:ascii="Arial" w:hAnsi="Arial" w:cs="Arial"/>
                <w:color w:val="181818"/>
                <w:lang w:val="en-US"/>
              </w:rPr>
            </w:pPr>
            <w:r w:rsidRPr="00A13DF5">
              <w:rPr>
                <w:rFonts w:ascii="Arial" w:hAnsi="Arial" w:cs="Arial"/>
                <w:b/>
                <w:bCs/>
                <w:color w:val="181818"/>
                <w:lang w:val="en-US"/>
              </w:rPr>
              <w:t>Reliable Valuation</w:t>
            </w:r>
            <w:r w:rsidRPr="00A13DF5">
              <w:rPr>
                <w:rFonts w:ascii="Arial" w:hAnsi="Arial" w:cs="Arial"/>
                <w:color w:val="181818"/>
                <w:lang w:val="en-US"/>
              </w:rPr>
              <w:t xml:space="preserve">: REITs are publicly traded, and so their prices are publicly quoted and based on the market price of the shares of the REIT </w:t>
            </w:r>
            <w:r w:rsidRPr="00A13DF5">
              <w:rPr>
                <w:rFonts w:ascii="Arial" w:hAnsi="Arial" w:cs="Arial"/>
                <w:color w:val="181818"/>
                <w:lang w:val="en-US"/>
              </w:rPr>
              <w:lastRenderedPageBreak/>
              <w:t>traded on the exchange. For a CIU invested in real estate, the value would typically be based on the CIU’s NAV which would in turn be based on the period determination of the manager of that CIU or a third party. For ABS, MBS, CLOs, they would be typically valued using a third party valuer or price provider to obtain their fair market value, based on interest rates, credit risk, the underlying property, etc.</w:t>
            </w:r>
          </w:p>
        </w:tc>
      </w:tr>
      <w:tr w:rsidR="00A13DF5" w:rsidRPr="00B33432" w14:paraId="7FD6362C" w14:textId="77777777" w:rsidTr="00654E41">
        <w:tc>
          <w:tcPr>
            <w:tcW w:w="1271" w:type="dxa"/>
          </w:tcPr>
          <w:p w14:paraId="146B0B65" w14:textId="77777777" w:rsidR="00A13DF5" w:rsidRPr="009609FD" w:rsidRDefault="00A13DF5" w:rsidP="00A13DF5">
            <w:pPr>
              <w:spacing w:after="250" w:line="276" w:lineRule="auto"/>
              <w:rPr>
                <w:rFonts w:ascii="Arial" w:hAnsi="Arial" w:cs="Arial"/>
                <w:lang w:val="en-US"/>
              </w:rPr>
            </w:pPr>
            <w:r w:rsidRPr="009609FD">
              <w:rPr>
                <w:rFonts w:ascii="Arial" w:hAnsi="Arial" w:cs="Arial"/>
                <w:lang w:val="en-US"/>
              </w:rPr>
              <w:lastRenderedPageBreak/>
              <w:t>11. Real Estate Investment Trusts (‘REITs’)</w:t>
            </w:r>
          </w:p>
        </w:tc>
        <w:tc>
          <w:tcPr>
            <w:tcW w:w="3686" w:type="dxa"/>
          </w:tcPr>
          <w:p w14:paraId="5D502067" w14:textId="77777777" w:rsidR="00A13DF5" w:rsidRPr="00A13DF5" w:rsidRDefault="00A13DF5" w:rsidP="00A13DF5">
            <w:pPr>
              <w:spacing w:after="250" w:line="276" w:lineRule="auto"/>
              <w:jc w:val="both"/>
              <w:rPr>
                <w:rFonts w:ascii="Arial" w:hAnsi="Arial" w:cs="Arial"/>
                <w:color w:val="181818"/>
                <w:lang w:val="en-US"/>
              </w:rPr>
            </w:pPr>
            <w:r w:rsidRPr="00A13DF5">
              <w:rPr>
                <w:rFonts w:ascii="Arial" w:hAnsi="Arial" w:cs="Arial"/>
                <w:color w:val="181818"/>
                <w:lang w:val="en-US"/>
              </w:rPr>
              <w:t>(1) REITs provide the possibility of receiving a stream of income through dividends paid out by the REIT, with the income being generated through rent.</w:t>
            </w:r>
          </w:p>
          <w:p w14:paraId="65F7FEC2" w14:textId="77777777" w:rsidR="00A13DF5" w:rsidRPr="00A13DF5" w:rsidRDefault="00A13DF5" w:rsidP="00A13DF5">
            <w:pPr>
              <w:spacing w:after="250" w:line="276" w:lineRule="auto"/>
              <w:jc w:val="both"/>
              <w:rPr>
                <w:rFonts w:ascii="Arial" w:hAnsi="Arial" w:cs="Arial"/>
                <w:color w:val="181818"/>
                <w:lang w:val="en-US"/>
              </w:rPr>
            </w:pPr>
            <w:r w:rsidRPr="00A13DF5">
              <w:rPr>
                <w:rFonts w:ascii="Arial" w:hAnsi="Arial" w:cs="Arial"/>
                <w:color w:val="181818"/>
                <w:lang w:val="en-US"/>
              </w:rPr>
              <w:t xml:space="preserve"> (2) They also allow for risk mitigation through diversification across different sectors and locations of real estate via a tax transparent vehicle, without requiring a direct ownership of the underlying real estate. The REIT structure exists in a number of EU and third country jurisdictions, and the regulation applicable to them provides </w:t>
            </w:r>
            <w:r w:rsidRPr="00A13DF5">
              <w:rPr>
                <w:rFonts w:ascii="Arial" w:hAnsi="Arial" w:cs="Arial"/>
                <w:color w:val="181818"/>
                <w:lang w:val="en-US"/>
              </w:rPr>
              <w:lastRenderedPageBreak/>
              <w:t>safeguards for investor protection which is consistent with requirements for UCITS investing in transferable securities.</w:t>
            </w:r>
          </w:p>
          <w:p w14:paraId="75F55587" w14:textId="77777777" w:rsidR="00A13DF5" w:rsidRPr="00A13DF5" w:rsidRDefault="00A13DF5" w:rsidP="00A13DF5">
            <w:pPr>
              <w:spacing w:after="250" w:line="276" w:lineRule="auto"/>
              <w:jc w:val="both"/>
              <w:rPr>
                <w:rFonts w:ascii="Arial" w:hAnsi="Arial" w:cs="Arial"/>
                <w:color w:val="181818"/>
                <w:lang w:val="en-US"/>
              </w:rPr>
            </w:pPr>
            <w:r w:rsidRPr="00A13DF5">
              <w:rPr>
                <w:rFonts w:ascii="Arial" w:hAnsi="Arial" w:cs="Arial"/>
                <w:color w:val="181818"/>
                <w:lang w:val="en-US"/>
              </w:rPr>
              <w:t>(3) REITs are more flexible than investing in physical real estate, avoiding the time and high cost associated with purchasing real estate.</w:t>
            </w:r>
          </w:p>
          <w:p w14:paraId="23DE523C" w14:textId="5FDF2250" w:rsidR="00A13DF5" w:rsidRPr="009609FD" w:rsidRDefault="00A13DF5" w:rsidP="00A13DF5">
            <w:pPr>
              <w:spacing w:after="250" w:line="276" w:lineRule="auto"/>
              <w:jc w:val="both"/>
              <w:rPr>
                <w:rFonts w:ascii="Arial" w:hAnsi="Arial" w:cs="Arial"/>
                <w:color w:val="181818"/>
                <w:lang w:val="en-US"/>
              </w:rPr>
            </w:pPr>
            <w:r w:rsidRPr="00A13DF5">
              <w:rPr>
                <w:rFonts w:ascii="Arial" w:hAnsi="Arial" w:cs="Arial"/>
                <w:color w:val="181818"/>
                <w:lang w:val="en-US"/>
              </w:rPr>
              <w:t>(4) Investing through a REIT provides economies of scale, permitting access to classes of property usually reserved for investors with a significant capital, such as commercial real estate.</w:t>
            </w:r>
          </w:p>
        </w:tc>
        <w:tc>
          <w:tcPr>
            <w:tcW w:w="2409" w:type="dxa"/>
          </w:tcPr>
          <w:p w14:paraId="52E56223" w14:textId="0E344416" w:rsidR="00A13DF5" w:rsidRPr="009609FD" w:rsidRDefault="00A13DF5" w:rsidP="00A13DF5">
            <w:pPr>
              <w:spacing w:after="250" w:line="276" w:lineRule="auto"/>
              <w:jc w:val="both"/>
              <w:rPr>
                <w:rFonts w:ascii="Arial" w:hAnsi="Arial" w:cs="Arial"/>
                <w:color w:val="181818"/>
                <w:lang w:val="en-US"/>
              </w:rPr>
            </w:pPr>
            <w:r w:rsidRPr="00A13DF5">
              <w:rPr>
                <w:rFonts w:ascii="Arial" w:hAnsi="Arial" w:cs="Arial"/>
                <w:color w:val="181818"/>
                <w:lang w:val="en-US"/>
              </w:rPr>
              <w:lastRenderedPageBreak/>
              <w:t>We have noted indirect exposure being obtained through other UCITS.</w:t>
            </w:r>
          </w:p>
        </w:tc>
        <w:tc>
          <w:tcPr>
            <w:tcW w:w="1985" w:type="dxa"/>
          </w:tcPr>
          <w:p w14:paraId="07547A01" w14:textId="0624BE7C" w:rsidR="00A13DF5" w:rsidRPr="009609FD" w:rsidRDefault="00A13DF5" w:rsidP="00A13DF5">
            <w:pPr>
              <w:spacing w:after="250" w:line="276" w:lineRule="auto"/>
              <w:jc w:val="both"/>
              <w:rPr>
                <w:rFonts w:ascii="Arial" w:hAnsi="Arial" w:cs="Arial"/>
                <w:color w:val="181818"/>
                <w:lang w:val="en-US"/>
              </w:rPr>
            </w:pPr>
            <w:r w:rsidRPr="00A13DF5">
              <w:rPr>
                <w:rFonts w:ascii="Arial" w:hAnsi="Arial" w:cs="Arial"/>
                <w:color w:val="181818"/>
                <w:lang w:val="en-US"/>
              </w:rPr>
              <w:t>Exposure can typically be up to 5 – 10%, though we note some UCITS with exposure of between 80 – 97%.</w:t>
            </w:r>
          </w:p>
        </w:tc>
        <w:tc>
          <w:tcPr>
            <w:tcW w:w="4536" w:type="dxa"/>
          </w:tcPr>
          <w:p w14:paraId="4AAC6141" w14:textId="77777777" w:rsidR="00A13DF5" w:rsidRPr="00A13DF5" w:rsidRDefault="00A13DF5" w:rsidP="00A13DF5">
            <w:pPr>
              <w:spacing w:after="250" w:line="276" w:lineRule="auto"/>
              <w:jc w:val="both"/>
              <w:rPr>
                <w:rFonts w:ascii="Arial" w:hAnsi="Arial" w:cs="Arial"/>
                <w:color w:val="181818"/>
                <w:lang w:val="en-US"/>
              </w:rPr>
            </w:pPr>
            <w:r w:rsidRPr="00A13DF5">
              <w:rPr>
                <w:rFonts w:ascii="Arial" w:hAnsi="Arial" w:cs="Arial"/>
                <w:b/>
                <w:bCs/>
                <w:color w:val="181818"/>
                <w:lang w:val="en-US"/>
              </w:rPr>
              <w:t>Liquidity</w:t>
            </w:r>
            <w:r w:rsidRPr="00A13DF5">
              <w:rPr>
                <w:rFonts w:ascii="Arial" w:hAnsi="Arial" w:cs="Arial"/>
                <w:color w:val="181818"/>
                <w:lang w:val="en-US"/>
              </w:rPr>
              <w:t>: REITs are listed and traded on stock exchanges, providing high liquidity.</w:t>
            </w:r>
          </w:p>
          <w:p w14:paraId="521BDC05" w14:textId="77777777" w:rsidR="00A13DF5" w:rsidRPr="00A13DF5" w:rsidRDefault="00A13DF5" w:rsidP="00A13DF5">
            <w:pPr>
              <w:spacing w:after="250" w:line="276" w:lineRule="auto"/>
              <w:jc w:val="both"/>
              <w:rPr>
                <w:rFonts w:ascii="Arial" w:hAnsi="Arial" w:cs="Arial"/>
                <w:color w:val="181818"/>
                <w:lang w:val="en-US"/>
              </w:rPr>
            </w:pPr>
            <w:r w:rsidRPr="00A13DF5">
              <w:rPr>
                <w:rFonts w:ascii="Arial" w:hAnsi="Arial" w:cs="Arial"/>
                <w:b/>
                <w:bCs/>
                <w:color w:val="181818"/>
                <w:lang w:val="en-US"/>
              </w:rPr>
              <w:t>Reliable Valuation</w:t>
            </w:r>
            <w:r w:rsidRPr="00A13DF5">
              <w:rPr>
                <w:rFonts w:ascii="Arial" w:hAnsi="Arial" w:cs="Arial"/>
                <w:color w:val="181818"/>
                <w:lang w:val="en-US"/>
              </w:rPr>
              <w:t>: as REITs are publicly traded, the procedure follows that for exchange traded products.</w:t>
            </w:r>
          </w:p>
          <w:p w14:paraId="5043CB0F" w14:textId="11D48AC1" w:rsidR="00A13DF5" w:rsidRPr="009609FD" w:rsidRDefault="00A13DF5" w:rsidP="00A13DF5">
            <w:pPr>
              <w:spacing w:after="250" w:line="276" w:lineRule="auto"/>
              <w:jc w:val="both"/>
              <w:rPr>
                <w:rFonts w:ascii="Arial" w:hAnsi="Arial" w:cs="Arial"/>
                <w:color w:val="181818"/>
                <w:lang w:val="en-US"/>
              </w:rPr>
            </w:pPr>
            <w:r w:rsidRPr="00A13DF5">
              <w:rPr>
                <w:rFonts w:ascii="Arial" w:hAnsi="Arial" w:cs="Arial"/>
                <w:b/>
                <w:bCs/>
                <w:color w:val="181818"/>
                <w:lang w:val="en-US"/>
              </w:rPr>
              <w:t>Additional note:</w:t>
            </w:r>
            <w:r w:rsidRPr="00A13DF5">
              <w:rPr>
                <w:rFonts w:ascii="Arial" w:hAnsi="Arial" w:cs="Arial"/>
                <w:color w:val="181818"/>
                <w:lang w:val="en-US"/>
              </w:rPr>
              <w:t xml:space="preserve"> </w:t>
            </w:r>
            <w:r w:rsidRPr="005F7000">
              <w:rPr>
                <w:rFonts w:ascii="Arial" w:hAnsi="Arial" w:cs="Arial"/>
                <w:color w:val="181818"/>
                <w:lang w:val="en-BE"/>
              </w:rPr>
              <w:t>I</w:t>
            </w:r>
            <w:r>
              <w:rPr>
                <w:rFonts w:ascii="Arial" w:hAnsi="Arial" w:cs="Arial"/>
                <w:color w:val="181818"/>
                <w:lang w:val="en-BE"/>
              </w:rPr>
              <w:t xml:space="preserve">t is worth noting that a REIT is typically a designation granted to listed companies that receive the majority of their income as rent from real estate, providing favourable tax treatment provided certain conditions are met. </w:t>
            </w:r>
            <w:r w:rsidRPr="005F7000">
              <w:rPr>
                <w:rFonts w:ascii="Arial" w:hAnsi="Arial" w:cs="Arial"/>
                <w:color w:val="181818"/>
                <w:lang w:val="en-BE"/>
              </w:rPr>
              <w:t xml:space="preserve">Some REITs are categorised as AIFs, while others will not due to having a </w:t>
            </w:r>
            <w:r w:rsidRPr="005F7000">
              <w:rPr>
                <w:rFonts w:ascii="Arial" w:hAnsi="Arial" w:cs="Arial"/>
                <w:color w:val="181818"/>
                <w:lang w:val="en-BE"/>
              </w:rPr>
              <w:lastRenderedPageBreak/>
              <w:t xml:space="preserve">commercial purpose (e.g. the management of the property). </w:t>
            </w:r>
          </w:p>
        </w:tc>
      </w:tr>
      <w:tr w:rsidR="00547252" w:rsidRPr="00B33432" w14:paraId="585437CF" w14:textId="77777777" w:rsidTr="00654E41">
        <w:tc>
          <w:tcPr>
            <w:tcW w:w="1271" w:type="dxa"/>
          </w:tcPr>
          <w:p w14:paraId="17F5DE1B" w14:textId="77777777" w:rsidR="00547252" w:rsidRPr="00B33432" w:rsidRDefault="00547252" w:rsidP="00547252">
            <w:pPr>
              <w:spacing w:after="250" w:line="276" w:lineRule="auto"/>
              <w:rPr>
                <w:rFonts w:ascii="Arial" w:hAnsi="Arial" w:cs="Arial"/>
              </w:rPr>
            </w:pPr>
            <w:r w:rsidRPr="00B33432">
              <w:rPr>
                <w:rFonts w:ascii="Arial" w:hAnsi="Arial" w:cs="Arial"/>
              </w:rPr>
              <w:lastRenderedPageBreak/>
              <w:t xml:space="preserve">12. Special </w:t>
            </w:r>
            <w:proofErr w:type="spellStart"/>
            <w:r w:rsidRPr="00B33432">
              <w:rPr>
                <w:rFonts w:ascii="Arial" w:hAnsi="Arial" w:cs="Arial"/>
              </w:rPr>
              <w:t>Purpose</w:t>
            </w:r>
            <w:proofErr w:type="spellEnd"/>
            <w:r w:rsidRPr="00B33432">
              <w:rPr>
                <w:rFonts w:ascii="Arial" w:hAnsi="Arial" w:cs="Arial"/>
              </w:rPr>
              <w:t xml:space="preserve"> </w:t>
            </w:r>
            <w:proofErr w:type="spellStart"/>
            <w:r w:rsidRPr="00B33432">
              <w:rPr>
                <w:rFonts w:ascii="Arial" w:hAnsi="Arial" w:cs="Arial"/>
              </w:rPr>
              <w:t>Acquisition</w:t>
            </w:r>
            <w:proofErr w:type="spellEnd"/>
            <w:r w:rsidRPr="00B33432">
              <w:rPr>
                <w:rFonts w:ascii="Arial" w:hAnsi="Arial" w:cs="Arial"/>
              </w:rPr>
              <w:t xml:space="preserve"> Companies (‘</w:t>
            </w:r>
            <w:proofErr w:type="spellStart"/>
            <w:r w:rsidRPr="00B33432">
              <w:rPr>
                <w:rFonts w:ascii="Arial" w:hAnsi="Arial" w:cs="Arial"/>
              </w:rPr>
              <w:t>SPACs</w:t>
            </w:r>
            <w:proofErr w:type="spellEnd"/>
            <w:r w:rsidRPr="00B33432">
              <w:rPr>
                <w:rFonts w:ascii="Arial" w:hAnsi="Arial" w:cs="Arial"/>
              </w:rPr>
              <w:t>’)</w:t>
            </w:r>
          </w:p>
        </w:tc>
        <w:tc>
          <w:tcPr>
            <w:tcW w:w="3686" w:type="dxa"/>
          </w:tcPr>
          <w:p w14:paraId="71188E6F" w14:textId="77777777" w:rsidR="00547252" w:rsidRPr="00547252" w:rsidRDefault="00547252" w:rsidP="00547252">
            <w:pPr>
              <w:tabs>
                <w:tab w:val="left" w:pos="1340"/>
              </w:tabs>
              <w:spacing w:after="250" w:line="276" w:lineRule="auto"/>
              <w:jc w:val="both"/>
              <w:rPr>
                <w:rFonts w:ascii="Arial" w:hAnsi="Arial" w:cs="Arial"/>
                <w:color w:val="181818"/>
                <w:lang w:val="en-US"/>
              </w:rPr>
            </w:pPr>
            <w:r w:rsidRPr="00547252">
              <w:rPr>
                <w:rFonts w:ascii="Arial" w:hAnsi="Arial" w:cs="Arial"/>
                <w:color w:val="181818"/>
                <w:lang w:val="en-US"/>
              </w:rPr>
              <w:t xml:space="preserve">(1) Potential for increased returns where the target private company grows following its IPO. </w:t>
            </w:r>
          </w:p>
          <w:p w14:paraId="07459315" w14:textId="561D298A" w:rsidR="00547252" w:rsidRPr="00547252" w:rsidRDefault="00547252" w:rsidP="00547252">
            <w:pPr>
              <w:spacing w:after="250" w:line="276" w:lineRule="auto"/>
              <w:jc w:val="both"/>
              <w:rPr>
                <w:rFonts w:ascii="Arial" w:hAnsi="Arial" w:cs="Arial"/>
                <w:color w:val="181818"/>
                <w:lang w:val="en-US"/>
              </w:rPr>
            </w:pPr>
            <w:r w:rsidRPr="00547252">
              <w:rPr>
                <w:rFonts w:ascii="Arial" w:hAnsi="Arial" w:cs="Arial"/>
                <w:color w:val="181818"/>
                <w:lang w:val="en-US"/>
              </w:rPr>
              <w:t>(2) Provides a mechanism for UCITS to invest in innovative or high-growth private companies, or those within emerging sectors or markets, which may otherwise be inaccessible.</w:t>
            </w:r>
          </w:p>
        </w:tc>
        <w:tc>
          <w:tcPr>
            <w:tcW w:w="2409" w:type="dxa"/>
          </w:tcPr>
          <w:p w14:paraId="6537F28F" w14:textId="77777777" w:rsidR="00547252" w:rsidRPr="00547252" w:rsidRDefault="00547252" w:rsidP="00547252">
            <w:pPr>
              <w:spacing w:after="250" w:line="276" w:lineRule="auto"/>
              <w:jc w:val="both"/>
              <w:rPr>
                <w:rFonts w:ascii="Arial" w:hAnsi="Arial" w:cs="Arial"/>
                <w:color w:val="181818"/>
                <w:lang w:val="en-US"/>
              </w:rPr>
            </w:pPr>
          </w:p>
        </w:tc>
        <w:tc>
          <w:tcPr>
            <w:tcW w:w="1985" w:type="dxa"/>
          </w:tcPr>
          <w:p w14:paraId="6DFB9E20" w14:textId="37CF7EA8" w:rsidR="00547252" w:rsidRPr="00547252" w:rsidRDefault="00547252" w:rsidP="00547252">
            <w:pPr>
              <w:spacing w:after="250" w:line="276" w:lineRule="auto"/>
              <w:jc w:val="both"/>
              <w:rPr>
                <w:rFonts w:ascii="Arial" w:hAnsi="Arial" w:cs="Arial"/>
                <w:color w:val="181818"/>
                <w:lang w:val="en-US"/>
              </w:rPr>
            </w:pPr>
            <w:r w:rsidRPr="00547252">
              <w:rPr>
                <w:rFonts w:ascii="Arial" w:hAnsi="Arial" w:cs="Arial"/>
                <w:color w:val="181818"/>
                <w:lang w:val="en-US"/>
              </w:rPr>
              <w:t>Exposure can typically be up to 5 – 10%</w:t>
            </w:r>
          </w:p>
        </w:tc>
        <w:tc>
          <w:tcPr>
            <w:tcW w:w="4536" w:type="dxa"/>
          </w:tcPr>
          <w:p w14:paraId="2E3ABF9C" w14:textId="77777777" w:rsidR="00547252" w:rsidRPr="00547252" w:rsidRDefault="00547252" w:rsidP="00547252">
            <w:pPr>
              <w:spacing w:after="250" w:line="276" w:lineRule="auto"/>
              <w:jc w:val="both"/>
              <w:rPr>
                <w:rFonts w:ascii="Arial" w:hAnsi="Arial" w:cs="Arial"/>
                <w:color w:val="181818"/>
                <w:lang w:val="en-US"/>
              </w:rPr>
            </w:pPr>
            <w:r w:rsidRPr="00547252">
              <w:rPr>
                <w:rFonts w:ascii="Arial" w:hAnsi="Arial" w:cs="Arial"/>
                <w:b/>
                <w:bCs/>
                <w:color w:val="181818"/>
                <w:lang w:val="en-US"/>
              </w:rPr>
              <w:t>Regulator views</w:t>
            </w:r>
            <w:r w:rsidRPr="00547252">
              <w:rPr>
                <w:rFonts w:ascii="Arial" w:hAnsi="Arial" w:cs="Arial"/>
                <w:color w:val="181818"/>
                <w:lang w:val="en-US"/>
              </w:rPr>
              <w:t>: some Member States have issued specific guidance on this asset class. For example, the CSSF notes that SPACs can be eligible investments provided that at any point of their life cycle they qualify as a transferable security. It requires the UCITS to first perform a detailed risk assessment covering all material risks to which the UCITS will be exposed, and to in principle limit exposure to max. 10% of the UCITS’ NAV and to be appropriately disclosed in the UCITS perspective.</w:t>
            </w:r>
          </w:p>
          <w:p w14:paraId="1ED58F94" w14:textId="77777777" w:rsidR="00547252" w:rsidRPr="00547252" w:rsidRDefault="00547252" w:rsidP="00547252">
            <w:pPr>
              <w:spacing w:after="250" w:line="276" w:lineRule="auto"/>
              <w:jc w:val="both"/>
              <w:rPr>
                <w:rFonts w:ascii="Arial" w:hAnsi="Arial" w:cs="Arial"/>
                <w:color w:val="181818"/>
                <w:lang w:val="en-US"/>
              </w:rPr>
            </w:pPr>
            <w:r w:rsidRPr="00547252">
              <w:rPr>
                <w:rFonts w:ascii="Arial" w:hAnsi="Arial" w:cs="Arial"/>
                <w:b/>
                <w:bCs/>
                <w:color w:val="181818"/>
                <w:lang w:val="en-US"/>
              </w:rPr>
              <w:t>Liquidity</w:t>
            </w:r>
            <w:r w:rsidRPr="00547252">
              <w:rPr>
                <w:rFonts w:ascii="Arial" w:hAnsi="Arial" w:cs="Arial"/>
                <w:color w:val="181818"/>
                <w:lang w:val="en-US"/>
              </w:rPr>
              <w:t xml:space="preserve">: SPAC investments can be traded in the same manner as normal common stock </w:t>
            </w:r>
            <w:r w:rsidRPr="00547252">
              <w:rPr>
                <w:rFonts w:ascii="Arial" w:hAnsi="Arial" w:cs="Arial"/>
                <w:color w:val="181818"/>
                <w:lang w:val="en-US"/>
              </w:rPr>
              <w:lastRenderedPageBreak/>
              <w:t>when they are publicly listed companies on a stock exchange. The main difference being that they have no operations and are a vehicle which uses an IPO to raise capital to acquire another company down the line.</w:t>
            </w:r>
          </w:p>
          <w:p w14:paraId="01F1D452" w14:textId="77777777" w:rsidR="00547252" w:rsidRPr="00547252" w:rsidRDefault="00547252" w:rsidP="00547252">
            <w:pPr>
              <w:spacing w:after="250" w:line="276" w:lineRule="auto"/>
              <w:jc w:val="both"/>
              <w:rPr>
                <w:rFonts w:ascii="Arial" w:hAnsi="Arial" w:cs="Arial"/>
                <w:color w:val="181818"/>
                <w:lang w:val="en-US"/>
              </w:rPr>
            </w:pPr>
            <w:r w:rsidRPr="00547252">
              <w:rPr>
                <w:rFonts w:ascii="Arial" w:hAnsi="Arial" w:cs="Arial"/>
                <w:b/>
                <w:bCs/>
                <w:color w:val="181818"/>
                <w:lang w:val="en-US"/>
              </w:rPr>
              <w:t>Valuation</w:t>
            </w:r>
            <w:r w:rsidRPr="00547252">
              <w:rPr>
                <w:rFonts w:ascii="Arial" w:hAnsi="Arial" w:cs="Arial"/>
                <w:color w:val="181818"/>
                <w:lang w:val="en-US"/>
              </w:rPr>
              <w:t>: as a publicly traded company, where the SPAC is exchange traded, the procedure for valuing an exchange traded product is followed.</w:t>
            </w:r>
          </w:p>
          <w:p w14:paraId="70DF9E56" w14:textId="356B0011" w:rsidR="00547252" w:rsidRPr="00547252" w:rsidRDefault="00547252" w:rsidP="00547252">
            <w:pPr>
              <w:spacing w:after="250" w:line="276" w:lineRule="auto"/>
              <w:jc w:val="both"/>
              <w:rPr>
                <w:rFonts w:ascii="Arial" w:hAnsi="Arial" w:cs="Arial"/>
                <w:color w:val="181818"/>
                <w:lang w:val="en-US"/>
              </w:rPr>
            </w:pPr>
            <w:r w:rsidRPr="00547252">
              <w:rPr>
                <w:rFonts w:ascii="Arial" w:hAnsi="Arial" w:cs="Arial"/>
                <w:color w:val="181818"/>
                <w:lang w:val="en-US"/>
              </w:rPr>
              <w:t>It is reported by some members that risks associated with investing in SPACs are managed by limiting the percentage of possible investments (e.g., the CSSF limits exposure to 10% of the UCITS NAV) and ensuring appropriate disclosure in the prospectus.</w:t>
            </w:r>
          </w:p>
        </w:tc>
      </w:tr>
      <w:tr w:rsidR="0017559D" w:rsidRPr="00B33432" w14:paraId="72D194A9" w14:textId="77777777" w:rsidTr="00654E41">
        <w:tc>
          <w:tcPr>
            <w:tcW w:w="1271" w:type="dxa"/>
          </w:tcPr>
          <w:p w14:paraId="31158681" w14:textId="77777777" w:rsidR="0017559D" w:rsidRPr="00B33432" w:rsidRDefault="0017559D" w:rsidP="0017559D">
            <w:pPr>
              <w:spacing w:after="250" w:line="276" w:lineRule="auto"/>
              <w:rPr>
                <w:rFonts w:ascii="Arial" w:hAnsi="Arial" w:cs="Arial"/>
              </w:rPr>
            </w:pPr>
            <w:r w:rsidRPr="00B33432">
              <w:rPr>
                <w:rFonts w:ascii="Arial" w:hAnsi="Arial" w:cs="Arial"/>
              </w:rPr>
              <w:lastRenderedPageBreak/>
              <w:t xml:space="preserve">13. EU </w:t>
            </w:r>
            <w:proofErr w:type="spellStart"/>
            <w:r w:rsidRPr="00B33432">
              <w:rPr>
                <w:rFonts w:ascii="Arial" w:hAnsi="Arial" w:cs="Arial"/>
              </w:rPr>
              <w:t>AIFs</w:t>
            </w:r>
            <w:proofErr w:type="spellEnd"/>
            <w:r w:rsidRPr="00B33432">
              <w:rPr>
                <w:rFonts w:ascii="Arial" w:hAnsi="Arial" w:cs="Arial"/>
                <w:sz w:val="16"/>
                <w:vertAlign w:val="superscript"/>
              </w:rPr>
              <w:footnoteReference w:id="10"/>
            </w:r>
          </w:p>
        </w:tc>
        <w:tc>
          <w:tcPr>
            <w:tcW w:w="3686" w:type="dxa"/>
          </w:tcPr>
          <w:p w14:paraId="61EB59C4" w14:textId="77777777" w:rsidR="0017559D" w:rsidRPr="0017559D" w:rsidRDefault="0017559D" w:rsidP="0017559D">
            <w:pPr>
              <w:spacing w:after="250" w:line="276" w:lineRule="auto"/>
              <w:jc w:val="both"/>
              <w:rPr>
                <w:rFonts w:ascii="Arial" w:hAnsi="Arial" w:cs="Arial"/>
                <w:color w:val="181818"/>
                <w:lang w:val="en-US"/>
              </w:rPr>
            </w:pPr>
            <w:r w:rsidRPr="0017559D">
              <w:rPr>
                <w:rFonts w:ascii="Arial" w:hAnsi="Arial" w:cs="Arial"/>
                <w:color w:val="181818"/>
                <w:lang w:val="en-US"/>
              </w:rPr>
              <w:t xml:space="preserve">(1) Investing in an AIF permits exposure to a diversified portfolio of </w:t>
            </w:r>
            <w:proofErr w:type="spellStart"/>
            <w:r w:rsidRPr="0017559D">
              <w:rPr>
                <w:rFonts w:ascii="Arial" w:hAnsi="Arial" w:cs="Arial"/>
                <w:color w:val="181818"/>
                <w:lang w:val="en-US"/>
              </w:rPr>
              <w:t>underlyings</w:t>
            </w:r>
            <w:proofErr w:type="spellEnd"/>
            <w:r w:rsidRPr="0017559D">
              <w:rPr>
                <w:rFonts w:ascii="Arial" w:hAnsi="Arial" w:cs="Arial"/>
                <w:color w:val="181818"/>
                <w:lang w:val="en-US"/>
              </w:rPr>
              <w:t xml:space="preserve"> to which the UCITs may not be able to obtain direct exposure. This can bring diversification benefits and a higher return potential. For example, large-scale projects such as real estate or infrastructure. For real assets in particular, AIFs generally offer a high degree of stability and </w:t>
            </w:r>
            <w:r w:rsidRPr="0017559D">
              <w:rPr>
                <w:rFonts w:ascii="Arial" w:hAnsi="Arial" w:cs="Arial"/>
                <w:color w:val="181818"/>
                <w:lang w:val="en-US"/>
              </w:rPr>
              <w:lastRenderedPageBreak/>
              <w:t>profitability regardless of e.g. interest rates.</w:t>
            </w:r>
          </w:p>
          <w:p w14:paraId="1CDFA3A0" w14:textId="77777777" w:rsidR="0017559D" w:rsidRPr="0017559D" w:rsidRDefault="0017559D" w:rsidP="0017559D">
            <w:pPr>
              <w:spacing w:after="250" w:line="276" w:lineRule="auto"/>
              <w:jc w:val="both"/>
              <w:rPr>
                <w:rFonts w:ascii="Arial" w:hAnsi="Arial" w:cs="Arial"/>
                <w:color w:val="181818"/>
                <w:lang w:val="en-US"/>
              </w:rPr>
            </w:pPr>
            <w:r w:rsidRPr="0017559D">
              <w:rPr>
                <w:rFonts w:ascii="Arial" w:hAnsi="Arial" w:cs="Arial"/>
                <w:color w:val="181818"/>
                <w:lang w:val="en-US"/>
              </w:rPr>
              <w:t>(2) Higher returns may also be generated by virtue of the flexibility of AIF managers in their investment approaches (e.g. leverage and short selling strategies) as well as the expertise of AIF managers in this domain.</w:t>
            </w:r>
          </w:p>
          <w:p w14:paraId="44E871BC" w14:textId="4A94E86C" w:rsidR="0017559D" w:rsidRPr="0017559D" w:rsidRDefault="0017559D" w:rsidP="0017559D">
            <w:pPr>
              <w:spacing w:after="250" w:line="276" w:lineRule="auto"/>
              <w:jc w:val="both"/>
              <w:rPr>
                <w:rFonts w:ascii="Arial" w:hAnsi="Arial" w:cs="Arial"/>
                <w:color w:val="181818"/>
                <w:lang w:val="en-US"/>
              </w:rPr>
            </w:pPr>
            <w:r w:rsidRPr="0017559D">
              <w:rPr>
                <w:rFonts w:ascii="Arial" w:hAnsi="Arial" w:cs="Arial"/>
                <w:color w:val="181818"/>
                <w:lang w:val="en-US"/>
              </w:rPr>
              <w:t>(3) The regulation of AIFs via the AIFMD provides increased investor protection.</w:t>
            </w:r>
          </w:p>
        </w:tc>
        <w:tc>
          <w:tcPr>
            <w:tcW w:w="2409" w:type="dxa"/>
          </w:tcPr>
          <w:p w14:paraId="144A5D23" w14:textId="4DA55305" w:rsidR="0017559D" w:rsidRPr="0017559D" w:rsidRDefault="0017559D" w:rsidP="0017559D">
            <w:pPr>
              <w:spacing w:after="250" w:line="276" w:lineRule="auto"/>
              <w:jc w:val="both"/>
              <w:rPr>
                <w:rFonts w:ascii="Arial" w:hAnsi="Arial" w:cs="Arial"/>
                <w:color w:val="181818"/>
                <w:lang w:val="en-US"/>
              </w:rPr>
            </w:pPr>
            <w:r w:rsidRPr="0017559D">
              <w:rPr>
                <w:rFonts w:ascii="Arial" w:hAnsi="Arial" w:cs="Arial"/>
                <w:color w:val="181818"/>
                <w:lang w:val="en-US"/>
              </w:rPr>
              <w:lastRenderedPageBreak/>
              <w:t>Our members have reported typically direct exposure. In some cases, indirect exposure is obtained through other fund of EU AIFs.</w:t>
            </w:r>
          </w:p>
        </w:tc>
        <w:tc>
          <w:tcPr>
            <w:tcW w:w="1985" w:type="dxa"/>
          </w:tcPr>
          <w:p w14:paraId="738610EB" w14:textId="5A6ED436" w:rsidR="0017559D" w:rsidRPr="00B33432" w:rsidRDefault="0017559D" w:rsidP="0017559D">
            <w:pPr>
              <w:spacing w:after="250" w:line="276" w:lineRule="auto"/>
              <w:jc w:val="both"/>
              <w:rPr>
                <w:rFonts w:ascii="Arial" w:hAnsi="Arial" w:cs="Arial"/>
                <w:color w:val="181818"/>
              </w:rPr>
            </w:pPr>
            <w:proofErr w:type="spellStart"/>
            <w:r>
              <w:rPr>
                <w:rFonts w:ascii="Arial" w:hAnsi="Arial" w:cs="Arial"/>
                <w:color w:val="181818"/>
              </w:rPr>
              <w:t>Typically</w:t>
            </w:r>
            <w:proofErr w:type="spellEnd"/>
            <w:r>
              <w:rPr>
                <w:rFonts w:ascii="Arial" w:hAnsi="Arial" w:cs="Arial"/>
                <w:color w:val="181818"/>
              </w:rPr>
              <w:t xml:space="preserve"> up </w:t>
            </w:r>
            <w:proofErr w:type="spellStart"/>
            <w:r>
              <w:rPr>
                <w:rFonts w:ascii="Arial" w:hAnsi="Arial" w:cs="Arial"/>
                <w:color w:val="181818"/>
              </w:rPr>
              <w:t>to</w:t>
            </w:r>
            <w:proofErr w:type="spellEnd"/>
            <w:r>
              <w:rPr>
                <w:rFonts w:ascii="Arial" w:hAnsi="Arial" w:cs="Arial"/>
                <w:color w:val="181818"/>
              </w:rPr>
              <w:t xml:space="preserve"> 5 – 10%.</w:t>
            </w:r>
          </w:p>
        </w:tc>
        <w:tc>
          <w:tcPr>
            <w:tcW w:w="4536" w:type="dxa"/>
          </w:tcPr>
          <w:p w14:paraId="68CFFCF2" w14:textId="77777777" w:rsidR="0017559D" w:rsidRPr="0017559D" w:rsidRDefault="0017559D" w:rsidP="0017559D">
            <w:pPr>
              <w:rPr>
                <w:rFonts w:ascii="Arial" w:hAnsi="Arial" w:cs="Arial"/>
                <w:color w:val="181818"/>
                <w:lang w:val="en-US"/>
              </w:rPr>
            </w:pPr>
            <w:r w:rsidRPr="0017559D">
              <w:rPr>
                <w:rFonts w:ascii="Arial" w:hAnsi="Arial" w:cs="Arial"/>
                <w:color w:val="181818"/>
                <w:lang w:val="en-US"/>
              </w:rPr>
              <w:t>We refer to our answer to Question 14 above, regarding the considerations relevant to whether UCITS funds should be able to invest in certain open-ended AIFs.</w:t>
            </w:r>
          </w:p>
          <w:p w14:paraId="0E27CE3F" w14:textId="77777777" w:rsidR="0017559D" w:rsidRPr="0017559D" w:rsidRDefault="0017559D" w:rsidP="0017559D">
            <w:pPr>
              <w:rPr>
                <w:rFonts w:ascii="Arial" w:hAnsi="Arial" w:cs="Arial"/>
                <w:color w:val="181818"/>
                <w:lang w:val="en-US"/>
              </w:rPr>
            </w:pPr>
          </w:p>
          <w:p w14:paraId="637805D2" w14:textId="282003CE" w:rsidR="0017559D" w:rsidRPr="0017559D" w:rsidRDefault="0017559D" w:rsidP="0017559D">
            <w:pPr>
              <w:spacing w:after="250" w:line="276" w:lineRule="auto"/>
              <w:jc w:val="both"/>
              <w:rPr>
                <w:rFonts w:ascii="Arial" w:hAnsi="Arial" w:cs="Arial"/>
                <w:color w:val="181818"/>
                <w:lang w:val="en-US"/>
              </w:rPr>
            </w:pPr>
            <w:r w:rsidRPr="00D259AA">
              <w:rPr>
                <w:rFonts w:ascii="Arial" w:hAnsi="Arial" w:cs="Arial"/>
                <w:b/>
                <w:bCs/>
                <w:color w:val="181818"/>
                <w:lang w:val="en-US"/>
              </w:rPr>
              <w:t>Valuation</w:t>
            </w:r>
            <w:r w:rsidRPr="00D259AA">
              <w:rPr>
                <w:rFonts w:ascii="Arial" w:hAnsi="Arial" w:cs="Arial"/>
                <w:color w:val="181818"/>
                <w:lang w:val="en-US"/>
              </w:rPr>
              <w:t xml:space="preserve">: </w:t>
            </w:r>
            <w:r>
              <w:rPr>
                <w:rFonts w:ascii="Arial" w:hAnsi="Arial" w:cs="Arial"/>
                <w:color w:val="181818"/>
                <w:lang w:val="en-US"/>
              </w:rPr>
              <w:t>we refer to our general remarks above regarding obtaining a reliable valuation. with sources of pricing specific to EU AIFs including Bloomberg, Six-Financials, etc.</w:t>
            </w:r>
          </w:p>
        </w:tc>
      </w:tr>
      <w:tr w:rsidR="004041C0" w:rsidRPr="00B33432" w14:paraId="50B47933" w14:textId="77777777" w:rsidTr="00654E41">
        <w:tc>
          <w:tcPr>
            <w:tcW w:w="1271" w:type="dxa"/>
          </w:tcPr>
          <w:p w14:paraId="5B21E6DB" w14:textId="77777777" w:rsidR="004041C0" w:rsidRPr="00B33432" w:rsidRDefault="004041C0" w:rsidP="004041C0">
            <w:pPr>
              <w:spacing w:after="250" w:line="276" w:lineRule="auto"/>
              <w:rPr>
                <w:rFonts w:ascii="Arial" w:hAnsi="Arial" w:cs="Arial"/>
              </w:rPr>
            </w:pPr>
            <w:r w:rsidRPr="00B33432">
              <w:rPr>
                <w:rFonts w:ascii="Arial" w:hAnsi="Arial" w:cs="Arial"/>
              </w:rPr>
              <w:t xml:space="preserve">14. Non-EU </w:t>
            </w:r>
            <w:proofErr w:type="spellStart"/>
            <w:r w:rsidRPr="00B33432">
              <w:rPr>
                <w:rFonts w:ascii="Arial" w:hAnsi="Arial" w:cs="Arial"/>
              </w:rPr>
              <w:t>AIFs</w:t>
            </w:r>
            <w:proofErr w:type="spellEnd"/>
          </w:p>
        </w:tc>
        <w:tc>
          <w:tcPr>
            <w:tcW w:w="3686" w:type="dxa"/>
          </w:tcPr>
          <w:p w14:paraId="24D0F9A1" w14:textId="77777777" w:rsidR="004041C0" w:rsidRPr="004041C0" w:rsidRDefault="004041C0" w:rsidP="004041C0">
            <w:pPr>
              <w:spacing w:after="250" w:line="276" w:lineRule="auto"/>
              <w:jc w:val="both"/>
              <w:rPr>
                <w:rFonts w:ascii="Arial" w:hAnsi="Arial" w:cs="Arial"/>
                <w:color w:val="181818"/>
                <w:lang w:val="en-US"/>
              </w:rPr>
            </w:pPr>
            <w:r w:rsidRPr="004041C0">
              <w:rPr>
                <w:rFonts w:ascii="Arial" w:hAnsi="Arial" w:cs="Arial"/>
                <w:color w:val="181818"/>
                <w:lang w:val="en-US"/>
              </w:rPr>
              <w:t xml:space="preserve">(1) Investing in an AIF permits exposure to a diversified portfolio of </w:t>
            </w:r>
            <w:proofErr w:type="spellStart"/>
            <w:r w:rsidRPr="004041C0">
              <w:rPr>
                <w:rFonts w:ascii="Arial" w:hAnsi="Arial" w:cs="Arial"/>
                <w:color w:val="181818"/>
                <w:lang w:val="en-US"/>
              </w:rPr>
              <w:t>underlyings</w:t>
            </w:r>
            <w:proofErr w:type="spellEnd"/>
            <w:r w:rsidRPr="004041C0">
              <w:rPr>
                <w:rFonts w:ascii="Arial" w:hAnsi="Arial" w:cs="Arial"/>
                <w:color w:val="181818"/>
                <w:lang w:val="en-US"/>
              </w:rPr>
              <w:t xml:space="preserve"> to which the UCITs may not be able to obtain direct exposure. This can bring diversification benefits and a higher return potential.</w:t>
            </w:r>
          </w:p>
          <w:p w14:paraId="463F29E8" w14:textId="0005534F" w:rsidR="004041C0" w:rsidRPr="004041C0" w:rsidRDefault="004041C0" w:rsidP="004041C0">
            <w:pPr>
              <w:spacing w:after="250" w:line="276" w:lineRule="auto"/>
              <w:jc w:val="both"/>
              <w:rPr>
                <w:rFonts w:ascii="Arial" w:hAnsi="Arial" w:cs="Arial"/>
                <w:color w:val="181818"/>
                <w:lang w:val="en-US"/>
              </w:rPr>
            </w:pPr>
            <w:r w:rsidRPr="004041C0">
              <w:rPr>
                <w:rFonts w:ascii="Arial" w:hAnsi="Arial" w:cs="Arial"/>
                <w:color w:val="181818"/>
                <w:lang w:val="en-US"/>
              </w:rPr>
              <w:t>(2) Higher returns may also be generated by virtue of the flexibility of AIF managers in their investment approaches (e.g. leverage and short selling strategies) as well as the expertise of AIF managers in this domain.</w:t>
            </w:r>
          </w:p>
        </w:tc>
        <w:tc>
          <w:tcPr>
            <w:tcW w:w="2409" w:type="dxa"/>
          </w:tcPr>
          <w:p w14:paraId="3B7B4B86" w14:textId="77777777" w:rsidR="004041C0" w:rsidRPr="004041C0" w:rsidRDefault="004041C0" w:rsidP="004041C0">
            <w:pPr>
              <w:spacing w:after="250" w:line="276" w:lineRule="auto"/>
              <w:jc w:val="both"/>
              <w:rPr>
                <w:rFonts w:ascii="Arial" w:hAnsi="Arial" w:cs="Arial"/>
                <w:color w:val="181818"/>
                <w:lang w:val="en-US"/>
              </w:rPr>
            </w:pPr>
          </w:p>
        </w:tc>
        <w:tc>
          <w:tcPr>
            <w:tcW w:w="1985" w:type="dxa"/>
          </w:tcPr>
          <w:p w14:paraId="3A0FF5F2" w14:textId="6759AB8E" w:rsidR="004041C0" w:rsidRPr="00B33432" w:rsidRDefault="004041C0" w:rsidP="004041C0">
            <w:pPr>
              <w:spacing w:after="250" w:line="276" w:lineRule="auto"/>
              <w:jc w:val="both"/>
              <w:rPr>
                <w:rFonts w:ascii="Arial" w:hAnsi="Arial" w:cs="Arial"/>
                <w:color w:val="181818"/>
              </w:rPr>
            </w:pPr>
            <w:proofErr w:type="spellStart"/>
            <w:r w:rsidRPr="00C778E6">
              <w:rPr>
                <w:rFonts w:ascii="Arial" w:hAnsi="Arial" w:cs="Arial"/>
                <w:color w:val="181818"/>
              </w:rPr>
              <w:t>Between</w:t>
            </w:r>
            <w:proofErr w:type="spellEnd"/>
            <w:r w:rsidRPr="00C778E6">
              <w:rPr>
                <w:rFonts w:ascii="Arial" w:hAnsi="Arial" w:cs="Arial"/>
                <w:color w:val="181818"/>
              </w:rPr>
              <w:t xml:space="preserve"> 0 – 10%</w:t>
            </w:r>
          </w:p>
        </w:tc>
        <w:tc>
          <w:tcPr>
            <w:tcW w:w="4536" w:type="dxa"/>
          </w:tcPr>
          <w:p w14:paraId="5630AD66" w14:textId="761746B8" w:rsidR="004041C0" w:rsidRPr="004041C0" w:rsidRDefault="004041C0" w:rsidP="004041C0">
            <w:pPr>
              <w:spacing w:after="250" w:line="276" w:lineRule="auto"/>
              <w:jc w:val="both"/>
              <w:rPr>
                <w:rFonts w:ascii="Arial" w:hAnsi="Arial" w:cs="Arial"/>
                <w:color w:val="181818"/>
                <w:lang w:val="en-US"/>
              </w:rPr>
            </w:pPr>
            <w:r w:rsidRPr="00D63069">
              <w:rPr>
                <w:rFonts w:ascii="Arial" w:hAnsi="Arial" w:cs="Arial"/>
                <w:b/>
                <w:bCs/>
                <w:color w:val="181818"/>
                <w:lang w:val="en-US"/>
              </w:rPr>
              <w:t>Valuation</w:t>
            </w:r>
            <w:r w:rsidRPr="00D63069">
              <w:rPr>
                <w:rFonts w:ascii="Arial" w:hAnsi="Arial" w:cs="Arial"/>
                <w:color w:val="181818"/>
                <w:lang w:val="en-US"/>
              </w:rPr>
              <w:t xml:space="preserve">: </w:t>
            </w:r>
            <w:r>
              <w:rPr>
                <w:rFonts w:ascii="Arial" w:hAnsi="Arial" w:cs="Arial"/>
                <w:color w:val="181818"/>
                <w:lang w:val="en-US"/>
              </w:rPr>
              <w:t>we refer to our general remarks above regarding obtaining a reliable valuation. with sources of pricing specific to EU AIFs including Bloomberg, Six-Financials, etc.</w:t>
            </w:r>
          </w:p>
        </w:tc>
      </w:tr>
      <w:tr w:rsidR="00D12113" w:rsidRPr="00B33432" w14:paraId="5A25875C" w14:textId="77777777" w:rsidTr="00654E41">
        <w:tc>
          <w:tcPr>
            <w:tcW w:w="1271" w:type="dxa"/>
          </w:tcPr>
          <w:p w14:paraId="0BD070FC" w14:textId="77777777" w:rsidR="00D12113" w:rsidRPr="00B33432" w:rsidRDefault="00D12113" w:rsidP="00D12113">
            <w:pPr>
              <w:spacing w:after="250" w:line="276" w:lineRule="auto"/>
              <w:rPr>
                <w:rFonts w:ascii="Arial" w:hAnsi="Arial" w:cs="Arial"/>
              </w:rPr>
            </w:pPr>
            <w:r w:rsidRPr="00B33432">
              <w:rPr>
                <w:rFonts w:ascii="Arial" w:hAnsi="Arial" w:cs="Arial"/>
              </w:rPr>
              <w:lastRenderedPageBreak/>
              <w:t xml:space="preserve">15. </w:t>
            </w:r>
            <w:proofErr w:type="spellStart"/>
            <w:r w:rsidRPr="00B33432">
              <w:rPr>
                <w:rFonts w:ascii="Arial" w:hAnsi="Arial" w:cs="Arial"/>
              </w:rPr>
              <w:t>Emission</w:t>
            </w:r>
            <w:proofErr w:type="spellEnd"/>
            <w:r w:rsidRPr="00B33432">
              <w:rPr>
                <w:rFonts w:ascii="Arial" w:hAnsi="Arial" w:cs="Arial"/>
              </w:rPr>
              <w:t xml:space="preserve"> </w:t>
            </w:r>
            <w:proofErr w:type="spellStart"/>
            <w:r w:rsidRPr="00B33432">
              <w:rPr>
                <w:rFonts w:ascii="Arial" w:hAnsi="Arial" w:cs="Arial"/>
              </w:rPr>
              <w:t>allowances</w:t>
            </w:r>
            <w:proofErr w:type="spellEnd"/>
          </w:p>
        </w:tc>
        <w:tc>
          <w:tcPr>
            <w:tcW w:w="3686" w:type="dxa"/>
          </w:tcPr>
          <w:p w14:paraId="6C0BFAC4" w14:textId="77777777" w:rsidR="00D12113" w:rsidRPr="00D12113" w:rsidRDefault="00D12113" w:rsidP="00D12113">
            <w:pPr>
              <w:tabs>
                <w:tab w:val="left" w:pos="1365"/>
              </w:tabs>
              <w:spacing w:after="250" w:line="276" w:lineRule="auto"/>
              <w:jc w:val="both"/>
              <w:rPr>
                <w:rFonts w:ascii="Arial" w:hAnsi="Arial" w:cs="Arial"/>
                <w:color w:val="181818"/>
                <w:lang w:val="en-US"/>
              </w:rPr>
            </w:pPr>
            <w:r w:rsidRPr="00D12113">
              <w:rPr>
                <w:rFonts w:ascii="Arial" w:hAnsi="Arial" w:cs="Arial"/>
                <w:color w:val="181818"/>
                <w:lang w:val="en-US"/>
              </w:rPr>
              <w:t xml:space="preserve">(1) Low correlation to traditional securities, diversifying the portfolio. It can also represent a hedge where the UCITS is exposed to sectors which are sensitive to, e.g., carbon pricing or regulation. </w:t>
            </w:r>
          </w:p>
          <w:p w14:paraId="22A02040" w14:textId="77777777" w:rsidR="00D12113" w:rsidRPr="00D12113" w:rsidRDefault="00D12113" w:rsidP="00D12113">
            <w:pPr>
              <w:tabs>
                <w:tab w:val="left" w:pos="1365"/>
              </w:tabs>
              <w:spacing w:after="250" w:line="276" w:lineRule="auto"/>
              <w:jc w:val="both"/>
              <w:rPr>
                <w:rFonts w:ascii="Arial" w:hAnsi="Arial" w:cs="Arial"/>
                <w:color w:val="181818"/>
                <w:lang w:val="en-US"/>
              </w:rPr>
            </w:pPr>
            <w:r w:rsidRPr="00D12113">
              <w:rPr>
                <w:rFonts w:ascii="Arial" w:hAnsi="Arial" w:cs="Arial"/>
                <w:color w:val="181818"/>
                <w:lang w:val="en-US"/>
              </w:rPr>
              <w:t xml:space="preserve">(2) Possibility for capital appreciation, as the value of these assets can fluctuate based on factors such as regulatory changes and supply and demand. </w:t>
            </w:r>
          </w:p>
          <w:p w14:paraId="61829076" w14:textId="7401F237" w:rsidR="00D12113" w:rsidRPr="00D12113" w:rsidRDefault="00D12113" w:rsidP="00D12113">
            <w:pPr>
              <w:spacing w:after="250" w:line="276" w:lineRule="auto"/>
              <w:jc w:val="both"/>
              <w:rPr>
                <w:rFonts w:ascii="Arial" w:hAnsi="Arial" w:cs="Arial"/>
                <w:color w:val="181818"/>
                <w:lang w:val="en-US"/>
              </w:rPr>
            </w:pPr>
            <w:r w:rsidRPr="00D12113">
              <w:rPr>
                <w:rFonts w:ascii="Arial" w:hAnsi="Arial" w:cs="Arial"/>
                <w:color w:val="181818"/>
                <w:lang w:val="en-US"/>
              </w:rPr>
              <w:t>(3) These assets may also be compatible with the Article 8 or 9 strategy of a UCITS fund.</w:t>
            </w:r>
          </w:p>
        </w:tc>
        <w:tc>
          <w:tcPr>
            <w:tcW w:w="2409" w:type="dxa"/>
          </w:tcPr>
          <w:p w14:paraId="09B62650" w14:textId="77777777" w:rsidR="00D12113" w:rsidRPr="00D12113" w:rsidRDefault="00D12113" w:rsidP="00D12113">
            <w:pPr>
              <w:spacing w:after="250" w:line="276" w:lineRule="auto"/>
              <w:jc w:val="both"/>
              <w:rPr>
                <w:rFonts w:ascii="Arial" w:hAnsi="Arial" w:cs="Arial"/>
                <w:color w:val="181818"/>
                <w:lang w:val="en-US"/>
              </w:rPr>
            </w:pPr>
            <w:r w:rsidRPr="00D12113">
              <w:rPr>
                <w:rFonts w:ascii="Arial" w:hAnsi="Arial" w:cs="Arial"/>
                <w:color w:val="181818"/>
                <w:lang w:val="en-US"/>
              </w:rPr>
              <w:t>Indirect exposure can be obtained through ETCs.</w:t>
            </w:r>
          </w:p>
          <w:p w14:paraId="2BA226A1" w14:textId="2BE88821" w:rsidR="00D12113" w:rsidRPr="00D12113" w:rsidRDefault="00D12113" w:rsidP="00D12113">
            <w:pPr>
              <w:spacing w:after="250" w:line="276" w:lineRule="auto"/>
              <w:jc w:val="both"/>
              <w:rPr>
                <w:rFonts w:ascii="Arial" w:hAnsi="Arial" w:cs="Arial"/>
                <w:color w:val="181818"/>
                <w:lang w:val="en-US"/>
              </w:rPr>
            </w:pPr>
            <w:r w:rsidRPr="00D12113">
              <w:rPr>
                <w:rFonts w:ascii="Arial" w:hAnsi="Arial" w:cs="Arial"/>
                <w:color w:val="181818"/>
                <w:lang w:val="en-US"/>
              </w:rPr>
              <w:t>Indirect exposure can avoid the potentially significant operational and regulatory hurdles to direct exposure due to the requirement to have a Union Registry account (an electronic system used to track the issue, transfer and cancellation of emission allowances under the EU Emissions Trading System) and the operational expertise required to manage the account. Additionally, the purchase and sale of emission allowances may require specific regulatory permissions.</w:t>
            </w:r>
          </w:p>
        </w:tc>
        <w:tc>
          <w:tcPr>
            <w:tcW w:w="1985" w:type="dxa"/>
          </w:tcPr>
          <w:p w14:paraId="17AD93B2" w14:textId="77777777" w:rsidR="00D12113" w:rsidRPr="00D12113" w:rsidRDefault="00D12113" w:rsidP="00D12113">
            <w:pPr>
              <w:spacing w:after="250" w:line="276" w:lineRule="auto"/>
              <w:jc w:val="both"/>
              <w:rPr>
                <w:rFonts w:ascii="Arial" w:hAnsi="Arial" w:cs="Arial"/>
                <w:color w:val="181818"/>
                <w:lang w:val="en-US"/>
              </w:rPr>
            </w:pPr>
          </w:p>
        </w:tc>
        <w:tc>
          <w:tcPr>
            <w:tcW w:w="4536" w:type="dxa"/>
          </w:tcPr>
          <w:p w14:paraId="12BB3541" w14:textId="77777777" w:rsidR="00D12113" w:rsidRPr="00D12113" w:rsidRDefault="00D12113" w:rsidP="00D12113">
            <w:pPr>
              <w:spacing w:after="250" w:line="276" w:lineRule="auto"/>
              <w:jc w:val="both"/>
              <w:rPr>
                <w:rFonts w:ascii="Arial" w:hAnsi="Arial" w:cs="Arial"/>
                <w:color w:val="181818"/>
                <w:lang w:val="en-US"/>
              </w:rPr>
            </w:pPr>
            <w:r w:rsidRPr="00D12113">
              <w:rPr>
                <w:rFonts w:ascii="Arial" w:hAnsi="Arial" w:cs="Arial"/>
                <w:b/>
                <w:bCs/>
                <w:color w:val="181818"/>
                <w:lang w:val="en-US"/>
              </w:rPr>
              <w:t>Liquidity</w:t>
            </w:r>
            <w:r w:rsidRPr="00D12113">
              <w:rPr>
                <w:rFonts w:ascii="Arial" w:hAnsi="Arial" w:cs="Arial"/>
                <w:color w:val="181818"/>
                <w:lang w:val="en-US"/>
              </w:rPr>
              <w:t>: these assets are traded on established markets and are therefore liquid. The degree of liquidity will depend on factors such as trading volume and the size of the pool of potential investors. Managers also have regard to the seasonality of liquidity, which can vary depending on compliance deadlines and expected regulatory changes.</w:t>
            </w:r>
          </w:p>
          <w:p w14:paraId="0DE4B5B7" w14:textId="32F6BB3B" w:rsidR="00D12113" w:rsidRPr="00D12113" w:rsidRDefault="00D12113" w:rsidP="00D12113">
            <w:pPr>
              <w:spacing w:after="250" w:line="276" w:lineRule="auto"/>
              <w:jc w:val="both"/>
              <w:rPr>
                <w:rFonts w:ascii="Arial" w:hAnsi="Arial" w:cs="Arial"/>
                <w:color w:val="181818"/>
                <w:lang w:val="en-US"/>
              </w:rPr>
            </w:pPr>
            <w:r w:rsidRPr="00D12113">
              <w:rPr>
                <w:rFonts w:ascii="Arial" w:hAnsi="Arial" w:cs="Arial"/>
                <w:b/>
                <w:bCs/>
                <w:color w:val="181818"/>
                <w:lang w:val="en-US"/>
              </w:rPr>
              <w:t>Reliable Valuation</w:t>
            </w:r>
            <w:r w:rsidRPr="00D12113">
              <w:rPr>
                <w:rFonts w:ascii="Arial" w:hAnsi="Arial" w:cs="Arial"/>
                <w:color w:val="181818"/>
                <w:lang w:val="en-US"/>
              </w:rPr>
              <w:t>: as emission allowances are traded on exchanges, a source of valuation will be the market price of the asset obtained from financial data providers or the exchange itself. The UCITS manager may also look to the market value of the asset.</w:t>
            </w:r>
          </w:p>
        </w:tc>
      </w:tr>
      <w:tr w:rsidR="0067113A" w:rsidRPr="00B33432" w14:paraId="4663360E" w14:textId="77777777" w:rsidTr="00654E41">
        <w:tc>
          <w:tcPr>
            <w:tcW w:w="1271" w:type="dxa"/>
          </w:tcPr>
          <w:p w14:paraId="556F47DB" w14:textId="77777777" w:rsidR="0067113A" w:rsidRPr="00B33432" w:rsidRDefault="0067113A" w:rsidP="0067113A">
            <w:pPr>
              <w:spacing w:after="250" w:line="276" w:lineRule="auto"/>
              <w:rPr>
                <w:rFonts w:ascii="Arial" w:hAnsi="Arial" w:cs="Arial"/>
              </w:rPr>
            </w:pPr>
            <w:r w:rsidRPr="00B33432">
              <w:rPr>
                <w:rFonts w:ascii="Arial" w:hAnsi="Arial" w:cs="Arial"/>
              </w:rPr>
              <w:t>16. Delta-</w:t>
            </w:r>
            <w:proofErr w:type="spellStart"/>
            <w:r w:rsidRPr="00B33432">
              <w:rPr>
                <w:rFonts w:ascii="Arial" w:hAnsi="Arial" w:cs="Arial"/>
              </w:rPr>
              <w:t>one</w:t>
            </w:r>
            <w:proofErr w:type="spellEnd"/>
            <w:r w:rsidRPr="00B33432">
              <w:rPr>
                <w:rFonts w:ascii="Arial" w:hAnsi="Arial" w:cs="Arial"/>
              </w:rPr>
              <w:t xml:space="preserve"> </w:t>
            </w:r>
            <w:proofErr w:type="spellStart"/>
            <w:r w:rsidRPr="00B33432">
              <w:rPr>
                <w:rFonts w:ascii="Arial" w:hAnsi="Arial" w:cs="Arial"/>
              </w:rPr>
              <w:t>instruments</w:t>
            </w:r>
            <w:proofErr w:type="spellEnd"/>
          </w:p>
        </w:tc>
        <w:tc>
          <w:tcPr>
            <w:tcW w:w="3686" w:type="dxa"/>
          </w:tcPr>
          <w:p w14:paraId="2109567E" w14:textId="77777777" w:rsidR="0067113A" w:rsidRPr="001716F1" w:rsidRDefault="0067113A" w:rsidP="0067113A">
            <w:pPr>
              <w:spacing w:after="250" w:line="276" w:lineRule="auto"/>
              <w:rPr>
                <w:rFonts w:ascii="Arial" w:hAnsi="Arial" w:cs="Arial"/>
                <w:color w:val="181818"/>
                <w:lang w:val="en-US"/>
              </w:rPr>
            </w:pPr>
            <w:r w:rsidRPr="001716F1">
              <w:rPr>
                <w:rFonts w:ascii="Arial" w:hAnsi="Arial" w:cs="Arial"/>
                <w:color w:val="181818"/>
                <w:lang w:val="en-US"/>
              </w:rPr>
              <w:t xml:space="preserve">(1) Efficient and cost-effective exposure to the underlying without requiring direct ownership of those securities. This is particularly useful to access markets and sectors that </w:t>
            </w:r>
            <w:r w:rsidRPr="001716F1">
              <w:rPr>
                <w:rFonts w:ascii="Arial" w:hAnsi="Arial" w:cs="Arial"/>
                <w:color w:val="181818"/>
                <w:lang w:val="en-US"/>
              </w:rPr>
              <w:lastRenderedPageBreak/>
              <w:t>would otherwise be difficulty or expensive to access.</w:t>
            </w:r>
          </w:p>
          <w:p w14:paraId="66204FF1" w14:textId="7E47D45F" w:rsidR="0067113A" w:rsidRPr="001716F1" w:rsidRDefault="0067113A" w:rsidP="0067113A">
            <w:pPr>
              <w:spacing w:after="250" w:line="276" w:lineRule="auto"/>
              <w:jc w:val="both"/>
              <w:rPr>
                <w:rFonts w:ascii="Arial" w:hAnsi="Arial" w:cs="Arial"/>
                <w:color w:val="181818"/>
                <w:lang w:val="en-US"/>
              </w:rPr>
            </w:pPr>
            <w:r w:rsidRPr="001716F1">
              <w:rPr>
                <w:rFonts w:ascii="Arial" w:hAnsi="Arial" w:cs="Arial"/>
                <w:color w:val="181818"/>
                <w:lang w:val="en-US"/>
              </w:rPr>
              <w:t>(2) They permit the UCITS to hedge against specific risks as well as providing diversification.</w:t>
            </w:r>
          </w:p>
        </w:tc>
        <w:tc>
          <w:tcPr>
            <w:tcW w:w="2409" w:type="dxa"/>
          </w:tcPr>
          <w:p w14:paraId="2DBF0D7D" w14:textId="77777777" w:rsidR="0067113A" w:rsidRPr="001716F1" w:rsidRDefault="0067113A" w:rsidP="0067113A">
            <w:pPr>
              <w:spacing w:after="250" w:line="276" w:lineRule="auto"/>
              <w:jc w:val="both"/>
              <w:rPr>
                <w:rFonts w:ascii="Arial" w:hAnsi="Arial" w:cs="Arial"/>
                <w:color w:val="181818"/>
                <w:lang w:val="en-US"/>
              </w:rPr>
            </w:pPr>
          </w:p>
        </w:tc>
        <w:tc>
          <w:tcPr>
            <w:tcW w:w="1985" w:type="dxa"/>
          </w:tcPr>
          <w:p w14:paraId="6B62F1B3" w14:textId="77777777" w:rsidR="0067113A" w:rsidRPr="001716F1" w:rsidRDefault="0067113A" w:rsidP="0067113A">
            <w:pPr>
              <w:spacing w:after="250" w:line="276" w:lineRule="auto"/>
              <w:jc w:val="both"/>
              <w:rPr>
                <w:rFonts w:ascii="Arial" w:hAnsi="Arial" w:cs="Arial"/>
                <w:color w:val="181818"/>
                <w:lang w:val="en-US"/>
              </w:rPr>
            </w:pPr>
          </w:p>
        </w:tc>
        <w:tc>
          <w:tcPr>
            <w:tcW w:w="4536" w:type="dxa"/>
          </w:tcPr>
          <w:p w14:paraId="24AB2DFC" w14:textId="77777777" w:rsidR="0067113A" w:rsidRPr="001716F1" w:rsidRDefault="0067113A" w:rsidP="0067113A">
            <w:pPr>
              <w:spacing w:after="250" w:line="276" w:lineRule="auto"/>
              <w:jc w:val="both"/>
              <w:rPr>
                <w:rFonts w:ascii="Arial" w:hAnsi="Arial" w:cs="Arial"/>
                <w:color w:val="181818"/>
                <w:lang w:val="en-US"/>
              </w:rPr>
            </w:pPr>
            <w:r w:rsidRPr="001716F1">
              <w:rPr>
                <w:rFonts w:ascii="Arial" w:hAnsi="Arial" w:cs="Arial"/>
                <w:color w:val="181818"/>
                <w:lang w:val="en-US"/>
              </w:rPr>
              <w:t>We refer to our answers to Question 13.</w:t>
            </w:r>
          </w:p>
          <w:p w14:paraId="560FDE8F" w14:textId="77777777" w:rsidR="0067113A" w:rsidRPr="001716F1" w:rsidRDefault="0067113A" w:rsidP="0067113A">
            <w:pPr>
              <w:spacing w:after="250" w:line="276" w:lineRule="auto"/>
              <w:jc w:val="both"/>
              <w:rPr>
                <w:rFonts w:ascii="Arial" w:hAnsi="Arial" w:cs="Arial"/>
                <w:color w:val="181818"/>
                <w:lang w:val="en-US"/>
              </w:rPr>
            </w:pPr>
            <w:r w:rsidRPr="001716F1">
              <w:rPr>
                <w:rFonts w:ascii="Arial" w:hAnsi="Arial" w:cs="Arial"/>
                <w:b/>
                <w:bCs/>
                <w:color w:val="181818"/>
                <w:lang w:val="en-US"/>
              </w:rPr>
              <w:t>Liquidity</w:t>
            </w:r>
            <w:r w:rsidRPr="001716F1">
              <w:rPr>
                <w:rFonts w:ascii="Arial" w:hAnsi="Arial" w:cs="Arial"/>
                <w:color w:val="181818"/>
                <w:lang w:val="en-US"/>
              </w:rPr>
              <w:t xml:space="preserve">: these instruments are typically traded on major exchanges and are therefore highly </w:t>
            </w:r>
            <w:r w:rsidRPr="001716F1">
              <w:rPr>
                <w:rFonts w:ascii="Arial" w:hAnsi="Arial" w:cs="Arial"/>
                <w:color w:val="181818"/>
                <w:lang w:val="en-US"/>
              </w:rPr>
              <w:lastRenderedPageBreak/>
              <w:t>liquid. There are also active secondary markets for delta one instruments.</w:t>
            </w:r>
          </w:p>
          <w:p w14:paraId="02F2C34E" w14:textId="39D9EEC3" w:rsidR="0067113A" w:rsidRPr="001716F1" w:rsidRDefault="0067113A" w:rsidP="0067113A">
            <w:pPr>
              <w:spacing w:after="250" w:line="276" w:lineRule="auto"/>
              <w:jc w:val="both"/>
              <w:rPr>
                <w:rFonts w:ascii="Arial" w:hAnsi="Arial" w:cs="Arial"/>
                <w:color w:val="181818"/>
                <w:lang w:val="en-US"/>
              </w:rPr>
            </w:pPr>
            <w:r w:rsidRPr="001716F1">
              <w:rPr>
                <w:rFonts w:ascii="Arial" w:hAnsi="Arial" w:cs="Arial"/>
                <w:b/>
                <w:bCs/>
                <w:color w:val="181818"/>
                <w:lang w:val="en-US"/>
              </w:rPr>
              <w:t>Valuation</w:t>
            </w:r>
            <w:r w:rsidRPr="001716F1">
              <w:rPr>
                <w:rFonts w:ascii="Arial" w:hAnsi="Arial" w:cs="Arial"/>
                <w:color w:val="181818"/>
                <w:lang w:val="en-US"/>
              </w:rPr>
              <w:t>: Delta-one instruments can take the form of exchange-traded instrument, instruments traded with CCPs and OTC instruments; in each case, the manager will follow the relevant approach for valuation, with the sources being defined within the manager’s pricing matrix.</w:t>
            </w:r>
          </w:p>
        </w:tc>
      </w:tr>
      <w:tr w:rsidR="001716F1" w:rsidRPr="00B33432" w14:paraId="6004F4E8" w14:textId="77777777" w:rsidTr="00654E41">
        <w:tc>
          <w:tcPr>
            <w:tcW w:w="1271" w:type="dxa"/>
          </w:tcPr>
          <w:p w14:paraId="73D5771C" w14:textId="77777777" w:rsidR="001716F1" w:rsidRPr="00B33432" w:rsidRDefault="001716F1" w:rsidP="001716F1">
            <w:pPr>
              <w:spacing w:after="250" w:line="276" w:lineRule="auto"/>
              <w:rPr>
                <w:rFonts w:ascii="Arial" w:hAnsi="Arial" w:cs="Arial"/>
              </w:rPr>
            </w:pPr>
            <w:r w:rsidRPr="00B33432">
              <w:rPr>
                <w:rFonts w:ascii="Arial" w:hAnsi="Arial" w:cs="Arial"/>
              </w:rPr>
              <w:lastRenderedPageBreak/>
              <w:t>17. Exchange-</w:t>
            </w:r>
            <w:proofErr w:type="spellStart"/>
            <w:r w:rsidRPr="00B33432">
              <w:rPr>
                <w:rFonts w:ascii="Arial" w:hAnsi="Arial" w:cs="Arial"/>
              </w:rPr>
              <w:t>traded</w:t>
            </w:r>
            <w:proofErr w:type="spellEnd"/>
            <w:r w:rsidRPr="00B33432">
              <w:rPr>
                <w:rFonts w:ascii="Arial" w:hAnsi="Arial" w:cs="Arial"/>
              </w:rPr>
              <w:t xml:space="preserve"> </w:t>
            </w:r>
            <w:proofErr w:type="spellStart"/>
            <w:r w:rsidRPr="00B33432">
              <w:rPr>
                <w:rFonts w:ascii="Arial" w:hAnsi="Arial" w:cs="Arial"/>
              </w:rPr>
              <w:t>notes</w:t>
            </w:r>
            <w:proofErr w:type="spellEnd"/>
            <w:r w:rsidRPr="00B33432">
              <w:rPr>
                <w:rFonts w:ascii="Arial" w:hAnsi="Arial" w:cs="Arial"/>
              </w:rPr>
              <w:t xml:space="preserve"> (‘</w:t>
            </w:r>
            <w:proofErr w:type="spellStart"/>
            <w:r w:rsidRPr="00B33432">
              <w:rPr>
                <w:rFonts w:ascii="Arial" w:hAnsi="Arial" w:cs="Arial"/>
              </w:rPr>
              <w:t>ETNs</w:t>
            </w:r>
            <w:proofErr w:type="spellEnd"/>
            <w:r w:rsidRPr="00B33432">
              <w:rPr>
                <w:rFonts w:ascii="Arial" w:hAnsi="Arial" w:cs="Arial"/>
              </w:rPr>
              <w:t>’)</w:t>
            </w:r>
          </w:p>
        </w:tc>
        <w:tc>
          <w:tcPr>
            <w:tcW w:w="3686" w:type="dxa"/>
          </w:tcPr>
          <w:p w14:paraId="680A4E5D" w14:textId="5BF27F4A" w:rsidR="001716F1" w:rsidRPr="001716F1" w:rsidRDefault="001716F1" w:rsidP="001716F1">
            <w:pPr>
              <w:spacing w:after="250" w:line="276" w:lineRule="auto"/>
              <w:jc w:val="both"/>
              <w:rPr>
                <w:rFonts w:ascii="Arial" w:hAnsi="Arial" w:cs="Arial"/>
                <w:color w:val="181818"/>
                <w:lang w:val="en-US"/>
              </w:rPr>
            </w:pPr>
            <w:r w:rsidRPr="001716F1">
              <w:rPr>
                <w:rFonts w:ascii="Arial" w:hAnsi="Arial" w:cs="Arial"/>
                <w:color w:val="181818"/>
                <w:lang w:val="en-US"/>
              </w:rPr>
              <w:t>ETNs can provide exposure to underlying assets or benchmarks which may otherwise be difficult for the UCITS to access.</w:t>
            </w:r>
          </w:p>
        </w:tc>
        <w:tc>
          <w:tcPr>
            <w:tcW w:w="2409" w:type="dxa"/>
          </w:tcPr>
          <w:p w14:paraId="19219836" w14:textId="010A1D51" w:rsidR="001716F1" w:rsidRPr="001716F1" w:rsidRDefault="001716F1" w:rsidP="001716F1">
            <w:pPr>
              <w:spacing w:after="250" w:line="276" w:lineRule="auto"/>
              <w:jc w:val="both"/>
              <w:rPr>
                <w:rFonts w:ascii="Arial" w:hAnsi="Arial" w:cs="Arial"/>
                <w:color w:val="181818"/>
                <w:lang w:val="en-US"/>
              </w:rPr>
            </w:pPr>
            <w:r w:rsidRPr="001716F1">
              <w:rPr>
                <w:rFonts w:ascii="Arial" w:hAnsi="Arial" w:cs="Arial"/>
                <w:color w:val="181818"/>
                <w:lang w:val="en-US"/>
              </w:rPr>
              <w:t>We have not been notified of indirect exposures.</w:t>
            </w:r>
          </w:p>
        </w:tc>
        <w:tc>
          <w:tcPr>
            <w:tcW w:w="1985" w:type="dxa"/>
          </w:tcPr>
          <w:p w14:paraId="296FEF7D" w14:textId="7C136152" w:rsidR="001716F1" w:rsidRPr="001716F1" w:rsidRDefault="001716F1" w:rsidP="001716F1">
            <w:pPr>
              <w:spacing w:after="250" w:line="276" w:lineRule="auto"/>
              <w:jc w:val="both"/>
              <w:rPr>
                <w:rFonts w:ascii="Arial" w:hAnsi="Arial" w:cs="Arial"/>
                <w:color w:val="181818"/>
                <w:lang w:val="en-US"/>
              </w:rPr>
            </w:pPr>
            <w:r w:rsidRPr="001716F1">
              <w:rPr>
                <w:rFonts w:ascii="Arial" w:hAnsi="Arial" w:cs="Arial"/>
                <w:color w:val="181818"/>
                <w:lang w:val="en-US"/>
              </w:rPr>
              <w:t>Some of our members reported direct exposures of typically less than 5%.</w:t>
            </w:r>
          </w:p>
        </w:tc>
        <w:tc>
          <w:tcPr>
            <w:tcW w:w="4536" w:type="dxa"/>
          </w:tcPr>
          <w:p w14:paraId="0E899023" w14:textId="77777777" w:rsidR="001716F1" w:rsidRPr="001716F1" w:rsidRDefault="001716F1" w:rsidP="001716F1">
            <w:pPr>
              <w:spacing w:after="250" w:line="276" w:lineRule="auto"/>
              <w:jc w:val="both"/>
              <w:rPr>
                <w:rFonts w:ascii="Arial" w:hAnsi="Arial" w:cs="Arial"/>
                <w:color w:val="181818"/>
                <w:lang w:val="en-US"/>
              </w:rPr>
            </w:pPr>
            <w:r w:rsidRPr="001716F1">
              <w:rPr>
                <w:rFonts w:ascii="Arial" w:hAnsi="Arial" w:cs="Arial"/>
                <w:b/>
                <w:bCs/>
                <w:color w:val="181818"/>
                <w:lang w:val="en-US"/>
              </w:rPr>
              <w:t>Liquidity</w:t>
            </w:r>
            <w:r w:rsidRPr="001716F1">
              <w:rPr>
                <w:rFonts w:ascii="Arial" w:hAnsi="Arial" w:cs="Arial"/>
                <w:color w:val="181818"/>
                <w:lang w:val="en-US"/>
              </w:rPr>
              <w:t>: ETNs are traded on major exchanges, which provides liquidity, and there is also a secondary market for ETNs.</w:t>
            </w:r>
          </w:p>
          <w:p w14:paraId="7194DBDC" w14:textId="4E6B4BC8" w:rsidR="001716F1" w:rsidRPr="001716F1" w:rsidRDefault="001716F1" w:rsidP="001716F1">
            <w:pPr>
              <w:spacing w:after="250" w:line="276" w:lineRule="auto"/>
              <w:jc w:val="both"/>
              <w:rPr>
                <w:rFonts w:ascii="Arial" w:hAnsi="Arial" w:cs="Arial"/>
                <w:color w:val="181818"/>
                <w:lang w:val="en-US"/>
              </w:rPr>
            </w:pPr>
            <w:r w:rsidRPr="001716F1">
              <w:rPr>
                <w:rFonts w:ascii="Arial" w:hAnsi="Arial" w:cs="Arial"/>
                <w:b/>
                <w:bCs/>
                <w:color w:val="181818"/>
                <w:lang w:val="en-US"/>
              </w:rPr>
              <w:t>Reliable Valuation</w:t>
            </w:r>
            <w:r w:rsidRPr="001716F1">
              <w:rPr>
                <w:rFonts w:ascii="Arial" w:hAnsi="Arial" w:cs="Arial"/>
                <w:color w:val="181818"/>
                <w:lang w:val="en-US"/>
              </w:rPr>
              <w:t>: following the general valuation policy, some of our members report that ETNs are considered within the category of ETFs for valuation purposes, with price sources including Bloomberg, Six-Financials.</w:t>
            </w:r>
          </w:p>
        </w:tc>
      </w:tr>
      <w:tr w:rsidR="00727B8E" w:rsidRPr="00B33432" w14:paraId="66BB473F" w14:textId="77777777" w:rsidTr="00654E41">
        <w:tc>
          <w:tcPr>
            <w:tcW w:w="1271" w:type="dxa"/>
          </w:tcPr>
          <w:p w14:paraId="08FCC5EB" w14:textId="77777777" w:rsidR="00727B8E" w:rsidRPr="009609FD" w:rsidRDefault="00727B8E" w:rsidP="00727B8E">
            <w:pPr>
              <w:spacing w:after="250" w:line="276" w:lineRule="auto"/>
              <w:rPr>
                <w:rFonts w:ascii="Arial" w:hAnsi="Arial" w:cs="Arial"/>
                <w:lang w:val="en-US"/>
              </w:rPr>
            </w:pPr>
            <w:r w:rsidRPr="009609FD">
              <w:rPr>
                <w:rFonts w:ascii="Arial" w:hAnsi="Arial" w:cs="Arial"/>
                <w:lang w:val="en-US"/>
              </w:rPr>
              <w:t>18. Asset-backed securities (‘ABS’) including mortgage-backed securities (‘MBS’)</w:t>
            </w:r>
          </w:p>
        </w:tc>
        <w:tc>
          <w:tcPr>
            <w:tcW w:w="3686" w:type="dxa"/>
          </w:tcPr>
          <w:p w14:paraId="550F4928" w14:textId="77777777" w:rsidR="00727B8E" w:rsidRPr="00BF006B" w:rsidRDefault="00727B8E" w:rsidP="00727B8E">
            <w:pPr>
              <w:spacing w:after="250" w:line="276" w:lineRule="auto"/>
              <w:jc w:val="both"/>
              <w:rPr>
                <w:rFonts w:ascii="Arial" w:hAnsi="Arial" w:cs="Arial"/>
                <w:color w:val="181818"/>
                <w:lang w:val="en-US"/>
              </w:rPr>
            </w:pPr>
            <w:r w:rsidRPr="00BF006B">
              <w:rPr>
                <w:rFonts w:ascii="Arial" w:hAnsi="Arial" w:cs="Arial"/>
                <w:color w:val="181818"/>
                <w:lang w:val="en-US"/>
              </w:rPr>
              <w:t>(1) Exposure to a wide, diversified range of underlying assets in a cost-effective manner, such as household loans, loans to corporates, loans benefitting from public guarantees.</w:t>
            </w:r>
          </w:p>
          <w:p w14:paraId="467661A4" w14:textId="77777777" w:rsidR="00727B8E" w:rsidRPr="00BF006B" w:rsidRDefault="00727B8E" w:rsidP="00727B8E">
            <w:pPr>
              <w:spacing w:after="250" w:line="276" w:lineRule="auto"/>
              <w:jc w:val="both"/>
              <w:rPr>
                <w:rFonts w:ascii="Arial" w:hAnsi="Arial" w:cs="Arial"/>
                <w:color w:val="181818"/>
                <w:lang w:val="en-US"/>
              </w:rPr>
            </w:pPr>
            <w:r w:rsidRPr="00BF006B">
              <w:rPr>
                <w:rFonts w:ascii="Arial" w:hAnsi="Arial" w:cs="Arial"/>
                <w:color w:val="181818"/>
                <w:lang w:val="en-US"/>
              </w:rPr>
              <w:t xml:space="preserve">(2) Consistent receipt of income through interest and principal payments. </w:t>
            </w:r>
          </w:p>
          <w:p w14:paraId="468CAFD0" w14:textId="77777777" w:rsidR="00727B8E" w:rsidRPr="00BF006B" w:rsidRDefault="00727B8E" w:rsidP="00727B8E">
            <w:pPr>
              <w:spacing w:after="250" w:line="276" w:lineRule="auto"/>
              <w:jc w:val="both"/>
              <w:rPr>
                <w:rFonts w:ascii="Arial" w:hAnsi="Arial" w:cs="Arial"/>
                <w:color w:val="181818"/>
                <w:lang w:val="en-US"/>
              </w:rPr>
            </w:pPr>
            <w:r w:rsidRPr="00BF006B">
              <w:rPr>
                <w:rFonts w:ascii="Arial" w:hAnsi="Arial" w:cs="Arial"/>
                <w:color w:val="181818"/>
                <w:lang w:val="en-US"/>
              </w:rPr>
              <w:lastRenderedPageBreak/>
              <w:t>(3) Potential for higher yields than other fixed-income securities, depending on the tranche selected.</w:t>
            </w:r>
          </w:p>
          <w:p w14:paraId="769D0D3C" w14:textId="1E41933C" w:rsidR="00727B8E" w:rsidRPr="009609FD" w:rsidRDefault="00727B8E" w:rsidP="00727B8E">
            <w:pPr>
              <w:spacing w:after="250" w:line="276" w:lineRule="auto"/>
              <w:jc w:val="both"/>
              <w:rPr>
                <w:rFonts w:ascii="Arial" w:hAnsi="Arial" w:cs="Arial"/>
                <w:color w:val="181818"/>
                <w:lang w:val="en-US"/>
              </w:rPr>
            </w:pPr>
            <w:r w:rsidRPr="00BF006B">
              <w:rPr>
                <w:rFonts w:ascii="Arial" w:hAnsi="Arial" w:cs="Arial"/>
                <w:color w:val="181818"/>
                <w:lang w:val="en-US"/>
              </w:rPr>
              <w:t>(4) The ability to choose the relevant risk/return profile by investing in the appropriate tranches, ranging from AAA to unrated.</w:t>
            </w:r>
          </w:p>
        </w:tc>
        <w:tc>
          <w:tcPr>
            <w:tcW w:w="2409" w:type="dxa"/>
          </w:tcPr>
          <w:p w14:paraId="54CD245A" w14:textId="54BA2203" w:rsidR="00727B8E" w:rsidRPr="009609FD" w:rsidRDefault="00727B8E" w:rsidP="00727B8E">
            <w:pPr>
              <w:spacing w:after="250" w:line="276" w:lineRule="auto"/>
              <w:jc w:val="both"/>
              <w:rPr>
                <w:rFonts w:ascii="Arial" w:hAnsi="Arial" w:cs="Arial"/>
                <w:color w:val="181818"/>
                <w:lang w:val="en-US"/>
              </w:rPr>
            </w:pPr>
            <w:r w:rsidRPr="00BF006B">
              <w:rPr>
                <w:rFonts w:ascii="Arial" w:hAnsi="Arial" w:cs="Arial"/>
                <w:color w:val="181818"/>
                <w:lang w:val="en-US"/>
              </w:rPr>
              <w:lastRenderedPageBreak/>
              <w:t xml:space="preserve">Derivatives of ABS are possible (e.g. US To-Be-Announced MBS), which can carry the benefits of, in some cases, increased liquidity and therefore reactivity in investment/divestment choices. Non-funded derivatives can also </w:t>
            </w:r>
            <w:r w:rsidRPr="00BF006B">
              <w:rPr>
                <w:rFonts w:ascii="Arial" w:hAnsi="Arial" w:cs="Arial"/>
                <w:color w:val="181818"/>
                <w:lang w:val="en-US"/>
              </w:rPr>
              <w:lastRenderedPageBreak/>
              <w:t>preserve cash in the UCITS.</w:t>
            </w:r>
          </w:p>
        </w:tc>
        <w:tc>
          <w:tcPr>
            <w:tcW w:w="1985" w:type="dxa"/>
          </w:tcPr>
          <w:p w14:paraId="1231BE67" w14:textId="03B7B64B" w:rsidR="00727B8E" w:rsidRPr="009609FD" w:rsidRDefault="00727B8E" w:rsidP="00727B8E">
            <w:pPr>
              <w:spacing w:after="250" w:line="276" w:lineRule="auto"/>
              <w:jc w:val="both"/>
              <w:rPr>
                <w:rFonts w:ascii="Arial" w:hAnsi="Arial" w:cs="Arial"/>
                <w:color w:val="181818"/>
                <w:lang w:val="en-US"/>
              </w:rPr>
            </w:pPr>
            <w:r w:rsidRPr="00BF006B">
              <w:rPr>
                <w:rFonts w:ascii="Arial" w:hAnsi="Arial" w:cs="Arial"/>
                <w:color w:val="181818"/>
                <w:lang w:val="en-US"/>
              </w:rPr>
              <w:lastRenderedPageBreak/>
              <w:t xml:space="preserve">We are aware of up to 10% exposure in certain UCITS funds, and in a small number of UCITS exposure via direct and indirect means can range from 10% and, in one noted </w:t>
            </w:r>
            <w:r w:rsidRPr="00BF006B">
              <w:rPr>
                <w:rFonts w:ascii="Arial" w:hAnsi="Arial" w:cs="Arial"/>
                <w:color w:val="181818"/>
                <w:lang w:val="en-US"/>
              </w:rPr>
              <w:lastRenderedPageBreak/>
              <w:t xml:space="preserve">case, may amount to 100%. </w:t>
            </w:r>
            <w:r>
              <w:rPr>
                <w:rFonts w:ascii="Arial" w:hAnsi="Arial" w:cs="Arial"/>
                <w:color w:val="181818"/>
                <w:lang w:val="en-GB"/>
              </w:rPr>
              <w:t>Some members have managed for nearly two decades UCITS specialised in this asset class, thus mainly invested in securitisations.</w:t>
            </w:r>
          </w:p>
        </w:tc>
        <w:tc>
          <w:tcPr>
            <w:tcW w:w="4536" w:type="dxa"/>
          </w:tcPr>
          <w:p w14:paraId="39D90F9F" w14:textId="77777777" w:rsidR="00727B8E" w:rsidRPr="00BF006B" w:rsidRDefault="00727B8E" w:rsidP="00727B8E">
            <w:pPr>
              <w:spacing w:after="250" w:line="276" w:lineRule="auto"/>
              <w:jc w:val="both"/>
              <w:rPr>
                <w:rFonts w:ascii="Arial" w:hAnsi="Arial" w:cs="Arial"/>
                <w:color w:val="181818"/>
                <w:lang w:val="en-US"/>
              </w:rPr>
            </w:pPr>
            <w:r w:rsidRPr="00BF006B">
              <w:rPr>
                <w:rFonts w:ascii="Arial" w:hAnsi="Arial" w:cs="Arial"/>
                <w:b/>
                <w:bCs/>
                <w:color w:val="181818"/>
                <w:lang w:val="en-US"/>
              </w:rPr>
              <w:lastRenderedPageBreak/>
              <w:t>Liquidity</w:t>
            </w:r>
            <w:r w:rsidRPr="00BF006B">
              <w:rPr>
                <w:rFonts w:ascii="Arial" w:hAnsi="Arial" w:cs="Arial"/>
                <w:color w:val="181818"/>
                <w:lang w:val="en-US"/>
              </w:rPr>
              <w:t xml:space="preserve">: liquidity has been stable and resilient in recent years, with a high trading ratio, indicating a large proportion of ABS offered for sale are ultimately traded. Supply volumes for ABS ranges from €60 – €100bn per year. Average BWIC volumes (the most common method of selling ABS) stand at around €900m per month with a trading ratio around 90%. This proved resilient during the recent liability-driven investment crises in the UK whereby even with a </w:t>
            </w:r>
            <w:r w:rsidRPr="00BF006B">
              <w:rPr>
                <w:rFonts w:ascii="Arial" w:hAnsi="Arial" w:cs="Arial"/>
                <w:color w:val="181818"/>
                <w:lang w:val="en-US"/>
              </w:rPr>
              <w:lastRenderedPageBreak/>
              <w:t>surge in supply from large UK asset managers, trading ratio remained above 80%. The liquidity of AAA ABS is considered equivalent to that of IG credit.</w:t>
            </w:r>
          </w:p>
          <w:p w14:paraId="36FEB5B0" w14:textId="57391F53" w:rsidR="00727B8E" w:rsidRPr="009609FD" w:rsidRDefault="00727B8E" w:rsidP="00727B8E">
            <w:pPr>
              <w:spacing w:after="250" w:line="276" w:lineRule="auto"/>
              <w:jc w:val="both"/>
              <w:rPr>
                <w:rFonts w:ascii="Arial" w:hAnsi="Arial" w:cs="Arial"/>
                <w:color w:val="181818"/>
                <w:lang w:val="en-US"/>
              </w:rPr>
            </w:pPr>
            <w:r w:rsidRPr="00BF006B">
              <w:rPr>
                <w:rFonts w:ascii="Arial" w:hAnsi="Arial" w:cs="Arial"/>
                <w:b/>
                <w:bCs/>
                <w:color w:val="181818"/>
                <w:lang w:val="en-US"/>
              </w:rPr>
              <w:t>Reliable Valuation</w:t>
            </w:r>
            <w:r w:rsidRPr="00BF006B">
              <w:rPr>
                <w:rFonts w:ascii="Arial" w:hAnsi="Arial" w:cs="Arial"/>
                <w:color w:val="181818"/>
                <w:lang w:val="en-US"/>
              </w:rPr>
              <w:t xml:space="preserve">: pricing sources for ABS include Bloomberg BVAL, ICE, </w:t>
            </w:r>
            <w:proofErr w:type="spellStart"/>
            <w:r w:rsidRPr="00BF006B">
              <w:rPr>
                <w:rFonts w:ascii="Arial" w:hAnsi="Arial" w:cs="Arial"/>
                <w:color w:val="181818"/>
                <w:lang w:val="en-US"/>
              </w:rPr>
              <w:t>Refitiniv</w:t>
            </w:r>
            <w:proofErr w:type="spellEnd"/>
            <w:r w:rsidRPr="00BF006B">
              <w:rPr>
                <w:rFonts w:ascii="Arial" w:hAnsi="Arial" w:cs="Arial"/>
                <w:color w:val="181818"/>
                <w:lang w:val="en-US"/>
              </w:rPr>
              <w:t>/</w:t>
            </w:r>
            <w:proofErr w:type="spellStart"/>
            <w:r w:rsidRPr="00BF006B">
              <w:rPr>
                <w:rFonts w:ascii="Arial" w:hAnsi="Arial" w:cs="Arial"/>
                <w:color w:val="181818"/>
                <w:lang w:val="en-US"/>
              </w:rPr>
              <w:t>IHSMarkit</w:t>
            </w:r>
            <w:proofErr w:type="spellEnd"/>
            <w:r w:rsidRPr="00BF006B">
              <w:rPr>
                <w:rFonts w:ascii="Arial" w:hAnsi="Arial" w:cs="Arial"/>
                <w:color w:val="181818"/>
                <w:lang w:val="en-US"/>
              </w:rPr>
              <w:t>.</w:t>
            </w:r>
            <w:r w:rsidRPr="00977DB2">
              <w:rPr>
                <w:lang w:val="en-US"/>
              </w:rPr>
              <w:t xml:space="preserve"> </w:t>
            </w:r>
          </w:p>
        </w:tc>
      </w:tr>
      <w:tr w:rsidR="00B33432" w:rsidRPr="00B33432" w14:paraId="16623728" w14:textId="77777777" w:rsidTr="00654E41">
        <w:tc>
          <w:tcPr>
            <w:tcW w:w="1271" w:type="dxa"/>
          </w:tcPr>
          <w:p w14:paraId="2D5FBB9B" w14:textId="77777777" w:rsidR="00B33432" w:rsidRPr="009609FD" w:rsidRDefault="00B33432" w:rsidP="00B33432">
            <w:pPr>
              <w:spacing w:after="250" w:line="276" w:lineRule="auto"/>
              <w:rPr>
                <w:rFonts w:ascii="Arial" w:hAnsi="Arial" w:cs="Arial"/>
                <w:lang w:val="en-US"/>
              </w:rPr>
            </w:pPr>
            <w:r w:rsidRPr="009609FD">
              <w:rPr>
                <w:rFonts w:ascii="Arial" w:hAnsi="Arial" w:cs="Arial"/>
                <w:lang w:val="en-US"/>
              </w:rPr>
              <w:lastRenderedPageBreak/>
              <w:t>19. Other relevant asset classes (please specify)</w:t>
            </w:r>
          </w:p>
        </w:tc>
        <w:tc>
          <w:tcPr>
            <w:tcW w:w="3686" w:type="dxa"/>
          </w:tcPr>
          <w:p w14:paraId="429FA64A" w14:textId="77777777" w:rsidR="00BF006B" w:rsidRPr="00BF006B" w:rsidRDefault="00BF006B" w:rsidP="00BF006B">
            <w:pPr>
              <w:spacing w:after="250" w:line="276" w:lineRule="auto"/>
              <w:jc w:val="both"/>
              <w:rPr>
                <w:rFonts w:ascii="Arial" w:hAnsi="Arial" w:cs="Arial"/>
                <w:color w:val="181818"/>
                <w:lang w:val="en-US"/>
              </w:rPr>
            </w:pPr>
            <w:r w:rsidRPr="00BF006B">
              <w:rPr>
                <w:rFonts w:ascii="Arial" w:hAnsi="Arial" w:cs="Arial"/>
                <w:b/>
                <w:bCs/>
                <w:color w:val="181818"/>
                <w:lang w:val="en-US"/>
              </w:rPr>
              <w:t>Private Credit</w:t>
            </w:r>
            <w:r w:rsidRPr="00BF006B">
              <w:rPr>
                <w:rFonts w:ascii="Arial" w:hAnsi="Arial" w:cs="Arial"/>
                <w:color w:val="181818"/>
                <w:lang w:val="en-US"/>
              </w:rPr>
              <w:t>: similar to our remarks above with respect to loans, there may be merit to permitting exposure. This would be subject to the imposition of maximum limits on illiquid investments as outlined above regarding loans as well as other additional guardrails.</w:t>
            </w:r>
          </w:p>
          <w:p w14:paraId="30D7AA69" w14:textId="01BB3729" w:rsidR="00B33432" w:rsidRPr="00BF006B" w:rsidRDefault="00BF006B" w:rsidP="00BF006B">
            <w:pPr>
              <w:spacing w:after="250" w:line="276" w:lineRule="auto"/>
              <w:jc w:val="both"/>
              <w:rPr>
                <w:rFonts w:ascii="Arial" w:hAnsi="Arial" w:cs="Arial"/>
                <w:color w:val="181818"/>
                <w:lang w:val="en-US"/>
              </w:rPr>
            </w:pPr>
            <w:r w:rsidRPr="00BF006B">
              <w:rPr>
                <w:rFonts w:ascii="Arial" w:hAnsi="Arial" w:cs="Arial"/>
                <w:b/>
                <w:bCs/>
                <w:color w:val="181818"/>
                <w:lang w:val="en-US"/>
              </w:rPr>
              <w:t>Sukuks</w:t>
            </w:r>
            <w:r w:rsidRPr="00BF006B">
              <w:rPr>
                <w:rFonts w:ascii="Arial" w:hAnsi="Arial" w:cs="Arial"/>
                <w:color w:val="181818"/>
                <w:lang w:val="en-US"/>
              </w:rPr>
              <w:t xml:space="preserve">: as sukuks represent an increasingly significant segment within fixed income indices, we would welcome consideration as to the conditions whereby sukuks can be considered eligible for investment by UCITS. Sukuks are financial certificates similar to bonds, however they are structured in quite diverse, bespoke ways in order to comply with Sharia law’s prohibition on the charging or paying of interest. These bespoke </w:t>
            </w:r>
            <w:r w:rsidRPr="00BF006B">
              <w:rPr>
                <w:rFonts w:ascii="Arial" w:hAnsi="Arial" w:cs="Arial"/>
                <w:color w:val="181818"/>
                <w:lang w:val="en-US"/>
              </w:rPr>
              <w:lastRenderedPageBreak/>
              <w:t>designs can render them technically ineligible for investment by UCITS.</w:t>
            </w:r>
          </w:p>
        </w:tc>
        <w:tc>
          <w:tcPr>
            <w:tcW w:w="2409" w:type="dxa"/>
          </w:tcPr>
          <w:p w14:paraId="7196D064" w14:textId="77777777" w:rsidR="00B33432" w:rsidRPr="009609FD" w:rsidRDefault="00B33432" w:rsidP="00B33432">
            <w:pPr>
              <w:spacing w:after="250" w:line="276" w:lineRule="auto"/>
              <w:jc w:val="both"/>
              <w:rPr>
                <w:rFonts w:ascii="Arial" w:hAnsi="Arial" w:cs="Arial"/>
                <w:color w:val="181818"/>
                <w:lang w:val="en-US"/>
              </w:rPr>
            </w:pPr>
          </w:p>
        </w:tc>
        <w:tc>
          <w:tcPr>
            <w:tcW w:w="1985" w:type="dxa"/>
          </w:tcPr>
          <w:p w14:paraId="34FF1C98" w14:textId="77777777" w:rsidR="00B33432" w:rsidRPr="009609FD" w:rsidRDefault="00B33432" w:rsidP="00B33432">
            <w:pPr>
              <w:spacing w:after="250" w:line="276" w:lineRule="auto"/>
              <w:jc w:val="both"/>
              <w:rPr>
                <w:rFonts w:ascii="Arial" w:hAnsi="Arial" w:cs="Arial"/>
                <w:color w:val="181818"/>
                <w:lang w:val="en-US"/>
              </w:rPr>
            </w:pPr>
          </w:p>
        </w:tc>
        <w:tc>
          <w:tcPr>
            <w:tcW w:w="4536" w:type="dxa"/>
          </w:tcPr>
          <w:p w14:paraId="6D072C0D" w14:textId="77777777" w:rsidR="00B33432" w:rsidRPr="009609FD" w:rsidRDefault="00B33432" w:rsidP="00B33432">
            <w:pPr>
              <w:spacing w:after="250" w:line="276" w:lineRule="auto"/>
              <w:jc w:val="both"/>
              <w:rPr>
                <w:rFonts w:ascii="Arial" w:hAnsi="Arial" w:cs="Arial"/>
                <w:color w:val="181818"/>
                <w:lang w:val="en-US"/>
              </w:rPr>
            </w:pPr>
          </w:p>
        </w:tc>
      </w:tr>
    </w:tbl>
    <w:p w14:paraId="48A21919" w14:textId="77777777" w:rsidR="00B33432" w:rsidRPr="00B33432" w:rsidRDefault="00B33432" w:rsidP="00B33432">
      <w:pPr>
        <w:spacing w:after="120" w:line="276" w:lineRule="auto"/>
        <w:jc w:val="both"/>
        <w:rPr>
          <w:rFonts w:ascii="Arial" w:eastAsia="MS PGothic" w:hAnsi="Arial" w:cs="Arial"/>
          <w:color w:val="181818"/>
          <w:szCs w:val="20"/>
        </w:rPr>
      </w:pPr>
    </w:p>
    <w:p w14:paraId="19B20581" w14:textId="77777777" w:rsidR="00654E41" w:rsidRDefault="00654E41">
      <w:pPr>
        <w:rPr>
          <w:rFonts w:ascii="Arial" w:hAnsi="Arial" w:cs="Arial"/>
          <w:b/>
          <w:bCs/>
          <w:sz w:val="20"/>
          <w:szCs w:val="20"/>
        </w:rPr>
      </w:pPr>
      <w:r>
        <w:rPr>
          <w:rFonts w:ascii="Arial" w:hAnsi="Arial" w:cs="Arial"/>
          <w:b/>
          <w:bCs/>
          <w:sz w:val="20"/>
          <w:szCs w:val="20"/>
        </w:rPr>
        <w:br w:type="page"/>
      </w:r>
    </w:p>
    <w:p w14:paraId="3795AC38" w14:textId="77777777" w:rsidR="00B45BAB" w:rsidRPr="0001336B" w:rsidRDefault="00B45BAB" w:rsidP="00B45BAB">
      <w:pPr>
        <w:jc w:val="center"/>
        <w:rPr>
          <w:rFonts w:ascii="Arial" w:hAnsi="Arial" w:cs="Arial"/>
          <w:b/>
          <w:bCs/>
          <w:sz w:val="20"/>
          <w:szCs w:val="20"/>
        </w:rPr>
      </w:pPr>
      <w:r w:rsidRPr="0001336B">
        <w:rPr>
          <w:rFonts w:ascii="Arial" w:hAnsi="Arial" w:cs="Arial"/>
          <w:bCs/>
          <w:noProof/>
          <w:sz w:val="20"/>
          <w:szCs w:val="20"/>
        </w:rPr>
        <w:lastRenderedPageBreak/>
        <w:drawing>
          <wp:anchor distT="0" distB="0" distL="114300" distR="114300" simplePos="0" relativeHeight="251658242" behindDoc="0" locked="0" layoutInCell="1" allowOverlap="1" wp14:anchorId="731896D2" wp14:editId="3473724B">
            <wp:simplePos x="0" y="0"/>
            <wp:positionH relativeFrom="margin">
              <wp:align>right</wp:align>
            </wp:positionH>
            <wp:positionV relativeFrom="paragraph">
              <wp:posOffset>285750</wp:posOffset>
            </wp:positionV>
            <wp:extent cx="3179445" cy="2159635"/>
            <wp:effectExtent l="0" t="0" r="0" b="0"/>
            <wp:wrapSquare wrapText="bothSides"/>
            <wp:docPr id="1486746713" name="Picture 2" descr="A graph of a graph with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746713" name="Picture 2" descr="A graph of a graph with a black background&#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9445" cy="2159635"/>
                    </a:xfrm>
                    <a:prstGeom prst="rect">
                      <a:avLst/>
                    </a:prstGeom>
                    <a:noFill/>
                  </pic:spPr>
                </pic:pic>
              </a:graphicData>
            </a:graphic>
            <wp14:sizeRelH relativeFrom="margin">
              <wp14:pctWidth>0</wp14:pctWidth>
            </wp14:sizeRelH>
            <wp14:sizeRelV relativeFrom="margin">
              <wp14:pctHeight>0</wp14:pctHeight>
            </wp14:sizeRelV>
          </wp:anchor>
        </w:drawing>
      </w:r>
      <w:r w:rsidRPr="0001336B">
        <w:rPr>
          <w:rFonts w:ascii="Arial" w:hAnsi="Arial" w:cs="Arial"/>
          <w:b/>
          <w:bCs/>
          <w:sz w:val="20"/>
          <w:szCs w:val="20"/>
        </w:rPr>
        <w:t>Appendix 1a – CLOs</w:t>
      </w:r>
    </w:p>
    <w:p w14:paraId="03FCC0EE" w14:textId="77777777" w:rsidR="00B45BAB" w:rsidRPr="0001336B" w:rsidRDefault="00B45BAB" w:rsidP="00B45BAB">
      <w:pPr>
        <w:rPr>
          <w:rFonts w:ascii="Arial" w:hAnsi="Arial" w:cs="Arial"/>
          <w:bCs/>
          <w:sz w:val="20"/>
          <w:szCs w:val="20"/>
        </w:rPr>
      </w:pPr>
      <w:r w:rsidRPr="0001336B">
        <w:rPr>
          <w:rFonts w:ascii="Arial" w:hAnsi="Arial" w:cs="Arial"/>
          <w:sz w:val="20"/>
          <w:szCs w:val="20"/>
          <w:lang w:val="en-US"/>
        </w:rPr>
        <w:t xml:space="preserve">The CLO market has evolved considerably over the past decade, now representing almost $1.2tn USD. As it now </w:t>
      </w:r>
      <w:r w:rsidRPr="0001336B">
        <w:rPr>
          <w:rFonts w:ascii="Arial" w:hAnsi="Arial" w:cs="Arial"/>
          <w:sz w:val="20"/>
          <w:szCs w:val="20"/>
        </w:rPr>
        <w:t xml:space="preserve">represents a strategic asset class for a diverse range of investors (banks, pension funds, family offices, insurance companies, etc.), with growing interest from many large institutional investors, this has impacted the liquidity and price behaviour of CLOs. </w:t>
      </w:r>
      <w:r w:rsidRPr="0001336B">
        <w:rPr>
          <w:rFonts w:ascii="Arial" w:hAnsi="Arial" w:cs="Arial"/>
          <w:bCs/>
          <w:sz w:val="20"/>
          <w:szCs w:val="20"/>
        </w:rPr>
        <w:t>Primary market supply in Europe typically yields volumes of €15 – 25bn per annum supported by a well-functioning secondary market, in ordinary market conditions.</w:t>
      </w:r>
    </w:p>
    <w:p w14:paraId="1282231C" w14:textId="77777777" w:rsidR="00B45BAB" w:rsidRPr="0001336B" w:rsidRDefault="00B45BAB" w:rsidP="00B45BAB">
      <w:pPr>
        <w:rPr>
          <w:rFonts w:ascii="Arial" w:hAnsi="Arial" w:cs="Arial"/>
          <w:sz w:val="20"/>
          <w:szCs w:val="20"/>
        </w:rPr>
      </w:pPr>
      <w:r w:rsidRPr="0001336B">
        <w:rPr>
          <w:rFonts w:ascii="Arial" w:hAnsi="Arial" w:cs="Arial"/>
          <w:sz w:val="20"/>
          <w:szCs w:val="20"/>
        </w:rPr>
        <w:t xml:space="preserve">As mentioned in our answer above, the below graph depicts Bids Wanted in Competition (BWIC) volumes for European and US AAA CLOs since 2011 (giving an approximation of the secondary volumes in CLOs), showing consistent increase in volume. As noted above, during recent stress events (Covid-19, March-April 2020, and UK LDI, September-October 2022) the trading ratio remained at a high level. </w:t>
      </w:r>
    </w:p>
    <w:p w14:paraId="2589A8F0" w14:textId="77777777" w:rsidR="00B45BAB" w:rsidRPr="0001336B" w:rsidRDefault="00B45BAB" w:rsidP="00B45BAB">
      <w:pPr>
        <w:rPr>
          <w:rFonts w:ascii="Arial" w:hAnsi="Arial" w:cs="Arial"/>
          <w:bCs/>
          <w:sz w:val="20"/>
          <w:szCs w:val="20"/>
        </w:rPr>
      </w:pPr>
      <w:r w:rsidRPr="0001336B">
        <w:rPr>
          <w:rFonts w:ascii="Arial" w:hAnsi="Arial" w:cs="Arial"/>
          <w:bCs/>
          <w:noProof/>
          <w:sz w:val="20"/>
          <w:szCs w:val="20"/>
        </w:rPr>
        <w:drawing>
          <wp:anchor distT="0" distB="0" distL="114300" distR="114300" simplePos="0" relativeHeight="251658244" behindDoc="0" locked="0" layoutInCell="1" allowOverlap="1" wp14:anchorId="0431455E" wp14:editId="713EDD65">
            <wp:simplePos x="0" y="0"/>
            <wp:positionH relativeFrom="margin">
              <wp:align>right</wp:align>
            </wp:positionH>
            <wp:positionV relativeFrom="paragraph">
              <wp:posOffset>398697</wp:posOffset>
            </wp:positionV>
            <wp:extent cx="4030980" cy="2190115"/>
            <wp:effectExtent l="0" t="0" r="7620" b="635"/>
            <wp:wrapSquare wrapText="bothSides"/>
            <wp:docPr id="825883118" name="Picture 8"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883118" name="Picture 8" descr="A graph of different colored line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30980" cy="2190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336B">
        <w:rPr>
          <w:rFonts w:ascii="Arial" w:hAnsi="Arial" w:cs="Arial"/>
          <w:sz w:val="20"/>
          <w:szCs w:val="20"/>
        </w:rPr>
        <w:t xml:space="preserve">The CLO market has indeed proven resilient through multiple recessionary periods. </w:t>
      </w:r>
      <w:r w:rsidRPr="0001336B">
        <w:rPr>
          <w:rFonts w:ascii="Arial" w:hAnsi="Arial" w:cs="Arial"/>
          <w:bCs/>
          <w:sz w:val="20"/>
          <w:szCs w:val="20"/>
        </w:rPr>
        <w:t xml:space="preserve">The graph below shows CLO and corporate default rates, based on S&amp;P’s annual study </w:t>
      </w:r>
      <w:r w:rsidRPr="0001336B">
        <w:rPr>
          <w:rFonts w:ascii="Arial" w:hAnsi="Arial" w:cs="Arial"/>
          <w:bCs/>
          <w:i/>
          <w:iCs/>
          <w:sz w:val="20"/>
          <w:szCs w:val="20"/>
        </w:rPr>
        <w:t>“Default, Transition, and Recovery: 2023 Annual Global Leveraged Loan CLO Default And Rating Transition Study”</w:t>
      </w:r>
      <w:r w:rsidRPr="0001336B">
        <w:rPr>
          <w:rFonts w:ascii="Arial" w:hAnsi="Arial" w:cs="Arial"/>
          <w:bCs/>
          <w:sz w:val="20"/>
          <w:szCs w:val="20"/>
        </w:rPr>
        <w:t xml:space="preserve"> dated 27 June 2024. In 2023, 8 tranches of CLOs defaulted, all of which were deals originated post the 2008 global financial crisis and all of which were US CLOs issued in 2013 and 2014 rated BB and B. Out of over 23,000 CLO tranches rated by S&amp;P globally, only 81 experienced a default (0.34%). </w:t>
      </w:r>
    </w:p>
    <w:p w14:paraId="2D22C8C5" w14:textId="77777777" w:rsidR="00B45BAB" w:rsidRPr="0001336B" w:rsidRDefault="00B45BAB" w:rsidP="00B45BAB">
      <w:pPr>
        <w:rPr>
          <w:rFonts w:ascii="Arial" w:hAnsi="Arial" w:cs="Arial"/>
          <w:bCs/>
          <w:sz w:val="20"/>
          <w:szCs w:val="20"/>
        </w:rPr>
      </w:pPr>
      <w:r w:rsidRPr="0001336B">
        <w:rPr>
          <w:rFonts w:ascii="Arial" w:hAnsi="Arial" w:cs="Arial"/>
          <w:bCs/>
          <w:sz w:val="20"/>
          <w:szCs w:val="20"/>
        </w:rPr>
        <w:t xml:space="preserve">In the above-mentioned annual study, S&amp;P also comments that the annual CLO default rates have remained generally steady throughout the sector's history, with the annual default rate remaining below 0.5%.  There have not been any defaults of investment-grade ('BBB-' or higher) CLOs since 2010 and no US or European leveraged loan CLO tranche originally rated 'AAA' has ever defaulted. </w:t>
      </w:r>
    </w:p>
    <w:p w14:paraId="2A7CEF48" w14:textId="77777777" w:rsidR="00B45BAB" w:rsidRPr="0001336B" w:rsidRDefault="00B45BAB" w:rsidP="00B45BAB">
      <w:pPr>
        <w:rPr>
          <w:rFonts w:ascii="Arial" w:hAnsi="Arial" w:cs="Arial"/>
          <w:bCs/>
          <w:sz w:val="20"/>
          <w:szCs w:val="20"/>
        </w:rPr>
      </w:pPr>
      <w:r w:rsidRPr="0001336B">
        <w:rPr>
          <w:rFonts w:ascii="Arial" w:hAnsi="Arial" w:cs="Arial"/>
          <w:bCs/>
          <w:sz w:val="20"/>
          <w:szCs w:val="20"/>
        </w:rPr>
        <w:t> </w:t>
      </w:r>
    </w:p>
    <w:p w14:paraId="15F45C19" w14:textId="77777777" w:rsidR="00B45BAB" w:rsidRPr="0001336B" w:rsidRDefault="00B45BAB" w:rsidP="00B45BAB">
      <w:pPr>
        <w:rPr>
          <w:rFonts w:ascii="Arial" w:hAnsi="Arial" w:cs="Arial"/>
          <w:bCs/>
          <w:sz w:val="20"/>
          <w:szCs w:val="20"/>
        </w:rPr>
      </w:pPr>
    </w:p>
    <w:p w14:paraId="5A7DF4BC" w14:textId="77777777" w:rsidR="00B45BAB" w:rsidRPr="0001336B" w:rsidRDefault="00B45BAB" w:rsidP="00B45BAB">
      <w:pPr>
        <w:rPr>
          <w:rFonts w:ascii="Arial" w:hAnsi="Arial" w:cs="Arial"/>
          <w:bCs/>
          <w:sz w:val="20"/>
          <w:szCs w:val="20"/>
        </w:rPr>
      </w:pPr>
      <w:r w:rsidRPr="0001336B">
        <w:rPr>
          <w:rFonts w:ascii="Arial" w:hAnsi="Arial" w:cs="Arial"/>
          <w:bCs/>
          <w:noProof/>
          <w:sz w:val="20"/>
          <w:szCs w:val="20"/>
        </w:rPr>
        <w:lastRenderedPageBreak/>
        <w:drawing>
          <wp:anchor distT="0" distB="0" distL="114300" distR="114300" simplePos="0" relativeHeight="251658245" behindDoc="0" locked="0" layoutInCell="1" allowOverlap="1" wp14:anchorId="13C05904" wp14:editId="5523A287">
            <wp:simplePos x="0" y="0"/>
            <wp:positionH relativeFrom="margin">
              <wp:align>right</wp:align>
            </wp:positionH>
            <wp:positionV relativeFrom="paragraph">
              <wp:posOffset>2181</wp:posOffset>
            </wp:positionV>
            <wp:extent cx="3282154" cy="2063363"/>
            <wp:effectExtent l="0" t="0" r="0" b="0"/>
            <wp:wrapSquare wrapText="bothSides"/>
            <wp:docPr id="658173179" name="Picture 7" descr="A graph with blue lines and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173179" name="Picture 7" descr="A graph with blue lines and orange line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82154" cy="2063363"/>
                    </a:xfrm>
                    <a:prstGeom prst="rect">
                      <a:avLst/>
                    </a:prstGeom>
                    <a:noFill/>
                    <a:ln>
                      <a:noFill/>
                    </a:ln>
                  </pic:spPr>
                </pic:pic>
              </a:graphicData>
            </a:graphic>
          </wp:anchor>
        </w:drawing>
      </w:r>
      <w:r w:rsidRPr="0001336B">
        <w:rPr>
          <w:rFonts w:ascii="Arial" w:hAnsi="Arial" w:cs="Arial"/>
          <w:bCs/>
          <w:sz w:val="20"/>
          <w:szCs w:val="20"/>
        </w:rPr>
        <w:t>S&amp;P also show that historical Global Sub-IG CLO default rates are incredibly low compared to Global Sub-IG Corporate Bonds (see the graph to the right). The annual global default rate for speculative-grade CLOs peaked in 2002, at 2.53% while it peaked at 10% for speculative-grade corporates. Since 2002, the annual default rate for speculative-grade CLOs globally has stayed below 1%. This is well below the long-term average annual default rate of close to 3.5% for speculative-grade corporate entities</w:t>
      </w:r>
    </w:p>
    <w:p w14:paraId="2D22BF58" w14:textId="77777777" w:rsidR="00B45BAB" w:rsidRPr="0001336B" w:rsidRDefault="00B45BAB" w:rsidP="00B45BAB">
      <w:pPr>
        <w:rPr>
          <w:rFonts w:ascii="Arial" w:hAnsi="Arial" w:cs="Arial"/>
          <w:bCs/>
          <w:sz w:val="20"/>
          <w:szCs w:val="20"/>
        </w:rPr>
      </w:pPr>
      <w:r w:rsidRPr="0001336B">
        <w:rPr>
          <w:rFonts w:ascii="Arial" w:hAnsi="Arial" w:cs="Arial"/>
          <w:bCs/>
          <w:sz w:val="20"/>
          <w:szCs w:val="20"/>
        </w:rPr>
        <w:t>In the US, CLO ETFs are the newest investor in the CLO market and have grown rapidly. They already have almost $14bn AUM with more than 50% of that volume being added this year. The largest CLO Mezz ETF, JBBB also just exceeded $1bn AUM.</w:t>
      </w:r>
    </w:p>
    <w:p w14:paraId="29134DCA" w14:textId="77777777" w:rsidR="00B45BAB" w:rsidRPr="0001336B" w:rsidRDefault="00B45BAB" w:rsidP="00B45BAB">
      <w:pPr>
        <w:rPr>
          <w:rFonts w:ascii="Arial" w:hAnsi="Arial" w:cs="Arial"/>
          <w:bCs/>
          <w:sz w:val="20"/>
          <w:szCs w:val="20"/>
        </w:rPr>
      </w:pPr>
      <w:r w:rsidRPr="0001336B">
        <w:rPr>
          <w:rFonts w:ascii="Arial" w:hAnsi="Arial" w:cs="Arial"/>
          <w:bCs/>
          <w:sz w:val="20"/>
          <w:szCs w:val="20"/>
        </w:rPr>
        <w:t> </w:t>
      </w:r>
    </w:p>
    <w:p w14:paraId="649C0869" w14:textId="77777777" w:rsidR="00B45BAB" w:rsidRPr="0001336B" w:rsidRDefault="00B45BAB" w:rsidP="00B45BAB">
      <w:pPr>
        <w:rPr>
          <w:rFonts w:ascii="Arial" w:hAnsi="Arial" w:cs="Arial"/>
          <w:bCs/>
          <w:sz w:val="20"/>
          <w:szCs w:val="20"/>
        </w:rPr>
      </w:pPr>
      <w:r w:rsidRPr="0001336B">
        <w:rPr>
          <w:rFonts w:ascii="Arial" w:hAnsi="Arial" w:cs="Arial"/>
          <w:bCs/>
          <w:noProof/>
          <w:sz w:val="20"/>
          <w:szCs w:val="20"/>
        </w:rPr>
        <w:drawing>
          <wp:inline distT="0" distB="0" distL="0" distR="0" wp14:anchorId="531EF819" wp14:editId="6620B5DD">
            <wp:extent cx="4871597" cy="2361537"/>
            <wp:effectExtent l="0" t="0" r="5715" b="1270"/>
            <wp:docPr id="2093325782" name="Picture 6" descr="A blue and white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325782" name="Picture 6" descr="A blue and white table with numbers and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0497" cy="2380394"/>
                    </a:xfrm>
                    <a:prstGeom prst="rect">
                      <a:avLst/>
                    </a:prstGeom>
                    <a:noFill/>
                    <a:ln>
                      <a:noFill/>
                    </a:ln>
                  </pic:spPr>
                </pic:pic>
              </a:graphicData>
            </a:graphic>
          </wp:inline>
        </w:drawing>
      </w:r>
    </w:p>
    <w:p w14:paraId="50FB8FAA" w14:textId="77777777" w:rsidR="00B45BAB" w:rsidRPr="0001336B" w:rsidRDefault="00B45BAB" w:rsidP="00B45BAB">
      <w:pPr>
        <w:rPr>
          <w:rFonts w:ascii="Arial" w:hAnsi="Arial" w:cs="Arial"/>
          <w:bCs/>
          <w:sz w:val="20"/>
          <w:szCs w:val="20"/>
        </w:rPr>
      </w:pPr>
    </w:p>
    <w:p w14:paraId="4D0021DD" w14:textId="77777777" w:rsidR="0001336B" w:rsidRDefault="0001336B">
      <w:pPr>
        <w:rPr>
          <w:rFonts w:ascii="Arial" w:hAnsi="Arial" w:cs="Arial"/>
          <w:b/>
          <w:bCs/>
          <w:sz w:val="20"/>
          <w:szCs w:val="20"/>
        </w:rPr>
      </w:pPr>
      <w:r>
        <w:rPr>
          <w:rFonts w:ascii="Arial" w:hAnsi="Arial" w:cs="Arial"/>
          <w:b/>
          <w:bCs/>
          <w:sz w:val="20"/>
          <w:szCs w:val="20"/>
        </w:rPr>
        <w:br w:type="page"/>
      </w:r>
    </w:p>
    <w:p w14:paraId="5DC35FB2" w14:textId="78C8DE2B" w:rsidR="00B45BAB" w:rsidRPr="0001336B" w:rsidRDefault="00B45BAB" w:rsidP="00B45BAB">
      <w:pPr>
        <w:jc w:val="center"/>
        <w:rPr>
          <w:rFonts w:ascii="Arial" w:hAnsi="Arial" w:cs="Arial"/>
          <w:b/>
          <w:bCs/>
          <w:sz w:val="20"/>
          <w:szCs w:val="20"/>
        </w:rPr>
      </w:pPr>
      <w:r w:rsidRPr="0001336B">
        <w:rPr>
          <w:rFonts w:ascii="Arial" w:hAnsi="Arial" w:cs="Arial"/>
          <w:b/>
          <w:bCs/>
          <w:sz w:val="20"/>
          <w:szCs w:val="20"/>
        </w:rPr>
        <w:lastRenderedPageBreak/>
        <w:t xml:space="preserve">Appendix 1b – European Loans </w:t>
      </w:r>
    </w:p>
    <w:p w14:paraId="2B3B21EE" w14:textId="77777777" w:rsidR="00B45BAB" w:rsidRPr="0001336B" w:rsidRDefault="00B45BAB" w:rsidP="00B45BAB">
      <w:pPr>
        <w:rPr>
          <w:rFonts w:ascii="Arial" w:hAnsi="Arial" w:cs="Arial"/>
          <w:sz w:val="20"/>
          <w:szCs w:val="20"/>
          <w:lang w:val="en-US"/>
        </w:rPr>
      </w:pPr>
      <w:r w:rsidRPr="0001336B">
        <w:rPr>
          <w:rFonts w:ascii="Arial" w:hAnsi="Arial" w:cs="Arial"/>
          <w:sz w:val="20"/>
          <w:szCs w:val="20"/>
          <w:lang w:val="en-US"/>
        </w:rPr>
        <w:t xml:space="preserve">European loans (Credit Suisse Western European Leveraged Loan Index) exhibit low correlation to equities (S&amp;P 500 index), government bonds (ICE </w:t>
      </w:r>
      <w:proofErr w:type="spellStart"/>
      <w:r w:rsidRPr="0001336B">
        <w:rPr>
          <w:rFonts w:ascii="Arial" w:hAnsi="Arial" w:cs="Arial"/>
          <w:sz w:val="20"/>
          <w:szCs w:val="20"/>
          <w:lang w:val="en-US"/>
        </w:rPr>
        <w:t>BofA</w:t>
      </w:r>
      <w:proofErr w:type="spellEnd"/>
      <w:r w:rsidRPr="0001336B">
        <w:rPr>
          <w:rFonts w:ascii="Arial" w:hAnsi="Arial" w:cs="Arial"/>
          <w:sz w:val="20"/>
          <w:szCs w:val="20"/>
          <w:lang w:val="en-US"/>
        </w:rPr>
        <w:t xml:space="preserve"> Euro Government Index) and investment grade bonds (ICE </w:t>
      </w:r>
      <w:proofErr w:type="spellStart"/>
      <w:r w:rsidRPr="0001336B">
        <w:rPr>
          <w:rFonts w:ascii="Arial" w:hAnsi="Arial" w:cs="Arial"/>
          <w:sz w:val="20"/>
          <w:szCs w:val="20"/>
          <w:lang w:val="en-US"/>
        </w:rPr>
        <w:t>BofA</w:t>
      </w:r>
      <w:proofErr w:type="spellEnd"/>
      <w:r w:rsidRPr="0001336B">
        <w:rPr>
          <w:rFonts w:ascii="Arial" w:hAnsi="Arial" w:cs="Arial"/>
          <w:sz w:val="20"/>
          <w:szCs w:val="20"/>
          <w:lang w:val="en-US"/>
        </w:rPr>
        <w:t xml:space="preserve"> Euro Corporate Index). Furthermore it exhibits moderate correlation to European HY bonds (ICE </w:t>
      </w:r>
      <w:proofErr w:type="spellStart"/>
      <w:r w:rsidRPr="0001336B">
        <w:rPr>
          <w:rFonts w:ascii="Arial" w:hAnsi="Arial" w:cs="Arial"/>
          <w:sz w:val="20"/>
          <w:szCs w:val="20"/>
          <w:lang w:val="en-US"/>
        </w:rPr>
        <w:t>BofA</w:t>
      </w:r>
      <w:proofErr w:type="spellEnd"/>
      <w:r w:rsidRPr="0001336B">
        <w:rPr>
          <w:rFonts w:ascii="Arial" w:hAnsi="Arial" w:cs="Arial"/>
          <w:sz w:val="20"/>
          <w:szCs w:val="20"/>
          <w:lang w:val="en-US"/>
        </w:rPr>
        <w:t xml:space="preserve"> European Currency Non-Financial High Yield 2% Constrained Index), as demonstrated by the below matrix over a 10 year period. This means leveraged loans can provide a diversification benefit to a traditional portfolio asset allocation, whilst providing a yield premium.</w:t>
      </w:r>
    </w:p>
    <w:tbl>
      <w:tblPr>
        <w:tblW w:w="0" w:type="auto"/>
        <w:tblCellMar>
          <w:left w:w="0" w:type="dxa"/>
          <w:right w:w="0" w:type="dxa"/>
        </w:tblCellMar>
        <w:tblLook w:val="04A0" w:firstRow="1" w:lastRow="0" w:firstColumn="1" w:lastColumn="0" w:noHBand="0" w:noVBand="1"/>
      </w:tblPr>
      <w:tblGrid>
        <w:gridCol w:w="4109"/>
        <w:gridCol w:w="1691"/>
        <w:gridCol w:w="1048"/>
        <w:gridCol w:w="808"/>
        <w:gridCol w:w="797"/>
        <w:gridCol w:w="784"/>
        <w:gridCol w:w="785"/>
        <w:gridCol w:w="784"/>
        <w:gridCol w:w="785"/>
        <w:gridCol w:w="785"/>
        <w:gridCol w:w="787"/>
        <w:gridCol w:w="785"/>
      </w:tblGrid>
      <w:tr w:rsidR="00B45BAB" w:rsidRPr="0001336B" w14:paraId="3B619AB9" w14:textId="77777777" w:rsidTr="00BA72FD">
        <w:trPr>
          <w:trHeight w:val="330"/>
        </w:trPr>
        <w:tc>
          <w:tcPr>
            <w:tcW w:w="4111" w:type="dxa"/>
            <w:noWrap/>
            <w:tcMar>
              <w:top w:w="15" w:type="dxa"/>
              <w:left w:w="15" w:type="dxa"/>
              <w:bottom w:w="15" w:type="dxa"/>
              <w:right w:w="15" w:type="dxa"/>
            </w:tcMar>
            <w:vAlign w:val="bottom"/>
            <w:hideMark/>
          </w:tcPr>
          <w:p w14:paraId="16918161" w14:textId="77777777" w:rsidR="00B45BAB" w:rsidRPr="0001336B" w:rsidRDefault="00B45BAB" w:rsidP="00BA72FD">
            <w:pPr>
              <w:rPr>
                <w:rFonts w:ascii="Arial" w:hAnsi="Arial" w:cs="Arial"/>
                <w:b/>
                <w:bCs/>
                <w:sz w:val="20"/>
                <w:szCs w:val="20"/>
                <w:lang w:val="en-US"/>
              </w:rPr>
            </w:pPr>
          </w:p>
        </w:tc>
        <w:tc>
          <w:tcPr>
            <w:tcW w:w="1698" w:type="dxa"/>
            <w:tcBorders>
              <w:top w:val="single" w:sz="8" w:space="0" w:color="auto"/>
              <w:left w:val="single" w:sz="8" w:space="0" w:color="auto"/>
              <w:bottom w:val="nil"/>
              <w:right w:val="nil"/>
            </w:tcBorders>
            <w:shd w:val="clear" w:color="auto" w:fill="DAF2D0"/>
            <w:tcMar>
              <w:top w:w="15" w:type="dxa"/>
              <w:left w:w="15" w:type="dxa"/>
              <w:bottom w:w="15" w:type="dxa"/>
              <w:right w:w="15" w:type="dxa"/>
            </w:tcMar>
            <w:vAlign w:val="center"/>
            <w:hideMark/>
          </w:tcPr>
          <w:p w14:paraId="671D1883"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10 Yr Correlation</w:t>
            </w:r>
          </w:p>
        </w:tc>
        <w:tc>
          <w:tcPr>
            <w:tcW w:w="1048" w:type="dxa"/>
            <w:tcBorders>
              <w:top w:val="single" w:sz="8" w:space="0" w:color="auto"/>
              <w:left w:val="nil"/>
              <w:bottom w:val="nil"/>
              <w:right w:val="nil"/>
            </w:tcBorders>
            <w:shd w:val="clear" w:color="auto" w:fill="4EA72E"/>
            <w:tcMar>
              <w:top w:w="15" w:type="dxa"/>
              <w:left w:w="15" w:type="dxa"/>
              <w:bottom w:w="15" w:type="dxa"/>
              <w:right w:w="15" w:type="dxa"/>
            </w:tcMar>
            <w:vAlign w:val="center"/>
            <w:hideMark/>
          </w:tcPr>
          <w:p w14:paraId="62425538"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 </w:t>
            </w:r>
          </w:p>
        </w:tc>
        <w:tc>
          <w:tcPr>
            <w:tcW w:w="801" w:type="dxa"/>
            <w:tcBorders>
              <w:top w:val="single" w:sz="8" w:space="0" w:color="auto"/>
              <w:left w:val="single" w:sz="8" w:space="0" w:color="auto"/>
              <w:bottom w:val="single" w:sz="8" w:space="0" w:color="auto"/>
              <w:right w:val="nil"/>
            </w:tcBorders>
            <w:shd w:val="clear" w:color="auto" w:fill="4EA72E"/>
            <w:tcMar>
              <w:top w:w="15" w:type="dxa"/>
              <w:left w:w="15" w:type="dxa"/>
              <w:bottom w:w="15" w:type="dxa"/>
              <w:right w:w="15" w:type="dxa"/>
            </w:tcMar>
            <w:vAlign w:val="center"/>
            <w:hideMark/>
          </w:tcPr>
          <w:p w14:paraId="25CC3A4F"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CSLLET</w:t>
            </w:r>
          </w:p>
        </w:tc>
        <w:tc>
          <w:tcPr>
            <w:tcW w:w="795" w:type="dxa"/>
            <w:tcBorders>
              <w:top w:val="single" w:sz="8" w:space="0" w:color="auto"/>
              <w:left w:val="nil"/>
              <w:bottom w:val="single" w:sz="8" w:space="0" w:color="auto"/>
              <w:right w:val="nil"/>
            </w:tcBorders>
            <w:shd w:val="clear" w:color="auto" w:fill="4EA72E"/>
            <w:tcMar>
              <w:top w:w="15" w:type="dxa"/>
              <w:left w:w="15" w:type="dxa"/>
              <w:bottom w:w="15" w:type="dxa"/>
              <w:right w:w="15" w:type="dxa"/>
            </w:tcMar>
            <w:vAlign w:val="center"/>
            <w:hideMark/>
          </w:tcPr>
          <w:p w14:paraId="26E5B0EF"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CSLLLT</w:t>
            </w:r>
          </w:p>
        </w:tc>
        <w:tc>
          <w:tcPr>
            <w:tcW w:w="784" w:type="dxa"/>
            <w:tcBorders>
              <w:top w:val="single" w:sz="8" w:space="0" w:color="auto"/>
              <w:left w:val="nil"/>
              <w:bottom w:val="single" w:sz="8" w:space="0" w:color="auto"/>
              <w:right w:val="nil"/>
            </w:tcBorders>
            <w:shd w:val="clear" w:color="auto" w:fill="4EA72E"/>
            <w:tcMar>
              <w:top w:w="15" w:type="dxa"/>
              <w:left w:w="15" w:type="dxa"/>
              <w:bottom w:w="15" w:type="dxa"/>
              <w:right w:w="15" w:type="dxa"/>
            </w:tcMar>
            <w:vAlign w:val="center"/>
            <w:hideMark/>
          </w:tcPr>
          <w:p w14:paraId="54C17832"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HPIC</w:t>
            </w:r>
          </w:p>
        </w:tc>
        <w:tc>
          <w:tcPr>
            <w:tcW w:w="785" w:type="dxa"/>
            <w:tcBorders>
              <w:top w:val="single" w:sz="8" w:space="0" w:color="auto"/>
              <w:left w:val="nil"/>
              <w:bottom w:val="single" w:sz="8" w:space="0" w:color="auto"/>
              <w:right w:val="nil"/>
            </w:tcBorders>
            <w:shd w:val="clear" w:color="auto" w:fill="4EA72E"/>
            <w:tcMar>
              <w:top w:w="15" w:type="dxa"/>
              <w:left w:w="15" w:type="dxa"/>
              <w:bottom w:w="15" w:type="dxa"/>
              <w:right w:w="15" w:type="dxa"/>
            </w:tcMar>
            <w:vAlign w:val="center"/>
            <w:hideMark/>
          </w:tcPr>
          <w:p w14:paraId="1D2CF8EC"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H0A0</w:t>
            </w:r>
          </w:p>
        </w:tc>
        <w:tc>
          <w:tcPr>
            <w:tcW w:w="784" w:type="dxa"/>
            <w:tcBorders>
              <w:top w:val="single" w:sz="8" w:space="0" w:color="auto"/>
              <w:left w:val="nil"/>
              <w:bottom w:val="single" w:sz="8" w:space="0" w:color="auto"/>
              <w:right w:val="nil"/>
            </w:tcBorders>
            <w:shd w:val="clear" w:color="auto" w:fill="4EA72E"/>
            <w:tcMar>
              <w:top w:w="15" w:type="dxa"/>
              <w:left w:w="15" w:type="dxa"/>
              <w:bottom w:w="15" w:type="dxa"/>
              <w:right w:w="15" w:type="dxa"/>
            </w:tcMar>
            <w:vAlign w:val="center"/>
            <w:hideMark/>
          </w:tcPr>
          <w:p w14:paraId="615638A5"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ER00</w:t>
            </w:r>
          </w:p>
        </w:tc>
        <w:tc>
          <w:tcPr>
            <w:tcW w:w="785" w:type="dxa"/>
            <w:tcBorders>
              <w:top w:val="single" w:sz="8" w:space="0" w:color="auto"/>
              <w:left w:val="nil"/>
              <w:bottom w:val="single" w:sz="8" w:space="0" w:color="auto"/>
              <w:right w:val="nil"/>
            </w:tcBorders>
            <w:shd w:val="clear" w:color="auto" w:fill="4EA72E"/>
            <w:tcMar>
              <w:top w:w="15" w:type="dxa"/>
              <w:left w:w="15" w:type="dxa"/>
              <w:bottom w:w="15" w:type="dxa"/>
              <w:right w:w="15" w:type="dxa"/>
            </w:tcMar>
            <w:vAlign w:val="center"/>
            <w:hideMark/>
          </w:tcPr>
          <w:p w14:paraId="43C7F3A6"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C0A0</w:t>
            </w:r>
          </w:p>
        </w:tc>
        <w:tc>
          <w:tcPr>
            <w:tcW w:w="785" w:type="dxa"/>
            <w:tcBorders>
              <w:top w:val="single" w:sz="8" w:space="0" w:color="auto"/>
              <w:left w:val="nil"/>
              <w:bottom w:val="single" w:sz="8" w:space="0" w:color="auto"/>
              <w:right w:val="nil"/>
            </w:tcBorders>
            <w:shd w:val="clear" w:color="auto" w:fill="4EA72E"/>
            <w:tcMar>
              <w:top w:w="15" w:type="dxa"/>
              <w:left w:w="15" w:type="dxa"/>
              <w:bottom w:w="15" w:type="dxa"/>
              <w:right w:w="15" w:type="dxa"/>
            </w:tcMar>
            <w:vAlign w:val="center"/>
            <w:hideMark/>
          </w:tcPr>
          <w:p w14:paraId="68DAFBBF"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EG00</w:t>
            </w:r>
          </w:p>
        </w:tc>
        <w:tc>
          <w:tcPr>
            <w:tcW w:w="787" w:type="dxa"/>
            <w:tcBorders>
              <w:top w:val="single" w:sz="8" w:space="0" w:color="auto"/>
              <w:left w:val="nil"/>
              <w:bottom w:val="single" w:sz="8" w:space="0" w:color="auto"/>
              <w:right w:val="nil"/>
            </w:tcBorders>
            <w:shd w:val="clear" w:color="auto" w:fill="4EA72E"/>
            <w:tcMar>
              <w:top w:w="15" w:type="dxa"/>
              <w:left w:w="15" w:type="dxa"/>
              <w:bottom w:w="15" w:type="dxa"/>
              <w:right w:w="15" w:type="dxa"/>
            </w:tcMar>
            <w:vAlign w:val="center"/>
            <w:hideMark/>
          </w:tcPr>
          <w:p w14:paraId="33F8C36D"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G0Q0</w:t>
            </w:r>
          </w:p>
        </w:tc>
        <w:tc>
          <w:tcPr>
            <w:tcW w:w="785" w:type="dxa"/>
            <w:tcBorders>
              <w:top w:val="single" w:sz="8" w:space="0" w:color="auto"/>
              <w:left w:val="nil"/>
              <w:bottom w:val="single" w:sz="8" w:space="0" w:color="auto"/>
              <w:right w:val="single" w:sz="8" w:space="0" w:color="auto"/>
            </w:tcBorders>
            <w:shd w:val="clear" w:color="auto" w:fill="4EA72E"/>
            <w:tcMar>
              <w:top w:w="15" w:type="dxa"/>
              <w:left w:w="15" w:type="dxa"/>
              <w:bottom w:w="15" w:type="dxa"/>
              <w:right w:w="15" w:type="dxa"/>
            </w:tcMar>
            <w:vAlign w:val="center"/>
            <w:hideMark/>
          </w:tcPr>
          <w:p w14:paraId="696DFBCB"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SPX</w:t>
            </w:r>
          </w:p>
        </w:tc>
      </w:tr>
      <w:tr w:rsidR="00B45BAB" w:rsidRPr="0001336B" w14:paraId="1F019412" w14:textId="77777777" w:rsidTr="00BA72FD">
        <w:trPr>
          <w:trHeight w:val="330"/>
        </w:trPr>
        <w:tc>
          <w:tcPr>
            <w:tcW w:w="4111" w:type="dxa"/>
            <w:tcBorders>
              <w:top w:val="single" w:sz="8" w:space="0" w:color="auto"/>
              <w:left w:val="single" w:sz="8" w:space="0" w:color="auto"/>
              <w:bottom w:val="single" w:sz="8" w:space="0" w:color="auto"/>
              <w:right w:val="single" w:sz="8" w:space="0" w:color="auto"/>
            </w:tcBorders>
            <w:noWrap/>
            <w:tcMar>
              <w:top w:w="15" w:type="dxa"/>
              <w:left w:w="15" w:type="dxa"/>
              <w:bottom w:w="15" w:type="dxa"/>
              <w:right w:w="15" w:type="dxa"/>
            </w:tcMar>
            <w:vAlign w:val="bottom"/>
            <w:hideMark/>
          </w:tcPr>
          <w:p w14:paraId="2A798E57"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Credit Suisse West Euro Leveraged Loan Index All Denominations </w:t>
            </w:r>
          </w:p>
        </w:tc>
        <w:tc>
          <w:tcPr>
            <w:tcW w:w="1698" w:type="dxa"/>
            <w:tcBorders>
              <w:top w:val="single" w:sz="8" w:space="0" w:color="auto"/>
              <w:left w:val="nil"/>
              <w:bottom w:val="nil"/>
              <w:right w:val="nil"/>
            </w:tcBorders>
            <w:shd w:val="clear" w:color="auto" w:fill="DAF2D0"/>
            <w:tcMar>
              <w:top w:w="15" w:type="dxa"/>
              <w:left w:w="15" w:type="dxa"/>
              <w:bottom w:w="15" w:type="dxa"/>
              <w:right w:w="15" w:type="dxa"/>
            </w:tcMar>
            <w:vAlign w:val="center"/>
            <w:hideMark/>
          </w:tcPr>
          <w:p w14:paraId="14565EFF"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European Loans</w:t>
            </w:r>
          </w:p>
        </w:tc>
        <w:tc>
          <w:tcPr>
            <w:tcW w:w="1048" w:type="dxa"/>
            <w:tcBorders>
              <w:top w:val="single" w:sz="8" w:space="0" w:color="auto"/>
              <w:left w:val="single" w:sz="8" w:space="0" w:color="auto"/>
              <w:bottom w:val="nil"/>
              <w:right w:val="single" w:sz="8" w:space="0" w:color="auto"/>
            </w:tcBorders>
            <w:shd w:val="clear" w:color="auto" w:fill="4EA72E"/>
            <w:tcMar>
              <w:top w:w="15" w:type="dxa"/>
              <w:left w:w="15" w:type="dxa"/>
              <w:bottom w:w="15" w:type="dxa"/>
              <w:right w:w="15" w:type="dxa"/>
            </w:tcMar>
            <w:vAlign w:val="center"/>
            <w:hideMark/>
          </w:tcPr>
          <w:p w14:paraId="508729BD"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CSLLET</w:t>
            </w:r>
          </w:p>
        </w:tc>
        <w:tc>
          <w:tcPr>
            <w:tcW w:w="801" w:type="dxa"/>
            <w:shd w:val="clear" w:color="auto" w:fill="FFFFFF"/>
            <w:tcMar>
              <w:top w:w="15" w:type="dxa"/>
              <w:left w:w="15" w:type="dxa"/>
              <w:bottom w:w="15" w:type="dxa"/>
              <w:right w:w="15" w:type="dxa"/>
            </w:tcMar>
            <w:vAlign w:val="center"/>
            <w:hideMark/>
          </w:tcPr>
          <w:p w14:paraId="6C590DFA"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1</w:t>
            </w:r>
          </w:p>
        </w:tc>
        <w:tc>
          <w:tcPr>
            <w:tcW w:w="795" w:type="dxa"/>
            <w:shd w:val="clear" w:color="auto" w:fill="FFFFFF"/>
            <w:tcMar>
              <w:top w:w="15" w:type="dxa"/>
              <w:left w:w="15" w:type="dxa"/>
              <w:bottom w:w="15" w:type="dxa"/>
              <w:right w:w="15" w:type="dxa"/>
            </w:tcMar>
            <w:vAlign w:val="center"/>
            <w:hideMark/>
          </w:tcPr>
          <w:p w14:paraId="2F7A1340"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0.96</w:t>
            </w:r>
          </w:p>
        </w:tc>
        <w:tc>
          <w:tcPr>
            <w:tcW w:w="784" w:type="dxa"/>
            <w:shd w:val="clear" w:color="auto" w:fill="FFFFFF"/>
            <w:tcMar>
              <w:top w:w="15" w:type="dxa"/>
              <w:left w:w="15" w:type="dxa"/>
              <w:bottom w:w="15" w:type="dxa"/>
              <w:right w:w="15" w:type="dxa"/>
            </w:tcMar>
            <w:vAlign w:val="center"/>
            <w:hideMark/>
          </w:tcPr>
          <w:p w14:paraId="79415996"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0.63</w:t>
            </w:r>
          </w:p>
        </w:tc>
        <w:tc>
          <w:tcPr>
            <w:tcW w:w="785" w:type="dxa"/>
            <w:shd w:val="clear" w:color="auto" w:fill="FFFFFF"/>
            <w:tcMar>
              <w:top w:w="15" w:type="dxa"/>
              <w:left w:w="15" w:type="dxa"/>
              <w:bottom w:w="15" w:type="dxa"/>
              <w:right w:w="15" w:type="dxa"/>
            </w:tcMar>
            <w:vAlign w:val="center"/>
            <w:hideMark/>
          </w:tcPr>
          <w:p w14:paraId="5B16B971"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0.74</w:t>
            </w:r>
          </w:p>
        </w:tc>
        <w:tc>
          <w:tcPr>
            <w:tcW w:w="784" w:type="dxa"/>
            <w:shd w:val="clear" w:color="auto" w:fill="FFFFFF"/>
            <w:tcMar>
              <w:top w:w="15" w:type="dxa"/>
              <w:left w:w="15" w:type="dxa"/>
              <w:bottom w:w="15" w:type="dxa"/>
              <w:right w:w="15" w:type="dxa"/>
            </w:tcMar>
            <w:vAlign w:val="center"/>
            <w:hideMark/>
          </w:tcPr>
          <w:p w14:paraId="11D4F7E6"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0.64</w:t>
            </w:r>
          </w:p>
        </w:tc>
        <w:tc>
          <w:tcPr>
            <w:tcW w:w="785" w:type="dxa"/>
            <w:shd w:val="clear" w:color="auto" w:fill="FFFFFF"/>
            <w:tcMar>
              <w:top w:w="15" w:type="dxa"/>
              <w:left w:w="15" w:type="dxa"/>
              <w:bottom w:w="15" w:type="dxa"/>
              <w:right w:w="15" w:type="dxa"/>
            </w:tcMar>
            <w:vAlign w:val="center"/>
            <w:hideMark/>
          </w:tcPr>
          <w:p w14:paraId="3236EFD9"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0.54</w:t>
            </w:r>
          </w:p>
        </w:tc>
        <w:tc>
          <w:tcPr>
            <w:tcW w:w="785" w:type="dxa"/>
            <w:shd w:val="clear" w:color="auto" w:fill="FFFFFF"/>
            <w:tcMar>
              <w:top w:w="15" w:type="dxa"/>
              <w:left w:w="15" w:type="dxa"/>
              <w:bottom w:w="15" w:type="dxa"/>
              <w:right w:w="15" w:type="dxa"/>
            </w:tcMar>
            <w:vAlign w:val="center"/>
            <w:hideMark/>
          </w:tcPr>
          <w:p w14:paraId="009C21A4"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0.23</w:t>
            </w:r>
          </w:p>
        </w:tc>
        <w:tc>
          <w:tcPr>
            <w:tcW w:w="787" w:type="dxa"/>
            <w:shd w:val="clear" w:color="auto" w:fill="FFFFFF"/>
            <w:tcMar>
              <w:top w:w="15" w:type="dxa"/>
              <w:left w:w="15" w:type="dxa"/>
              <w:bottom w:w="15" w:type="dxa"/>
              <w:right w:w="15" w:type="dxa"/>
            </w:tcMar>
            <w:vAlign w:val="center"/>
            <w:hideMark/>
          </w:tcPr>
          <w:p w14:paraId="00C340D6"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-0.11</w:t>
            </w:r>
          </w:p>
        </w:tc>
        <w:tc>
          <w:tcPr>
            <w:tcW w:w="785" w:type="dxa"/>
            <w:tcBorders>
              <w:top w:val="nil"/>
              <w:left w:val="nil"/>
              <w:bottom w:val="nil"/>
              <w:right w:val="single" w:sz="8" w:space="0" w:color="auto"/>
            </w:tcBorders>
            <w:shd w:val="clear" w:color="auto" w:fill="FFFFFF"/>
            <w:tcMar>
              <w:top w:w="15" w:type="dxa"/>
              <w:left w:w="15" w:type="dxa"/>
              <w:bottom w:w="15" w:type="dxa"/>
              <w:right w:w="15" w:type="dxa"/>
            </w:tcMar>
            <w:vAlign w:val="center"/>
            <w:hideMark/>
          </w:tcPr>
          <w:p w14:paraId="5D9B0452"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0.57</w:t>
            </w:r>
          </w:p>
        </w:tc>
      </w:tr>
      <w:tr w:rsidR="00B45BAB" w:rsidRPr="0001336B" w14:paraId="5BC223A6" w14:textId="77777777" w:rsidTr="00BA72FD">
        <w:trPr>
          <w:trHeight w:val="330"/>
        </w:trPr>
        <w:tc>
          <w:tcPr>
            <w:tcW w:w="4111" w:type="dxa"/>
            <w:tcBorders>
              <w:top w:val="nil"/>
              <w:left w:val="single" w:sz="8" w:space="0" w:color="auto"/>
              <w:bottom w:val="single" w:sz="8" w:space="0" w:color="auto"/>
              <w:right w:val="single" w:sz="8" w:space="0" w:color="auto"/>
            </w:tcBorders>
            <w:noWrap/>
            <w:tcMar>
              <w:top w:w="15" w:type="dxa"/>
              <w:left w:w="15" w:type="dxa"/>
              <w:bottom w:w="15" w:type="dxa"/>
              <w:right w:w="15" w:type="dxa"/>
            </w:tcMar>
            <w:vAlign w:val="bottom"/>
            <w:hideMark/>
          </w:tcPr>
          <w:p w14:paraId="1A9A2C57"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Credit Suisse Leveraged Loan Index</w:t>
            </w:r>
          </w:p>
        </w:tc>
        <w:tc>
          <w:tcPr>
            <w:tcW w:w="1698" w:type="dxa"/>
            <w:shd w:val="clear" w:color="auto" w:fill="DAF2D0"/>
            <w:tcMar>
              <w:top w:w="15" w:type="dxa"/>
              <w:left w:w="15" w:type="dxa"/>
              <w:bottom w:w="15" w:type="dxa"/>
              <w:right w:w="15" w:type="dxa"/>
            </w:tcMar>
            <w:vAlign w:val="center"/>
            <w:hideMark/>
          </w:tcPr>
          <w:p w14:paraId="27A3C91E"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US Loans</w:t>
            </w:r>
          </w:p>
        </w:tc>
        <w:tc>
          <w:tcPr>
            <w:tcW w:w="1048" w:type="dxa"/>
            <w:tcBorders>
              <w:top w:val="nil"/>
              <w:left w:val="single" w:sz="8" w:space="0" w:color="auto"/>
              <w:bottom w:val="nil"/>
              <w:right w:val="single" w:sz="8" w:space="0" w:color="auto"/>
            </w:tcBorders>
            <w:shd w:val="clear" w:color="auto" w:fill="4EA72E"/>
            <w:tcMar>
              <w:top w:w="15" w:type="dxa"/>
              <w:left w:w="15" w:type="dxa"/>
              <w:bottom w:w="15" w:type="dxa"/>
              <w:right w:w="15" w:type="dxa"/>
            </w:tcMar>
            <w:vAlign w:val="center"/>
            <w:hideMark/>
          </w:tcPr>
          <w:p w14:paraId="516750A0"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CSLLLT</w:t>
            </w:r>
          </w:p>
        </w:tc>
        <w:tc>
          <w:tcPr>
            <w:tcW w:w="801" w:type="dxa"/>
            <w:shd w:val="clear" w:color="auto" w:fill="FFFFFF"/>
            <w:tcMar>
              <w:top w:w="15" w:type="dxa"/>
              <w:left w:w="15" w:type="dxa"/>
              <w:bottom w:w="15" w:type="dxa"/>
              <w:right w:w="15" w:type="dxa"/>
            </w:tcMar>
            <w:vAlign w:val="center"/>
            <w:hideMark/>
          </w:tcPr>
          <w:p w14:paraId="038CE3F8"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0.96</w:t>
            </w:r>
          </w:p>
        </w:tc>
        <w:tc>
          <w:tcPr>
            <w:tcW w:w="795" w:type="dxa"/>
            <w:shd w:val="clear" w:color="auto" w:fill="FFFFFF"/>
            <w:tcMar>
              <w:top w:w="15" w:type="dxa"/>
              <w:left w:w="15" w:type="dxa"/>
              <w:bottom w:w="15" w:type="dxa"/>
              <w:right w:w="15" w:type="dxa"/>
            </w:tcMar>
            <w:vAlign w:val="center"/>
            <w:hideMark/>
          </w:tcPr>
          <w:p w14:paraId="4F124C67"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1</w:t>
            </w:r>
          </w:p>
        </w:tc>
        <w:tc>
          <w:tcPr>
            <w:tcW w:w="784" w:type="dxa"/>
            <w:shd w:val="clear" w:color="auto" w:fill="FFFFFF"/>
            <w:tcMar>
              <w:top w:w="15" w:type="dxa"/>
              <w:left w:w="15" w:type="dxa"/>
              <w:bottom w:w="15" w:type="dxa"/>
              <w:right w:w="15" w:type="dxa"/>
            </w:tcMar>
            <w:vAlign w:val="center"/>
            <w:hideMark/>
          </w:tcPr>
          <w:p w14:paraId="0C09E4D0"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0.65</w:t>
            </w:r>
          </w:p>
        </w:tc>
        <w:tc>
          <w:tcPr>
            <w:tcW w:w="785" w:type="dxa"/>
            <w:shd w:val="clear" w:color="auto" w:fill="FFFFFF"/>
            <w:tcMar>
              <w:top w:w="15" w:type="dxa"/>
              <w:left w:w="15" w:type="dxa"/>
              <w:bottom w:w="15" w:type="dxa"/>
              <w:right w:w="15" w:type="dxa"/>
            </w:tcMar>
            <w:vAlign w:val="center"/>
            <w:hideMark/>
          </w:tcPr>
          <w:p w14:paraId="729BA76C"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0.79</w:t>
            </w:r>
          </w:p>
        </w:tc>
        <w:tc>
          <w:tcPr>
            <w:tcW w:w="784" w:type="dxa"/>
            <w:shd w:val="clear" w:color="auto" w:fill="FFFFFF"/>
            <w:tcMar>
              <w:top w:w="15" w:type="dxa"/>
              <w:left w:w="15" w:type="dxa"/>
              <w:bottom w:w="15" w:type="dxa"/>
              <w:right w:w="15" w:type="dxa"/>
            </w:tcMar>
            <w:vAlign w:val="center"/>
            <w:hideMark/>
          </w:tcPr>
          <w:p w14:paraId="5872CC59"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0.6</w:t>
            </w:r>
          </w:p>
        </w:tc>
        <w:tc>
          <w:tcPr>
            <w:tcW w:w="785" w:type="dxa"/>
            <w:shd w:val="clear" w:color="auto" w:fill="FFFFFF"/>
            <w:tcMar>
              <w:top w:w="15" w:type="dxa"/>
              <w:left w:w="15" w:type="dxa"/>
              <w:bottom w:w="15" w:type="dxa"/>
              <w:right w:w="15" w:type="dxa"/>
            </w:tcMar>
            <w:vAlign w:val="center"/>
            <w:hideMark/>
          </w:tcPr>
          <w:p w14:paraId="471664BF"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0.5</w:t>
            </w:r>
          </w:p>
        </w:tc>
        <w:tc>
          <w:tcPr>
            <w:tcW w:w="785" w:type="dxa"/>
            <w:shd w:val="clear" w:color="auto" w:fill="FFFFFF"/>
            <w:tcMar>
              <w:top w:w="15" w:type="dxa"/>
              <w:left w:w="15" w:type="dxa"/>
              <w:bottom w:w="15" w:type="dxa"/>
              <w:right w:w="15" w:type="dxa"/>
            </w:tcMar>
            <w:vAlign w:val="center"/>
            <w:hideMark/>
          </w:tcPr>
          <w:p w14:paraId="4123DB3D"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0.19</w:t>
            </w:r>
          </w:p>
        </w:tc>
        <w:tc>
          <w:tcPr>
            <w:tcW w:w="787" w:type="dxa"/>
            <w:shd w:val="clear" w:color="auto" w:fill="FFFFFF"/>
            <w:tcMar>
              <w:top w:w="15" w:type="dxa"/>
              <w:left w:w="15" w:type="dxa"/>
              <w:bottom w:w="15" w:type="dxa"/>
              <w:right w:w="15" w:type="dxa"/>
            </w:tcMar>
            <w:vAlign w:val="center"/>
            <w:hideMark/>
          </w:tcPr>
          <w:p w14:paraId="179E8390"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-0.17</w:t>
            </w:r>
          </w:p>
        </w:tc>
        <w:tc>
          <w:tcPr>
            <w:tcW w:w="785" w:type="dxa"/>
            <w:tcBorders>
              <w:top w:val="nil"/>
              <w:left w:val="nil"/>
              <w:bottom w:val="nil"/>
              <w:right w:val="single" w:sz="8" w:space="0" w:color="auto"/>
            </w:tcBorders>
            <w:shd w:val="clear" w:color="auto" w:fill="FFFFFF"/>
            <w:tcMar>
              <w:top w:w="15" w:type="dxa"/>
              <w:left w:w="15" w:type="dxa"/>
              <w:bottom w:w="15" w:type="dxa"/>
              <w:right w:w="15" w:type="dxa"/>
            </w:tcMar>
            <w:vAlign w:val="center"/>
            <w:hideMark/>
          </w:tcPr>
          <w:p w14:paraId="3729DAF8"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0.6</w:t>
            </w:r>
          </w:p>
        </w:tc>
      </w:tr>
      <w:tr w:rsidR="00B45BAB" w:rsidRPr="0001336B" w14:paraId="042D55A0" w14:textId="77777777" w:rsidTr="00BA72FD">
        <w:trPr>
          <w:trHeight w:val="330"/>
        </w:trPr>
        <w:tc>
          <w:tcPr>
            <w:tcW w:w="4111" w:type="dxa"/>
            <w:tcBorders>
              <w:top w:val="nil"/>
              <w:left w:val="single" w:sz="8" w:space="0" w:color="auto"/>
              <w:bottom w:val="single" w:sz="8" w:space="0" w:color="auto"/>
              <w:right w:val="single" w:sz="8" w:space="0" w:color="auto"/>
            </w:tcBorders>
            <w:noWrap/>
            <w:tcMar>
              <w:top w:w="15" w:type="dxa"/>
              <w:left w:w="15" w:type="dxa"/>
              <w:bottom w:w="15" w:type="dxa"/>
              <w:right w:w="15" w:type="dxa"/>
            </w:tcMar>
            <w:vAlign w:val="bottom"/>
            <w:hideMark/>
          </w:tcPr>
          <w:p w14:paraId="41DE830D"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 xml:space="preserve">ICE </w:t>
            </w:r>
            <w:proofErr w:type="spellStart"/>
            <w:r w:rsidRPr="0001336B">
              <w:rPr>
                <w:rFonts w:ascii="Arial" w:hAnsi="Arial" w:cs="Arial"/>
                <w:b/>
                <w:bCs/>
                <w:sz w:val="20"/>
                <w:szCs w:val="20"/>
                <w:lang w:val="en-BE"/>
              </w:rPr>
              <w:t>BofA</w:t>
            </w:r>
            <w:proofErr w:type="spellEnd"/>
            <w:r w:rsidRPr="0001336B">
              <w:rPr>
                <w:rFonts w:ascii="Arial" w:hAnsi="Arial" w:cs="Arial"/>
                <w:b/>
                <w:bCs/>
                <w:sz w:val="20"/>
                <w:szCs w:val="20"/>
                <w:lang w:val="en-BE"/>
              </w:rPr>
              <w:t xml:space="preserve"> European Currency Non-Financial High Yield 2% Constrained Index</w:t>
            </w:r>
          </w:p>
        </w:tc>
        <w:tc>
          <w:tcPr>
            <w:tcW w:w="1698" w:type="dxa"/>
            <w:shd w:val="clear" w:color="auto" w:fill="DAF2D0"/>
            <w:tcMar>
              <w:top w:w="15" w:type="dxa"/>
              <w:left w:w="15" w:type="dxa"/>
              <w:bottom w:w="15" w:type="dxa"/>
              <w:right w:w="15" w:type="dxa"/>
            </w:tcMar>
            <w:vAlign w:val="center"/>
            <w:hideMark/>
          </w:tcPr>
          <w:p w14:paraId="10566B35"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European HY</w:t>
            </w:r>
          </w:p>
        </w:tc>
        <w:tc>
          <w:tcPr>
            <w:tcW w:w="1048" w:type="dxa"/>
            <w:tcBorders>
              <w:top w:val="nil"/>
              <w:left w:val="single" w:sz="8" w:space="0" w:color="auto"/>
              <w:bottom w:val="nil"/>
              <w:right w:val="single" w:sz="8" w:space="0" w:color="auto"/>
            </w:tcBorders>
            <w:shd w:val="clear" w:color="auto" w:fill="4EA72E"/>
            <w:tcMar>
              <w:top w:w="15" w:type="dxa"/>
              <w:left w:w="15" w:type="dxa"/>
              <w:bottom w:w="15" w:type="dxa"/>
              <w:right w:w="15" w:type="dxa"/>
            </w:tcMar>
            <w:vAlign w:val="center"/>
            <w:hideMark/>
          </w:tcPr>
          <w:p w14:paraId="5E5B8FCB"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HPIC</w:t>
            </w:r>
          </w:p>
        </w:tc>
        <w:tc>
          <w:tcPr>
            <w:tcW w:w="801" w:type="dxa"/>
            <w:shd w:val="clear" w:color="auto" w:fill="FFFFFF"/>
            <w:tcMar>
              <w:top w:w="15" w:type="dxa"/>
              <w:left w:w="15" w:type="dxa"/>
              <w:bottom w:w="15" w:type="dxa"/>
              <w:right w:w="15" w:type="dxa"/>
            </w:tcMar>
            <w:vAlign w:val="center"/>
            <w:hideMark/>
          </w:tcPr>
          <w:p w14:paraId="79A839C8"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0.63</w:t>
            </w:r>
          </w:p>
        </w:tc>
        <w:tc>
          <w:tcPr>
            <w:tcW w:w="795" w:type="dxa"/>
            <w:shd w:val="clear" w:color="auto" w:fill="FFFFFF"/>
            <w:tcMar>
              <w:top w:w="15" w:type="dxa"/>
              <w:left w:w="15" w:type="dxa"/>
              <w:bottom w:w="15" w:type="dxa"/>
              <w:right w:w="15" w:type="dxa"/>
            </w:tcMar>
            <w:vAlign w:val="center"/>
            <w:hideMark/>
          </w:tcPr>
          <w:p w14:paraId="45BDA218"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0.65</w:t>
            </w:r>
          </w:p>
        </w:tc>
        <w:tc>
          <w:tcPr>
            <w:tcW w:w="784" w:type="dxa"/>
            <w:shd w:val="clear" w:color="auto" w:fill="FFFFFF"/>
            <w:tcMar>
              <w:top w:w="15" w:type="dxa"/>
              <w:left w:w="15" w:type="dxa"/>
              <w:bottom w:w="15" w:type="dxa"/>
              <w:right w:w="15" w:type="dxa"/>
            </w:tcMar>
            <w:vAlign w:val="center"/>
            <w:hideMark/>
          </w:tcPr>
          <w:p w14:paraId="1700570D"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1</w:t>
            </w:r>
          </w:p>
        </w:tc>
        <w:tc>
          <w:tcPr>
            <w:tcW w:w="785" w:type="dxa"/>
            <w:shd w:val="clear" w:color="auto" w:fill="FFFFFF"/>
            <w:tcMar>
              <w:top w:w="15" w:type="dxa"/>
              <w:left w:w="15" w:type="dxa"/>
              <w:bottom w:w="15" w:type="dxa"/>
              <w:right w:w="15" w:type="dxa"/>
            </w:tcMar>
            <w:vAlign w:val="center"/>
            <w:hideMark/>
          </w:tcPr>
          <w:p w14:paraId="03184985"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0.82</w:t>
            </w:r>
          </w:p>
        </w:tc>
        <w:tc>
          <w:tcPr>
            <w:tcW w:w="784" w:type="dxa"/>
            <w:shd w:val="clear" w:color="auto" w:fill="FFFFFF"/>
            <w:tcMar>
              <w:top w:w="15" w:type="dxa"/>
              <w:left w:w="15" w:type="dxa"/>
              <w:bottom w:w="15" w:type="dxa"/>
              <w:right w:w="15" w:type="dxa"/>
            </w:tcMar>
            <w:vAlign w:val="center"/>
            <w:hideMark/>
          </w:tcPr>
          <w:p w14:paraId="55C924D8"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0.63</w:t>
            </w:r>
          </w:p>
        </w:tc>
        <w:tc>
          <w:tcPr>
            <w:tcW w:w="785" w:type="dxa"/>
            <w:shd w:val="clear" w:color="auto" w:fill="FFFFFF"/>
            <w:tcMar>
              <w:top w:w="15" w:type="dxa"/>
              <w:left w:w="15" w:type="dxa"/>
              <w:bottom w:w="15" w:type="dxa"/>
              <w:right w:w="15" w:type="dxa"/>
            </w:tcMar>
            <w:vAlign w:val="center"/>
            <w:hideMark/>
          </w:tcPr>
          <w:p w14:paraId="20974EC9"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0.67</w:t>
            </w:r>
          </w:p>
        </w:tc>
        <w:tc>
          <w:tcPr>
            <w:tcW w:w="785" w:type="dxa"/>
            <w:shd w:val="clear" w:color="auto" w:fill="FFFFFF"/>
            <w:tcMar>
              <w:top w:w="15" w:type="dxa"/>
              <w:left w:w="15" w:type="dxa"/>
              <w:bottom w:w="15" w:type="dxa"/>
              <w:right w:w="15" w:type="dxa"/>
            </w:tcMar>
            <w:vAlign w:val="center"/>
            <w:hideMark/>
          </w:tcPr>
          <w:p w14:paraId="67B6371B"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0.3</w:t>
            </w:r>
          </w:p>
        </w:tc>
        <w:tc>
          <w:tcPr>
            <w:tcW w:w="787" w:type="dxa"/>
            <w:shd w:val="clear" w:color="auto" w:fill="FFFFFF"/>
            <w:tcMar>
              <w:top w:w="15" w:type="dxa"/>
              <w:left w:w="15" w:type="dxa"/>
              <w:bottom w:w="15" w:type="dxa"/>
              <w:right w:w="15" w:type="dxa"/>
            </w:tcMar>
            <w:vAlign w:val="center"/>
            <w:hideMark/>
          </w:tcPr>
          <w:p w14:paraId="546CE897"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0.18</w:t>
            </w:r>
          </w:p>
        </w:tc>
        <w:tc>
          <w:tcPr>
            <w:tcW w:w="785" w:type="dxa"/>
            <w:tcBorders>
              <w:top w:val="nil"/>
              <w:left w:val="nil"/>
              <w:bottom w:val="nil"/>
              <w:right w:val="single" w:sz="8" w:space="0" w:color="auto"/>
            </w:tcBorders>
            <w:shd w:val="clear" w:color="auto" w:fill="FFFFFF"/>
            <w:tcMar>
              <w:top w:w="15" w:type="dxa"/>
              <w:left w:w="15" w:type="dxa"/>
              <w:bottom w:w="15" w:type="dxa"/>
              <w:right w:w="15" w:type="dxa"/>
            </w:tcMar>
            <w:vAlign w:val="center"/>
            <w:hideMark/>
          </w:tcPr>
          <w:p w14:paraId="7123C444"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0.73</w:t>
            </w:r>
          </w:p>
        </w:tc>
      </w:tr>
      <w:tr w:rsidR="00B45BAB" w:rsidRPr="0001336B" w14:paraId="3D313BB1" w14:textId="77777777" w:rsidTr="00BA72FD">
        <w:trPr>
          <w:trHeight w:val="330"/>
        </w:trPr>
        <w:tc>
          <w:tcPr>
            <w:tcW w:w="4111" w:type="dxa"/>
            <w:tcBorders>
              <w:top w:val="nil"/>
              <w:left w:val="single" w:sz="8" w:space="0" w:color="auto"/>
              <w:bottom w:val="single" w:sz="8" w:space="0" w:color="auto"/>
              <w:right w:val="single" w:sz="8" w:space="0" w:color="auto"/>
            </w:tcBorders>
            <w:noWrap/>
            <w:tcMar>
              <w:top w:w="15" w:type="dxa"/>
              <w:left w:w="15" w:type="dxa"/>
              <w:bottom w:w="15" w:type="dxa"/>
              <w:right w:w="15" w:type="dxa"/>
            </w:tcMar>
            <w:vAlign w:val="bottom"/>
            <w:hideMark/>
          </w:tcPr>
          <w:p w14:paraId="5A3A8469"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 xml:space="preserve">ICE </w:t>
            </w:r>
            <w:proofErr w:type="spellStart"/>
            <w:r w:rsidRPr="0001336B">
              <w:rPr>
                <w:rFonts w:ascii="Arial" w:hAnsi="Arial" w:cs="Arial"/>
                <w:b/>
                <w:bCs/>
                <w:sz w:val="20"/>
                <w:szCs w:val="20"/>
                <w:lang w:val="en-BE"/>
              </w:rPr>
              <w:t>BofA</w:t>
            </w:r>
            <w:proofErr w:type="spellEnd"/>
            <w:r w:rsidRPr="0001336B">
              <w:rPr>
                <w:rFonts w:ascii="Arial" w:hAnsi="Arial" w:cs="Arial"/>
                <w:b/>
                <w:bCs/>
                <w:sz w:val="20"/>
                <w:szCs w:val="20"/>
                <w:lang w:val="en-BE"/>
              </w:rPr>
              <w:t xml:space="preserve"> US High Yield Index</w:t>
            </w:r>
          </w:p>
        </w:tc>
        <w:tc>
          <w:tcPr>
            <w:tcW w:w="1698" w:type="dxa"/>
            <w:shd w:val="clear" w:color="auto" w:fill="DAF2D0"/>
            <w:tcMar>
              <w:top w:w="15" w:type="dxa"/>
              <w:left w:w="15" w:type="dxa"/>
              <w:bottom w:w="15" w:type="dxa"/>
              <w:right w:w="15" w:type="dxa"/>
            </w:tcMar>
            <w:vAlign w:val="center"/>
            <w:hideMark/>
          </w:tcPr>
          <w:p w14:paraId="11F68D35"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US HY</w:t>
            </w:r>
          </w:p>
        </w:tc>
        <w:tc>
          <w:tcPr>
            <w:tcW w:w="1048" w:type="dxa"/>
            <w:tcBorders>
              <w:top w:val="nil"/>
              <w:left w:val="single" w:sz="8" w:space="0" w:color="auto"/>
              <w:bottom w:val="nil"/>
              <w:right w:val="single" w:sz="8" w:space="0" w:color="auto"/>
            </w:tcBorders>
            <w:shd w:val="clear" w:color="auto" w:fill="4EA72E"/>
            <w:tcMar>
              <w:top w:w="15" w:type="dxa"/>
              <w:left w:w="15" w:type="dxa"/>
              <w:bottom w:w="15" w:type="dxa"/>
              <w:right w:w="15" w:type="dxa"/>
            </w:tcMar>
            <w:vAlign w:val="center"/>
            <w:hideMark/>
          </w:tcPr>
          <w:p w14:paraId="3A93F4A9"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H0A0</w:t>
            </w:r>
          </w:p>
        </w:tc>
        <w:tc>
          <w:tcPr>
            <w:tcW w:w="801" w:type="dxa"/>
            <w:shd w:val="clear" w:color="auto" w:fill="FFFFFF"/>
            <w:tcMar>
              <w:top w:w="15" w:type="dxa"/>
              <w:left w:w="15" w:type="dxa"/>
              <w:bottom w:w="15" w:type="dxa"/>
              <w:right w:w="15" w:type="dxa"/>
            </w:tcMar>
            <w:vAlign w:val="center"/>
            <w:hideMark/>
          </w:tcPr>
          <w:p w14:paraId="591DB908"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0.74</w:t>
            </w:r>
          </w:p>
        </w:tc>
        <w:tc>
          <w:tcPr>
            <w:tcW w:w="795" w:type="dxa"/>
            <w:shd w:val="clear" w:color="auto" w:fill="FFFFFF"/>
            <w:tcMar>
              <w:top w:w="15" w:type="dxa"/>
              <w:left w:w="15" w:type="dxa"/>
              <w:bottom w:w="15" w:type="dxa"/>
              <w:right w:w="15" w:type="dxa"/>
            </w:tcMar>
            <w:vAlign w:val="center"/>
            <w:hideMark/>
          </w:tcPr>
          <w:p w14:paraId="6450463D"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0.79</w:t>
            </w:r>
          </w:p>
        </w:tc>
        <w:tc>
          <w:tcPr>
            <w:tcW w:w="784" w:type="dxa"/>
            <w:shd w:val="clear" w:color="auto" w:fill="FFFFFF"/>
            <w:tcMar>
              <w:top w:w="15" w:type="dxa"/>
              <w:left w:w="15" w:type="dxa"/>
              <w:bottom w:w="15" w:type="dxa"/>
              <w:right w:w="15" w:type="dxa"/>
            </w:tcMar>
            <w:vAlign w:val="center"/>
            <w:hideMark/>
          </w:tcPr>
          <w:p w14:paraId="76A3864C"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0.82</w:t>
            </w:r>
          </w:p>
        </w:tc>
        <w:tc>
          <w:tcPr>
            <w:tcW w:w="785" w:type="dxa"/>
            <w:shd w:val="clear" w:color="auto" w:fill="FFFFFF"/>
            <w:tcMar>
              <w:top w:w="15" w:type="dxa"/>
              <w:left w:w="15" w:type="dxa"/>
              <w:bottom w:w="15" w:type="dxa"/>
              <w:right w:w="15" w:type="dxa"/>
            </w:tcMar>
            <w:vAlign w:val="center"/>
            <w:hideMark/>
          </w:tcPr>
          <w:p w14:paraId="7A640046"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1</w:t>
            </w:r>
          </w:p>
        </w:tc>
        <w:tc>
          <w:tcPr>
            <w:tcW w:w="784" w:type="dxa"/>
            <w:shd w:val="clear" w:color="auto" w:fill="FFFFFF"/>
            <w:tcMar>
              <w:top w:w="15" w:type="dxa"/>
              <w:left w:w="15" w:type="dxa"/>
              <w:bottom w:w="15" w:type="dxa"/>
              <w:right w:w="15" w:type="dxa"/>
            </w:tcMar>
            <w:vAlign w:val="center"/>
            <w:hideMark/>
          </w:tcPr>
          <w:p w14:paraId="696B8892"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0.77</w:t>
            </w:r>
          </w:p>
        </w:tc>
        <w:tc>
          <w:tcPr>
            <w:tcW w:w="785" w:type="dxa"/>
            <w:shd w:val="clear" w:color="auto" w:fill="FFFFFF"/>
            <w:tcMar>
              <w:top w:w="15" w:type="dxa"/>
              <w:left w:w="15" w:type="dxa"/>
              <w:bottom w:w="15" w:type="dxa"/>
              <w:right w:w="15" w:type="dxa"/>
            </w:tcMar>
            <w:vAlign w:val="center"/>
            <w:hideMark/>
          </w:tcPr>
          <w:p w14:paraId="5D632EB7"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0.73</w:t>
            </w:r>
          </w:p>
        </w:tc>
        <w:tc>
          <w:tcPr>
            <w:tcW w:w="785" w:type="dxa"/>
            <w:shd w:val="clear" w:color="auto" w:fill="FFFFFF"/>
            <w:tcMar>
              <w:top w:w="15" w:type="dxa"/>
              <w:left w:w="15" w:type="dxa"/>
              <w:bottom w:w="15" w:type="dxa"/>
              <w:right w:w="15" w:type="dxa"/>
            </w:tcMar>
            <w:vAlign w:val="center"/>
            <w:hideMark/>
          </w:tcPr>
          <w:p w14:paraId="41040EFA"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0.43</w:t>
            </w:r>
          </w:p>
        </w:tc>
        <w:tc>
          <w:tcPr>
            <w:tcW w:w="787" w:type="dxa"/>
            <w:shd w:val="clear" w:color="auto" w:fill="FFFFFF"/>
            <w:tcMar>
              <w:top w:w="15" w:type="dxa"/>
              <w:left w:w="15" w:type="dxa"/>
              <w:bottom w:w="15" w:type="dxa"/>
              <w:right w:w="15" w:type="dxa"/>
            </w:tcMar>
            <w:vAlign w:val="center"/>
            <w:hideMark/>
          </w:tcPr>
          <w:p w14:paraId="53BF6742"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0.18</w:t>
            </w:r>
          </w:p>
        </w:tc>
        <w:tc>
          <w:tcPr>
            <w:tcW w:w="785" w:type="dxa"/>
            <w:tcBorders>
              <w:top w:val="nil"/>
              <w:left w:val="nil"/>
              <w:bottom w:val="nil"/>
              <w:right w:val="single" w:sz="8" w:space="0" w:color="auto"/>
            </w:tcBorders>
            <w:shd w:val="clear" w:color="auto" w:fill="FFFFFF"/>
            <w:tcMar>
              <w:top w:w="15" w:type="dxa"/>
              <w:left w:w="15" w:type="dxa"/>
              <w:bottom w:w="15" w:type="dxa"/>
              <w:right w:w="15" w:type="dxa"/>
            </w:tcMar>
            <w:vAlign w:val="center"/>
            <w:hideMark/>
          </w:tcPr>
          <w:p w14:paraId="70E93207"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0.8</w:t>
            </w:r>
          </w:p>
        </w:tc>
      </w:tr>
      <w:tr w:rsidR="00B45BAB" w:rsidRPr="0001336B" w14:paraId="64D275D6" w14:textId="77777777" w:rsidTr="00BA72FD">
        <w:trPr>
          <w:trHeight w:val="330"/>
        </w:trPr>
        <w:tc>
          <w:tcPr>
            <w:tcW w:w="4111" w:type="dxa"/>
            <w:tcBorders>
              <w:top w:val="nil"/>
              <w:left w:val="single" w:sz="8" w:space="0" w:color="auto"/>
              <w:bottom w:val="single" w:sz="8" w:space="0" w:color="auto"/>
              <w:right w:val="single" w:sz="8" w:space="0" w:color="auto"/>
            </w:tcBorders>
            <w:noWrap/>
            <w:tcMar>
              <w:top w:w="15" w:type="dxa"/>
              <w:left w:w="15" w:type="dxa"/>
              <w:bottom w:w="15" w:type="dxa"/>
              <w:right w:w="15" w:type="dxa"/>
            </w:tcMar>
            <w:vAlign w:val="bottom"/>
            <w:hideMark/>
          </w:tcPr>
          <w:p w14:paraId="24CBC69A"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 xml:space="preserve">ICE </w:t>
            </w:r>
            <w:proofErr w:type="spellStart"/>
            <w:r w:rsidRPr="0001336B">
              <w:rPr>
                <w:rFonts w:ascii="Arial" w:hAnsi="Arial" w:cs="Arial"/>
                <w:b/>
                <w:bCs/>
                <w:sz w:val="20"/>
                <w:szCs w:val="20"/>
                <w:lang w:val="en-BE"/>
              </w:rPr>
              <w:t>BofA</w:t>
            </w:r>
            <w:proofErr w:type="spellEnd"/>
            <w:r w:rsidRPr="0001336B">
              <w:rPr>
                <w:rFonts w:ascii="Arial" w:hAnsi="Arial" w:cs="Arial"/>
                <w:b/>
                <w:bCs/>
                <w:sz w:val="20"/>
                <w:szCs w:val="20"/>
                <w:lang w:val="en-BE"/>
              </w:rPr>
              <w:t xml:space="preserve"> Euro Corporate Index</w:t>
            </w:r>
          </w:p>
        </w:tc>
        <w:tc>
          <w:tcPr>
            <w:tcW w:w="1698" w:type="dxa"/>
            <w:shd w:val="clear" w:color="auto" w:fill="DAF2D0"/>
            <w:tcMar>
              <w:top w:w="15" w:type="dxa"/>
              <w:left w:w="15" w:type="dxa"/>
              <w:bottom w:w="15" w:type="dxa"/>
              <w:right w:w="15" w:type="dxa"/>
            </w:tcMar>
            <w:vAlign w:val="center"/>
            <w:hideMark/>
          </w:tcPr>
          <w:p w14:paraId="388EB87E"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European IG</w:t>
            </w:r>
          </w:p>
        </w:tc>
        <w:tc>
          <w:tcPr>
            <w:tcW w:w="1048" w:type="dxa"/>
            <w:tcBorders>
              <w:top w:val="nil"/>
              <w:left w:val="single" w:sz="8" w:space="0" w:color="auto"/>
              <w:bottom w:val="nil"/>
              <w:right w:val="single" w:sz="8" w:space="0" w:color="auto"/>
            </w:tcBorders>
            <w:shd w:val="clear" w:color="auto" w:fill="4EA72E"/>
            <w:tcMar>
              <w:top w:w="15" w:type="dxa"/>
              <w:left w:w="15" w:type="dxa"/>
              <w:bottom w:w="15" w:type="dxa"/>
              <w:right w:w="15" w:type="dxa"/>
            </w:tcMar>
            <w:vAlign w:val="center"/>
            <w:hideMark/>
          </w:tcPr>
          <w:p w14:paraId="56489C9A"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ER00</w:t>
            </w:r>
          </w:p>
        </w:tc>
        <w:tc>
          <w:tcPr>
            <w:tcW w:w="801" w:type="dxa"/>
            <w:shd w:val="clear" w:color="auto" w:fill="FFFFFF"/>
            <w:tcMar>
              <w:top w:w="15" w:type="dxa"/>
              <w:left w:w="15" w:type="dxa"/>
              <w:bottom w:w="15" w:type="dxa"/>
              <w:right w:w="15" w:type="dxa"/>
            </w:tcMar>
            <w:vAlign w:val="center"/>
            <w:hideMark/>
          </w:tcPr>
          <w:p w14:paraId="3AACB030"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0.64</w:t>
            </w:r>
          </w:p>
        </w:tc>
        <w:tc>
          <w:tcPr>
            <w:tcW w:w="795" w:type="dxa"/>
            <w:shd w:val="clear" w:color="auto" w:fill="FFFFFF"/>
            <w:tcMar>
              <w:top w:w="15" w:type="dxa"/>
              <w:left w:w="15" w:type="dxa"/>
              <w:bottom w:w="15" w:type="dxa"/>
              <w:right w:w="15" w:type="dxa"/>
            </w:tcMar>
            <w:vAlign w:val="center"/>
            <w:hideMark/>
          </w:tcPr>
          <w:p w14:paraId="0DEFFF07"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0.6</w:t>
            </w:r>
          </w:p>
        </w:tc>
        <w:tc>
          <w:tcPr>
            <w:tcW w:w="784" w:type="dxa"/>
            <w:shd w:val="clear" w:color="auto" w:fill="FFFFFF"/>
            <w:tcMar>
              <w:top w:w="15" w:type="dxa"/>
              <w:left w:w="15" w:type="dxa"/>
              <w:bottom w:w="15" w:type="dxa"/>
              <w:right w:w="15" w:type="dxa"/>
            </w:tcMar>
            <w:vAlign w:val="center"/>
            <w:hideMark/>
          </w:tcPr>
          <w:p w14:paraId="4B175E00"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0.63</w:t>
            </w:r>
          </w:p>
        </w:tc>
        <w:tc>
          <w:tcPr>
            <w:tcW w:w="785" w:type="dxa"/>
            <w:shd w:val="clear" w:color="auto" w:fill="FFFFFF"/>
            <w:tcMar>
              <w:top w:w="15" w:type="dxa"/>
              <w:left w:w="15" w:type="dxa"/>
              <w:bottom w:w="15" w:type="dxa"/>
              <w:right w:w="15" w:type="dxa"/>
            </w:tcMar>
            <w:vAlign w:val="center"/>
            <w:hideMark/>
          </w:tcPr>
          <w:p w14:paraId="5A7DF127"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0.77</w:t>
            </w:r>
          </w:p>
        </w:tc>
        <w:tc>
          <w:tcPr>
            <w:tcW w:w="784" w:type="dxa"/>
            <w:shd w:val="clear" w:color="auto" w:fill="FFFFFF"/>
            <w:tcMar>
              <w:top w:w="15" w:type="dxa"/>
              <w:left w:w="15" w:type="dxa"/>
              <w:bottom w:w="15" w:type="dxa"/>
              <w:right w:w="15" w:type="dxa"/>
            </w:tcMar>
            <w:vAlign w:val="center"/>
            <w:hideMark/>
          </w:tcPr>
          <w:p w14:paraId="2C994620"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1</w:t>
            </w:r>
          </w:p>
        </w:tc>
        <w:tc>
          <w:tcPr>
            <w:tcW w:w="785" w:type="dxa"/>
            <w:shd w:val="clear" w:color="auto" w:fill="FFFFFF"/>
            <w:tcMar>
              <w:top w:w="15" w:type="dxa"/>
              <w:left w:w="15" w:type="dxa"/>
              <w:bottom w:w="15" w:type="dxa"/>
              <w:right w:w="15" w:type="dxa"/>
            </w:tcMar>
            <w:vAlign w:val="center"/>
            <w:hideMark/>
          </w:tcPr>
          <w:p w14:paraId="0F24151E"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0.83</w:t>
            </w:r>
          </w:p>
        </w:tc>
        <w:tc>
          <w:tcPr>
            <w:tcW w:w="785" w:type="dxa"/>
            <w:shd w:val="clear" w:color="auto" w:fill="FFFFFF"/>
            <w:tcMar>
              <w:top w:w="15" w:type="dxa"/>
              <w:left w:w="15" w:type="dxa"/>
              <w:bottom w:w="15" w:type="dxa"/>
              <w:right w:w="15" w:type="dxa"/>
            </w:tcMar>
            <w:vAlign w:val="center"/>
            <w:hideMark/>
          </w:tcPr>
          <w:p w14:paraId="764ACB0E"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0.8</w:t>
            </w:r>
          </w:p>
        </w:tc>
        <w:tc>
          <w:tcPr>
            <w:tcW w:w="787" w:type="dxa"/>
            <w:shd w:val="clear" w:color="auto" w:fill="FFFFFF"/>
            <w:tcMar>
              <w:top w:w="15" w:type="dxa"/>
              <w:left w:w="15" w:type="dxa"/>
              <w:bottom w:w="15" w:type="dxa"/>
              <w:right w:w="15" w:type="dxa"/>
            </w:tcMar>
            <w:vAlign w:val="center"/>
            <w:hideMark/>
          </w:tcPr>
          <w:p w14:paraId="2E5CC9E7"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0.45</w:t>
            </w:r>
          </w:p>
        </w:tc>
        <w:tc>
          <w:tcPr>
            <w:tcW w:w="785" w:type="dxa"/>
            <w:tcBorders>
              <w:top w:val="nil"/>
              <w:left w:val="nil"/>
              <w:bottom w:val="nil"/>
              <w:right w:val="single" w:sz="8" w:space="0" w:color="auto"/>
            </w:tcBorders>
            <w:shd w:val="clear" w:color="auto" w:fill="FFFFFF"/>
            <w:tcMar>
              <w:top w:w="15" w:type="dxa"/>
              <w:left w:w="15" w:type="dxa"/>
              <w:bottom w:w="15" w:type="dxa"/>
              <w:right w:w="15" w:type="dxa"/>
            </w:tcMar>
            <w:vAlign w:val="center"/>
            <w:hideMark/>
          </w:tcPr>
          <w:p w14:paraId="38BA7976"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0.63</w:t>
            </w:r>
          </w:p>
        </w:tc>
      </w:tr>
      <w:tr w:rsidR="00B45BAB" w:rsidRPr="0001336B" w14:paraId="4D4F62AF" w14:textId="77777777" w:rsidTr="00BA72FD">
        <w:trPr>
          <w:trHeight w:val="330"/>
        </w:trPr>
        <w:tc>
          <w:tcPr>
            <w:tcW w:w="4111" w:type="dxa"/>
            <w:tcBorders>
              <w:top w:val="nil"/>
              <w:left w:val="single" w:sz="8" w:space="0" w:color="auto"/>
              <w:bottom w:val="single" w:sz="8" w:space="0" w:color="auto"/>
              <w:right w:val="single" w:sz="8" w:space="0" w:color="auto"/>
            </w:tcBorders>
            <w:noWrap/>
            <w:tcMar>
              <w:top w:w="15" w:type="dxa"/>
              <w:left w:w="15" w:type="dxa"/>
              <w:bottom w:w="15" w:type="dxa"/>
              <w:right w:w="15" w:type="dxa"/>
            </w:tcMar>
            <w:vAlign w:val="bottom"/>
            <w:hideMark/>
          </w:tcPr>
          <w:p w14:paraId="78FF8800"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 xml:space="preserve">ICE </w:t>
            </w:r>
            <w:proofErr w:type="spellStart"/>
            <w:r w:rsidRPr="0001336B">
              <w:rPr>
                <w:rFonts w:ascii="Arial" w:hAnsi="Arial" w:cs="Arial"/>
                <w:b/>
                <w:bCs/>
                <w:sz w:val="20"/>
                <w:szCs w:val="20"/>
                <w:lang w:val="en-BE"/>
              </w:rPr>
              <w:t>BofA</w:t>
            </w:r>
            <w:proofErr w:type="spellEnd"/>
            <w:r w:rsidRPr="0001336B">
              <w:rPr>
                <w:rFonts w:ascii="Arial" w:hAnsi="Arial" w:cs="Arial"/>
                <w:b/>
                <w:bCs/>
                <w:sz w:val="20"/>
                <w:szCs w:val="20"/>
                <w:lang w:val="en-BE"/>
              </w:rPr>
              <w:t xml:space="preserve"> US Corporate Index</w:t>
            </w:r>
          </w:p>
        </w:tc>
        <w:tc>
          <w:tcPr>
            <w:tcW w:w="1698" w:type="dxa"/>
            <w:shd w:val="clear" w:color="auto" w:fill="DAF2D0"/>
            <w:tcMar>
              <w:top w:w="15" w:type="dxa"/>
              <w:left w:w="15" w:type="dxa"/>
              <w:bottom w:w="15" w:type="dxa"/>
              <w:right w:w="15" w:type="dxa"/>
            </w:tcMar>
            <w:vAlign w:val="center"/>
            <w:hideMark/>
          </w:tcPr>
          <w:p w14:paraId="7E117277"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US IG</w:t>
            </w:r>
          </w:p>
        </w:tc>
        <w:tc>
          <w:tcPr>
            <w:tcW w:w="1048" w:type="dxa"/>
            <w:tcBorders>
              <w:top w:val="nil"/>
              <w:left w:val="single" w:sz="8" w:space="0" w:color="auto"/>
              <w:bottom w:val="nil"/>
              <w:right w:val="single" w:sz="8" w:space="0" w:color="auto"/>
            </w:tcBorders>
            <w:shd w:val="clear" w:color="auto" w:fill="4EA72E"/>
            <w:tcMar>
              <w:top w:w="15" w:type="dxa"/>
              <w:left w:w="15" w:type="dxa"/>
              <w:bottom w:w="15" w:type="dxa"/>
              <w:right w:w="15" w:type="dxa"/>
            </w:tcMar>
            <w:vAlign w:val="center"/>
            <w:hideMark/>
          </w:tcPr>
          <w:p w14:paraId="7E6132D7"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C0A0</w:t>
            </w:r>
          </w:p>
        </w:tc>
        <w:tc>
          <w:tcPr>
            <w:tcW w:w="801" w:type="dxa"/>
            <w:shd w:val="clear" w:color="auto" w:fill="FFFFFF"/>
            <w:tcMar>
              <w:top w:w="15" w:type="dxa"/>
              <w:left w:w="15" w:type="dxa"/>
              <w:bottom w:w="15" w:type="dxa"/>
              <w:right w:w="15" w:type="dxa"/>
            </w:tcMar>
            <w:vAlign w:val="center"/>
            <w:hideMark/>
          </w:tcPr>
          <w:p w14:paraId="71E86CCC"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0.54</w:t>
            </w:r>
          </w:p>
        </w:tc>
        <w:tc>
          <w:tcPr>
            <w:tcW w:w="795" w:type="dxa"/>
            <w:shd w:val="clear" w:color="auto" w:fill="FFFFFF"/>
            <w:tcMar>
              <w:top w:w="15" w:type="dxa"/>
              <w:left w:w="15" w:type="dxa"/>
              <w:bottom w:w="15" w:type="dxa"/>
              <w:right w:w="15" w:type="dxa"/>
            </w:tcMar>
            <w:vAlign w:val="center"/>
            <w:hideMark/>
          </w:tcPr>
          <w:p w14:paraId="7CA2B056"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0.5</w:t>
            </w:r>
          </w:p>
        </w:tc>
        <w:tc>
          <w:tcPr>
            <w:tcW w:w="784" w:type="dxa"/>
            <w:shd w:val="clear" w:color="auto" w:fill="FFFFFF"/>
            <w:tcMar>
              <w:top w:w="15" w:type="dxa"/>
              <w:left w:w="15" w:type="dxa"/>
              <w:bottom w:w="15" w:type="dxa"/>
              <w:right w:w="15" w:type="dxa"/>
            </w:tcMar>
            <w:vAlign w:val="center"/>
            <w:hideMark/>
          </w:tcPr>
          <w:p w14:paraId="0853D88B"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0.67</w:t>
            </w:r>
          </w:p>
        </w:tc>
        <w:tc>
          <w:tcPr>
            <w:tcW w:w="785" w:type="dxa"/>
            <w:shd w:val="clear" w:color="auto" w:fill="FFFFFF"/>
            <w:tcMar>
              <w:top w:w="15" w:type="dxa"/>
              <w:left w:w="15" w:type="dxa"/>
              <w:bottom w:w="15" w:type="dxa"/>
              <w:right w:w="15" w:type="dxa"/>
            </w:tcMar>
            <w:vAlign w:val="center"/>
            <w:hideMark/>
          </w:tcPr>
          <w:p w14:paraId="13A7055F"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0.73</w:t>
            </w:r>
          </w:p>
        </w:tc>
        <w:tc>
          <w:tcPr>
            <w:tcW w:w="784" w:type="dxa"/>
            <w:shd w:val="clear" w:color="auto" w:fill="FFFFFF"/>
            <w:tcMar>
              <w:top w:w="15" w:type="dxa"/>
              <w:left w:w="15" w:type="dxa"/>
              <w:bottom w:w="15" w:type="dxa"/>
              <w:right w:w="15" w:type="dxa"/>
            </w:tcMar>
            <w:vAlign w:val="center"/>
            <w:hideMark/>
          </w:tcPr>
          <w:p w14:paraId="0985BBD2"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0.83</w:t>
            </w:r>
          </w:p>
        </w:tc>
        <w:tc>
          <w:tcPr>
            <w:tcW w:w="785" w:type="dxa"/>
            <w:shd w:val="clear" w:color="auto" w:fill="FFFFFF"/>
            <w:tcMar>
              <w:top w:w="15" w:type="dxa"/>
              <w:left w:w="15" w:type="dxa"/>
              <w:bottom w:w="15" w:type="dxa"/>
              <w:right w:w="15" w:type="dxa"/>
            </w:tcMar>
            <w:vAlign w:val="center"/>
            <w:hideMark/>
          </w:tcPr>
          <w:p w14:paraId="6A832481"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1</w:t>
            </w:r>
          </w:p>
        </w:tc>
        <w:tc>
          <w:tcPr>
            <w:tcW w:w="785" w:type="dxa"/>
            <w:shd w:val="clear" w:color="auto" w:fill="FFFFFF"/>
            <w:tcMar>
              <w:top w:w="15" w:type="dxa"/>
              <w:left w:w="15" w:type="dxa"/>
              <w:bottom w:w="15" w:type="dxa"/>
              <w:right w:w="15" w:type="dxa"/>
            </w:tcMar>
            <w:vAlign w:val="center"/>
            <w:hideMark/>
          </w:tcPr>
          <w:p w14:paraId="441C5210"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0.71</w:t>
            </w:r>
          </w:p>
        </w:tc>
        <w:tc>
          <w:tcPr>
            <w:tcW w:w="787" w:type="dxa"/>
            <w:shd w:val="clear" w:color="auto" w:fill="FFFFFF"/>
            <w:tcMar>
              <w:top w:w="15" w:type="dxa"/>
              <w:left w:w="15" w:type="dxa"/>
              <w:bottom w:w="15" w:type="dxa"/>
              <w:right w:w="15" w:type="dxa"/>
            </w:tcMar>
            <w:vAlign w:val="center"/>
            <w:hideMark/>
          </w:tcPr>
          <w:p w14:paraId="0D850A8E"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0.7</w:t>
            </w:r>
          </w:p>
        </w:tc>
        <w:tc>
          <w:tcPr>
            <w:tcW w:w="785" w:type="dxa"/>
            <w:tcBorders>
              <w:top w:val="nil"/>
              <w:left w:val="nil"/>
              <w:bottom w:val="nil"/>
              <w:right w:val="single" w:sz="8" w:space="0" w:color="auto"/>
            </w:tcBorders>
            <w:shd w:val="clear" w:color="auto" w:fill="FFFFFF"/>
            <w:tcMar>
              <w:top w:w="15" w:type="dxa"/>
              <w:left w:w="15" w:type="dxa"/>
              <w:bottom w:w="15" w:type="dxa"/>
              <w:right w:w="15" w:type="dxa"/>
            </w:tcMar>
            <w:vAlign w:val="center"/>
            <w:hideMark/>
          </w:tcPr>
          <w:p w14:paraId="43F29BCA"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0.57</w:t>
            </w:r>
          </w:p>
        </w:tc>
      </w:tr>
      <w:tr w:rsidR="00B45BAB" w:rsidRPr="0001336B" w14:paraId="1EC2A92C" w14:textId="77777777" w:rsidTr="00BA72FD">
        <w:trPr>
          <w:trHeight w:val="330"/>
        </w:trPr>
        <w:tc>
          <w:tcPr>
            <w:tcW w:w="4111" w:type="dxa"/>
            <w:tcBorders>
              <w:top w:val="nil"/>
              <w:left w:val="single" w:sz="8" w:space="0" w:color="auto"/>
              <w:bottom w:val="single" w:sz="8" w:space="0" w:color="auto"/>
              <w:right w:val="single" w:sz="8" w:space="0" w:color="auto"/>
            </w:tcBorders>
            <w:noWrap/>
            <w:tcMar>
              <w:top w:w="15" w:type="dxa"/>
              <w:left w:w="15" w:type="dxa"/>
              <w:bottom w:w="15" w:type="dxa"/>
              <w:right w:w="15" w:type="dxa"/>
            </w:tcMar>
            <w:vAlign w:val="bottom"/>
            <w:hideMark/>
          </w:tcPr>
          <w:p w14:paraId="7989A64B"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 xml:space="preserve">ICE </w:t>
            </w:r>
            <w:proofErr w:type="spellStart"/>
            <w:r w:rsidRPr="0001336B">
              <w:rPr>
                <w:rFonts w:ascii="Arial" w:hAnsi="Arial" w:cs="Arial"/>
                <w:b/>
                <w:bCs/>
                <w:sz w:val="20"/>
                <w:szCs w:val="20"/>
                <w:lang w:val="en-BE"/>
              </w:rPr>
              <w:t>BofA</w:t>
            </w:r>
            <w:proofErr w:type="spellEnd"/>
            <w:r w:rsidRPr="0001336B">
              <w:rPr>
                <w:rFonts w:ascii="Arial" w:hAnsi="Arial" w:cs="Arial"/>
                <w:b/>
                <w:bCs/>
                <w:sz w:val="20"/>
                <w:szCs w:val="20"/>
                <w:lang w:val="en-BE"/>
              </w:rPr>
              <w:t xml:space="preserve"> Euro Government Index</w:t>
            </w:r>
          </w:p>
        </w:tc>
        <w:tc>
          <w:tcPr>
            <w:tcW w:w="1698" w:type="dxa"/>
            <w:shd w:val="clear" w:color="auto" w:fill="DAF2D0"/>
            <w:tcMar>
              <w:top w:w="15" w:type="dxa"/>
              <w:left w:w="15" w:type="dxa"/>
              <w:bottom w:w="15" w:type="dxa"/>
              <w:right w:w="15" w:type="dxa"/>
            </w:tcMar>
            <w:vAlign w:val="center"/>
            <w:hideMark/>
          </w:tcPr>
          <w:p w14:paraId="30BD7978"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 xml:space="preserve">EUR </w:t>
            </w:r>
            <w:proofErr w:type="spellStart"/>
            <w:r w:rsidRPr="0001336B">
              <w:rPr>
                <w:rFonts w:ascii="Arial" w:hAnsi="Arial" w:cs="Arial"/>
                <w:b/>
                <w:bCs/>
                <w:sz w:val="20"/>
                <w:szCs w:val="20"/>
                <w:lang w:val="en-BE"/>
              </w:rPr>
              <w:t>Govies</w:t>
            </w:r>
            <w:proofErr w:type="spellEnd"/>
          </w:p>
        </w:tc>
        <w:tc>
          <w:tcPr>
            <w:tcW w:w="1048" w:type="dxa"/>
            <w:tcBorders>
              <w:top w:val="nil"/>
              <w:left w:val="single" w:sz="8" w:space="0" w:color="auto"/>
              <w:bottom w:val="nil"/>
              <w:right w:val="single" w:sz="8" w:space="0" w:color="auto"/>
            </w:tcBorders>
            <w:shd w:val="clear" w:color="auto" w:fill="4EA72E"/>
            <w:tcMar>
              <w:top w:w="15" w:type="dxa"/>
              <w:left w:w="15" w:type="dxa"/>
              <w:bottom w:w="15" w:type="dxa"/>
              <w:right w:w="15" w:type="dxa"/>
            </w:tcMar>
            <w:vAlign w:val="center"/>
            <w:hideMark/>
          </w:tcPr>
          <w:p w14:paraId="6FE9AB8F"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EG00</w:t>
            </w:r>
          </w:p>
        </w:tc>
        <w:tc>
          <w:tcPr>
            <w:tcW w:w="801" w:type="dxa"/>
            <w:shd w:val="clear" w:color="auto" w:fill="FFFFFF"/>
            <w:tcMar>
              <w:top w:w="15" w:type="dxa"/>
              <w:left w:w="15" w:type="dxa"/>
              <w:bottom w:w="15" w:type="dxa"/>
              <w:right w:w="15" w:type="dxa"/>
            </w:tcMar>
            <w:vAlign w:val="center"/>
            <w:hideMark/>
          </w:tcPr>
          <w:p w14:paraId="72678B47"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0.23</w:t>
            </w:r>
          </w:p>
        </w:tc>
        <w:tc>
          <w:tcPr>
            <w:tcW w:w="795" w:type="dxa"/>
            <w:shd w:val="clear" w:color="auto" w:fill="FFFFFF"/>
            <w:tcMar>
              <w:top w:w="15" w:type="dxa"/>
              <w:left w:w="15" w:type="dxa"/>
              <w:bottom w:w="15" w:type="dxa"/>
              <w:right w:w="15" w:type="dxa"/>
            </w:tcMar>
            <w:vAlign w:val="center"/>
            <w:hideMark/>
          </w:tcPr>
          <w:p w14:paraId="0957063A"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0.19</w:t>
            </w:r>
          </w:p>
        </w:tc>
        <w:tc>
          <w:tcPr>
            <w:tcW w:w="784" w:type="dxa"/>
            <w:shd w:val="clear" w:color="auto" w:fill="FFFFFF"/>
            <w:tcMar>
              <w:top w:w="15" w:type="dxa"/>
              <w:left w:w="15" w:type="dxa"/>
              <w:bottom w:w="15" w:type="dxa"/>
              <w:right w:w="15" w:type="dxa"/>
            </w:tcMar>
            <w:vAlign w:val="center"/>
            <w:hideMark/>
          </w:tcPr>
          <w:p w14:paraId="6A96940B"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0.3</w:t>
            </w:r>
          </w:p>
        </w:tc>
        <w:tc>
          <w:tcPr>
            <w:tcW w:w="785" w:type="dxa"/>
            <w:shd w:val="clear" w:color="auto" w:fill="FFFFFF"/>
            <w:tcMar>
              <w:top w:w="15" w:type="dxa"/>
              <w:left w:w="15" w:type="dxa"/>
              <w:bottom w:w="15" w:type="dxa"/>
              <w:right w:w="15" w:type="dxa"/>
            </w:tcMar>
            <w:vAlign w:val="center"/>
            <w:hideMark/>
          </w:tcPr>
          <w:p w14:paraId="2DBA53F2"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0.43</w:t>
            </w:r>
          </w:p>
        </w:tc>
        <w:tc>
          <w:tcPr>
            <w:tcW w:w="784" w:type="dxa"/>
            <w:shd w:val="clear" w:color="auto" w:fill="FFFFFF"/>
            <w:tcMar>
              <w:top w:w="15" w:type="dxa"/>
              <w:left w:w="15" w:type="dxa"/>
              <w:bottom w:w="15" w:type="dxa"/>
              <w:right w:w="15" w:type="dxa"/>
            </w:tcMar>
            <w:vAlign w:val="center"/>
            <w:hideMark/>
          </w:tcPr>
          <w:p w14:paraId="60333E9B"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0.8</w:t>
            </w:r>
          </w:p>
        </w:tc>
        <w:tc>
          <w:tcPr>
            <w:tcW w:w="785" w:type="dxa"/>
            <w:shd w:val="clear" w:color="auto" w:fill="FFFFFF"/>
            <w:tcMar>
              <w:top w:w="15" w:type="dxa"/>
              <w:left w:w="15" w:type="dxa"/>
              <w:bottom w:w="15" w:type="dxa"/>
              <w:right w:w="15" w:type="dxa"/>
            </w:tcMar>
            <w:vAlign w:val="center"/>
            <w:hideMark/>
          </w:tcPr>
          <w:p w14:paraId="28F5BC64"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0.71</w:t>
            </w:r>
          </w:p>
        </w:tc>
        <w:tc>
          <w:tcPr>
            <w:tcW w:w="785" w:type="dxa"/>
            <w:shd w:val="clear" w:color="auto" w:fill="FFFFFF"/>
            <w:tcMar>
              <w:top w:w="15" w:type="dxa"/>
              <w:left w:w="15" w:type="dxa"/>
              <w:bottom w:w="15" w:type="dxa"/>
              <w:right w:w="15" w:type="dxa"/>
            </w:tcMar>
            <w:vAlign w:val="center"/>
            <w:hideMark/>
          </w:tcPr>
          <w:p w14:paraId="76491A5F"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1</w:t>
            </w:r>
          </w:p>
        </w:tc>
        <w:tc>
          <w:tcPr>
            <w:tcW w:w="787" w:type="dxa"/>
            <w:shd w:val="clear" w:color="auto" w:fill="FFFFFF"/>
            <w:tcMar>
              <w:top w:w="15" w:type="dxa"/>
              <w:left w:w="15" w:type="dxa"/>
              <w:bottom w:w="15" w:type="dxa"/>
              <w:right w:w="15" w:type="dxa"/>
            </w:tcMar>
            <w:vAlign w:val="center"/>
            <w:hideMark/>
          </w:tcPr>
          <w:p w14:paraId="6D85AABE"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0.7</w:t>
            </w:r>
          </w:p>
        </w:tc>
        <w:tc>
          <w:tcPr>
            <w:tcW w:w="785" w:type="dxa"/>
            <w:tcBorders>
              <w:top w:val="nil"/>
              <w:left w:val="nil"/>
              <w:bottom w:val="nil"/>
              <w:right w:val="single" w:sz="8" w:space="0" w:color="auto"/>
            </w:tcBorders>
            <w:shd w:val="clear" w:color="auto" w:fill="FFFFFF"/>
            <w:tcMar>
              <w:top w:w="15" w:type="dxa"/>
              <w:left w:w="15" w:type="dxa"/>
              <w:bottom w:w="15" w:type="dxa"/>
              <w:right w:w="15" w:type="dxa"/>
            </w:tcMar>
            <w:vAlign w:val="center"/>
            <w:hideMark/>
          </w:tcPr>
          <w:p w14:paraId="3BF41B28"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0.36</w:t>
            </w:r>
          </w:p>
        </w:tc>
      </w:tr>
      <w:tr w:rsidR="00B45BAB" w:rsidRPr="0001336B" w14:paraId="17DB8A21" w14:textId="77777777" w:rsidTr="00BA72FD">
        <w:trPr>
          <w:trHeight w:val="330"/>
        </w:trPr>
        <w:tc>
          <w:tcPr>
            <w:tcW w:w="4111" w:type="dxa"/>
            <w:tcBorders>
              <w:top w:val="nil"/>
              <w:left w:val="single" w:sz="8" w:space="0" w:color="auto"/>
              <w:bottom w:val="single" w:sz="8" w:space="0" w:color="auto"/>
              <w:right w:val="single" w:sz="8" w:space="0" w:color="auto"/>
            </w:tcBorders>
            <w:noWrap/>
            <w:tcMar>
              <w:top w:w="15" w:type="dxa"/>
              <w:left w:w="15" w:type="dxa"/>
              <w:bottom w:w="15" w:type="dxa"/>
              <w:right w:w="15" w:type="dxa"/>
            </w:tcMar>
            <w:vAlign w:val="bottom"/>
            <w:hideMark/>
          </w:tcPr>
          <w:p w14:paraId="2CE0B615"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 xml:space="preserve">ICE </w:t>
            </w:r>
            <w:proofErr w:type="spellStart"/>
            <w:r w:rsidRPr="0001336B">
              <w:rPr>
                <w:rFonts w:ascii="Arial" w:hAnsi="Arial" w:cs="Arial"/>
                <w:b/>
                <w:bCs/>
                <w:sz w:val="20"/>
                <w:szCs w:val="20"/>
                <w:lang w:val="en-BE"/>
              </w:rPr>
              <w:t>BofA</w:t>
            </w:r>
            <w:proofErr w:type="spellEnd"/>
            <w:r w:rsidRPr="0001336B">
              <w:rPr>
                <w:rFonts w:ascii="Arial" w:hAnsi="Arial" w:cs="Arial"/>
                <w:b/>
                <w:bCs/>
                <w:sz w:val="20"/>
                <w:szCs w:val="20"/>
                <w:lang w:val="en-BE"/>
              </w:rPr>
              <w:t xml:space="preserve"> US Treasury Index</w:t>
            </w:r>
          </w:p>
        </w:tc>
        <w:tc>
          <w:tcPr>
            <w:tcW w:w="1698" w:type="dxa"/>
            <w:shd w:val="clear" w:color="auto" w:fill="DAF2D0"/>
            <w:tcMar>
              <w:top w:w="15" w:type="dxa"/>
              <w:left w:w="15" w:type="dxa"/>
              <w:bottom w:w="15" w:type="dxa"/>
              <w:right w:w="15" w:type="dxa"/>
            </w:tcMar>
            <w:vAlign w:val="center"/>
            <w:hideMark/>
          </w:tcPr>
          <w:p w14:paraId="43B606D7"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 xml:space="preserve">US </w:t>
            </w:r>
            <w:proofErr w:type="spellStart"/>
            <w:r w:rsidRPr="0001336B">
              <w:rPr>
                <w:rFonts w:ascii="Arial" w:hAnsi="Arial" w:cs="Arial"/>
                <w:b/>
                <w:bCs/>
                <w:sz w:val="20"/>
                <w:szCs w:val="20"/>
                <w:lang w:val="en-BE"/>
              </w:rPr>
              <w:t>Govies</w:t>
            </w:r>
            <w:proofErr w:type="spellEnd"/>
          </w:p>
        </w:tc>
        <w:tc>
          <w:tcPr>
            <w:tcW w:w="1048" w:type="dxa"/>
            <w:tcBorders>
              <w:top w:val="nil"/>
              <w:left w:val="single" w:sz="8" w:space="0" w:color="auto"/>
              <w:bottom w:val="nil"/>
              <w:right w:val="single" w:sz="8" w:space="0" w:color="auto"/>
            </w:tcBorders>
            <w:shd w:val="clear" w:color="auto" w:fill="4EA72E"/>
            <w:tcMar>
              <w:top w:w="15" w:type="dxa"/>
              <w:left w:w="15" w:type="dxa"/>
              <w:bottom w:w="15" w:type="dxa"/>
              <w:right w:w="15" w:type="dxa"/>
            </w:tcMar>
            <w:vAlign w:val="center"/>
            <w:hideMark/>
          </w:tcPr>
          <w:p w14:paraId="39313D53"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G0Q0</w:t>
            </w:r>
          </w:p>
        </w:tc>
        <w:tc>
          <w:tcPr>
            <w:tcW w:w="801" w:type="dxa"/>
            <w:shd w:val="clear" w:color="auto" w:fill="FFFFFF"/>
            <w:tcMar>
              <w:top w:w="15" w:type="dxa"/>
              <w:left w:w="15" w:type="dxa"/>
              <w:bottom w:w="15" w:type="dxa"/>
              <w:right w:w="15" w:type="dxa"/>
            </w:tcMar>
            <w:vAlign w:val="center"/>
            <w:hideMark/>
          </w:tcPr>
          <w:p w14:paraId="310A5D1D"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-0.11</w:t>
            </w:r>
          </w:p>
        </w:tc>
        <w:tc>
          <w:tcPr>
            <w:tcW w:w="795" w:type="dxa"/>
            <w:shd w:val="clear" w:color="auto" w:fill="FFFFFF"/>
            <w:tcMar>
              <w:top w:w="15" w:type="dxa"/>
              <w:left w:w="15" w:type="dxa"/>
              <w:bottom w:w="15" w:type="dxa"/>
              <w:right w:w="15" w:type="dxa"/>
            </w:tcMar>
            <w:vAlign w:val="center"/>
            <w:hideMark/>
          </w:tcPr>
          <w:p w14:paraId="75A2F1B5"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-0.17</w:t>
            </w:r>
          </w:p>
        </w:tc>
        <w:tc>
          <w:tcPr>
            <w:tcW w:w="784" w:type="dxa"/>
            <w:shd w:val="clear" w:color="auto" w:fill="FFFFFF"/>
            <w:tcMar>
              <w:top w:w="15" w:type="dxa"/>
              <w:left w:w="15" w:type="dxa"/>
              <w:bottom w:w="15" w:type="dxa"/>
              <w:right w:w="15" w:type="dxa"/>
            </w:tcMar>
            <w:vAlign w:val="center"/>
            <w:hideMark/>
          </w:tcPr>
          <w:p w14:paraId="071F943C"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0.18</w:t>
            </w:r>
          </w:p>
        </w:tc>
        <w:tc>
          <w:tcPr>
            <w:tcW w:w="785" w:type="dxa"/>
            <w:shd w:val="clear" w:color="auto" w:fill="FFFFFF"/>
            <w:tcMar>
              <w:top w:w="15" w:type="dxa"/>
              <w:left w:w="15" w:type="dxa"/>
              <w:bottom w:w="15" w:type="dxa"/>
              <w:right w:w="15" w:type="dxa"/>
            </w:tcMar>
            <w:vAlign w:val="center"/>
            <w:hideMark/>
          </w:tcPr>
          <w:p w14:paraId="61866F6D"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0.18</w:t>
            </w:r>
          </w:p>
        </w:tc>
        <w:tc>
          <w:tcPr>
            <w:tcW w:w="784" w:type="dxa"/>
            <w:shd w:val="clear" w:color="auto" w:fill="FFFFFF"/>
            <w:tcMar>
              <w:top w:w="15" w:type="dxa"/>
              <w:left w:w="15" w:type="dxa"/>
              <w:bottom w:w="15" w:type="dxa"/>
              <w:right w:w="15" w:type="dxa"/>
            </w:tcMar>
            <w:vAlign w:val="center"/>
            <w:hideMark/>
          </w:tcPr>
          <w:p w14:paraId="7D6D9A2F"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0.45</w:t>
            </w:r>
          </w:p>
        </w:tc>
        <w:tc>
          <w:tcPr>
            <w:tcW w:w="785" w:type="dxa"/>
            <w:shd w:val="clear" w:color="auto" w:fill="FFFFFF"/>
            <w:tcMar>
              <w:top w:w="15" w:type="dxa"/>
              <w:left w:w="15" w:type="dxa"/>
              <w:bottom w:w="15" w:type="dxa"/>
              <w:right w:w="15" w:type="dxa"/>
            </w:tcMar>
            <w:vAlign w:val="center"/>
            <w:hideMark/>
          </w:tcPr>
          <w:p w14:paraId="70C10B5C"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0.7</w:t>
            </w:r>
          </w:p>
        </w:tc>
        <w:tc>
          <w:tcPr>
            <w:tcW w:w="785" w:type="dxa"/>
            <w:shd w:val="clear" w:color="auto" w:fill="FFFFFF"/>
            <w:tcMar>
              <w:top w:w="15" w:type="dxa"/>
              <w:left w:w="15" w:type="dxa"/>
              <w:bottom w:w="15" w:type="dxa"/>
              <w:right w:w="15" w:type="dxa"/>
            </w:tcMar>
            <w:vAlign w:val="center"/>
            <w:hideMark/>
          </w:tcPr>
          <w:p w14:paraId="38DDC63A"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0.7</w:t>
            </w:r>
          </w:p>
        </w:tc>
        <w:tc>
          <w:tcPr>
            <w:tcW w:w="787" w:type="dxa"/>
            <w:shd w:val="clear" w:color="auto" w:fill="FFFFFF"/>
            <w:tcMar>
              <w:top w:w="15" w:type="dxa"/>
              <w:left w:w="15" w:type="dxa"/>
              <w:bottom w:w="15" w:type="dxa"/>
              <w:right w:w="15" w:type="dxa"/>
            </w:tcMar>
            <w:vAlign w:val="center"/>
            <w:hideMark/>
          </w:tcPr>
          <w:p w14:paraId="2F0A7803"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1</w:t>
            </w:r>
          </w:p>
        </w:tc>
        <w:tc>
          <w:tcPr>
            <w:tcW w:w="785" w:type="dxa"/>
            <w:tcBorders>
              <w:top w:val="nil"/>
              <w:left w:val="nil"/>
              <w:bottom w:val="nil"/>
              <w:right w:val="single" w:sz="8" w:space="0" w:color="auto"/>
            </w:tcBorders>
            <w:shd w:val="clear" w:color="auto" w:fill="FFFFFF"/>
            <w:tcMar>
              <w:top w:w="15" w:type="dxa"/>
              <w:left w:w="15" w:type="dxa"/>
              <w:bottom w:w="15" w:type="dxa"/>
              <w:right w:w="15" w:type="dxa"/>
            </w:tcMar>
            <w:vAlign w:val="center"/>
            <w:hideMark/>
          </w:tcPr>
          <w:p w14:paraId="3FAAD5DE"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0.11</w:t>
            </w:r>
          </w:p>
        </w:tc>
      </w:tr>
      <w:tr w:rsidR="00B45BAB" w:rsidRPr="0001336B" w14:paraId="5035209C" w14:textId="77777777" w:rsidTr="00BA72FD">
        <w:trPr>
          <w:trHeight w:val="330"/>
        </w:trPr>
        <w:tc>
          <w:tcPr>
            <w:tcW w:w="4111" w:type="dxa"/>
            <w:tcBorders>
              <w:top w:val="nil"/>
              <w:left w:val="single" w:sz="8" w:space="0" w:color="auto"/>
              <w:bottom w:val="single" w:sz="8" w:space="0" w:color="auto"/>
              <w:right w:val="single" w:sz="8" w:space="0" w:color="auto"/>
            </w:tcBorders>
            <w:noWrap/>
            <w:tcMar>
              <w:top w:w="15" w:type="dxa"/>
              <w:left w:w="15" w:type="dxa"/>
              <w:bottom w:w="15" w:type="dxa"/>
              <w:right w:w="15" w:type="dxa"/>
            </w:tcMar>
            <w:vAlign w:val="bottom"/>
            <w:hideMark/>
          </w:tcPr>
          <w:p w14:paraId="5C4EDDB7"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S&amp;P 500 Index</w:t>
            </w:r>
          </w:p>
        </w:tc>
        <w:tc>
          <w:tcPr>
            <w:tcW w:w="1698" w:type="dxa"/>
            <w:tcBorders>
              <w:top w:val="nil"/>
              <w:left w:val="nil"/>
              <w:bottom w:val="single" w:sz="8" w:space="0" w:color="auto"/>
              <w:right w:val="nil"/>
            </w:tcBorders>
            <w:shd w:val="clear" w:color="auto" w:fill="DAF2D0"/>
            <w:tcMar>
              <w:top w:w="15" w:type="dxa"/>
              <w:left w:w="15" w:type="dxa"/>
              <w:bottom w:w="15" w:type="dxa"/>
              <w:right w:w="15" w:type="dxa"/>
            </w:tcMar>
            <w:vAlign w:val="center"/>
            <w:hideMark/>
          </w:tcPr>
          <w:p w14:paraId="589CAB7E"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Equities</w:t>
            </w:r>
          </w:p>
        </w:tc>
        <w:tc>
          <w:tcPr>
            <w:tcW w:w="1048" w:type="dxa"/>
            <w:tcBorders>
              <w:top w:val="nil"/>
              <w:left w:val="single" w:sz="8" w:space="0" w:color="auto"/>
              <w:bottom w:val="single" w:sz="8" w:space="0" w:color="auto"/>
              <w:right w:val="single" w:sz="8" w:space="0" w:color="auto"/>
            </w:tcBorders>
            <w:shd w:val="clear" w:color="auto" w:fill="4EA72E"/>
            <w:tcMar>
              <w:top w:w="15" w:type="dxa"/>
              <w:left w:w="15" w:type="dxa"/>
              <w:bottom w:w="15" w:type="dxa"/>
              <w:right w:w="15" w:type="dxa"/>
            </w:tcMar>
            <w:vAlign w:val="center"/>
            <w:hideMark/>
          </w:tcPr>
          <w:p w14:paraId="0D6BDDD6"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SPX</w:t>
            </w:r>
          </w:p>
        </w:tc>
        <w:tc>
          <w:tcPr>
            <w:tcW w:w="801" w:type="dxa"/>
            <w:tcBorders>
              <w:top w:val="nil"/>
              <w:left w:val="nil"/>
              <w:bottom w:val="single" w:sz="8" w:space="0" w:color="auto"/>
              <w:right w:val="nil"/>
            </w:tcBorders>
            <w:shd w:val="clear" w:color="auto" w:fill="FFFFFF"/>
            <w:tcMar>
              <w:top w:w="15" w:type="dxa"/>
              <w:left w:w="15" w:type="dxa"/>
              <w:bottom w:w="15" w:type="dxa"/>
              <w:right w:w="15" w:type="dxa"/>
            </w:tcMar>
            <w:vAlign w:val="center"/>
            <w:hideMark/>
          </w:tcPr>
          <w:p w14:paraId="7E2A2524"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0.57</w:t>
            </w:r>
          </w:p>
        </w:tc>
        <w:tc>
          <w:tcPr>
            <w:tcW w:w="795" w:type="dxa"/>
            <w:tcBorders>
              <w:top w:val="nil"/>
              <w:left w:val="nil"/>
              <w:bottom w:val="single" w:sz="8" w:space="0" w:color="auto"/>
              <w:right w:val="nil"/>
            </w:tcBorders>
            <w:shd w:val="clear" w:color="auto" w:fill="FFFFFF"/>
            <w:tcMar>
              <w:top w:w="15" w:type="dxa"/>
              <w:left w:w="15" w:type="dxa"/>
              <w:bottom w:w="15" w:type="dxa"/>
              <w:right w:w="15" w:type="dxa"/>
            </w:tcMar>
            <w:vAlign w:val="center"/>
            <w:hideMark/>
          </w:tcPr>
          <w:p w14:paraId="31DFE471"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0.6</w:t>
            </w:r>
          </w:p>
        </w:tc>
        <w:tc>
          <w:tcPr>
            <w:tcW w:w="784" w:type="dxa"/>
            <w:tcBorders>
              <w:top w:val="nil"/>
              <w:left w:val="nil"/>
              <w:bottom w:val="single" w:sz="8" w:space="0" w:color="auto"/>
              <w:right w:val="nil"/>
            </w:tcBorders>
            <w:shd w:val="clear" w:color="auto" w:fill="FFFFFF"/>
            <w:tcMar>
              <w:top w:w="15" w:type="dxa"/>
              <w:left w:w="15" w:type="dxa"/>
              <w:bottom w:w="15" w:type="dxa"/>
              <w:right w:w="15" w:type="dxa"/>
            </w:tcMar>
            <w:vAlign w:val="center"/>
            <w:hideMark/>
          </w:tcPr>
          <w:p w14:paraId="754BA162"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0.73</w:t>
            </w:r>
          </w:p>
        </w:tc>
        <w:tc>
          <w:tcPr>
            <w:tcW w:w="785" w:type="dxa"/>
            <w:tcBorders>
              <w:top w:val="nil"/>
              <w:left w:val="nil"/>
              <w:bottom w:val="single" w:sz="8" w:space="0" w:color="auto"/>
              <w:right w:val="nil"/>
            </w:tcBorders>
            <w:shd w:val="clear" w:color="auto" w:fill="FFFFFF"/>
            <w:tcMar>
              <w:top w:w="15" w:type="dxa"/>
              <w:left w:w="15" w:type="dxa"/>
              <w:bottom w:w="15" w:type="dxa"/>
              <w:right w:w="15" w:type="dxa"/>
            </w:tcMar>
            <w:vAlign w:val="center"/>
            <w:hideMark/>
          </w:tcPr>
          <w:p w14:paraId="717B20BD"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0.8</w:t>
            </w:r>
          </w:p>
        </w:tc>
        <w:tc>
          <w:tcPr>
            <w:tcW w:w="784" w:type="dxa"/>
            <w:tcBorders>
              <w:top w:val="nil"/>
              <w:left w:val="nil"/>
              <w:bottom w:val="single" w:sz="8" w:space="0" w:color="auto"/>
              <w:right w:val="nil"/>
            </w:tcBorders>
            <w:shd w:val="clear" w:color="auto" w:fill="FFFFFF"/>
            <w:tcMar>
              <w:top w:w="15" w:type="dxa"/>
              <w:left w:w="15" w:type="dxa"/>
              <w:bottom w:w="15" w:type="dxa"/>
              <w:right w:w="15" w:type="dxa"/>
            </w:tcMar>
            <w:vAlign w:val="center"/>
            <w:hideMark/>
          </w:tcPr>
          <w:p w14:paraId="1BA3E17B"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0.63</w:t>
            </w:r>
          </w:p>
        </w:tc>
        <w:tc>
          <w:tcPr>
            <w:tcW w:w="785" w:type="dxa"/>
            <w:tcBorders>
              <w:top w:val="nil"/>
              <w:left w:val="nil"/>
              <w:bottom w:val="single" w:sz="8" w:space="0" w:color="auto"/>
              <w:right w:val="nil"/>
            </w:tcBorders>
            <w:shd w:val="clear" w:color="auto" w:fill="FFFFFF"/>
            <w:tcMar>
              <w:top w:w="15" w:type="dxa"/>
              <w:left w:w="15" w:type="dxa"/>
              <w:bottom w:w="15" w:type="dxa"/>
              <w:right w:w="15" w:type="dxa"/>
            </w:tcMar>
            <w:vAlign w:val="center"/>
            <w:hideMark/>
          </w:tcPr>
          <w:p w14:paraId="790DF808"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0.57</w:t>
            </w:r>
          </w:p>
        </w:tc>
        <w:tc>
          <w:tcPr>
            <w:tcW w:w="785" w:type="dxa"/>
            <w:tcBorders>
              <w:top w:val="nil"/>
              <w:left w:val="nil"/>
              <w:bottom w:val="single" w:sz="8" w:space="0" w:color="auto"/>
              <w:right w:val="nil"/>
            </w:tcBorders>
            <w:shd w:val="clear" w:color="auto" w:fill="FFFFFF"/>
            <w:tcMar>
              <w:top w:w="15" w:type="dxa"/>
              <w:left w:w="15" w:type="dxa"/>
              <w:bottom w:w="15" w:type="dxa"/>
              <w:right w:w="15" w:type="dxa"/>
            </w:tcMar>
            <w:vAlign w:val="center"/>
            <w:hideMark/>
          </w:tcPr>
          <w:p w14:paraId="27F14EA2"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0.36</w:t>
            </w:r>
          </w:p>
        </w:tc>
        <w:tc>
          <w:tcPr>
            <w:tcW w:w="787" w:type="dxa"/>
            <w:tcBorders>
              <w:top w:val="nil"/>
              <w:left w:val="nil"/>
              <w:bottom w:val="single" w:sz="8" w:space="0" w:color="auto"/>
              <w:right w:val="nil"/>
            </w:tcBorders>
            <w:shd w:val="clear" w:color="auto" w:fill="FFFFFF"/>
            <w:tcMar>
              <w:top w:w="15" w:type="dxa"/>
              <w:left w:w="15" w:type="dxa"/>
              <w:bottom w:w="15" w:type="dxa"/>
              <w:right w:w="15" w:type="dxa"/>
            </w:tcMar>
            <w:vAlign w:val="center"/>
            <w:hideMark/>
          </w:tcPr>
          <w:p w14:paraId="6F625CEA"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0.11</w:t>
            </w:r>
          </w:p>
        </w:tc>
        <w:tc>
          <w:tcPr>
            <w:tcW w:w="7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2B936276" w14:textId="77777777" w:rsidR="00B45BAB" w:rsidRPr="0001336B" w:rsidRDefault="00B45BAB" w:rsidP="00BA72FD">
            <w:pPr>
              <w:rPr>
                <w:rFonts w:ascii="Arial" w:hAnsi="Arial" w:cs="Arial"/>
                <w:b/>
                <w:bCs/>
                <w:sz w:val="20"/>
                <w:szCs w:val="20"/>
                <w:lang w:val="en-BE"/>
              </w:rPr>
            </w:pPr>
            <w:r w:rsidRPr="0001336B">
              <w:rPr>
                <w:rFonts w:ascii="Arial" w:hAnsi="Arial" w:cs="Arial"/>
                <w:b/>
                <w:bCs/>
                <w:sz w:val="20"/>
                <w:szCs w:val="20"/>
                <w:lang w:val="en-BE"/>
              </w:rPr>
              <w:t>1</w:t>
            </w:r>
          </w:p>
        </w:tc>
      </w:tr>
      <w:tr w:rsidR="00B45BAB" w:rsidRPr="0001336B" w14:paraId="715C651D" w14:textId="77777777" w:rsidTr="00BA72FD">
        <w:trPr>
          <w:trHeight w:val="330"/>
        </w:trPr>
        <w:tc>
          <w:tcPr>
            <w:tcW w:w="4111" w:type="dxa"/>
            <w:noWrap/>
            <w:tcMar>
              <w:top w:w="15" w:type="dxa"/>
              <w:left w:w="15" w:type="dxa"/>
              <w:bottom w:w="15" w:type="dxa"/>
              <w:right w:w="15" w:type="dxa"/>
            </w:tcMar>
            <w:vAlign w:val="bottom"/>
            <w:hideMark/>
          </w:tcPr>
          <w:p w14:paraId="2130CF0D" w14:textId="77777777" w:rsidR="00B45BAB" w:rsidRPr="0001336B" w:rsidRDefault="00B45BAB" w:rsidP="00BA72FD">
            <w:pPr>
              <w:rPr>
                <w:rFonts w:ascii="Arial" w:hAnsi="Arial" w:cs="Arial"/>
                <w:b/>
                <w:bCs/>
                <w:sz w:val="20"/>
                <w:szCs w:val="20"/>
                <w:lang w:val="en-BE"/>
              </w:rPr>
            </w:pPr>
          </w:p>
        </w:tc>
        <w:tc>
          <w:tcPr>
            <w:tcW w:w="1698" w:type="dxa"/>
            <w:tcMar>
              <w:top w:w="15" w:type="dxa"/>
              <w:left w:w="900" w:type="dxa"/>
              <w:bottom w:w="15" w:type="dxa"/>
              <w:right w:w="15" w:type="dxa"/>
            </w:tcMar>
            <w:vAlign w:val="center"/>
            <w:hideMark/>
          </w:tcPr>
          <w:p w14:paraId="6883D90C" w14:textId="77777777" w:rsidR="00B45BAB" w:rsidRPr="0001336B" w:rsidRDefault="00B45BAB" w:rsidP="00BA72FD">
            <w:pPr>
              <w:rPr>
                <w:rFonts w:ascii="Arial" w:hAnsi="Arial" w:cs="Arial"/>
                <w:b/>
                <w:bCs/>
                <w:sz w:val="20"/>
                <w:szCs w:val="20"/>
                <w:lang w:val="en-BE"/>
              </w:rPr>
            </w:pPr>
          </w:p>
        </w:tc>
        <w:tc>
          <w:tcPr>
            <w:tcW w:w="1048" w:type="dxa"/>
            <w:noWrap/>
            <w:tcMar>
              <w:top w:w="15" w:type="dxa"/>
              <w:left w:w="15" w:type="dxa"/>
              <w:bottom w:w="15" w:type="dxa"/>
              <w:right w:w="15" w:type="dxa"/>
            </w:tcMar>
            <w:vAlign w:val="bottom"/>
            <w:hideMark/>
          </w:tcPr>
          <w:p w14:paraId="252A8B76" w14:textId="77777777" w:rsidR="00B45BAB" w:rsidRPr="0001336B" w:rsidRDefault="00B45BAB" w:rsidP="00BA72FD">
            <w:pPr>
              <w:rPr>
                <w:rFonts w:ascii="Arial" w:hAnsi="Arial" w:cs="Arial"/>
                <w:b/>
                <w:bCs/>
                <w:sz w:val="20"/>
                <w:szCs w:val="20"/>
                <w:lang w:val="en-BE"/>
              </w:rPr>
            </w:pPr>
          </w:p>
        </w:tc>
        <w:tc>
          <w:tcPr>
            <w:tcW w:w="801" w:type="dxa"/>
            <w:noWrap/>
            <w:tcMar>
              <w:top w:w="15" w:type="dxa"/>
              <w:left w:w="15" w:type="dxa"/>
              <w:bottom w:w="15" w:type="dxa"/>
              <w:right w:w="15" w:type="dxa"/>
            </w:tcMar>
            <w:vAlign w:val="bottom"/>
            <w:hideMark/>
          </w:tcPr>
          <w:p w14:paraId="6C34E922" w14:textId="77777777" w:rsidR="00B45BAB" w:rsidRPr="0001336B" w:rsidRDefault="00B45BAB" w:rsidP="00BA72FD">
            <w:pPr>
              <w:rPr>
                <w:rFonts w:ascii="Arial" w:hAnsi="Arial" w:cs="Arial"/>
                <w:b/>
                <w:bCs/>
                <w:sz w:val="20"/>
                <w:szCs w:val="20"/>
                <w:lang w:val="en-BE"/>
              </w:rPr>
            </w:pPr>
          </w:p>
        </w:tc>
        <w:tc>
          <w:tcPr>
            <w:tcW w:w="795" w:type="dxa"/>
            <w:noWrap/>
            <w:tcMar>
              <w:top w:w="15" w:type="dxa"/>
              <w:left w:w="15" w:type="dxa"/>
              <w:bottom w:w="15" w:type="dxa"/>
              <w:right w:w="15" w:type="dxa"/>
            </w:tcMar>
            <w:vAlign w:val="bottom"/>
            <w:hideMark/>
          </w:tcPr>
          <w:p w14:paraId="44E0B131" w14:textId="77777777" w:rsidR="00B45BAB" w:rsidRPr="0001336B" w:rsidRDefault="00B45BAB" w:rsidP="00BA72FD">
            <w:pPr>
              <w:rPr>
                <w:rFonts w:ascii="Arial" w:hAnsi="Arial" w:cs="Arial"/>
                <w:b/>
                <w:bCs/>
                <w:sz w:val="20"/>
                <w:szCs w:val="20"/>
                <w:lang w:val="en-BE"/>
              </w:rPr>
            </w:pPr>
          </w:p>
        </w:tc>
        <w:tc>
          <w:tcPr>
            <w:tcW w:w="784" w:type="dxa"/>
            <w:noWrap/>
            <w:tcMar>
              <w:top w:w="15" w:type="dxa"/>
              <w:left w:w="15" w:type="dxa"/>
              <w:bottom w:w="15" w:type="dxa"/>
              <w:right w:w="15" w:type="dxa"/>
            </w:tcMar>
            <w:vAlign w:val="bottom"/>
            <w:hideMark/>
          </w:tcPr>
          <w:p w14:paraId="7AFA77BE" w14:textId="77777777" w:rsidR="00B45BAB" w:rsidRPr="0001336B" w:rsidRDefault="00B45BAB" w:rsidP="00BA72FD">
            <w:pPr>
              <w:rPr>
                <w:rFonts w:ascii="Arial" w:hAnsi="Arial" w:cs="Arial"/>
                <w:b/>
                <w:bCs/>
                <w:sz w:val="20"/>
                <w:szCs w:val="20"/>
                <w:lang w:val="en-BE"/>
              </w:rPr>
            </w:pPr>
          </w:p>
        </w:tc>
        <w:tc>
          <w:tcPr>
            <w:tcW w:w="785" w:type="dxa"/>
            <w:noWrap/>
            <w:tcMar>
              <w:top w:w="15" w:type="dxa"/>
              <w:left w:w="15" w:type="dxa"/>
              <w:bottom w:w="15" w:type="dxa"/>
              <w:right w:w="15" w:type="dxa"/>
            </w:tcMar>
            <w:vAlign w:val="bottom"/>
            <w:hideMark/>
          </w:tcPr>
          <w:p w14:paraId="75D0B725" w14:textId="77777777" w:rsidR="00B45BAB" w:rsidRPr="0001336B" w:rsidRDefault="00B45BAB" w:rsidP="00BA72FD">
            <w:pPr>
              <w:rPr>
                <w:rFonts w:ascii="Arial" w:hAnsi="Arial" w:cs="Arial"/>
                <w:b/>
                <w:bCs/>
                <w:sz w:val="20"/>
                <w:szCs w:val="20"/>
                <w:lang w:val="en-BE"/>
              </w:rPr>
            </w:pPr>
          </w:p>
        </w:tc>
        <w:tc>
          <w:tcPr>
            <w:tcW w:w="784" w:type="dxa"/>
            <w:noWrap/>
            <w:tcMar>
              <w:top w:w="15" w:type="dxa"/>
              <w:left w:w="15" w:type="dxa"/>
              <w:bottom w:w="15" w:type="dxa"/>
              <w:right w:w="15" w:type="dxa"/>
            </w:tcMar>
            <w:vAlign w:val="bottom"/>
            <w:hideMark/>
          </w:tcPr>
          <w:p w14:paraId="630F01D9" w14:textId="77777777" w:rsidR="00B45BAB" w:rsidRPr="0001336B" w:rsidRDefault="00B45BAB" w:rsidP="00BA72FD">
            <w:pPr>
              <w:rPr>
                <w:rFonts w:ascii="Arial" w:hAnsi="Arial" w:cs="Arial"/>
                <w:b/>
                <w:bCs/>
                <w:sz w:val="20"/>
                <w:szCs w:val="20"/>
                <w:lang w:val="en-BE"/>
              </w:rPr>
            </w:pPr>
          </w:p>
        </w:tc>
        <w:tc>
          <w:tcPr>
            <w:tcW w:w="785" w:type="dxa"/>
            <w:noWrap/>
            <w:tcMar>
              <w:top w:w="15" w:type="dxa"/>
              <w:left w:w="15" w:type="dxa"/>
              <w:bottom w:w="15" w:type="dxa"/>
              <w:right w:w="15" w:type="dxa"/>
            </w:tcMar>
            <w:vAlign w:val="bottom"/>
            <w:hideMark/>
          </w:tcPr>
          <w:p w14:paraId="51C6C1F7" w14:textId="77777777" w:rsidR="00B45BAB" w:rsidRPr="0001336B" w:rsidRDefault="00B45BAB" w:rsidP="00BA72FD">
            <w:pPr>
              <w:rPr>
                <w:rFonts w:ascii="Arial" w:hAnsi="Arial" w:cs="Arial"/>
                <w:b/>
                <w:bCs/>
                <w:sz w:val="20"/>
                <w:szCs w:val="20"/>
                <w:lang w:val="en-BE"/>
              </w:rPr>
            </w:pPr>
          </w:p>
        </w:tc>
        <w:tc>
          <w:tcPr>
            <w:tcW w:w="785" w:type="dxa"/>
            <w:noWrap/>
            <w:tcMar>
              <w:top w:w="15" w:type="dxa"/>
              <w:left w:w="15" w:type="dxa"/>
              <w:bottom w:w="15" w:type="dxa"/>
              <w:right w:w="15" w:type="dxa"/>
            </w:tcMar>
            <w:vAlign w:val="bottom"/>
            <w:hideMark/>
          </w:tcPr>
          <w:p w14:paraId="510BFC4B" w14:textId="77777777" w:rsidR="00B45BAB" w:rsidRPr="0001336B" w:rsidRDefault="00B45BAB" w:rsidP="00BA72FD">
            <w:pPr>
              <w:rPr>
                <w:rFonts w:ascii="Arial" w:hAnsi="Arial" w:cs="Arial"/>
                <w:b/>
                <w:bCs/>
                <w:sz w:val="20"/>
                <w:szCs w:val="20"/>
                <w:lang w:val="en-BE"/>
              </w:rPr>
            </w:pPr>
          </w:p>
        </w:tc>
        <w:tc>
          <w:tcPr>
            <w:tcW w:w="787" w:type="dxa"/>
            <w:noWrap/>
            <w:tcMar>
              <w:top w:w="15" w:type="dxa"/>
              <w:left w:w="15" w:type="dxa"/>
              <w:bottom w:w="15" w:type="dxa"/>
              <w:right w:w="15" w:type="dxa"/>
            </w:tcMar>
            <w:vAlign w:val="bottom"/>
            <w:hideMark/>
          </w:tcPr>
          <w:p w14:paraId="53DAA1BC" w14:textId="77777777" w:rsidR="00B45BAB" w:rsidRPr="0001336B" w:rsidRDefault="00B45BAB" w:rsidP="00BA72FD">
            <w:pPr>
              <w:rPr>
                <w:rFonts w:ascii="Arial" w:hAnsi="Arial" w:cs="Arial"/>
                <w:b/>
                <w:bCs/>
                <w:sz w:val="20"/>
                <w:szCs w:val="20"/>
                <w:lang w:val="en-BE"/>
              </w:rPr>
            </w:pPr>
          </w:p>
        </w:tc>
        <w:tc>
          <w:tcPr>
            <w:tcW w:w="785" w:type="dxa"/>
            <w:noWrap/>
            <w:tcMar>
              <w:top w:w="15" w:type="dxa"/>
              <w:left w:w="15" w:type="dxa"/>
              <w:bottom w:w="15" w:type="dxa"/>
              <w:right w:w="15" w:type="dxa"/>
            </w:tcMar>
            <w:vAlign w:val="bottom"/>
            <w:hideMark/>
          </w:tcPr>
          <w:p w14:paraId="057B96FF" w14:textId="77777777" w:rsidR="00B45BAB" w:rsidRPr="0001336B" w:rsidRDefault="00B45BAB" w:rsidP="00BA72FD">
            <w:pPr>
              <w:rPr>
                <w:rFonts w:ascii="Arial" w:hAnsi="Arial" w:cs="Arial"/>
                <w:b/>
                <w:bCs/>
                <w:sz w:val="20"/>
                <w:szCs w:val="20"/>
                <w:lang w:val="en-BE"/>
              </w:rPr>
            </w:pPr>
          </w:p>
        </w:tc>
      </w:tr>
      <w:tr w:rsidR="00B45BAB" w:rsidRPr="0001336B" w14:paraId="7CFA9605" w14:textId="77777777" w:rsidTr="00BA72FD">
        <w:trPr>
          <w:trHeight w:val="113"/>
        </w:trPr>
        <w:tc>
          <w:tcPr>
            <w:tcW w:w="7658" w:type="dxa"/>
            <w:gridSpan w:val="4"/>
            <w:noWrap/>
            <w:tcMar>
              <w:top w:w="15" w:type="dxa"/>
              <w:left w:w="15" w:type="dxa"/>
              <w:bottom w:w="15" w:type="dxa"/>
              <w:right w:w="15" w:type="dxa"/>
            </w:tcMar>
            <w:vAlign w:val="bottom"/>
            <w:hideMark/>
          </w:tcPr>
          <w:p w14:paraId="009FF762" w14:textId="77777777" w:rsidR="00B45BAB" w:rsidRPr="0001336B" w:rsidRDefault="00B45BAB" w:rsidP="00BA72FD">
            <w:pPr>
              <w:spacing w:after="0"/>
              <w:rPr>
                <w:rFonts w:ascii="Arial" w:hAnsi="Arial" w:cs="Arial"/>
                <w:b/>
                <w:bCs/>
                <w:sz w:val="20"/>
                <w:szCs w:val="20"/>
                <w:lang w:val="en-BE"/>
              </w:rPr>
            </w:pPr>
            <w:r w:rsidRPr="0001336B">
              <w:rPr>
                <w:rFonts w:ascii="Arial" w:hAnsi="Arial" w:cs="Arial"/>
                <w:b/>
                <w:bCs/>
                <w:sz w:val="20"/>
                <w:szCs w:val="20"/>
                <w:lang w:val="en-BE"/>
              </w:rPr>
              <w:t>Source: Bloomberg</w:t>
            </w:r>
          </w:p>
        </w:tc>
        <w:tc>
          <w:tcPr>
            <w:tcW w:w="795" w:type="dxa"/>
            <w:noWrap/>
            <w:tcMar>
              <w:top w:w="15" w:type="dxa"/>
              <w:left w:w="15" w:type="dxa"/>
              <w:bottom w:w="15" w:type="dxa"/>
              <w:right w:w="15" w:type="dxa"/>
            </w:tcMar>
            <w:vAlign w:val="bottom"/>
            <w:hideMark/>
          </w:tcPr>
          <w:p w14:paraId="13E2292B" w14:textId="77777777" w:rsidR="00B45BAB" w:rsidRPr="0001336B" w:rsidRDefault="00B45BAB" w:rsidP="00BA72FD">
            <w:pPr>
              <w:rPr>
                <w:rFonts w:ascii="Arial" w:hAnsi="Arial" w:cs="Arial"/>
                <w:b/>
                <w:bCs/>
                <w:sz w:val="20"/>
                <w:szCs w:val="20"/>
                <w:lang w:val="en-BE"/>
              </w:rPr>
            </w:pPr>
          </w:p>
        </w:tc>
        <w:tc>
          <w:tcPr>
            <w:tcW w:w="784" w:type="dxa"/>
            <w:noWrap/>
            <w:tcMar>
              <w:top w:w="15" w:type="dxa"/>
              <w:left w:w="15" w:type="dxa"/>
              <w:bottom w:w="15" w:type="dxa"/>
              <w:right w:w="15" w:type="dxa"/>
            </w:tcMar>
            <w:vAlign w:val="bottom"/>
            <w:hideMark/>
          </w:tcPr>
          <w:p w14:paraId="665223CC" w14:textId="77777777" w:rsidR="00B45BAB" w:rsidRPr="0001336B" w:rsidRDefault="00B45BAB" w:rsidP="00BA72FD">
            <w:pPr>
              <w:rPr>
                <w:rFonts w:ascii="Arial" w:hAnsi="Arial" w:cs="Arial"/>
                <w:b/>
                <w:bCs/>
                <w:sz w:val="20"/>
                <w:szCs w:val="20"/>
                <w:lang w:val="en-BE"/>
              </w:rPr>
            </w:pPr>
          </w:p>
        </w:tc>
        <w:tc>
          <w:tcPr>
            <w:tcW w:w="785" w:type="dxa"/>
            <w:noWrap/>
            <w:tcMar>
              <w:top w:w="15" w:type="dxa"/>
              <w:left w:w="15" w:type="dxa"/>
              <w:bottom w:w="15" w:type="dxa"/>
              <w:right w:w="15" w:type="dxa"/>
            </w:tcMar>
            <w:vAlign w:val="bottom"/>
            <w:hideMark/>
          </w:tcPr>
          <w:p w14:paraId="783431E5" w14:textId="77777777" w:rsidR="00B45BAB" w:rsidRPr="0001336B" w:rsidRDefault="00B45BAB" w:rsidP="00BA72FD">
            <w:pPr>
              <w:rPr>
                <w:rFonts w:ascii="Arial" w:hAnsi="Arial" w:cs="Arial"/>
                <w:b/>
                <w:bCs/>
                <w:sz w:val="20"/>
                <w:szCs w:val="20"/>
                <w:lang w:val="en-BE"/>
              </w:rPr>
            </w:pPr>
          </w:p>
        </w:tc>
        <w:tc>
          <w:tcPr>
            <w:tcW w:w="784" w:type="dxa"/>
            <w:noWrap/>
            <w:tcMar>
              <w:top w:w="15" w:type="dxa"/>
              <w:left w:w="15" w:type="dxa"/>
              <w:bottom w:w="15" w:type="dxa"/>
              <w:right w:w="15" w:type="dxa"/>
            </w:tcMar>
            <w:vAlign w:val="bottom"/>
            <w:hideMark/>
          </w:tcPr>
          <w:p w14:paraId="056B0C31" w14:textId="77777777" w:rsidR="00B45BAB" w:rsidRPr="0001336B" w:rsidRDefault="00B45BAB" w:rsidP="00BA72FD">
            <w:pPr>
              <w:rPr>
                <w:rFonts w:ascii="Arial" w:hAnsi="Arial" w:cs="Arial"/>
                <w:b/>
                <w:bCs/>
                <w:sz w:val="20"/>
                <w:szCs w:val="20"/>
                <w:lang w:val="en-BE"/>
              </w:rPr>
            </w:pPr>
          </w:p>
        </w:tc>
        <w:tc>
          <w:tcPr>
            <w:tcW w:w="785" w:type="dxa"/>
            <w:noWrap/>
            <w:tcMar>
              <w:top w:w="15" w:type="dxa"/>
              <w:left w:w="15" w:type="dxa"/>
              <w:bottom w:w="15" w:type="dxa"/>
              <w:right w:w="15" w:type="dxa"/>
            </w:tcMar>
            <w:vAlign w:val="bottom"/>
            <w:hideMark/>
          </w:tcPr>
          <w:p w14:paraId="76BF59C9" w14:textId="77777777" w:rsidR="00B45BAB" w:rsidRPr="0001336B" w:rsidRDefault="00B45BAB" w:rsidP="00BA72FD">
            <w:pPr>
              <w:rPr>
                <w:rFonts w:ascii="Arial" w:hAnsi="Arial" w:cs="Arial"/>
                <w:b/>
                <w:bCs/>
                <w:sz w:val="20"/>
                <w:szCs w:val="20"/>
                <w:lang w:val="en-BE"/>
              </w:rPr>
            </w:pPr>
          </w:p>
        </w:tc>
        <w:tc>
          <w:tcPr>
            <w:tcW w:w="785" w:type="dxa"/>
            <w:noWrap/>
            <w:tcMar>
              <w:top w:w="15" w:type="dxa"/>
              <w:left w:w="15" w:type="dxa"/>
              <w:bottom w:w="15" w:type="dxa"/>
              <w:right w:w="15" w:type="dxa"/>
            </w:tcMar>
            <w:vAlign w:val="bottom"/>
            <w:hideMark/>
          </w:tcPr>
          <w:p w14:paraId="25E477BF" w14:textId="77777777" w:rsidR="00B45BAB" w:rsidRPr="0001336B" w:rsidRDefault="00B45BAB" w:rsidP="00BA72FD">
            <w:pPr>
              <w:rPr>
                <w:rFonts w:ascii="Arial" w:hAnsi="Arial" w:cs="Arial"/>
                <w:b/>
                <w:bCs/>
                <w:sz w:val="20"/>
                <w:szCs w:val="20"/>
                <w:lang w:val="en-BE"/>
              </w:rPr>
            </w:pPr>
          </w:p>
        </w:tc>
        <w:tc>
          <w:tcPr>
            <w:tcW w:w="787" w:type="dxa"/>
            <w:noWrap/>
            <w:tcMar>
              <w:top w:w="15" w:type="dxa"/>
              <w:left w:w="15" w:type="dxa"/>
              <w:bottom w:w="15" w:type="dxa"/>
              <w:right w:w="15" w:type="dxa"/>
            </w:tcMar>
            <w:vAlign w:val="bottom"/>
            <w:hideMark/>
          </w:tcPr>
          <w:p w14:paraId="48D29A73" w14:textId="77777777" w:rsidR="00B45BAB" w:rsidRPr="0001336B" w:rsidRDefault="00B45BAB" w:rsidP="00BA72FD">
            <w:pPr>
              <w:rPr>
                <w:rFonts w:ascii="Arial" w:hAnsi="Arial" w:cs="Arial"/>
                <w:b/>
                <w:bCs/>
                <w:sz w:val="20"/>
                <w:szCs w:val="20"/>
                <w:lang w:val="en-BE"/>
              </w:rPr>
            </w:pPr>
          </w:p>
        </w:tc>
        <w:tc>
          <w:tcPr>
            <w:tcW w:w="785" w:type="dxa"/>
            <w:noWrap/>
            <w:tcMar>
              <w:top w:w="15" w:type="dxa"/>
              <w:left w:w="15" w:type="dxa"/>
              <w:bottom w:w="15" w:type="dxa"/>
              <w:right w:w="15" w:type="dxa"/>
            </w:tcMar>
            <w:vAlign w:val="bottom"/>
            <w:hideMark/>
          </w:tcPr>
          <w:p w14:paraId="527C133B" w14:textId="77777777" w:rsidR="00B45BAB" w:rsidRPr="0001336B" w:rsidRDefault="00B45BAB" w:rsidP="00BA72FD">
            <w:pPr>
              <w:rPr>
                <w:rFonts w:ascii="Arial" w:hAnsi="Arial" w:cs="Arial"/>
                <w:b/>
                <w:bCs/>
                <w:sz w:val="20"/>
                <w:szCs w:val="20"/>
                <w:lang w:val="en-BE"/>
              </w:rPr>
            </w:pPr>
          </w:p>
        </w:tc>
      </w:tr>
    </w:tbl>
    <w:p w14:paraId="345A4AFB" w14:textId="77777777" w:rsidR="00B45BAB" w:rsidRPr="0001336B" w:rsidRDefault="00B45BAB" w:rsidP="00B45BAB">
      <w:pPr>
        <w:rPr>
          <w:rFonts w:ascii="Arial" w:hAnsi="Arial" w:cs="Arial"/>
          <w:sz w:val="20"/>
          <w:szCs w:val="20"/>
          <w:lang w:val="en-US"/>
        </w:rPr>
      </w:pPr>
      <w:r w:rsidRPr="0001336B">
        <w:rPr>
          <w:rFonts w:ascii="Arial" w:hAnsi="Arial" w:cs="Arial"/>
          <w:b/>
          <w:bCs/>
          <w:noProof/>
          <w:sz w:val="20"/>
          <w:szCs w:val="20"/>
          <w:lang w:val="en-US"/>
        </w:rPr>
        <w:lastRenderedPageBreak/>
        <w:drawing>
          <wp:anchor distT="0" distB="0" distL="114300" distR="114300" simplePos="0" relativeHeight="251658247" behindDoc="0" locked="0" layoutInCell="1" allowOverlap="1" wp14:anchorId="0FEDD6E0" wp14:editId="319ECEE2">
            <wp:simplePos x="0" y="0"/>
            <wp:positionH relativeFrom="margin">
              <wp:posOffset>5734050</wp:posOffset>
            </wp:positionH>
            <wp:positionV relativeFrom="paragraph">
              <wp:posOffset>2540</wp:posOffset>
            </wp:positionV>
            <wp:extent cx="2973705" cy="2298700"/>
            <wp:effectExtent l="0" t="0" r="0" b="6350"/>
            <wp:wrapSquare wrapText="bothSides"/>
            <wp:docPr id="1723379057" name="Picture 6"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379057" name="Picture 6" descr="A graph of different colored lines&#10;&#10;Description automatically generated"/>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973705" cy="229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336B">
        <w:rPr>
          <w:rFonts w:ascii="Arial" w:hAnsi="Arial" w:cs="Arial"/>
          <w:sz w:val="20"/>
          <w:szCs w:val="20"/>
          <w:lang w:val="en-US"/>
        </w:rPr>
        <w:t>The European loan market has well-established liquidity. The graph to the right depicts the bid/offer spread for European and US loan flow-names (the most highly traded names within the asset classes) from 2007 to 2023 being a key indicator of market liquidity and transaction costs. Although crisis periods (2008 financial crisis and 2020 Covid-19 pandemic) caused significant spikes in spreads, these have remained stable under most market conditions, highlighting the strong ability to execute against investment opportunities.</w:t>
      </w:r>
    </w:p>
    <w:p w14:paraId="06FB611E" w14:textId="77777777" w:rsidR="00B45BAB" w:rsidRPr="0001336B" w:rsidRDefault="00B45BAB" w:rsidP="00B45BAB">
      <w:pPr>
        <w:rPr>
          <w:rFonts w:ascii="Arial" w:hAnsi="Arial" w:cs="Arial"/>
          <w:sz w:val="20"/>
          <w:szCs w:val="20"/>
          <w:lang w:val="en-US"/>
        </w:rPr>
      </w:pPr>
      <w:r w:rsidRPr="0001336B">
        <w:rPr>
          <w:rFonts w:ascii="Arial" w:hAnsi="Arial" w:cs="Arial"/>
          <w:sz w:val="20"/>
          <w:szCs w:val="20"/>
          <w:lang w:val="en-US"/>
        </w:rPr>
        <w:t>The graph below depicts the level of natural liquidity generation from European leveraged loans on an annual basis from asset repayments alone. Whilst there are some periodic spikes in certain years, for example in 2021 post Covid when a natural market rebalancing occurred given difficulties of issuing new credits in 2020, the overall trend shows a strong stable level of liquidity generation. On average over the almost 20 year period the asset class has repaid c.25% year -on-year highlighting a strong ability to recover and perform strongly under various market conditions.</w:t>
      </w:r>
    </w:p>
    <w:p w14:paraId="74C97EE2" w14:textId="77777777" w:rsidR="00B45BAB" w:rsidRPr="0001336B" w:rsidRDefault="00B45BAB" w:rsidP="00B45BAB">
      <w:pPr>
        <w:rPr>
          <w:rFonts w:ascii="Arial" w:hAnsi="Arial" w:cs="Arial"/>
          <w:b/>
          <w:bCs/>
          <w:sz w:val="20"/>
          <w:szCs w:val="20"/>
          <w:lang w:val="en-US"/>
        </w:rPr>
      </w:pPr>
      <w:r w:rsidRPr="0001336B">
        <w:rPr>
          <w:rFonts w:ascii="Arial" w:hAnsi="Arial" w:cs="Arial"/>
          <w:b/>
          <w:bCs/>
          <w:noProof/>
          <w:sz w:val="20"/>
          <w:szCs w:val="20"/>
          <w:lang w:val="en-US"/>
        </w:rPr>
        <w:drawing>
          <wp:anchor distT="0" distB="0" distL="114300" distR="114300" simplePos="0" relativeHeight="251658250" behindDoc="0" locked="0" layoutInCell="1" allowOverlap="1" wp14:anchorId="1B39BD98" wp14:editId="112B39BA">
            <wp:simplePos x="0" y="0"/>
            <wp:positionH relativeFrom="margin">
              <wp:posOffset>-57150</wp:posOffset>
            </wp:positionH>
            <wp:positionV relativeFrom="paragraph">
              <wp:posOffset>130810</wp:posOffset>
            </wp:positionV>
            <wp:extent cx="5441950" cy="2524125"/>
            <wp:effectExtent l="0" t="0" r="6350" b="9525"/>
            <wp:wrapSquare wrapText="bothSides"/>
            <wp:docPr id="427006128" name="Picture 5" descr="A graph of a market repaym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06128" name="Picture 5" descr="A graph of a market repayments&#10;&#10;Description automatically generated"/>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441950" cy="2524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158CC6" w14:textId="77777777" w:rsidR="00B45BAB" w:rsidRPr="0001336B" w:rsidRDefault="00B45BAB" w:rsidP="00B45BAB">
      <w:pPr>
        <w:rPr>
          <w:rFonts w:ascii="Arial" w:hAnsi="Arial" w:cs="Arial"/>
          <w:b/>
          <w:bCs/>
          <w:sz w:val="20"/>
          <w:szCs w:val="20"/>
          <w:lang w:val="en-US"/>
        </w:rPr>
      </w:pPr>
    </w:p>
    <w:p w14:paraId="62C67EB0" w14:textId="77777777" w:rsidR="00B45BAB" w:rsidRPr="0001336B" w:rsidRDefault="00B45BAB" w:rsidP="00B45BAB">
      <w:pPr>
        <w:rPr>
          <w:rFonts w:ascii="Arial" w:hAnsi="Arial" w:cs="Arial"/>
          <w:b/>
          <w:bCs/>
          <w:sz w:val="20"/>
          <w:szCs w:val="20"/>
          <w:lang w:val="en-US"/>
        </w:rPr>
      </w:pPr>
    </w:p>
    <w:p w14:paraId="73F72264" w14:textId="77777777" w:rsidR="00B45BAB" w:rsidRPr="0001336B" w:rsidRDefault="00B45BAB" w:rsidP="00B45BAB">
      <w:pPr>
        <w:rPr>
          <w:rFonts w:ascii="Arial" w:hAnsi="Arial" w:cs="Arial"/>
          <w:b/>
          <w:bCs/>
          <w:sz w:val="20"/>
          <w:szCs w:val="20"/>
          <w:u w:val="single"/>
          <w:lang w:val="en-US"/>
        </w:rPr>
      </w:pPr>
    </w:p>
    <w:p w14:paraId="6AEF4B37" w14:textId="77777777" w:rsidR="00B45BAB" w:rsidRPr="0001336B" w:rsidRDefault="00B45BAB" w:rsidP="00B45BAB">
      <w:pPr>
        <w:rPr>
          <w:rFonts w:ascii="Arial" w:hAnsi="Arial" w:cs="Arial"/>
          <w:b/>
          <w:bCs/>
          <w:sz w:val="20"/>
          <w:szCs w:val="20"/>
          <w:u w:val="single"/>
          <w:lang w:val="en-US"/>
        </w:rPr>
      </w:pPr>
    </w:p>
    <w:p w14:paraId="7925649A" w14:textId="77777777" w:rsidR="00B45BAB" w:rsidRPr="0001336B" w:rsidRDefault="00B45BAB" w:rsidP="00B45BAB">
      <w:pPr>
        <w:rPr>
          <w:rFonts w:ascii="Arial" w:hAnsi="Arial" w:cs="Arial"/>
          <w:b/>
          <w:bCs/>
          <w:sz w:val="20"/>
          <w:szCs w:val="20"/>
          <w:u w:val="single"/>
          <w:lang w:val="en-US"/>
        </w:rPr>
      </w:pPr>
    </w:p>
    <w:p w14:paraId="2A91703E" w14:textId="77777777" w:rsidR="00B45BAB" w:rsidRPr="0001336B" w:rsidRDefault="00B45BAB" w:rsidP="00B45BAB">
      <w:pPr>
        <w:rPr>
          <w:rFonts w:ascii="Arial" w:hAnsi="Arial" w:cs="Arial"/>
          <w:b/>
          <w:bCs/>
          <w:sz w:val="20"/>
          <w:szCs w:val="20"/>
          <w:u w:val="single"/>
          <w:lang w:val="en-US"/>
        </w:rPr>
      </w:pPr>
    </w:p>
    <w:p w14:paraId="288BBD96" w14:textId="77777777" w:rsidR="00B45BAB" w:rsidRPr="0001336B" w:rsidRDefault="00B45BAB" w:rsidP="00B45BAB">
      <w:pPr>
        <w:rPr>
          <w:rFonts w:ascii="Arial" w:hAnsi="Arial" w:cs="Arial"/>
          <w:b/>
          <w:bCs/>
          <w:sz w:val="20"/>
          <w:szCs w:val="20"/>
          <w:u w:val="single"/>
          <w:lang w:val="en-US"/>
        </w:rPr>
      </w:pPr>
    </w:p>
    <w:p w14:paraId="13F4ECC6" w14:textId="77777777" w:rsidR="00B45BAB" w:rsidRPr="0001336B" w:rsidRDefault="00B45BAB" w:rsidP="00B45BAB">
      <w:pPr>
        <w:rPr>
          <w:rFonts w:ascii="Arial" w:hAnsi="Arial" w:cs="Arial"/>
          <w:b/>
          <w:bCs/>
          <w:sz w:val="20"/>
          <w:szCs w:val="20"/>
          <w:u w:val="single"/>
          <w:lang w:val="en-US"/>
        </w:rPr>
      </w:pPr>
    </w:p>
    <w:p w14:paraId="01043AE8" w14:textId="77777777" w:rsidR="00305881" w:rsidRDefault="00305881" w:rsidP="00B45BAB">
      <w:pPr>
        <w:rPr>
          <w:rFonts w:ascii="Arial" w:hAnsi="Arial" w:cs="Arial"/>
          <w:sz w:val="20"/>
          <w:szCs w:val="20"/>
          <w:lang w:val="en-US"/>
        </w:rPr>
      </w:pPr>
    </w:p>
    <w:p w14:paraId="362C3422" w14:textId="2210FE9B" w:rsidR="00B45BAB" w:rsidRPr="0001336B" w:rsidRDefault="00B45BAB" w:rsidP="00B45BAB">
      <w:pPr>
        <w:rPr>
          <w:rFonts w:ascii="Arial" w:hAnsi="Arial" w:cs="Arial"/>
          <w:sz w:val="20"/>
          <w:szCs w:val="20"/>
          <w:lang w:val="en-US"/>
        </w:rPr>
      </w:pPr>
      <w:r w:rsidRPr="0001336B">
        <w:rPr>
          <w:rFonts w:ascii="Arial" w:hAnsi="Arial" w:cs="Arial"/>
          <w:sz w:val="20"/>
          <w:szCs w:val="20"/>
          <w:lang w:val="en-US"/>
        </w:rPr>
        <w:lastRenderedPageBreak/>
        <w:t>The graph below shows the performance of European Loans (Credit Suisse Western European Leveraged Loan Index) on an annual basis since inception in 1998. The asset class has delivered resilient returns lower volatility returns over more than 25 years, with only 3 years in this period delivering negative returns. In addition, the asset class has shown a strong ability to recover with a positive mean reversion. It has never delivered two years of consecutive negative returns and drawdowns have always been balanced out by a stronger performance the following year.</w:t>
      </w:r>
    </w:p>
    <w:p w14:paraId="58D8CBC6" w14:textId="77777777" w:rsidR="00B45BAB" w:rsidRPr="0001336B" w:rsidRDefault="00B45BAB" w:rsidP="00B45BAB">
      <w:pPr>
        <w:rPr>
          <w:rFonts w:ascii="Arial" w:hAnsi="Arial" w:cs="Arial"/>
          <w:b/>
          <w:bCs/>
          <w:sz w:val="20"/>
          <w:szCs w:val="20"/>
          <w:lang w:val="en-US"/>
        </w:rPr>
      </w:pPr>
      <w:r w:rsidRPr="0001336B">
        <w:rPr>
          <w:rFonts w:ascii="Arial" w:hAnsi="Arial" w:cs="Arial"/>
          <w:b/>
          <w:bCs/>
          <w:noProof/>
          <w:sz w:val="20"/>
          <w:szCs w:val="20"/>
          <w:lang w:val="en-US"/>
        </w:rPr>
        <w:drawing>
          <wp:inline distT="0" distB="0" distL="0" distR="0" wp14:anchorId="42524F50" wp14:editId="6AB9997C">
            <wp:extent cx="8863330" cy="1719580"/>
            <wp:effectExtent l="0" t="0" r="0" b="0"/>
            <wp:docPr id="762017141" name="Picture 4" descr="A graph with number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17141" name="Picture 4" descr="A graph with numbers and a black background&#10;&#10;Description automatically generated"/>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863330" cy="1719580"/>
                    </a:xfrm>
                    <a:prstGeom prst="rect">
                      <a:avLst/>
                    </a:prstGeom>
                    <a:noFill/>
                    <a:ln>
                      <a:noFill/>
                    </a:ln>
                  </pic:spPr>
                </pic:pic>
              </a:graphicData>
            </a:graphic>
          </wp:inline>
        </w:drawing>
      </w:r>
    </w:p>
    <w:p w14:paraId="100E5974" w14:textId="77777777" w:rsidR="00B45BAB" w:rsidRPr="0001336B" w:rsidRDefault="00B45BAB" w:rsidP="00B45BAB">
      <w:pPr>
        <w:rPr>
          <w:rFonts w:ascii="Arial" w:hAnsi="Arial" w:cs="Arial"/>
          <w:b/>
          <w:bCs/>
          <w:sz w:val="20"/>
          <w:szCs w:val="20"/>
          <w:lang w:val="en-US"/>
        </w:rPr>
      </w:pPr>
      <w:r w:rsidRPr="0001336B">
        <w:rPr>
          <w:rFonts w:ascii="Arial" w:hAnsi="Arial" w:cs="Arial"/>
          <w:b/>
          <w:bCs/>
          <w:sz w:val="20"/>
          <w:szCs w:val="20"/>
          <w:lang w:val="en-US"/>
        </w:rPr>
        <w:t> </w:t>
      </w:r>
    </w:p>
    <w:p w14:paraId="118A678C" w14:textId="77777777" w:rsidR="00B45BAB" w:rsidRPr="0001336B" w:rsidRDefault="00B45BAB" w:rsidP="00B45BAB">
      <w:pPr>
        <w:rPr>
          <w:rFonts w:ascii="Arial" w:hAnsi="Arial" w:cs="Arial"/>
          <w:b/>
          <w:bCs/>
          <w:sz w:val="20"/>
          <w:szCs w:val="20"/>
        </w:rPr>
      </w:pPr>
    </w:p>
    <w:p w14:paraId="05B32660" w14:textId="77777777" w:rsidR="00B45BAB" w:rsidRPr="0001336B" w:rsidRDefault="00B45BAB" w:rsidP="00B45BAB">
      <w:pPr>
        <w:rPr>
          <w:rFonts w:ascii="Arial" w:hAnsi="Arial" w:cs="Arial"/>
          <w:b/>
          <w:bCs/>
          <w:sz w:val="20"/>
          <w:szCs w:val="20"/>
        </w:rPr>
      </w:pPr>
      <w:r w:rsidRPr="0001336B">
        <w:rPr>
          <w:rFonts w:ascii="Arial" w:hAnsi="Arial" w:cs="Arial"/>
          <w:b/>
          <w:bCs/>
          <w:sz w:val="20"/>
          <w:szCs w:val="20"/>
        </w:rPr>
        <w:br w:type="page"/>
      </w:r>
    </w:p>
    <w:p w14:paraId="44D3F369" w14:textId="77777777" w:rsidR="00B45BAB" w:rsidRPr="0001336B" w:rsidRDefault="00B45BAB" w:rsidP="00B45BAB">
      <w:pPr>
        <w:jc w:val="center"/>
        <w:rPr>
          <w:rFonts w:ascii="Arial" w:hAnsi="Arial" w:cs="Arial"/>
          <w:sz w:val="20"/>
          <w:szCs w:val="20"/>
        </w:rPr>
      </w:pPr>
      <w:r w:rsidRPr="0001336B">
        <w:rPr>
          <w:rFonts w:ascii="Arial" w:hAnsi="Arial" w:cs="Arial"/>
          <w:b/>
          <w:bCs/>
          <w:sz w:val="20"/>
          <w:szCs w:val="20"/>
        </w:rPr>
        <w:lastRenderedPageBreak/>
        <w:t>Appendix 2 – Catastrophe Bonds</w:t>
      </w:r>
    </w:p>
    <w:p w14:paraId="122DE860" w14:textId="77777777" w:rsidR="00B45BAB" w:rsidRPr="0001336B" w:rsidRDefault="00B45BAB" w:rsidP="00B45BAB">
      <w:pPr>
        <w:rPr>
          <w:rFonts w:ascii="Arial" w:hAnsi="Arial" w:cs="Arial"/>
          <w:sz w:val="20"/>
          <w:szCs w:val="20"/>
        </w:rPr>
      </w:pPr>
      <w:r w:rsidRPr="0001336B">
        <w:rPr>
          <w:rFonts w:ascii="Arial" w:hAnsi="Arial" w:cs="Arial"/>
          <w:sz w:val="20"/>
          <w:szCs w:val="20"/>
        </w:rPr>
        <w:t>Expanding on the merits of allowing direct UCITS exposures outlined in our response above, the following additional observations can be made:</w:t>
      </w:r>
    </w:p>
    <w:p w14:paraId="06386D91" w14:textId="715713DA" w:rsidR="00B45BAB" w:rsidRPr="0001336B" w:rsidRDefault="00B45BAB" w:rsidP="00B45BAB">
      <w:pPr>
        <w:rPr>
          <w:rFonts w:ascii="Arial" w:hAnsi="Arial" w:cs="Arial"/>
          <w:sz w:val="20"/>
          <w:szCs w:val="20"/>
        </w:rPr>
      </w:pPr>
      <w:r w:rsidRPr="0001336B">
        <w:rPr>
          <w:rFonts w:ascii="Arial" w:hAnsi="Arial" w:cs="Arial"/>
          <w:sz w:val="20"/>
          <w:szCs w:val="20"/>
        </w:rPr>
        <w:t>(</w:t>
      </w:r>
      <w:proofErr w:type="spellStart"/>
      <w:r w:rsidRPr="0001336B">
        <w:rPr>
          <w:rFonts w:ascii="Arial" w:hAnsi="Arial" w:cs="Arial"/>
          <w:sz w:val="20"/>
          <w:szCs w:val="20"/>
        </w:rPr>
        <w:t>i</w:t>
      </w:r>
      <w:proofErr w:type="spellEnd"/>
      <w:r w:rsidRPr="0001336B">
        <w:rPr>
          <w:rFonts w:ascii="Arial" w:hAnsi="Arial" w:cs="Arial"/>
          <w:sz w:val="20"/>
          <w:szCs w:val="20"/>
        </w:rPr>
        <w:t xml:space="preserve">) CAT bonds have consistently demonstrated low correlation with other asset classes over the past 20+ years, evidenced by two key factors: </w:t>
      </w:r>
      <w:proofErr w:type="spellStart"/>
      <w:r w:rsidRPr="0001336B">
        <w:rPr>
          <w:rFonts w:ascii="Arial" w:hAnsi="Arial" w:cs="Arial"/>
          <w:sz w:val="20"/>
          <w:szCs w:val="20"/>
        </w:rPr>
        <w:t>i</w:t>
      </w:r>
      <w:proofErr w:type="spellEnd"/>
      <w:r w:rsidRPr="0001336B">
        <w:rPr>
          <w:rFonts w:ascii="Arial" w:hAnsi="Arial" w:cs="Arial"/>
          <w:sz w:val="20"/>
          <w:szCs w:val="20"/>
        </w:rPr>
        <w:t>) correlation matrices comparing CAT bonds with other asset classes, and ii) performance analysis during drawdown scenarios, such as the Global Financial Crisis and the COVID-19 pandemic, which highlight their resilience during periods of distress in traditional financial markets. T</w:t>
      </w:r>
      <w:r w:rsidRPr="0001336B">
        <w:rPr>
          <w:rFonts w:ascii="Arial" w:hAnsi="Arial" w:cs="Arial"/>
          <w:bCs/>
          <w:sz w:val="20"/>
          <w:szCs w:val="20"/>
        </w:rPr>
        <w:t xml:space="preserve">he ECB and EIOPA have noted in their </w:t>
      </w:r>
      <w:hyperlink r:id="rId23" w:history="1">
        <w:r w:rsidRPr="0001336B">
          <w:rPr>
            <w:rStyle w:val="Hyperlink"/>
            <w:rFonts w:ascii="Arial" w:hAnsi="Arial" w:cs="Arial"/>
            <w:bCs/>
            <w:sz w:val="20"/>
            <w:szCs w:val="20"/>
          </w:rPr>
          <w:t xml:space="preserve">Discussion Paper on </w:t>
        </w:r>
        <w:r w:rsidRPr="0001336B">
          <w:rPr>
            <w:rStyle w:val="Hyperlink"/>
            <w:rFonts w:ascii="Arial" w:hAnsi="Arial" w:cs="Arial"/>
            <w:sz w:val="20"/>
            <w:szCs w:val="20"/>
          </w:rPr>
          <w:t>Policy Options to reduce the climate insurance protection gap</w:t>
        </w:r>
      </w:hyperlink>
      <w:r w:rsidRPr="0001336B">
        <w:rPr>
          <w:rFonts w:ascii="Arial" w:hAnsi="Arial" w:cs="Arial"/>
          <w:sz w:val="20"/>
          <w:szCs w:val="20"/>
        </w:rPr>
        <w:t xml:space="preserve"> (April 2023) </w:t>
      </w:r>
      <w:r w:rsidRPr="0001336B">
        <w:rPr>
          <w:rFonts w:ascii="Arial" w:hAnsi="Arial" w:cs="Arial"/>
          <w:bCs/>
          <w:sz w:val="20"/>
          <w:szCs w:val="20"/>
        </w:rPr>
        <w:t xml:space="preserve">that </w:t>
      </w:r>
      <w:r w:rsidRPr="0001336B">
        <w:rPr>
          <w:rFonts w:ascii="Arial" w:hAnsi="Arial" w:cs="Arial"/>
          <w:bCs/>
          <w:i/>
          <w:iCs/>
          <w:sz w:val="20"/>
          <w:szCs w:val="20"/>
        </w:rPr>
        <w:t xml:space="preserve">“Investors in cat bonds benefit from low correlation with equity and credit markets. As such, cat bonds can provide useful diversification, particularly during episodes of crisis and high market volatility.” </w:t>
      </w:r>
      <w:r w:rsidRPr="0001336B">
        <w:rPr>
          <w:rFonts w:ascii="Arial" w:hAnsi="Arial" w:cs="Arial"/>
          <w:bCs/>
          <w:sz w:val="20"/>
          <w:szCs w:val="20"/>
        </w:rPr>
        <w:t xml:space="preserve">Similarly, BaFin, in its publication on </w:t>
      </w:r>
      <w:hyperlink r:id="rId24" w:history="1">
        <w:r w:rsidRPr="0001336B">
          <w:rPr>
            <w:rStyle w:val="Hyperlink"/>
            <w:rFonts w:ascii="Arial" w:hAnsi="Arial" w:cs="Arial"/>
            <w:sz w:val="20"/>
            <w:szCs w:val="20"/>
          </w:rPr>
          <w:t>Advantages and risks of transferring insurance risks to the capital markets</w:t>
        </w:r>
      </w:hyperlink>
      <w:r w:rsidRPr="0001336B">
        <w:rPr>
          <w:rFonts w:ascii="Arial" w:hAnsi="Arial" w:cs="Arial"/>
          <w:sz w:val="20"/>
          <w:szCs w:val="20"/>
        </w:rPr>
        <w:t xml:space="preserve"> (2013) has noted that the risks attached to cat bonds “</w:t>
      </w:r>
      <w:r w:rsidRPr="0001336B">
        <w:rPr>
          <w:rFonts w:ascii="Arial" w:hAnsi="Arial" w:cs="Arial"/>
          <w:i/>
          <w:iCs/>
          <w:sz w:val="20"/>
          <w:szCs w:val="20"/>
        </w:rPr>
        <w:t xml:space="preserve">commonly exhibit a low correlation with other established risks on the capital markets (zero beta assets). That allows them to structure their portfolios more efficiently from a risk/reward viewpoint.” </w:t>
      </w:r>
      <w:r w:rsidRPr="0001336B">
        <w:rPr>
          <w:rFonts w:ascii="Arial" w:hAnsi="Arial" w:cs="Arial"/>
          <w:sz w:val="20"/>
          <w:szCs w:val="20"/>
        </w:rPr>
        <w:t xml:space="preserve">Since the financial crisis, the search for true diversifiers in traditional asset portfolios has influenced investors to turn to cat bonds. Taking this liquid alternative investment away from investors will leave smaller investors with little else but equities, bonds and cash.  </w:t>
      </w:r>
    </w:p>
    <w:p w14:paraId="3DCFFA1D" w14:textId="27A2937F" w:rsidR="00B45BAB" w:rsidRPr="0001336B" w:rsidRDefault="00305881" w:rsidP="00B45BAB">
      <w:pPr>
        <w:rPr>
          <w:rFonts w:ascii="Arial" w:hAnsi="Arial" w:cs="Arial"/>
          <w:sz w:val="20"/>
          <w:szCs w:val="20"/>
        </w:rPr>
      </w:pPr>
      <w:r w:rsidRPr="0001336B">
        <w:rPr>
          <w:rFonts w:ascii="Arial" w:hAnsi="Arial" w:cs="Arial"/>
          <w:noProof/>
          <w:sz w:val="20"/>
          <w:szCs w:val="20"/>
          <w:lang w:val="de-CH"/>
        </w:rPr>
        <w:drawing>
          <wp:anchor distT="0" distB="0" distL="114300" distR="114300" simplePos="0" relativeHeight="251658243" behindDoc="1" locked="0" layoutInCell="1" allowOverlap="1" wp14:anchorId="0AEF8F5E" wp14:editId="2D313990">
            <wp:simplePos x="0" y="0"/>
            <wp:positionH relativeFrom="margin">
              <wp:align>left</wp:align>
            </wp:positionH>
            <wp:positionV relativeFrom="paragraph">
              <wp:posOffset>1228090</wp:posOffset>
            </wp:positionV>
            <wp:extent cx="4413250" cy="1203960"/>
            <wp:effectExtent l="0" t="0" r="6350" b="0"/>
            <wp:wrapSquare wrapText="bothSides"/>
            <wp:docPr id="53329929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16927" cy="12052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5BAB" w:rsidRPr="0001336B">
        <w:rPr>
          <w:rFonts w:ascii="Arial" w:hAnsi="Arial" w:cs="Arial"/>
          <w:b/>
          <w:noProof/>
          <w:sz w:val="20"/>
          <w:szCs w:val="20"/>
          <w:u w:val="single"/>
          <w:lang w:val="de-CH"/>
        </w:rPr>
        <w:drawing>
          <wp:anchor distT="0" distB="0" distL="114300" distR="114300" simplePos="0" relativeHeight="251658240" behindDoc="0" locked="0" layoutInCell="1" allowOverlap="1" wp14:anchorId="6D4219B0" wp14:editId="1BE06781">
            <wp:simplePos x="0" y="0"/>
            <wp:positionH relativeFrom="margin">
              <wp:align>right</wp:align>
            </wp:positionH>
            <wp:positionV relativeFrom="paragraph">
              <wp:posOffset>3810</wp:posOffset>
            </wp:positionV>
            <wp:extent cx="4251325" cy="2159000"/>
            <wp:effectExtent l="0" t="0" r="0" b="0"/>
            <wp:wrapSquare wrapText="bothSides"/>
            <wp:docPr id="981557429" name="Picture 33"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57429" name="Picture 33" descr="A graph of different colored lines&#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51325" cy="215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5BAB" w:rsidRPr="0001336B">
        <w:rPr>
          <w:rFonts w:ascii="Arial" w:hAnsi="Arial" w:cs="Arial"/>
          <w:sz w:val="20"/>
          <w:szCs w:val="20"/>
        </w:rPr>
        <w:t xml:space="preserve">The performance of CAT bonds, as evidenced by the </w:t>
      </w:r>
      <w:r w:rsidR="00B45BAB" w:rsidRPr="0001336B">
        <w:rPr>
          <w:rFonts w:ascii="Arial" w:hAnsi="Arial" w:cs="Arial"/>
          <w:b/>
          <w:bCs/>
          <w:sz w:val="20"/>
          <w:szCs w:val="20"/>
        </w:rPr>
        <w:t>Swiss Re CAT Bond Total Return Index</w:t>
      </w:r>
      <w:r w:rsidR="00B45BAB" w:rsidRPr="0001336B">
        <w:rPr>
          <w:rFonts w:ascii="Arial" w:hAnsi="Arial" w:cs="Arial"/>
          <w:sz w:val="20"/>
          <w:szCs w:val="20"/>
        </w:rPr>
        <w:t xml:space="preserve"> (see graph to the right, source: Bloomberg) has been attractive compared to other asset classes. CAT bonds have demonstrated a positive contribution to portfolio performance, highlighting their merit relative to other investment options.</w:t>
      </w:r>
      <w:r w:rsidR="00B45BAB" w:rsidRPr="0001336B">
        <w:rPr>
          <w:rFonts w:ascii="Arial" w:hAnsi="Arial" w:cs="Arial"/>
          <w:b/>
          <w:sz w:val="20"/>
          <w:szCs w:val="20"/>
          <w:lang w:val="en-US"/>
        </w:rPr>
        <w:t xml:space="preserve"> </w:t>
      </w:r>
      <w:r w:rsidR="00B45BAB" w:rsidRPr="0001336B">
        <w:rPr>
          <w:rFonts w:ascii="Arial" w:hAnsi="Arial" w:cs="Arial"/>
          <w:sz w:val="20"/>
          <w:szCs w:val="20"/>
          <w:lang w:val="en-US"/>
        </w:rPr>
        <w:t>Also the correlation of CAT Bonds vs. other asset classes is low as evidenced by the correlation matrix below (source: Bloomberg).</w:t>
      </w:r>
    </w:p>
    <w:p w14:paraId="6EBB0B57" w14:textId="5AFC99BB" w:rsidR="00B45BAB" w:rsidRPr="0001336B" w:rsidRDefault="00B45BAB" w:rsidP="00B45BAB">
      <w:pPr>
        <w:pStyle w:val="ListParagraph"/>
        <w:ind w:left="1440"/>
        <w:rPr>
          <w:rFonts w:ascii="Arial" w:hAnsi="Arial" w:cs="Arial"/>
          <w:sz w:val="20"/>
          <w:szCs w:val="20"/>
          <w:lang w:val="en-GB"/>
        </w:rPr>
      </w:pPr>
    </w:p>
    <w:p w14:paraId="18AEFC86" w14:textId="77777777" w:rsidR="00B45BAB" w:rsidRPr="0001336B" w:rsidRDefault="00B45BAB" w:rsidP="00B45BAB">
      <w:pPr>
        <w:rPr>
          <w:rFonts w:ascii="Arial" w:hAnsi="Arial" w:cs="Arial"/>
          <w:sz w:val="20"/>
          <w:szCs w:val="20"/>
        </w:rPr>
      </w:pPr>
    </w:p>
    <w:p w14:paraId="0C1A5429" w14:textId="77777777" w:rsidR="00B45BAB" w:rsidRPr="0001336B" w:rsidRDefault="00B45BAB" w:rsidP="00B45BAB">
      <w:pPr>
        <w:rPr>
          <w:rFonts w:ascii="Arial" w:hAnsi="Arial" w:cs="Arial"/>
          <w:b/>
          <w:sz w:val="20"/>
          <w:szCs w:val="20"/>
          <w:lang w:val="en-US"/>
        </w:rPr>
      </w:pPr>
    </w:p>
    <w:p w14:paraId="72AF1B5A" w14:textId="5D7AA4C5" w:rsidR="00B45BAB" w:rsidRPr="0001336B" w:rsidRDefault="004C0316" w:rsidP="00B45BAB">
      <w:pPr>
        <w:rPr>
          <w:rFonts w:ascii="Arial" w:hAnsi="Arial" w:cs="Arial"/>
          <w:b/>
          <w:sz w:val="20"/>
          <w:szCs w:val="20"/>
        </w:rPr>
      </w:pPr>
      <w:r w:rsidRPr="0001336B">
        <w:rPr>
          <w:rFonts w:ascii="Arial" w:hAnsi="Arial" w:cs="Arial"/>
          <w:noProof/>
          <w:sz w:val="20"/>
          <w:szCs w:val="20"/>
          <w:lang w:val="de-CH"/>
        </w:rPr>
        <w:lastRenderedPageBreak/>
        <w:drawing>
          <wp:anchor distT="0" distB="0" distL="114300" distR="114300" simplePos="0" relativeHeight="251658241" behindDoc="0" locked="0" layoutInCell="1" allowOverlap="1" wp14:anchorId="0FC50A4B" wp14:editId="603D16B7">
            <wp:simplePos x="0" y="0"/>
            <wp:positionH relativeFrom="margin">
              <wp:posOffset>3614420</wp:posOffset>
            </wp:positionH>
            <wp:positionV relativeFrom="paragraph">
              <wp:posOffset>726440</wp:posOffset>
            </wp:positionV>
            <wp:extent cx="5248275" cy="2476500"/>
            <wp:effectExtent l="19050" t="19050" r="28575" b="19050"/>
            <wp:wrapSquare wrapText="bothSides"/>
            <wp:docPr id="1909403221" name="Picture 28"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403221" name="Picture 28" descr="A screenshot of a computer screen&#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48275" cy="2476500"/>
                    </a:xfrm>
                    <a:prstGeom prst="rect">
                      <a:avLst/>
                    </a:prstGeom>
                    <a:noFill/>
                    <a:ln w="9525"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r w:rsidR="00B45BAB" w:rsidRPr="0001336B">
        <w:rPr>
          <w:rFonts w:ascii="Arial" w:hAnsi="Arial" w:cs="Arial"/>
          <w:bCs/>
          <w:sz w:val="20"/>
          <w:szCs w:val="20"/>
        </w:rPr>
        <w:t>(ii) CAT Bonds help to close the protection gap. I</w:t>
      </w:r>
      <w:r w:rsidR="00B45BAB" w:rsidRPr="0001336B">
        <w:rPr>
          <w:rFonts w:ascii="Arial" w:hAnsi="Arial" w:cs="Arial"/>
          <w:sz w:val="20"/>
          <w:szCs w:val="20"/>
        </w:rPr>
        <w:t xml:space="preserve">ncreasing the availability of reinsurance capacity makes insuring risks easier and more affordable. The ECB and EIOPA in their </w:t>
      </w:r>
      <w:hyperlink r:id="rId28" w:history="1">
        <w:r w:rsidR="00B45BAB" w:rsidRPr="0001336B">
          <w:rPr>
            <w:rStyle w:val="Hyperlink"/>
            <w:rFonts w:ascii="Arial" w:hAnsi="Arial" w:cs="Arial"/>
            <w:sz w:val="20"/>
            <w:szCs w:val="20"/>
          </w:rPr>
          <w:t>Discussion Paper on Policy Options to Reduce the Climate Insurance Protection Gap</w:t>
        </w:r>
      </w:hyperlink>
      <w:r w:rsidR="00B45BAB" w:rsidRPr="0001336B">
        <w:rPr>
          <w:rFonts w:ascii="Arial" w:hAnsi="Arial" w:cs="Arial"/>
          <w:sz w:val="20"/>
          <w:szCs w:val="20"/>
        </w:rPr>
        <w:t xml:space="preserve"> (April 2023) propose a "ladder approach" in which private (re)insurance serves as the first line of </w:t>
      </w:r>
      <w:proofErr w:type="spellStart"/>
      <w:r w:rsidR="00B45BAB" w:rsidRPr="0001336B">
        <w:rPr>
          <w:rFonts w:ascii="Arial" w:hAnsi="Arial" w:cs="Arial"/>
          <w:sz w:val="20"/>
          <w:szCs w:val="20"/>
        </w:rPr>
        <w:t>defense</w:t>
      </w:r>
      <w:proofErr w:type="spellEnd"/>
      <w:r w:rsidR="00B45BAB" w:rsidRPr="0001336B">
        <w:rPr>
          <w:rFonts w:ascii="Arial" w:hAnsi="Arial" w:cs="Arial"/>
          <w:sz w:val="20"/>
          <w:szCs w:val="20"/>
        </w:rPr>
        <w:t xml:space="preserve"> for covering losses from climate-related natural disasters, while the use of financial markets to transfer risks through cat bonds is suggested to support the reinsurance of such risks. The graph below, taken from that paper, illustrates the proposed ladder approach, which includes the role of CAT bonds. </w:t>
      </w:r>
    </w:p>
    <w:p w14:paraId="42B93E09" w14:textId="06509BEE" w:rsidR="00B45BAB" w:rsidRPr="0001336B" w:rsidRDefault="00B45BAB" w:rsidP="00B45BAB">
      <w:pPr>
        <w:rPr>
          <w:rFonts w:ascii="Arial" w:hAnsi="Arial" w:cs="Arial"/>
          <w:b/>
          <w:sz w:val="20"/>
          <w:szCs w:val="20"/>
        </w:rPr>
      </w:pPr>
      <w:r w:rsidRPr="0001336B">
        <w:rPr>
          <w:rFonts w:ascii="Arial" w:hAnsi="Arial" w:cs="Arial"/>
          <w:sz w:val="20"/>
          <w:szCs w:val="20"/>
        </w:rPr>
        <w:t>The ECB and EIOPA note that “c</w:t>
      </w:r>
      <w:r w:rsidRPr="0001336B">
        <w:rPr>
          <w:rFonts w:ascii="Arial" w:hAnsi="Arial" w:cs="Arial"/>
          <w:i/>
          <w:iCs/>
          <w:sz w:val="20"/>
          <w:szCs w:val="20"/>
        </w:rPr>
        <w:t>apital market instruments, such as cat bonds, can complement insurance schemes to provide prompt liquidity for reconstruction after disasters. They can also help to pass on part of the tail risk assumed by private (re)insurers and/or PPPs to capital markets. Capital market instruments, which are often used together with traditional reinsurance, provide two key benefits: (</w:t>
      </w:r>
      <w:proofErr w:type="spellStart"/>
      <w:r w:rsidRPr="0001336B">
        <w:rPr>
          <w:rFonts w:ascii="Arial" w:hAnsi="Arial" w:cs="Arial"/>
          <w:i/>
          <w:iCs/>
          <w:sz w:val="20"/>
          <w:szCs w:val="20"/>
        </w:rPr>
        <w:t>i</w:t>
      </w:r>
      <w:proofErr w:type="spellEnd"/>
      <w:r w:rsidRPr="0001336B">
        <w:rPr>
          <w:rFonts w:ascii="Arial" w:hAnsi="Arial" w:cs="Arial"/>
          <w:i/>
          <w:iCs/>
          <w:sz w:val="20"/>
          <w:szCs w:val="20"/>
        </w:rPr>
        <w:t>) diversification in the form of an alternative source of capital and (ii) a lower premium for overall coverage.”</w:t>
      </w:r>
      <w:r w:rsidRPr="0001336B">
        <w:rPr>
          <w:rFonts w:ascii="Arial" w:hAnsi="Arial" w:cs="Arial"/>
          <w:sz w:val="20"/>
          <w:szCs w:val="20"/>
        </w:rPr>
        <w:t xml:space="preserve"> They suggest that </w:t>
      </w:r>
      <w:r w:rsidRPr="0001336B">
        <w:rPr>
          <w:rFonts w:ascii="Arial" w:hAnsi="Arial" w:cs="Arial"/>
          <w:i/>
          <w:iCs/>
          <w:sz w:val="20"/>
          <w:szCs w:val="20"/>
        </w:rPr>
        <w:t>“Policy measures could be undertaken at both national and EU level to foster greater and more effective use of cat bond markets in both the private and public sector, thereby helping to reduce the climate insurance protection gap.”</w:t>
      </w:r>
    </w:p>
    <w:p w14:paraId="578DC04D" w14:textId="77777777" w:rsidR="00B45BAB" w:rsidRPr="0001336B" w:rsidRDefault="00B45BAB" w:rsidP="00B45BAB">
      <w:pPr>
        <w:pStyle w:val="ListParagraph"/>
        <w:ind w:left="1080"/>
        <w:rPr>
          <w:rFonts w:ascii="Arial" w:hAnsi="Arial" w:cs="Arial"/>
          <w:b/>
          <w:sz w:val="20"/>
          <w:szCs w:val="20"/>
          <w:lang w:val="en-GB"/>
        </w:rPr>
      </w:pPr>
    </w:p>
    <w:p w14:paraId="74172C6D" w14:textId="77777777" w:rsidR="00B45BAB" w:rsidRPr="0001336B" w:rsidRDefault="00B45BAB" w:rsidP="00B45BAB">
      <w:pPr>
        <w:rPr>
          <w:rFonts w:ascii="Arial" w:hAnsi="Arial" w:cs="Arial"/>
          <w:bCs/>
          <w:sz w:val="20"/>
          <w:szCs w:val="20"/>
        </w:rPr>
      </w:pPr>
    </w:p>
    <w:p w14:paraId="3810455D" w14:textId="77777777" w:rsidR="00B45BAB" w:rsidRPr="0001336B" w:rsidRDefault="00B45BAB" w:rsidP="00B45BAB">
      <w:pPr>
        <w:rPr>
          <w:rFonts w:ascii="Arial" w:hAnsi="Arial" w:cs="Arial"/>
          <w:bCs/>
          <w:sz w:val="20"/>
          <w:szCs w:val="20"/>
        </w:rPr>
      </w:pPr>
    </w:p>
    <w:p w14:paraId="6341CCB0" w14:textId="77777777" w:rsidR="00B45BAB" w:rsidRPr="0001336B" w:rsidRDefault="00B45BAB" w:rsidP="00B45BAB">
      <w:pPr>
        <w:rPr>
          <w:rFonts w:ascii="Arial" w:hAnsi="Arial" w:cs="Arial"/>
          <w:bCs/>
          <w:sz w:val="20"/>
          <w:szCs w:val="20"/>
        </w:rPr>
      </w:pPr>
    </w:p>
    <w:p w14:paraId="6E5655D9" w14:textId="77777777" w:rsidR="00B45BAB" w:rsidRDefault="00B45BAB" w:rsidP="00B45BAB">
      <w:pPr>
        <w:rPr>
          <w:rFonts w:ascii="Arial" w:hAnsi="Arial" w:cs="Arial"/>
          <w:bCs/>
          <w:sz w:val="20"/>
          <w:szCs w:val="20"/>
        </w:rPr>
      </w:pPr>
    </w:p>
    <w:p w14:paraId="1D06854F" w14:textId="77777777" w:rsidR="004C0316" w:rsidRDefault="004C0316" w:rsidP="00B45BAB">
      <w:pPr>
        <w:rPr>
          <w:rFonts w:ascii="Arial" w:hAnsi="Arial" w:cs="Arial"/>
          <w:bCs/>
          <w:sz w:val="20"/>
          <w:szCs w:val="20"/>
        </w:rPr>
      </w:pPr>
    </w:p>
    <w:p w14:paraId="7171AD5F" w14:textId="77777777" w:rsidR="004C0316" w:rsidRDefault="004C0316" w:rsidP="00B45BAB">
      <w:pPr>
        <w:rPr>
          <w:rFonts w:ascii="Arial" w:hAnsi="Arial" w:cs="Arial"/>
          <w:bCs/>
          <w:sz w:val="20"/>
          <w:szCs w:val="20"/>
        </w:rPr>
      </w:pPr>
    </w:p>
    <w:p w14:paraId="109CF2F4" w14:textId="77777777" w:rsidR="004C0316" w:rsidRPr="0001336B" w:rsidRDefault="004C0316" w:rsidP="00B45BAB">
      <w:pPr>
        <w:rPr>
          <w:rFonts w:ascii="Arial" w:hAnsi="Arial" w:cs="Arial"/>
          <w:bCs/>
          <w:sz w:val="20"/>
          <w:szCs w:val="20"/>
        </w:rPr>
      </w:pPr>
    </w:p>
    <w:p w14:paraId="012864D7" w14:textId="77777777" w:rsidR="00B45BAB" w:rsidRPr="0001336B" w:rsidRDefault="00B45BAB" w:rsidP="00B45BAB">
      <w:pPr>
        <w:rPr>
          <w:rFonts w:ascii="Arial" w:hAnsi="Arial" w:cs="Arial"/>
          <w:bCs/>
          <w:sz w:val="20"/>
          <w:szCs w:val="20"/>
        </w:rPr>
      </w:pPr>
    </w:p>
    <w:p w14:paraId="05B13B17" w14:textId="77777777" w:rsidR="00B45BAB" w:rsidRPr="0001336B" w:rsidRDefault="00B45BAB" w:rsidP="00B45BAB">
      <w:pPr>
        <w:rPr>
          <w:rFonts w:ascii="Arial" w:hAnsi="Arial" w:cs="Arial"/>
          <w:sz w:val="20"/>
          <w:szCs w:val="20"/>
        </w:rPr>
      </w:pPr>
      <w:r w:rsidRPr="0001336B">
        <w:rPr>
          <w:rFonts w:ascii="Arial" w:hAnsi="Arial" w:cs="Arial"/>
          <w:bCs/>
          <w:sz w:val="20"/>
          <w:szCs w:val="20"/>
        </w:rPr>
        <w:t>(iii) T</w:t>
      </w:r>
      <w:r w:rsidRPr="0001336B">
        <w:rPr>
          <w:rFonts w:ascii="Arial" w:hAnsi="Arial" w:cs="Arial"/>
          <w:sz w:val="20"/>
          <w:szCs w:val="20"/>
        </w:rPr>
        <w:t>he role cat bonds play in enhancing the resilience of societies, including in developing countries, has been recognised by the World Bank, which, through its International Bank for Reconstruction and Development (IBRD), has issued several CAT bonds aimed at insuring infrastructure losses following natural catastrophes. CAT bonds issued by the IBRD often serve as diversifiers in UCITS CAT bond funds. Without UCITS eligibility, the IBRD would be unable to rely on the CAT bond market as a significant source of capacity. This is reported also in the report, cited above, by the ECB and EIOPA. The World Bank has now facilitated USD 4.8bn in CAT Bonds,</w:t>
      </w:r>
      <w:r w:rsidRPr="0001336B">
        <w:rPr>
          <w:rFonts w:ascii="Arial" w:hAnsi="Arial" w:cs="Arial"/>
          <w:sz w:val="20"/>
          <w:szCs w:val="20"/>
          <w:vertAlign w:val="superscript"/>
        </w:rPr>
        <w:footnoteReference w:id="11"/>
      </w:r>
      <w:r w:rsidRPr="0001336B">
        <w:rPr>
          <w:rFonts w:ascii="Arial" w:hAnsi="Arial" w:cs="Arial"/>
          <w:sz w:val="20"/>
          <w:szCs w:val="20"/>
        </w:rPr>
        <w:t xml:space="preserve"> with the following CAT Bonds having so far been issued by the IBRD: </w:t>
      </w:r>
    </w:p>
    <w:p w14:paraId="7B34908F" w14:textId="77777777" w:rsidR="00B45BAB" w:rsidRPr="0001336B" w:rsidRDefault="00B45BAB" w:rsidP="00B45BAB">
      <w:pPr>
        <w:jc w:val="center"/>
        <w:rPr>
          <w:rFonts w:ascii="Arial" w:hAnsi="Arial" w:cs="Arial"/>
          <w:sz w:val="20"/>
          <w:szCs w:val="20"/>
        </w:rPr>
      </w:pPr>
      <w:r w:rsidRPr="0001336B">
        <w:rPr>
          <w:rFonts w:ascii="Arial" w:hAnsi="Arial" w:cs="Arial"/>
          <w:noProof/>
          <w:sz w:val="20"/>
          <w:szCs w:val="20"/>
          <w:lang w:val="de-CH"/>
        </w:rPr>
        <w:drawing>
          <wp:anchor distT="0" distB="0" distL="114300" distR="114300" simplePos="0" relativeHeight="251658249" behindDoc="0" locked="0" layoutInCell="1" allowOverlap="1" wp14:anchorId="52941DBB" wp14:editId="17455F8F">
            <wp:simplePos x="0" y="0"/>
            <wp:positionH relativeFrom="margin">
              <wp:align>left</wp:align>
            </wp:positionH>
            <wp:positionV relativeFrom="paragraph">
              <wp:posOffset>8890</wp:posOffset>
            </wp:positionV>
            <wp:extent cx="8386445" cy="1809750"/>
            <wp:effectExtent l="0" t="0" r="0" b="0"/>
            <wp:wrapSquare wrapText="bothSides"/>
            <wp:docPr id="27297815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386445"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9AB3EC" w14:textId="77777777" w:rsidR="00B45BAB" w:rsidRPr="0001336B" w:rsidRDefault="00B45BAB" w:rsidP="00B45BAB">
      <w:pPr>
        <w:rPr>
          <w:rFonts w:ascii="Arial" w:hAnsi="Arial" w:cs="Arial"/>
          <w:bCs/>
          <w:sz w:val="20"/>
          <w:szCs w:val="20"/>
        </w:rPr>
      </w:pPr>
    </w:p>
    <w:p w14:paraId="0BF5239A" w14:textId="77777777" w:rsidR="00B45BAB" w:rsidRPr="0001336B" w:rsidRDefault="00B45BAB" w:rsidP="00B45BAB">
      <w:pPr>
        <w:rPr>
          <w:rFonts w:ascii="Arial" w:hAnsi="Arial" w:cs="Arial"/>
          <w:bCs/>
          <w:sz w:val="20"/>
          <w:szCs w:val="20"/>
        </w:rPr>
      </w:pPr>
    </w:p>
    <w:p w14:paraId="56638DA1" w14:textId="77777777" w:rsidR="00B45BAB" w:rsidRPr="0001336B" w:rsidRDefault="00B45BAB" w:rsidP="00B45BAB">
      <w:pPr>
        <w:rPr>
          <w:rFonts w:ascii="Arial" w:hAnsi="Arial" w:cs="Arial"/>
          <w:bCs/>
          <w:sz w:val="20"/>
          <w:szCs w:val="20"/>
        </w:rPr>
      </w:pPr>
    </w:p>
    <w:p w14:paraId="443D4CA7" w14:textId="77777777" w:rsidR="00B45BAB" w:rsidRPr="0001336B" w:rsidRDefault="00B45BAB" w:rsidP="00B45BAB">
      <w:pPr>
        <w:rPr>
          <w:rFonts w:ascii="Arial" w:hAnsi="Arial" w:cs="Arial"/>
          <w:bCs/>
          <w:sz w:val="20"/>
          <w:szCs w:val="20"/>
        </w:rPr>
      </w:pPr>
    </w:p>
    <w:p w14:paraId="7EB28379" w14:textId="77777777" w:rsidR="00B45BAB" w:rsidRPr="0001336B" w:rsidRDefault="00B45BAB" w:rsidP="00B45BAB">
      <w:pPr>
        <w:rPr>
          <w:rFonts w:ascii="Arial" w:hAnsi="Arial" w:cs="Arial"/>
          <w:bCs/>
          <w:sz w:val="20"/>
          <w:szCs w:val="20"/>
        </w:rPr>
      </w:pPr>
    </w:p>
    <w:p w14:paraId="216AACE0" w14:textId="77777777" w:rsidR="00B45BAB" w:rsidRPr="0001336B" w:rsidRDefault="00B45BAB" w:rsidP="00B45BAB">
      <w:pPr>
        <w:rPr>
          <w:rFonts w:ascii="Arial" w:hAnsi="Arial" w:cs="Arial"/>
          <w:bCs/>
          <w:sz w:val="20"/>
          <w:szCs w:val="20"/>
        </w:rPr>
      </w:pPr>
    </w:p>
    <w:p w14:paraId="1476C0DB" w14:textId="77777777" w:rsidR="00B45BAB" w:rsidRPr="0001336B" w:rsidRDefault="00B45BAB" w:rsidP="00B45BAB">
      <w:pPr>
        <w:rPr>
          <w:rFonts w:ascii="Arial" w:hAnsi="Arial" w:cs="Arial"/>
          <w:bCs/>
          <w:sz w:val="20"/>
          <w:szCs w:val="20"/>
        </w:rPr>
      </w:pPr>
      <w:r w:rsidRPr="0001336B">
        <w:rPr>
          <w:rFonts w:ascii="Arial" w:hAnsi="Arial" w:cs="Arial"/>
          <w:bCs/>
          <w:sz w:val="20"/>
          <w:szCs w:val="20"/>
        </w:rPr>
        <w:t>(iv) CAT Bonds help to make the insurance industry more resilient. T</w:t>
      </w:r>
      <w:r w:rsidRPr="0001336B">
        <w:rPr>
          <w:rFonts w:ascii="Arial" w:hAnsi="Arial" w:cs="Arial"/>
          <w:sz w:val="20"/>
          <w:szCs w:val="20"/>
        </w:rPr>
        <w:t>ypically sitting at the upper end of a cedents reinsurance program, they provide a valuable source of claims paying capacity in very severe scenarios and hence help to keep the insurance and reinsurance industry solvent during these scenarios.</w:t>
      </w:r>
    </w:p>
    <w:p w14:paraId="2AD13CDE" w14:textId="77777777" w:rsidR="00B45BAB" w:rsidRPr="0001336B" w:rsidRDefault="00B45BAB" w:rsidP="00B45BAB">
      <w:pPr>
        <w:rPr>
          <w:rFonts w:ascii="Arial" w:hAnsi="Arial" w:cs="Arial"/>
          <w:b/>
          <w:bCs/>
          <w:sz w:val="20"/>
          <w:szCs w:val="20"/>
        </w:rPr>
      </w:pPr>
    </w:p>
    <w:p w14:paraId="3818EA0A" w14:textId="77777777" w:rsidR="00B45BAB" w:rsidRPr="0001336B" w:rsidRDefault="00B45BAB" w:rsidP="00B45BAB">
      <w:pPr>
        <w:rPr>
          <w:rFonts w:ascii="Arial" w:hAnsi="Arial" w:cs="Arial"/>
          <w:sz w:val="20"/>
          <w:szCs w:val="20"/>
        </w:rPr>
      </w:pPr>
      <w:r w:rsidRPr="0001336B">
        <w:rPr>
          <w:rFonts w:ascii="Arial" w:hAnsi="Arial" w:cs="Arial"/>
          <w:bCs/>
          <w:noProof/>
          <w:sz w:val="20"/>
          <w:szCs w:val="20"/>
          <w:lang w:val="de-CH"/>
        </w:rPr>
        <w:lastRenderedPageBreak/>
        <w:drawing>
          <wp:anchor distT="0" distB="0" distL="114300" distR="114300" simplePos="0" relativeHeight="251658246" behindDoc="0" locked="0" layoutInCell="1" allowOverlap="1" wp14:anchorId="5B6FB582" wp14:editId="67931DC8">
            <wp:simplePos x="0" y="0"/>
            <wp:positionH relativeFrom="margin">
              <wp:posOffset>4958080</wp:posOffset>
            </wp:positionH>
            <wp:positionV relativeFrom="paragraph">
              <wp:posOffset>28575</wp:posOffset>
            </wp:positionV>
            <wp:extent cx="4218940" cy="2114550"/>
            <wp:effectExtent l="19050" t="19050" r="10160" b="19050"/>
            <wp:wrapSquare wrapText="bothSides"/>
            <wp:docPr id="1749774329" name="Picture 22" descr="A graph showing a line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774329" name="Picture 22" descr="A graph showing a line graph&#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218940" cy="2114550"/>
                    </a:xfrm>
                    <a:prstGeom prst="rect">
                      <a:avLst/>
                    </a:prstGeom>
                    <a:noFill/>
                    <a:ln w="9525"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r w:rsidRPr="0001336B">
        <w:rPr>
          <w:rFonts w:ascii="Arial" w:hAnsi="Arial" w:cs="Arial"/>
          <w:bCs/>
          <w:sz w:val="20"/>
          <w:szCs w:val="20"/>
        </w:rPr>
        <w:t>In terms of the extent/amount of existing UCITS exposures,</w:t>
      </w:r>
      <w:r w:rsidRPr="0001336B">
        <w:rPr>
          <w:rFonts w:ascii="Arial" w:hAnsi="Arial" w:cs="Arial"/>
          <w:b/>
          <w:sz w:val="20"/>
          <w:szCs w:val="20"/>
        </w:rPr>
        <w:t xml:space="preserve"> </w:t>
      </w:r>
      <w:r w:rsidRPr="0001336B">
        <w:rPr>
          <w:rFonts w:ascii="Arial" w:hAnsi="Arial" w:cs="Arial"/>
          <w:sz w:val="20"/>
          <w:szCs w:val="20"/>
        </w:rPr>
        <w:t>the market for UCITS CAT Bond Funds has grown since 2010 to over USD 10bn. At the end of 2023, there were 14 UCITS CAT Bond Funds, with 2 additional funds having since been launched. About a quarter of all outstanding cat bonds is held by UCITS regulated cat bond funds.</w:t>
      </w:r>
      <w:r w:rsidRPr="0001336B">
        <w:rPr>
          <w:rStyle w:val="FootnoteReference"/>
          <w:rFonts w:ascii="Arial" w:hAnsi="Arial" w:cs="Arial"/>
          <w:sz w:val="20"/>
          <w:szCs w:val="20"/>
        </w:rPr>
        <w:footnoteReference w:id="12"/>
      </w:r>
      <w:r w:rsidRPr="0001336B">
        <w:rPr>
          <w:rFonts w:ascii="Arial" w:hAnsi="Arial" w:cs="Arial"/>
          <w:sz w:val="20"/>
          <w:szCs w:val="20"/>
        </w:rPr>
        <w:t xml:space="preserve"> Since 2010, this market has grown strongly. As of December 31st, 2023, total assets under management (</w:t>
      </w:r>
      <w:proofErr w:type="spellStart"/>
      <w:r w:rsidRPr="0001336B">
        <w:rPr>
          <w:rFonts w:ascii="Arial" w:hAnsi="Arial" w:cs="Arial"/>
          <w:sz w:val="20"/>
          <w:szCs w:val="20"/>
        </w:rPr>
        <w:t>AuM</w:t>
      </w:r>
      <w:proofErr w:type="spellEnd"/>
      <w:r w:rsidRPr="0001336B">
        <w:rPr>
          <w:rFonts w:ascii="Arial" w:hAnsi="Arial" w:cs="Arial"/>
          <w:sz w:val="20"/>
          <w:szCs w:val="20"/>
        </w:rPr>
        <w:t>) of all cat bond UCITS funds reached $10.9 billion, in a $45 billion CAT bond market (Source: Artemis.bm).</w:t>
      </w:r>
    </w:p>
    <w:p w14:paraId="2ED74FDC" w14:textId="77777777" w:rsidR="00B45BAB" w:rsidRPr="0001336B" w:rsidRDefault="00B45BAB" w:rsidP="00B45BAB">
      <w:pPr>
        <w:rPr>
          <w:rFonts w:ascii="Arial" w:hAnsi="Arial" w:cs="Arial"/>
          <w:sz w:val="20"/>
          <w:szCs w:val="20"/>
        </w:rPr>
      </w:pPr>
      <w:r w:rsidRPr="0001336B">
        <w:rPr>
          <w:rFonts w:ascii="Arial" w:hAnsi="Arial" w:cs="Arial"/>
          <w:bCs/>
          <w:noProof/>
          <w:sz w:val="20"/>
          <w:szCs w:val="20"/>
          <w:lang w:val="de-CH"/>
        </w:rPr>
        <w:drawing>
          <wp:anchor distT="0" distB="0" distL="114300" distR="114300" simplePos="0" relativeHeight="251658248" behindDoc="0" locked="0" layoutInCell="1" allowOverlap="1" wp14:anchorId="11EA6E88" wp14:editId="7DD9C295">
            <wp:simplePos x="0" y="0"/>
            <wp:positionH relativeFrom="column">
              <wp:posOffset>5554980</wp:posOffset>
            </wp:positionH>
            <wp:positionV relativeFrom="paragraph">
              <wp:posOffset>1068070</wp:posOffset>
            </wp:positionV>
            <wp:extent cx="3638550" cy="2166959"/>
            <wp:effectExtent l="19050" t="19050" r="19050" b="24130"/>
            <wp:wrapSquare wrapText="bothSides"/>
            <wp:docPr id="495953030" name="Picture 21" descr="A graph of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953030" name="Picture 21" descr="A graph of a number of numbers&#10;&#10;Description automatically generated with medium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38550" cy="2166959"/>
                    </a:xfrm>
                    <a:prstGeom prst="rect">
                      <a:avLst/>
                    </a:prstGeom>
                    <a:noFill/>
                    <a:ln w="9525" cmpd="sng">
                      <a:solidFill>
                        <a:srgbClr val="000000"/>
                      </a:solidFill>
                      <a:miter lim="800000"/>
                      <a:headEnd/>
                      <a:tailEnd/>
                    </a:ln>
                    <a:effectLst/>
                  </pic:spPr>
                </pic:pic>
              </a:graphicData>
            </a:graphic>
          </wp:anchor>
        </w:drawing>
      </w:r>
      <w:r w:rsidRPr="0001336B">
        <w:rPr>
          <w:rFonts w:ascii="Arial" w:hAnsi="Arial" w:cs="Arial"/>
          <w:bCs/>
          <w:sz w:val="20"/>
          <w:szCs w:val="20"/>
        </w:rPr>
        <w:t>With respect to liquidity,</w:t>
      </w:r>
      <w:r w:rsidRPr="0001336B">
        <w:rPr>
          <w:rFonts w:ascii="Arial" w:hAnsi="Arial" w:cs="Arial"/>
          <w:sz w:val="20"/>
          <w:szCs w:val="20"/>
        </w:rPr>
        <w:t xml:space="preserve"> there is a strong secondary market for cat bonds, which operates as an OTC market with brokers primarily based in the US and Europe. US brokers typically report their trade volumes to TRACE. The daily traded volumes in the cat bond market from April 9 to June 14 are depicted in the chart on the right (Source: Bloomberg). During this period, TRACE reported 832 trades with a total volume of USD 2.6 billion, representing approximately 5% of the entire cat bond market.</w:t>
      </w:r>
    </w:p>
    <w:p w14:paraId="151F76AD" w14:textId="77777777" w:rsidR="00B45BAB" w:rsidRPr="0001336B" w:rsidRDefault="00B45BAB" w:rsidP="00B45BAB">
      <w:pPr>
        <w:rPr>
          <w:rFonts w:ascii="Arial" w:hAnsi="Arial" w:cs="Arial"/>
          <w:sz w:val="20"/>
          <w:szCs w:val="20"/>
          <w:lang w:val="en-US"/>
        </w:rPr>
      </w:pPr>
      <w:r w:rsidRPr="0001336B">
        <w:rPr>
          <w:rFonts w:ascii="Arial" w:hAnsi="Arial" w:cs="Arial"/>
          <w:sz w:val="20"/>
          <w:szCs w:val="20"/>
        </w:rPr>
        <w:t>In addition to the traded volumes reported via TRACE, there are trades conducted by European brokers that are not reported. Cat bonds typically have a maturity of 3 years, meaning that one-third of the entire cat bond market matures each year, generating significant additional cash flows for fund managers. At the current market size, these maturities account for approximately USD 15 billion in annual cash flows. Additionally, fund managers receive coupon income on their investment, currently accounting for approximately another USD 6 billion.</w:t>
      </w:r>
      <w:r w:rsidRPr="0001336B">
        <w:rPr>
          <w:rFonts w:ascii="Arial" w:hAnsi="Arial" w:cs="Arial"/>
          <w:sz w:val="20"/>
          <w:szCs w:val="20"/>
          <w:lang w:val="en-US"/>
        </w:rPr>
        <w:t xml:space="preserve"> </w:t>
      </w:r>
      <w:r w:rsidRPr="0001336B">
        <w:rPr>
          <w:rFonts w:ascii="Arial" w:hAnsi="Arial" w:cs="Arial"/>
          <w:bCs/>
          <w:sz w:val="20"/>
          <w:szCs w:val="20"/>
        </w:rPr>
        <w:t>Considering both reported and unreported trading volumes, as well as the substantial cash flows from cat bond maturities and coupon income, cat bond UCITS funds benefit from ample liquidity throughout the year to honour redemptions.</w:t>
      </w:r>
    </w:p>
    <w:p w14:paraId="6BD18F9B" w14:textId="77777777" w:rsidR="004C269D" w:rsidRPr="0001336B" w:rsidRDefault="004C269D">
      <w:pPr>
        <w:rPr>
          <w:rFonts w:ascii="Arial" w:hAnsi="Arial" w:cs="Arial"/>
          <w:sz w:val="20"/>
          <w:szCs w:val="20"/>
          <w:lang w:val="en-US"/>
        </w:rPr>
      </w:pPr>
    </w:p>
    <w:sectPr w:rsidR="004C269D" w:rsidRPr="0001336B" w:rsidSect="00605FAA">
      <w:headerReference w:type="default" r:id="rId3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7742F" w14:textId="77777777" w:rsidR="00C365B4" w:rsidRDefault="00C365B4" w:rsidP="00B33432">
      <w:pPr>
        <w:spacing w:after="0" w:line="240" w:lineRule="auto"/>
      </w:pPr>
      <w:r>
        <w:separator/>
      </w:r>
    </w:p>
  </w:endnote>
  <w:endnote w:type="continuationSeparator" w:id="0">
    <w:p w14:paraId="1D7A5168" w14:textId="77777777" w:rsidR="00C365B4" w:rsidRDefault="00C365B4" w:rsidP="00B33432">
      <w:pPr>
        <w:spacing w:after="0" w:line="240" w:lineRule="auto"/>
      </w:pPr>
      <w:r>
        <w:continuationSeparator/>
      </w:r>
    </w:p>
  </w:endnote>
  <w:endnote w:type="continuationNotice" w:id="1">
    <w:p w14:paraId="0C5CAD5F" w14:textId="77777777" w:rsidR="00C365B4" w:rsidRDefault="00C365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6C4A4" w14:textId="77777777" w:rsidR="00C365B4" w:rsidRDefault="00C365B4" w:rsidP="00B33432">
      <w:pPr>
        <w:spacing w:after="0" w:line="240" w:lineRule="auto"/>
      </w:pPr>
      <w:r>
        <w:separator/>
      </w:r>
    </w:p>
  </w:footnote>
  <w:footnote w:type="continuationSeparator" w:id="0">
    <w:p w14:paraId="2E2DC553" w14:textId="77777777" w:rsidR="00C365B4" w:rsidRDefault="00C365B4" w:rsidP="00B33432">
      <w:pPr>
        <w:spacing w:after="0" w:line="240" w:lineRule="auto"/>
      </w:pPr>
      <w:r>
        <w:continuationSeparator/>
      </w:r>
    </w:p>
  </w:footnote>
  <w:footnote w:type="continuationNotice" w:id="1">
    <w:p w14:paraId="3BB012E9" w14:textId="77777777" w:rsidR="00C365B4" w:rsidRDefault="00C365B4">
      <w:pPr>
        <w:spacing w:after="0" w:line="240" w:lineRule="auto"/>
      </w:pPr>
    </w:p>
  </w:footnote>
  <w:footnote w:id="2">
    <w:p w14:paraId="53A506E4"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ESMA acknowledges that most of the asset classes listed below have not been clearly defined in EU legislation and this might be a source of divergent interpretations and misunderstandings. Where possible, ESMA invites stakeholders to specify their understanding or definition of the relevant asset classes under the “additional comments” box.</w:t>
      </w:r>
    </w:p>
  </w:footnote>
  <w:footnote w:id="3">
    <w:p w14:paraId="5DF96E01"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indirect exposures via instruments such as delta-one instruments, exchange-traded products, derivatives, or AIFs (EU or non-EU). </w:t>
      </w:r>
    </w:p>
  </w:footnote>
  <w:footnote w:id="4">
    <w:p w14:paraId="0C264AC6"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Please share any available data or estimates that help to assess the amount or extent to which there are existing UCITS exposures (distinguishing between direct and indirect, where possible) to these asset classes. Where no reliable data is available, ESMA would appreciate receiving estimates in terms of numbers and/or percentages of UCITS exposed to these asset classes and what is the average proportion in the relevant portfolios. Any additional data and insights on strategies, techniques and instruments used to gain exposure to these asset classes would be also highly appreciated.</w:t>
      </w:r>
    </w:p>
  </w:footnote>
  <w:footnote w:id="5">
    <w:p w14:paraId="5718C342"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Please include under this column any other evidence or views that you would like to share. </w:t>
      </w:r>
    </w:p>
  </w:footnote>
  <w:footnote w:id="6">
    <w:p w14:paraId="34D4CF9B" w14:textId="77777777" w:rsidR="00605FAA" w:rsidRPr="00332B8C" w:rsidRDefault="00605FAA"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leveraged/structured loans, collateralised loan obligations (CLOs) and other types of loans or loan participations (please specify).</w:t>
      </w:r>
    </w:p>
  </w:footnote>
  <w:footnote w:id="7">
    <w:p w14:paraId="48EF4E2A" w14:textId="77777777" w:rsidR="006D5487" w:rsidRPr="00332B8C" w:rsidRDefault="006D5487"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equity instruments issued by (1) </w:t>
      </w:r>
      <w:r w:rsidRPr="00332B8C">
        <w:rPr>
          <w:rFonts w:ascii="Arial" w:hAnsi="Arial" w:cs="Arial"/>
          <w:lang w:val="en-US"/>
        </w:rPr>
        <w:t>private companies and (2) shares in public companies that that are not listed.</w:t>
      </w:r>
    </w:p>
  </w:footnote>
  <w:footnote w:id="8">
    <w:p w14:paraId="156E5F12" w14:textId="77777777" w:rsidR="002257F6" w:rsidRPr="00332B8C" w:rsidRDefault="002257F6"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specify what type of crypto assets and whether the implementation of MICA will change anything in terms of your assessment. </w:t>
      </w:r>
      <w:bookmarkStart w:id="1" w:name="_Hlk163456352"/>
      <w:r w:rsidRPr="00332B8C">
        <w:rPr>
          <w:rFonts w:ascii="Arial" w:hAnsi="Arial" w:cs="Arial"/>
        </w:rPr>
        <w:t xml:space="preserve">With respect to indirect exposures, ESMA is particularly interested in stakeholder input on exchange-traded products including ETFs with crypto assets as an underlying. </w:t>
      </w:r>
      <w:bookmarkEnd w:id="1"/>
    </w:p>
  </w:footnote>
  <w:footnote w:id="9">
    <w:p w14:paraId="4A59E86A" w14:textId="77777777" w:rsidR="00C435F7" w:rsidRPr="00332B8C" w:rsidRDefault="00C435F7"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t>
      </w:r>
      <w:bookmarkStart w:id="2" w:name="_Hlk163456407"/>
      <w:r w:rsidRPr="00332B8C">
        <w:rPr>
          <w:rFonts w:ascii="Arial" w:hAnsi="Arial" w:cs="Arial"/>
        </w:rPr>
        <w:t>With respect to indirect exposures, ESMA is particularly interested in stakeholder input on ETFs with commodities/precious metals as underlying.</w:t>
      </w:r>
      <w:bookmarkEnd w:id="2"/>
      <w:r w:rsidRPr="00332B8C">
        <w:rPr>
          <w:rFonts w:ascii="Arial" w:hAnsi="Arial" w:cs="Arial"/>
        </w:rPr>
        <w:t xml:space="preserve"> Please note that under the current UCITS rules, precious metals and certificates representing them are not eligible (Article 50(2)(b) of the UCITS Directive).</w:t>
      </w:r>
    </w:p>
  </w:footnote>
  <w:footnote w:id="10">
    <w:p w14:paraId="09998020" w14:textId="77777777" w:rsidR="0017559D" w:rsidRPr="00332B8C" w:rsidRDefault="0017559D"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different types of AIFs (e.g. open-ended, closed-ended) and investment strategies (e.g. real estate, private equity, hedge funds). </w:t>
      </w:r>
    </w:p>
  </w:footnote>
  <w:footnote w:id="11">
    <w:p w14:paraId="150136D2" w14:textId="77777777" w:rsidR="00B45BAB" w:rsidRDefault="00B45BAB" w:rsidP="00B45BAB">
      <w:pPr>
        <w:pStyle w:val="FootnoteText"/>
      </w:pPr>
      <w:r>
        <w:rPr>
          <w:rStyle w:val="FootnoteReference"/>
        </w:rPr>
        <w:footnoteRef/>
      </w:r>
      <w:r>
        <w:t xml:space="preserve"> </w:t>
      </w:r>
      <w:r w:rsidRPr="004B2CD0">
        <w:rPr>
          <w:rFonts w:ascii="Arial" w:hAnsi="Arial" w:cs="Arial"/>
          <w:sz w:val="16"/>
          <w:szCs w:val="16"/>
        </w:rPr>
        <w:t>https://www.artemis.bm/news/world-bank-has-now-facilitated-over-us-4-8bn-in-catastrophe-bonds/</w:t>
      </w:r>
    </w:p>
  </w:footnote>
  <w:footnote w:id="12">
    <w:p w14:paraId="6AA0D095" w14:textId="77777777" w:rsidR="00B45BAB" w:rsidRPr="004B2CD0" w:rsidRDefault="00B45BAB" w:rsidP="00B45BAB">
      <w:pPr>
        <w:rPr>
          <w:rFonts w:ascii="Arial" w:hAnsi="Arial" w:cs="Arial"/>
          <w:sz w:val="16"/>
          <w:szCs w:val="16"/>
        </w:rPr>
      </w:pPr>
      <w:r>
        <w:rPr>
          <w:rStyle w:val="FootnoteReference"/>
        </w:rPr>
        <w:footnoteRef/>
      </w:r>
      <w:r>
        <w:t xml:space="preserve"> </w:t>
      </w:r>
      <w:r w:rsidRPr="004B2CD0">
        <w:rPr>
          <w:rFonts w:ascii="Arial" w:hAnsi="Arial" w:cs="Arial"/>
          <w:sz w:val="16"/>
          <w:szCs w:val="16"/>
        </w:rPr>
        <w:t xml:space="preserve">Source: Plenum Investments Ltd. CAT Bond Funds (UCITS) – Market Survey, Risk Rewards, Risk Patterns. June 2024. Available via email to: </w:t>
      </w:r>
      <w:hyperlink r:id="rId1" w:history="1">
        <w:r w:rsidRPr="004B2CD0">
          <w:rPr>
            <w:rStyle w:val="Hyperlink"/>
            <w:rFonts w:ascii="Arial" w:hAnsi="Arial" w:cs="Arial"/>
            <w:sz w:val="16"/>
            <w:szCs w:val="16"/>
          </w:rPr>
          <w:t>info@plenum.ch</w:t>
        </w:r>
      </w:hyperlink>
      <w:r w:rsidRPr="004B2CD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BB383" w14:textId="77777777" w:rsidR="002D6186" w:rsidRPr="002D6186" w:rsidRDefault="002D6186" w:rsidP="002D6186">
    <w:pPr>
      <w:tabs>
        <w:tab w:val="center" w:pos="4513"/>
        <w:tab w:val="right" w:pos="9026"/>
      </w:tabs>
      <w:spacing w:after="0" w:line="240" w:lineRule="auto"/>
      <w:jc w:val="right"/>
      <w:rPr>
        <w:rFonts w:ascii="Arial" w:eastAsia="MS PGothic" w:hAnsi="Arial" w:cs="Arial"/>
        <w:bCs/>
        <w:caps/>
        <w:color w:val="FF0000"/>
        <w:szCs w:val="20"/>
      </w:rPr>
    </w:pPr>
    <w:r w:rsidRPr="002D6186">
      <w:rPr>
        <w:rFonts w:ascii="Arial" w:eastAsia="MS PGothic" w:hAnsi="Arial" w:cs="Arial"/>
        <w:bCs/>
        <w:caps/>
        <w:noProof/>
        <w:color w:val="FF0000"/>
        <w:szCs w:val="20"/>
      </w:rPr>
      <w:drawing>
        <wp:anchor distT="0" distB="0" distL="114300" distR="114300" simplePos="0" relativeHeight="251658240" behindDoc="0" locked="0" layoutInCell="1" allowOverlap="1" wp14:anchorId="6009BBBF" wp14:editId="70747D81">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Pr="002D6186">
      <w:rPr>
        <w:rFonts w:ascii="Arial" w:eastAsia="MS PGothic" w:hAnsi="Arial" w:cs="Arial"/>
        <w:color w:val="001B4F"/>
        <w:sz w:val="16"/>
        <w:szCs w:val="20"/>
      </w:rPr>
      <w:t>7 May 2024</w:t>
    </w:r>
  </w:p>
  <w:p w14:paraId="3E32722B" w14:textId="5F6683E2" w:rsidR="002D6186" w:rsidRPr="002D6186" w:rsidRDefault="002D6186" w:rsidP="002D6186">
    <w:pPr>
      <w:tabs>
        <w:tab w:val="center" w:pos="4513"/>
        <w:tab w:val="right" w:pos="9026"/>
      </w:tabs>
      <w:spacing w:after="0" w:line="240" w:lineRule="auto"/>
      <w:jc w:val="right"/>
      <w:rPr>
        <w:rFonts w:ascii="Arial" w:eastAsia="MS PGothic" w:hAnsi="Arial" w:cs="Arial"/>
        <w:color w:val="001B4F"/>
        <w:sz w:val="16"/>
        <w:szCs w:val="20"/>
      </w:rPr>
    </w:pPr>
    <w:r w:rsidRPr="002D6186">
      <w:rPr>
        <w:rFonts w:ascii="Arial" w:eastAsia="MS PGothic" w:hAnsi="Arial" w:cs="Arial"/>
        <w:color w:val="001B4F"/>
        <w:sz w:val="16"/>
        <w:szCs w:val="20"/>
      </w:rPr>
      <w:t>ESMA 34-1270380148-10</w:t>
    </w:r>
    <w:r w:rsidR="00AF55C3">
      <w:rPr>
        <w:rFonts w:ascii="Arial" w:eastAsia="MS PGothic" w:hAnsi="Arial" w:cs="Arial"/>
        <w:color w:val="001B4F"/>
        <w:sz w:val="16"/>
        <w:szCs w:val="20"/>
      </w:rPr>
      <w:t>66</w:t>
    </w:r>
  </w:p>
  <w:p w14:paraId="3052C3B3" w14:textId="77777777" w:rsidR="002D6186" w:rsidRPr="002D6186" w:rsidRDefault="002D6186" w:rsidP="002D6186">
    <w:pPr>
      <w:spacing w:after="250" w:line="276" w:lineRule="auto"/>
      <w:jc w:val="both"/>
      <w:rPr>
        <w:rFonts w:ascii="Arial" w:eastAsia="MS PGothic" w:hAnsi="Arial" w:cs="Arial"/>
        <w:color w:val="181818"/>
        <w:szCs w:val="20"/>
      </w:rPr>
    </w:pPr>
  </w:p>
  <w:p w14:paraId="722A68F7" w14:textId="77777777" w:rsidR="002D6186" w:rsidRPr="002D6186" w:rsidRDefault="002D6186" w:rsidP="002D6186">
    <w:pPr>
      <w:spacing w:after="250" w:line="276" w:lineRule="auto"/>
      <w:jc w:val="both"/>
      <w:rPr>
        <w:rFonts w:ascii="Arial" w:eastAsia="MS PGothic" w:hAnsi="Arial" w:cs="Arial"/>
        <w:color w:val="181818"/>
        <w:szCs w:val="20"/>
      </w:rPr>
    </w:pPr>
  </w:p>
  <w:p w14:paraId="74BAAB78" w14:textId="588A28CA" w:rsidR="002D6186" w:rsidRPr="002D6186" w:rsidRDefault="002D6186" w:rsidP="002D6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32"/>
    <w:rsid w:val="0001336B"/>
    <w:rsid w:val="00023D31"/>
    <w:rsid w:val="00025A1B"/>
    <w:rsid w:val="00050BF8"/>
    <w:rsid w:val="00065543"/>
    <w:rsid w:val="00067CE6"/>
    <w:rsid w:val="000A7375"/>
    <w:rsid w:val="000D6E83"/>
    <w:rsid w:val="001301D9"/>
    <w:rsid w:val="0013676F"/>
    <w:rsid w:val="001462AD"/>
    <w:rsid w:val="00150222"/>
    <w:rsid w:val="00152FEF"/>
    <w:rsid w:val="00162CAE"/>
    <w:rsid w:val="001716F1"/>
    <w:rsid w:val="0017559D"/>
    <w:rsid w:val="0017743F"/>
    <w:rsid w:val="001A53B9"/>
    <w:rsid w:val="001B11A8"/>
    <w:rsid w:val="00203EF5"/>
    <w:rsid w:val="002072B4"/>
    <w:rsid w:val="002257F6"/>
    <w:rsid w:val="00243F87"/>
    <w:rsid w:val="0025199F"/>
    <w:rsid w:val="0026434D"/>
    <w:rsid w:val="00264F16"/>
    <w:rsid w:val="00266B15"/>
    <w:rsid w:val="002829AC"/>
    <w:rsid w:val="00282BD2"/>
    <w:rsid w:val="00290E24"/>
    <w:rsid w:val="002A740A"/>
    <w:rsid w:val="002D58CD"/>
    <w:rsid w:val="002D6186"/>
    <w:rsid w:val="002F58FB"/>
    <w:rsid w:val="00304E46"/>
    <w:rsid w:val="00305881"/>
    <w:rsid w:val="00332B8C"/>
    <w:rsid w:val="0035372F"/>
    <w:rsid w:val="00374659"/>
    <w:rsid w:val="00394809"/>
    <w:rsid w:val="003A6B50"/>
    <w:rsid w:val="003D2C3C"/>
    <w:rsid w:val="0040029B"/>
    <w:rsid w:val="004041C0"/>
    <w:rsid w:val="004664E3"/>
    <w:rsid w:val="00470FA5"/>
    <w:rsid w:val="0048151A"/>
    <w:rsid w:val="004B2CD0"/>
    <w:rsid w:val="004C0316"/>
    <w:rsid w:val="004C269D"/>
    <w:rsid w:val="004F280B"/>
    <w:rsid w:val="00501AC4"/>
    <w:rsid w:val="0050210B"/>
    <w:rsid w:val="00502D1C"/>
    <w:rsid w:val="0051598D"/>
    <w:rsid w:val="00523239"/>
    <w:rsid w:val="00537FD1"/>
    <w:rsid w:val="00544A7D"/>
    <w:rsid w:val="00546B72"/>
    <w:rsid w:val="00547252"/>
    <w:rsid w:val="00554F00"/>
    <w:rsid w:val="00556DBB"/>
    <w:rsid w:val="00557028"/>
    <w:rsid w:val="00580D8A"/>
    <w:rsid w:val="005846C0"/>
    <w:rsid w:val="00594512"/>
    <w:rsid w:val="005A35D5"/>
    <w:rsid w:val="005A6BF0"/>
    <w:rsid w:val="005C1551"/>
    <w:rsid w:val="005C347A"/>
    <w:rsid w:val="005E0910"/>
    <w:rsid w:val="005E31F2"/>
    <w:rsid w:val="005E75CC"/>
    <w:rsid w:val="00605E0B"/>
    <w:rsid w:val="00605FAA"/>
    <w:rsid w:val="00611825"/>
    <w:rsid w:val="0061475B"/>
    <w:rsid w:val="00654E41"/>
    <w:rsid w:val="0067113A"/>
    <w:rsid w:val="00686D73"/>
    <w:rsid w:val="006B6977"/>
    <w:rsid w:val="006B7B4A"/>
    <w:rsid w:val="006C47BC"/>
    <w:rsid w:val="006C7811"/>
    <w:rsid w:val="006D5487"/>
    <w:rsid w:val="006F43A1"/>
    <w:rsid w:val="00712439"/>
    <w:rsid w:val="00727B8E"/>
    <w:rsid w:val="00753DB8"/>
    <w:rsid w:val="00784D7C"/>
    <w:rsid w:val="00794019"/>
    <w:rsid w:val="0079715F"/>
    <w:rsid w:val="007A2E1E"/>
    <w:rsid w:val="007A589D"/>
    <w:rsid w:val="007F744B"/>
    <w:rsid w:val="00817444"/>
    <w:rsid w:val="008351CF"/>
    <w:rsid w:val="00847BDD"/>
    <w:rsid w:val="0087027F"/>
    <w:rsid w:val="008B6D19"/>
    <w:rsid w:val="008C4D04"/>
    <w:rsid w:val="008D1492"/>
    <w:rsid w:val="00901098"/>
    <w:rsid w:val="009017FD"/>
    <w:rsid w:val="00915CEE"/>
    <w:rsid w:val="00920E73"/>
    <w:rsid w:val="009212B4"/>
    <w:rsid w:val="009244B3"/>
    <w:rsid w:val="00951595"/>
    <w:rsid w:val="009609FD"/>
    <w:rsid w:val="00967D76"/>
    <w:rsid w:val="00971266"/>
    <w:rsid w:val="00995DAE"/>
    <w:rsid w:val="00997493"/>
    <w:rsid w:val="009A3E35"/>
    <w:rsid w:val="009B746B"/>
    <w:rsid w:val="009F7052"/>
    <w:rsid w:val="00A119B6"/>
    <w:rsid w:val="00A13DF5"/>
    <w:rsid w:val="00A338CF"/>
    <w:rsid w:val="00A35853"/>
    <w:rsid w:val="00A53BC9"/>
    <w:rsid w:val="00A73913"/>
    <w:rsid w:val="00A85F46"/>
    <w:rsid w:val="00A87C58"/>
    <w:rsid w:val="00AE6FD6"/>
    <w:rsid w:val="00AF3545"/>
    <w:rsid w:val="00AF55C3"/>
    <w:rsid w:val="00B01DB8"/>
    <w:rsid w:val="00B33432"/>
    <w:rsid w:val="00B45BAB"/>
    <w:rsid w:val="00B53F54"/>
    <w:rsid w:val="00B626E5"/>
    <w:rsid w:val="00B62E29"/>
    <w:rsid w:val="00BB49D8"/>
    <w:rsid w:val="00BC577D"/>
    <w:rsid w:val="00BD4295"/>
    <w:rsid w:val="00BD7454"/>
    <w:rsid w:val="00BF006B"/>
    <w:rsid w:val="00C00803"/>
    <w:rsid w:val="00C06FE4"/>
    <w:rsid w:val="00C202C8"/>
    <w:rsid w:val="00C242FA"/>
    <w:rsid w:val="00C365B4"/>
    <w:rsid w:val="00C36669"/>
    <w:rsid w:val="00C435F7"/>
    <w:rsid w:val="00C745C1"/>
    <w:rsid w:val="00C95659"/>
    <w:rsid w:val="00CB1B38"/>
    <w:rsid w:val="00CF043C"/>
    <w:rsid w:val="00CF0B7A"/>
    <w:rsid w:val="00D01FE5"/>
    <w:rsid w:val="00D10784"/>
    <w:rsid w:val="00D12113"/>
    <w:rsid w:val="00D16F57"/>
    <w:rsid w:val="00D45009"/>
    <w:rsid w:val="00D6002F"/>
    <w:rsid w:val="00D64553"/>
    <w:rsid w:val="00D86E5D"/>
    <w:rsid w:val="00DD67D7"/>
    <w:rsid w:val="00DF78BC"/>
    <w:rsid w:val="00E771B9"/>
    <w:rsid w:val="00E87C61"/>
    <w:rsid w:val="00E94029"/>
    <w:rsid w:val="00EC5981"/>
    <w:rsid w:val="00EE264F"/>
    <w:rsid w:val="00EE4C70"/>
    <w:rsid w:val="00EE5B1A"/>
    <w:rsid w:val="00EF2185"/>
    <w:rsid w:val="00F03868"/>
    <w:rsid w:val="00F03D56"/>
    <w:rsid w:val="00F042E8"/>
    <w:rsid w:val="00F278BC"/>
    <w:rsid w:val="00F5738E"/>
    <w:rsid w:val="00F74F0E"/>
    <w:rsid w:val="00F92D6A"/>
    <w:rsid w:val="00FB3EA8"/>
    <w:rsid w:val="00FC4846"/>
    <w:rsid w:val="00FD12FD"/>
    <w:rsid w:val="00FE6B1B"/>
    <w:rsid w:val="00FF17AE"/>
    <w:rsid w:val="06C380F5"/>
    <w:rsid w:val="095C8AB7"/>
    <w:rsid w:val="0CAEFC23"/>
    <w:rsid w:val="0EBCB8B4"/>
    <w:rsid w:val="1AFD8AD6"/>
    <w:rsid w:val="28CED790"/>
    <w:rsid w:val="2A636CE1"/>
    <w:rsid w:val="3DB91EF3"/>
    <w:rsid w:val="3FE99FEE"/>
    <w:rsid w:val="47F6D3D0"/>
    <w:rsid w:val="50D66E22"/>
    <w:rsid w:val="53D130EB"/>
    <w:rsid w:val="606EC105"/>
    <w:rsid w:val="66107C87"/>
    <w:rsid w:val="7C53680C"/>
    <w:rsid w:val="7D9B8A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D7B325"/>
  <w15:chartTrackingRefBased/>
  <w15:docId w15:val="{F0F16392-A36C-48A7-B6A1-DF2E3C58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34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3432"/>
    <w:rPr>
      <w:sz w:val="20"/>
      <w:szCs w:val="20"/>
    </w:rPr>
  </w:style>
  <w:style w:type="table" w:customStyle="1" w:styleId="Tablenone1">
    <w:name w:val="Table none1"/>
    <w:basedOn w:val="TableNormal"/>
    <w:next w:val="TableGrid"/>
    <w:uiPriority w:val="39"/>
    <w:rsid w:val="00B33432"/>
    <w:pPr>
      <w:spacing w:after="0" w:line="240" w:lineRule="auto"/>
    </w:pPr>
    <w:rPr>
      <w:rFonts w:eastAsia="MS PGothic"/>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1">
    <w:name w:val="Ref1"/>
    <w:basedOn w:val="DefaultParagraphFont"/>
    <w:link w:val="Superscript6Point"/>
    <w:uiPriority w:val="99"/>
    <w:unhideWhenUsed/>
    <w:qFormat/>
    <w:rsid w:val="00B33432"/>
    <w:rPr>
      <w:rFonts w:ascii="Arial" w:hAnsi="Arial"/>
      <w:sz w:val="16"/>
      <w:vertAlign w:val="superscript"/>
    </w:rPr>
  </w:style>
  <w:style w:type="paragraph" w:customStyle="1" w:styleId="Superscript6Point">
    <w:name w:val="Superscript 6 Point"/>
    <w:aliases w:val="Odwołanie przypisu,de nota al pie,footnote ref,2001+ Fußnotenzeichen, Exposant 3 Point,BVI fnr Знак Знак,BVI fnr Car Car Знак Знак,BVI fnr Car Знак Знак,R,16 Point,number"/>
    <w:basedOn w:val="Normal"/>
    <w:link w:val="Ref1"/>
    <w:uiPriority w:val="99"/>
    <w:rsid w:val="00B33432"/>
    <w:pPr>
      <w:spacing w:before="120" w:line="240" w:lineRule="exact"/>
    </w:pPr>
    <w:rPr>
      <w:rFonts w:ascii="Arial" w:eastAsia="MS PGothic" w:hAnsi="Arial"/>
      <w:sz w:val="16"/>
      <w:szCs w:val="20"/>
      <w:vertAlign w:val="superscript"/>
      <w:lang w:val="nl-BE"/>
    </w:rPr>
  </w:style>
  <w:style w:type="table" w:styleId="TableGrid">
    <w:name w:val="Table Grid"/>
    <w:basedOn w:val="TableNormal"/>
    <w:uiPriority w:val="39"/>
    <w:rsid w:val="00B33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B33432"/>
    <w:rPr>
      <w:vertAlign w:val="superscript"/>
    </w:rPr>
  </w:style>
  <w:style w:type="paragraph" w:styleId="Header">
    <w:name w:val="header"/>
    <w:basedOn w:val="Normal"/>
    <w:link w:val="HeaderChar"/>
    <w:uiPriority w:val="99"/>
    <w:unhideWhenUsed/>
    <w:rsid w:val="00F03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D56"/>
  </w:style>
  <w:style w:type="paragraph" w:styleId="Footer">
    <w:name w:val="footer"/>
    <w:basedOn w:val="Normal"/>
    <w:link w:val="FooterChar"/>
    <w:uiPriority w:val="99"/>
    <w:unhideWhenUsed/>
    <w:rsid w:val="00F03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D56"/>
  </w:style>
  <w:style w:type="paragraph" w:styleId="BalloonText">
    <w:name w:val="Balloon Text"/>
    <w:basedOn w:val="Normal"/>
    <w:link w:val="BalloonTextChar"/>
    <w:uiPriority w:val="99"/>
    <w:semiHidden/>
    <w:unhideWhenUsed/>
    <w:rsid w:val="002D6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186"/>
    <w:rPr>
      <w:rFonts w:ascii="Segoe UI" w:hAnsi="Segoe UI" w:cs="Segoe UI"/>
      <w:sz w:val="18"/>
      <w:szCs w:val="18"/>
    </w:rPr>
  </w:style>
  <w:style w:type="character" w:styleId="Hyperlink">
    <w:name w:val="Hyperlink"/>
    <w:basedOn w:val="DefaultParagraphFont"/>
    <w:uiPriority w:val="99"/>
    <w:unhideWhenUsed/>
    <w:rsid w:val="00901098"/>
    <w:rPr>
      <w:color w:val="0563C1" w:themeColor="hyperlink"/>
      <w:u w:val="single"/>
    </w:rPr>
  </w:style>
  <w:style w:type="character" w:styleId="UnresolvedMention">
    <w:name w:val="Unresolved Mention"/>
    <w:basedOn w:val="DefaultParagraphFont"/>
    <w:uiPriority w:val="99"/>
    <w:semiHidden/>
    <w:unhideWhenUsed/>
    <w:rsid w:val="00901098"/>
    <w:rPr>
      <w:color w:val="605E5C"/>
      <w:shd w:val="clear" w:color="auto" w:fill="E1DFDD"/>
    </w:rPr>
  </w:style>
  <w:style w:type="character" w:styleId="FollowedHyperlink">
    <w:name w:val="FollowedHyperlink"/>
    <w:basedOn w:val="DefaultParagraphFont"/>
    <w:uiPriority w:val="99"/>
    <w:semiHidden/>
    <w:unhideWhenUsed/>
    <w:rsid w:val="00901098"/>
    <w:rPr>
      <w:color w:val="954F72" w:themeColor="followedHyperlink"/>
      <w:u w:val="single"/>
    </w:rPr>
  </w:style>
  <w:style w:type="paragraph" w:styleId="ListParagraph">
    <w:name w:val="List Paragraph"/>
    <w:basedOn w:val="Normal"/>
    <w:uiPriority w:val="34"/>
    <w:qFormat/>
    <w:rsid w:val="00B45BAB"/>
    <w:pPr>
      <w:ind w:left="720"/>
      <w:contextualSpacing/>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cid:image007.png@01DADD11.12C14710" TargetMode="Externa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afin.de/EN/Aufsicht/FinTech/Kontaktformular/FAQ_Uebersicht/FAQ_Uebersicht_node_en.html" TargetMode="External"/><Relationship Id="rId17" Type="http://schemas.openxmlformats.org/officeDocument/2006/relationships/image" Target="media/image5.png"/><Relationship Id="rId25" Type="http://schemas.openxmlformats.org/officeDocument/2006/relationships/image" Target="media/image8.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cid:image008.png@01DADD11.12C14710" TargetMode="External"/><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ma.europa.eu/press-news/consultations/call-evidence-review-ucits-eligible-assets-directive" TargetMode="External"/><Relationship Id="rId24" Type="http://schemas.openxmlformats.org/officeDocument/2006/relationships/hyperlink" Target="https://www.bafin.de/SharedDocs/Veroeffentlichungen/EN/Fachartikel/2013/fa_bj_2013_06_alternativer_risikotransfer_en.html"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ecb.europa.eu/pub/pdf/other/ecb.policyoptions_EIOPA~c0adae58b7.el.pdf" TargetMode="External"/><Relationship Id="rId28" Type="http://schemas.openxmlformats.org/officeDocument/2006/relationships/hyperlink" Target="https://www.ecb.europa.eu/pub/pdf/other/ecb.policyoptions_EIOPA~c0adae58b7.el.pdf"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cid:dff2d888-16ad-4e6a-8c38-1b4d573808c6" TargetMode="External"/><Relationship Id="rId27" Type="http://schemas.openxmlformats.org/officeDocument/2006/relationships/image" Target="media/image10.png"/><Relationship Id="rId30" Type="http://schemas.openxmlformats.org/officeDocument/2006/relationships/image" Target="media/image12.png"/><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info@plenu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04436c-97e7-4ff5-ab8a-2aced667a8e8">
      <Value>6</Value>
      <Value>33</Value>
      <Value>254</Value>
      <Value>5</Value>
    </TaxCatchAll>
    <_dlc_DocId xmlns="8d04436c-97e7-4ff5-ab8a-2aced667a8e8">UX3J3NH7HRHJ-167323429-346432</_dlc_DocId>
    <_dlc_DocIdUrl xmlns="8d04436c-97e7-4ff5-ab8a-2aced667a8e8">
      <Url>https://efama.sharepoint.com/sites/Data/_layouts/15/DocIdRedir.aspx?ID=UX3J3NH7HRHJ-167323429-346432</Url>
      <Description>UX3J3NH7HRHJ-167323429-346432</Description>
    </_dlc_DocIdUrl>
    <SharedWithUsers xmlns="8d04436c-97e7-4ff5-ab8a-2aced667a8e8">
      <UserInfo>
        <DisplayName>Iris Hude</DisplayName>
        <AccountId>82</AccountId>
        <AccountType/>
      </UserInfo>
    </SharedWithUsers>
    <lcf76f155ced4ddcb4097134ff3c332f xmlns="19ef4362-ebb2-43d2-99d3-7d30d02046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984E3E832593459483A65C6D41B012" ma:contentTypeVersion="15" ma:contentTypeDescription="Create a new document." ma:contentTypeScope="" ma:versionID="90c4ac713f861ed886a1766744311b80">
  <xsd:schema xmlns:xsd="http://www.w3.org/2001/XMLSchema" xmlns:xs="http://www.w3.org/2001/XMLSchema" xmlns:p="http://schemas.microsoft.com/office/2006/metadata/properties" xmlns:ns2="8d04436c-97e7-4ff5-ab8a-2aced667a8e8" xmlns:ns3="19ef4362-ebb2-43d2-99d3-7d30d0204601" targetNamespace="http://schemas.microsoft.com/office/2006/metadata/properties" ma:root="true" ma:fieldsID="b6ab21c959fd68ad83d8fc801fff6856" ns2:_="" ns3:_="">
    <xsd:import namespace="8d04436c-97e7-4ff5-ab8a-2aced667a8e8"/>
    <xsd:import namespace="19ef4362-ebb2-43d2-99d3-7d30d020460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4436c-97e7-4ff5-ab8a-2aced667a8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c00e026c-922a-4cff-badf-f3eeb93394e9}" ma:internalName="TaxCatchAll" ma:showField="CatchAllData" ma:web="8d04436c-97e7-4ff5-ab8a-2aced667a8e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ef4362-ebb2-43d2-99d3-7d30d02046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05ee7d-9196-4379-8658-44738156ffb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A697FA-BE24-4878-AFDB-AD64CEE0912C}">
  <ds:schemaRefs>
    <ds:schemaRef ds:uri="6992b194-ece9-4b26-973e-e25c2ee2cdcd"/>
    <ds:schemaRef ds:uri="http://purl.org/dc/terms/"/>
    <ds:schemaRef ds:uri="http://schemas.microsoft.com/office/2006/documentManagement/types"/>
    <ds:schemaRef ds:uri="http://schemas.openxmlformats.org/package/2006/metadata/core-properties"/>
    <ds:schemaRef ds:uri="d0fb0f98-34f9-4d57-9559-eb8efd17aa5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8d04436c-97e7-4ff5-ab8a-2aced667a8e8"/>
    <ds:schemaRef ds:uri="19ef4362-ebb2-43d2-99d3-7d30d0204601"/>
  </ds:schemaRefs>
</ds:datastoreItem>
</file>

<file path=customXml/itemProps2.xml><?xml version="1.0" encoding="utf-8"?>
<ds:datastoreItem xmlns:ds="http://schemas.openxmlformats.org/officeDocument/2006/customXml" ds:itemID="{0D28CFED-E2DE-4AC8-B87E-CCC5F90AB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4436c-97e7-4ff5-ab8a-2aced667a8e8"/>
    <ds:schemaRef ds:uri="19ef4362-ebb2-43d2-99d3-7d30d0204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EC7362-CE0E-45A1-9F25-BE624802C55F}">
  <ds:schemaRefs>
    <ds:schemaRef ds:uri="http://schemas.microsoft.com/sharepoint/v3/contenttype/forms"/>
  </ds:schemaRefs>
</ds:datastoreItem>
</file>

<file path=customXml/itemProps4.xml><?xml version="1.0" encoding="utf-8"?>
<ds:datastoreItem xmlns:ds="http://schemas.openxmlformats.org/officeDocument/2006/customXml" ds:itemID="{DC84FCA0-A20E-48DE-B522-B2D818717B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8203</Words>
  <Characters>46763</Characters>
  <Application>Microsoft Office Word</Application>
  <DocSecurity>0</DocSecurity>
  <Lines>389</Lines>
  <Paragraphs>109</Paragraphs>
  <ScaleCrop>false</ScaleCrop>
  <Company/>
  <LinksUpToDate>false</LinksUpToDate>
  <CharactersWithSpaces>54857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 Costila</dc:creator>
  <cp:keywords/>
  <dc:description/>
  <cp:lastModifiedBy>Gwen Lehane</cp:lastModifiedBy>
  <cp:revision>69</cp:revision>
  <dcterms:created xsi:type="dcterms:W3CDTF">2024-05-23T00:38:00Z</dcterms:created>
  <dcterms:modified xsi:type="dcterms:W3CDTF">2024-08-07T10:07:00Z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0x01010065984E3E832593459483A65C6D41B012</vt:lpwstr>
  </property>
  <property fmtid="{D5CDD505-2E9C-101B-9397-08002B2CF9AE}" pid="3" name="TeamName">
    <vt:lpwstr>5</vt:lpwstr>
  </property>
  <property fmtid="{D5CDD505-2E9C-101B-9397-08002B2CF9AE}" pid="4" name="Topic">
    <vt:lpwstr>254</vt:lpwstr>
  </property>
  <property fmtid="{D5CDD505-2E9C-101B-9397-08002B2CF9AE}" pid="5" name="ConfidentialityLevel">
    <vt:lpwstr>6;#Regular|07f1e362-856b-423d-bea6-a14079762141</vt:lpwstr>
  </property>
  <property fmtid="{D5CDD505-2E9C-101B-9397-08002B2CF9AE}" pid="6" name="TeamTopic">
    <vt:lpwstr>33;#UCITS|a853cb80-aed9-44bd-ac2a-0e80b5a444d7</vt:lpwstr>
  </property>
  <property fmtid="{D5CDD505-2E9C-101B-9397-08002B2CF9AE}" pid="7" name="DocumentType">
    <vt:lpwstr/>
  </property>
  <property fmtid="{D5CDD505-2E9C-101B-9397-08002B2CF9AE}" pid="8" name="EsmaAudience">
    <vt:lpwstr/>
  </property>
  <property fmtid="{D5CDD505-2E9C-101B-9397-08002B2CF9AE}" pid="9" name="_dlc_DocIdItemGuid">
    <vt:lpwstr>b1f2bf18-8db0-4326-b8ed-04cf73f9f01a</vt:lpwstr>
  </property>
  <property fmtid="{D5CDD505-2E9C-101B-9397-08002B2CF9AE}" pid="10" name="MediaServiceImageTags">
    <vt:lpwstr/>
  </property>
</Properties>
</file>