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79AA00E2" w:rsidR="00635BCA" w:rsidRPr="00557BD2" w:rsidRDefault="00803B02" w:rsidP="00D21C35">
                <w:r>
                  <w:t>EFAMA</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4C40DA04" w:rsidR="00635BCA" w:rsidRPr="00557BD2" w:rsidRDefault="00B344C8" w:rsidP="00D21C35">
                <w:r>
                  <w:t>Asset Management</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77020D10" w:rsidR="00635BCA" w:rsidRPr="00557BD2" w:rsidRDefault="00803B02" w:rsidP="00D21C35">
                <w:r>
                  <w:t>Belgium</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08A421D5" w14:textId="77777777" w:rsidR="00526C88" w:rsidRDefault="00526C88" w:rsidP="00526C88">
      <w:permStart w:id="1975413025" w:edGrp="everyone"/>
      <w:r>
        <w:t>Maintaining the credibility and recognition of the UCITS label is central to this review. The global reputation of the UCITS as an effective conduit for retail investors is built on being a secure, well-diversified, liquid, and transparent collective investment vehicle. This would be supported by better convergence between Member States in the implementation of the current rules, so as to retain a degree of flexibility to access in a controlled manner the benefits of limited exposure to assets uncorrelated to financial markets. It is necessary to balance the need of investors for convenient access to an investment portfolio selection which is contemporary and relevant to their needs, as well as the ability of asset managers to tap into the most extensive possible investment universe, and the societal ambition to optimally facilitate the green transition. This also includes efficient diversification among traditional assets and limited but balanced access to</w:t>
      </w:r>
      <w:r w:rsidRPr="0066488B">
        <w:t xml:space="preserve"> </w:t>
      </w:r>
      <w:r>
        <w:t>a</w:t>
      </w:r>
      <w:r w:rsidRPr="0066488B">
        <w:t>lternative investments</w:t>
      </w:r>
      <w:r>
        <w:t xml:space="preserve"> – as the latter </w:t>
      </w:r>
      <w:r w:rsidRPr="0066488B">
        <w:t xml:space="preserve">can </w:t>
      </w:r>
      <w:r>
        <w:t xml:space="preserve">enhance </w:t>
      </w:r>
      <w:r w:rsidRPr="0066488B">
        <w:t>returns and income,</w:t>
      </w:r>
      <w:r>
        <w:t xml:space="preserve"> when accompanied by guardrails that ensure </w:t>
      </w:r>
      <w:r w:rsidRPr="0066488B">
        <w:t xml:space="preserve">less volatility, and </w:t>
      </w:r>
      <w:r>
        <w:t>thorough due diligence processes, in line with the UCITS regime.</w:t>
      </w:r>
    </w:p>
    <w:p w14:paraId="1BB29124" w14:textId="77777777" w:rsidR="00526C88" w:rsidRDefault="00526C88" w:rsidP="00526C88">
      <w:pPr>
        <w:rPr>
          <w:lang w:val="en-US"/>
        </w:rPr>
      </w:pPr>
      <w:r>
        <w:rPr>
          <w:lang w:val="en-US"/>
        </w:rPr>
        <w:t xml:space="preserve">The impact on the UCITS Directive itself should be limited in order to maintain regulatory stability, which is a key supporting factor behind the development of the European financial market. </w:t>
      </w:r>
      <w:r w:rsidRPr="000E34B9">
        <w:rPr>
          <w:lang w:val="en-US"/>
        </w:rPr>
        <w:t xml:space="preserve">Regulatory stability requires that the primary actions of convergence and clarity should </w:t>
      </w:r>
      <w:r>
        <w:rPr>
          <w:lang w:val="en-US"/>
        </w:rPr>
        <w:t xml:space="preserve">be the first port of call, as opposed to imposing new </w:t>
      </w:r>
      <w:r w:rsidRPr="000E34B9">
        <w:rPr>
          <w:lang w:val="en-US"/>
        </w:rPr>
        <w:t>restrictions or additional look-through obligations.</w:t>
      </w:r>
      <w:r>
        <w:rPr>
          <w:lang w:val="en-US"/>
        </w:rPr>
        <w:t xml:space="preserve"> It is also critical to ensure that changes to the UCITS framework do not damage the reputation of the UCITS as a regulatory export brand. EFAMA underlines the importance of close dialogue with the regulators in major export markets to ensure that equivalence </w:t>
      </w:r>
      <w:r>
        <w:rPr>
          <w:lang w:val="en-US"/>
        </w:rPr>
        <w:lastRenderedPageBreak/>
        <w:t>decisions and inward marketing requirements are not affected by any forthcoming changes to the EU UCITS regime.</w:t>
      </w:r>
    </w:p>
    <w:p w14:paraId="2C76E4BA" w14:textId="77777777" w:rsidR="00526C88" w:rsidRPr="00DB1EF4" w:rsidRDefault="00526C88" w:rsidP="00526C88">
      <w:pPr>
        <w:rPr>
          <w:lang w:val="en-US"/>
        </w:rPr>
      </w:pPr>
      <w:r>
        <w:rPr>
          <w:lang w:val="en-US"/>
        </w:rPr>
        <w:t xml:space="preserve">Overall, the </w:t>
      </w:r>
      <w:r>
        <w:rPr>
          <w:b/>
          <w:bCs/>
          <w:lang w:val="en-US"/>
        </w:rPr>
        <w:t>consistent</w:t>
      </w:r>
      <w:r>
        <w:rPr>
          <w:lang w:val="en-US"/>
        </w:rPr>
        <w:t xml:space="preserve"> interpretation and application of the EAD across the EU ensures a level playing field and investor protection. Sufficient </w:t>
      </w:r>
      <w:r>
        <w:rPr>
          <w:b/>
          <w:bCs/>
          <w:lang w:val="en-US"/>
        </w:rPr>
        <w:t>flexibility</w:t>
      </w:r>
      <w:r>
        <w:rPr>
          <w:lang w:val="en-US"/>
        </w:rPr>
        <w:t xml:space="preserve"> is nonetheless needed to accommodate specific market conditions and practices in different EU jurisdictions. We </w:t>
      </w:r>
      <w:r>
        <w:rPr>
          <w:b/>
          <w:bCs/>
          <w:lang w:val="en-US"/>
        </w:rPr>
        <w:t>recognise ESMA’s efforts since the enactment of the EAD</w:t>
      </w:r>
      <w:r>
        <w:rPr>
          <w:lang w:val="en-US"/>
        </w:rPr>
        <w:t xml:space="preserve"> to address many of the critical areas requiring clarification, through Q&amp;As and guidance, and as such we don’t see an immediate need for a Level 1 change. </w:t>
      </w:r>
    </w:p>
    <w:p w14:paraId="68317475" w14:textId="77777777" w:rsidR="00526C88" w:rsidRDefault="00526C88" w:rsidP="00526C88">
      <w:r>
        <w:t xml:space="preserve">Greater convergence between Member States in the implementation of the UCITS and EAD at national level on certain targeted topics, through EU-wide guidelines or Q&amp;As would further enhance the credibility of the UCITS brand and provide better clarity and legal certainty for managers. Specifically, cross-border divergences between permitted exposures creates competitive advantages and disadvantages in what is meant to be a harmonised regime for investors, and generates obstacles for managers offering UCITS in multiple EU Member States. </w:t>
      </w:r>
    </w:p>
    <w:p w14:paraId="4C4D91E2" w14:textId="77777777" w:rsidR="00526C88" w:rsidRPr="00B7507E" w:rsidRDefault="00526C88" w:rsidP="00526C88">
      <w:pPr>
        <w:rPr>
          <w:lang w:val="en-US"/>
        </w:rPr>
      </w:pPr>
      <w:r>
        <w:t xml:space="preserve">The current Call for Evidence by ESMA regarding the asset eligibility framework should bear in mind interlinkages with other legislative measures which emerged since 2007, as well as market and technological advances, including the wide range of financial instruments which have emerged since then, </w:t>
      </w:r>
      <w:r w:rsidRPr="001D4B9D">
        <w:t>where the exposure is commensurate with the characteristics of transferable securities</w:t>
      </w:r>
      <w:r>
        <w:rPr>
          <w:lang w:val="en-US"/>
        </w:rPr>
        <w:t>.</w:t>
      </w:r>
    </w:p>
    <w:p w14:paraId="2D7AA31D" w14:textId="1BB84E64" w:rsidR="00CA68AA" w:rsidRPr="00526C88" w:rsidRDefault="00CA68AA" w:rsidP="00F11732">
      <w:pPr>
        <w:rPr>
          <w:lang w:val="en-US"/>
        </w:rPr>
      </w:pP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6FF73B23" w14:textId="77777777" w:rsidR="003A14CF" w:rsidRDefault="003A14CF" w:rsidP="003A14CF">
      <w:pPr>
        <w:rPr>
          <w:bCs/>
          <w:lang w:val="en-IE"/>
        </w:rPr>
      </w:pPr>
      <w:permStart w:id="85149166" w:edGrp="everyone"/>
      <w:r>
        <w:rPr>
          <w:lang w:val="en-US"/>
        </w:rPr>
        <w:lastRenderedPageBreak/>
        <w:t xml:space="preserve">The EAD and </w:t>
      </w:r>
      <w:r w:rsidRPr="006471B8">
        <w:rPr>
          <w:bCs/>
          <w:lang w:val="en-IE"/>
        </w:rPr>
        <w:t xml:space="preserve">ESMA Guidelines on ETFs and other UCITS issues </w:t>
      </w:r>
      <w:r>
        <w:rPr>
          <w:bCs/>
          <w:lang w:val="en-IE"/>
        </w:rPr>
        <w:t>in general provide sufficient clarity regarding the application of the principles on indices and to secure</w:t>
      </w:r>
      <w:r w:rsidRPr="006471B8">
        <w:rPr>
          <w:bCs/>
          <w:lang w:val="en-IE"/>
        </w:rPr>
        <w:t xml:space="preserve"> investor protection. </w:t>
      </w:r>
    </w:p>
    <w:p w14:paraId="7AA4944A" w14:textId="77777777" w:rsidR="003A14CF" w:rsidRPr="0015788F" w:rsidRDefault="003A14CF" w:rsidP="003A14CF">
      <w:pPr>
        <w:rPr>
          <w:lang w:val="en-US"/>
        </w:rPr>
      </w:pPr>
      <w:r>
        <w:rPr>
          <w:lang w:val="en-US"/>
        </w:rPr>
        <w:t>Divergent approaches stem from the ability of Member States to decide, under Article 51(3), whether or not UCITS are required to combine investments in</w:t>
      </w:r>
      <w:r w:rsidRPr="00E6589A">
        <w:t xml:space="preserve"> index-based </w:t>
      </w:r>
      <w:r>
        <w:t xml:space="preserve">financial derivative instruments (FDIs) </w:t>
      </w:r>
      <w:r w:rsidRPr="00E6589A">
        <w:t xml:space="preserve">for the purposes of </w:t>
      </w:r>
      <w:r>
        <w:t>compliance with the diversification</w:t>
      </w:r>
      <w:r w:rsidRPr="00E6589A">
        <w:t xml:space="preserve"> limits in Article 52.</w:t>
      </w:r>
      <w:r>
        <w:t xml:space="preserve"> In Member States where the index components must be monitored on an ongoing basis for compliance with concentration limits, this implies a higher operational and administrative burden, as well as greater costs of index licenses and access to underlying data. This could be addressed by guidance providing that there is no obligation to look-through to the index components to verify compliance with concentration limits where the index is diversified in accordance with Article 53 of UCITS. </w:t>
      </w:r>
    </w:p>
    <w:p w14:paraId="5C957BEF" w14:textId="5F2B7DAD" w:rsidR="00272E1C" w:rsidRPr="003A14CF" w:rsidRDefault="003A14CF" w:rsidP="00667FF6">
      <w:pPr>
        <w:rPr>
          <w:lang w:val="en-US"/>
        </w:rPr>
      </w:pPr>
      <w:r w:rsidRPr="0015788F">
        <w:rPr>
          <w:bCs/>
          <w:lang w:val="en-US"/>
        </w:rPr>
        <w:t xml:space="preserve">We </w:t>
      </w:r>
      <w:r>
        <w:rPr>
          <w:bCs/>
          <w:lang w:val="en-US"/>
        </w:rPr>
        <w:t xml:space="preserve">note some areas of </w:t>
      </w:r>
      <w:r w:rsidRPr="0015788F">
        <w:rPr>
          <w:bCs/>
          <w:lang w:val="en-US"/>
        </w:rPr>
        <w:t>overlap with t</w:t>
      </w:r>
      <w:r>
        <w:rPr>
          <w:lang w:val="en-US"/>
        </w:rPr>
        <w:t>he Benchmarks Regulation (Regulation (EU) 2016/1011), though we also recognise that the outcome of the ongoing review of that Regulation may have an impact on these overlaps. The Benchmarks Regulation was enacted almost a decade after the EAD, and its requirements overlap with those set out in Article 9(1) of the EAD. Where the benchmark administrator is authorised or registered in accordance with the Benchmark Regulation, clarification could be provided via guidance that the requirements of Article 9 of the EAD would be limited to requiring the index to be sufficiently diversified – as governance and transparency issues relating to financial indices are regulated in the Benchmarks Regulation. Furthermore, in light of the governance and conflict of interest requirements for benchmark administrators under Article 4 of the Benchmark Regulation, it should be clarified via guidance that, when investing in a derivative instrument of a financial index, there is no restriction on the counterparty being from the same financial group. As noted, however, the outcome of the ongoing review of the Benchmarks Regulation will have a significant impact on these considerations, given the potential changes to the scope of application of the Benchmarks Regulation.</w:t>
      </w:r>
    </w:p>
    <w:permEnd w:id="85149166"/>
    <w:p w14:paraId="4AE132E3" w14:textId="3203F331"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3C27716C" w14:textId="77777777" w:rsidR="005D4E12" w:rsidRDefault="005D4E12" w:rsidP="005D4E12">
      <w:pPr>
        <w:rPr>
          <w:lang w:val="en-US"/>
        </w:rPr>
      </w:pPr>
      <w:permStart w:id="1981048397" w:edGrp="everyone"/>
      <w:r>
        <w:rPr>
          <w:lang w:val="en-US"/>
        </w:rPr>
        <w:lastRenderedPageBreak/>
        <w:t>We do not note significant issues in this respect.</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00C5C9EE" w14:textId="77777777" w:rsidR="00EA13BA" w:rsidRDefault="00EA13BA" w:rsidP="00EA13BA">
      <w:pPr>
        <w:rPr>
          <w:lang w:val="en-US"/>
        </w:rPr>
      </w:pPr>
      <w:permStart w:id="1012351271" w:edGrp="everyone"/>
      <w:r>
        <w:rPr>
          <w:lang w:val="en-US"/>
        </w:rPr>
        <w:t>In light of the body of rules and guidance which has emerged to supplement these notions since 2007 to guide fund managers in designing their liquidity risk management policies, we do not observe a need to adapt or further specify these notions.</w:t>
      </w:r>
    </w:p>
    <w:p w14:paraId="3EE05B0F" w14:textId="77777777" w:rsidR="00EA13BA" w:rsidRDefault="00EA13BA" w:rsidP="00EA13BA">
      <w:pPr>
        <w:rPr>
          <w:lang w:val="en-US"/>
        </w:rPr>
      </w:pPr>
      <w:r>
        <w:rPr>
          <w:lang w:val="en-US"/>
        </w:rPr>
        <w:t xml:space="preserve">While the rules do not specify whether these terms refer to there being adequate liquidity in the overall fund or whether the assessment is with respect to each individual asset, these notions relate to the ability to fulfil investors’ redemption requests while upholding the interests of all unitholders. This means that asset level liquidity is to be seen from the perspective of the overall portfolio composition, such that assets of limited liquidity are not disallowed as long as the exposure is kept to an appropriate level and subject to liquidity risk monitoring in line with the central role of the UCITS manager in maintaining adequate liquidity risk management rules and processes. This is </w:t>
      </w:r>
      <w:r w:rsidRPr="00D3627D">
        <w:rPr>
          <w:lang w:val="en-US"/>
        </w:rPr>
        <w:t xml:space="preserve">supported by </w:t>
      </w:r>
      <w:r>
        <w:rPr>
          <w:lang w:val="en-US"/>
        </w:rPr>
        <w:t xml:space="preserve">the broader legislative framework, notably Article 40(3) of Directive 2010/43, </w:t>
      </w:r>
      <w:r w:rsidRPr="00D3627D">
        <w:rPr>
          <w:lang w:val="en-US"/>
        </w:rPr>
        <w:t>ESMA</w:t>
      </w:r>
      <w:r>
        <w:rPr>
          <w:lang w:val="en-US"/>
        </w:rPr>
        <w:t>’s</w:t>
      </w:r>
      <w:r w:rsidRPr="00D3627D">
        <w:rPr>
          <w:lang w:val="en-US"/>
        </w:rPr>
        <w:t xml:space="preserve"> guidelines on liquidity stress tests in UCITS and AIF</w:t>
      </w:r>
      <w:r>
        <w:rPr>
          <w:lang w:val="en-US"/>
        </w:rPr>
        <w:t>s, and recent changes under the UCITS review and upcoming Level 2 measures and guidance introducing further rules regarding LMTs and liquidity risk management.</w:t>
      </w:r>
    </w:p>
    <w:p w14:paraId="5A0CA0E1" w14:textId="24358A92" w:rsidR="006E0C29" w:rsidRDefault="00EA13BA" w:rsidP="00EA13BA">
      <w:r>
        <w:rPr>
          <w:lang w:val="en-US"/>
        </w:rPr>
        <w:t xml:space="preserve">We also refer to </w:t>
      </w:r>
      <w:r w:rsidRPr="0038556B">
        <w:rPr>
          <w:lang w:val="en-US"/>
        </w:rPr>
        <w:t>E</w:t>
      </w:r>
      <w:r>
        <w:rPr>
          <w:lang w:val="en-US"/>
        </w:rPr>
        <w:t>FAMA’s response to t</w:t>
      </w:r>
      <w:r w:rsidRPr="0038556B">
        <w:rPr>
          <w:lang w:val="en-US"/>
        </w:rPr>
        <w:t xml:space="preserve">he </w:t>
      </w:r>
      <w:r>
        <w:rPr>
          <w:lang w:val="en-US"/>
        </w:rPr>
        <w:t>FSB</w:t>
      </w:r>
      <w:r w:rsidRPr="0038556B">
        <w:rPr>
          <w:lang w:val="en-US"/>
        </w:rPr>
        <w:t xml:space="preserve"> Consultation Report </w:t>
      </w:r>
      <w:r>
        <w:rPr>
          <w:lang w:val="en-US"/>
        </w:rPr>
        <w:t>on</w:t>
      </w:r>
      <w:r w:rsidRPr="0038556B">
        <w:rPr>
          <w:lang w:val="en-US"/>
        </w:rPr>
        <w:t xml:space="preserve"> Addressing</w:t>
      </w:r>
      <w:r>
        <w:rPr>
          <w:lang w:val="en-US"/>
        </w:rPr>
        <w:t xml:space="preserve"> </w:t>
      </w:r>
      <w:r w:rsidRPr="0038556B">
        <w:rPr>
          <w:lang w:val="en-US"/>
        </w:rPr>
        <w:t xml:space="preserve">Vulnerabilities From Liquidity Mismatch </w:t>
      </w:r>
      <w:r>
        <w:rPr>
          <w:lang w:val="en-US"/>
        </w:rPr>
        <w:t>in</w:t>
      </w:r>
      <w:r w:rsidRPr="0038556B">
        <w:rPr>
          <w:lang w:val="en-US"/>
        </w:rPr>
        <w:t xml:space="preserve"> Open-Ended Funds</w:t>
      </w:r>
      <w:r>
        <w:rPr>
          <w:lang w:val="en-US"/>
        </w:rPr>
        <w:t xml:space="preserve"> from September 2023. As mentioned above, the notion of liquidity, with respect to the eligibility of assets, is framed in the UCITS framework as relating to the impact that asset could have on the ability to fulfil investors’ redemption requests while upholding the interests of all unitholders. As we explain in our September 2023 paper, it is important to keep in mind that, </w:t>
      </w:r>
      <w:r w:rsidRPr="00327A2D">
        <w:t>in contrast to banks, investment funds can engage in liquidity transformation without having to match the liquidity of their assets and liabilities</w:t>
      </w:r>
      <w:r>
        <w:t>. This derives from</w:t>
      </w:r>
      <w:r w:rsidRPr="00327A2D">
        <w:t xml:space="preserve"> the fact that most fund investors have a longer term investment perspective compared to bank depositors</w:t>
      </w:r>
      <w:r>
        <w:t>. In addition, in light of additional sources of liquidity for funds as well as</w:t>
      </w:r>
      <w:r w:rsidRPr="00327A2D">
        <w:t xml:space="preserve"> current liquidity management practices</w:t>
      </w:r>
      <w:r>
        <w:t xml:space="preserve">, including </w:t>
      </w:r>
      <w:r w:rsidRPr="00327A2D">
        <w:t xml:space="preserve">the availability and use </w:t>
      </w:r>
      <w:r w:rsidRPr="00327A2D">
        <w:lastRenderedPageBreak/>
        <w:t>of LMTs</w:t>
      </w:r>
      <w:r>
        <w:t>,</w:t>
      </w:r>
      <w:r w:rsidRPr="00327A2D">
        <w:t xml:space="preserve"> asset managers </w:t>
      </w:r>
      <w:r>
        <w:t>can credibly</w:t>
      </w:r>
      <w:r w:rsidRPr="00327A2D">
        <w:t xml:space="preserve"> manage the liquidity transformation of their funds.</w:t>
      </w:r>
      <w:r>
        <w:t xml:space="preserve"> T</w:t>
      </w:r>
      <w:r w:rsidRPr="00066AEF">
        <w:t xml:space="preserve">he </w:t>
      </w:r>
      <w:r>
        <w:t>notion</w:t>
      </w:r>
      <w:r w:rsidRPr="00066AEF">
        <w:t xml:space="preserve"> of </w:t>
      </w:r>
      <w:r>
        <w:t>a ‘</w:t>
      </w:r>
      <w:r w:rsidRPr="00066AEF">
        <w:t>liquidity mismatch</w:t>
      </w:r>
      <w:r>
        <w:t>’</w:t>
      </w:r>
      <w:r w:rsidRPr="00066AEF">
        <w:t xml:space="preserve"> </w:t>
      </w:r>
      <w:r>
        <w:t xml:space="preserve">should therefore </w:t>
      </w:r>
      <w:r w:rsidRPr="00066AEF">
        <w:t>not ignore other sources of liquidity or cash on the asset side</w:t>
      </w:r>
      <w:r>
        <w:t>, and should</w:t>
      </w:r>
      <w:r w:rsidRPr="00066AEF">
        <w:t xml:space="preserve"> recognise that meeting redemption requests does not necessarily equate to selling an equivalent amount of assets. Managers often have access to other liquidity sources, such as cash reserves or credit lines which can be used to meet redemption requests without liquidating assets.</w:t>
      </w:r>
      <w:r>
        <w:t xml:space="preserve"> Therefore, liquidity as a concept should not be seen as centring solely on the liquidity of the individual asset, but rather more comprehensively within a broader portfolio.</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5C99920" w14:textId="77777777" w:rsidR="00134269" w:rsidRDefault="00134269" w:rsidP="00134269">
      <w:pPr>
        <w:rPr>
          <w:lang w:val="en-US"/>
        </w:rPr>
      </w:pPr>
      <w:permStart w:id="1300367218" w:edGrp="everyone"/>
      <w:r>
        <w:rPr>
          <w:lang w:val="en-US"/>
        </w:rPr>
        <w:t xml:space="preserve">As drafted, the presumption in Article 2(1) of the EAD stipulates that it applies only where there is no information available to the UCITS that would lead to a different determination. Managers may not rely on this presumption as a universal rule, as admission to trading on a regulated market does not universally make an instrument inherently liquid – </w:t>
      </w:r>
      <w:r w:rsidRPr="00BC5329">
        <w:rPr>
          <w:lang w:val="en-US"/>
        </w:rPr>
        <w:t xml:space="preserve">robust risk management processes require a liquidity </w:t>
      </w:r>
      <w:r>
        <w:rPr>
          <w:lang w:val="en-US"/>
        </w:rPr>
        <w:t>‘</w:t>
      </w:r>
      <w:r w:rsidRPr="00BC5329">
        <w:rPr>
          <w:lang w:val="en-US"/>
        </w:rPr>
        <w:t>reality</w:t>
      </w:r>
      <w:r>
        <w:rPr>
          <w:lang w:val="en-US"/>
        </w:rPr>
        <w:t>’</w:t>
      </w:r>
      <w:r w:rsidRPr="00BC5329">
        <w:rPr>
          <w:lang w:val="en-US"/>
        </w:rPr>
        <w:t xml:space="preserve"> check regardless of an existing listing, out of a fiduciary duty towards the clients</w:t>
      </w:r>
      <w:r>
        <w:rPr>
          <w:lang w:val="en-US"/>
        </w:rPr>
        <w:t xml:space="preserve">.  </w:t>
      </w:r>
    </w:p>
    <w:p w14:paraId="22041BAC" w14:textId="77777777" w:rsidR="00134269" w:rsidRDefault="00134269" w:rsidP="00134269">
      <w:pPr>
        <w:rPr>
          <w:lang w:val="en-US"/>
        </w:rPr>
      </w:pPr>
      <w:r>
        <w:rPr>
          <w:lang w:val="en-US"/>
        </w:rPr>
        <w:t>Since 2007, this presumption</w:t>
      </w:r>
      <w:r w:rsidRPr="000D21C8">
        <w:rPr>
          <w:lang w:val="en-US"/>
        </w:rPr>
        <w:t xml:space="preserve"> has been supplemented/superseded by a</w:t>
      </w:r>
      <w:r>
        <w:rPr>
          <w:lang w:val="en-US"/>
        </w:rPr>
        <w:t xml:space="preserve">dditional rules, strengthening the core role of the manager as being to manage investment risks. In particular, </w:t>
      </w:r>
      <w:r w:rsidRPr="00A3232D">
        <w:rPr>
          <w:lang w:val="en-US"/>
        </w:rPr>
        <w:t>the additional provisions on liquidity risk management introduced by Implementing Directive 2010/43/EU (Article</w:t>
      </w:r>
      <w:r>
        <w:rPr>
          <w:lang w:val="en-US"/>
        </w:rPr>
        <w:t>s</w:t>
      </w:r>
      <w:r w:rsidRPr="00A3232D">
        <w:rPr>
          <w:lang w:val="en-US"/>
        </w:rPr>
        <w:t xml:space="preserve"> 40(3) </w:t>
      </w:r>
      <w:r>
        <w:rPr>
          <w:lang w:val="en-US"/>
        </w:rPr>
        <w:t xml:space="preserve">and </w:t>
      </w:r>
      <w:r w:rsidRPr="00A3232D">
        <w:rPr>
          <w:lang w:val="en-US"/>
        </w:rPr>
        <w:t>(4))</w:t>
      </w:r>
      <w:r>
        <w:rPr>
          <w:lang w:val="en-US"/>
        </w:rPr>
        <w:t xml:space="preserve">, ESMA guidelines on liquidity stress testing, </w:t>
      </w:r>
      <w:r w:rsidRPr="00223CA2">
        <w:rPr>
          <w:lang w:val="en-US"/>
        </w:rPr>
        <w:t>IOSCO Recommendations for Liquidity Risk Management for Collective Investment Schemes</w:t>
      </w:r>
      <w:r>
        <w:rPr>
          <w:lang w:val="en-US"/>
        </w:rPr>
        <w:t xml:space="preserve">, as well as recent amendments to the UCITS Directive, </w:t>
      </w:r>
      <w:r w:rsidRPr="00A3232D">
        <w:rPr>
          <w:lang w:val="en-US"/>
        </w:rPr>
        <w:t>provide managers with additional rules and guidance to make sound judgement calls on the information available when making a different determination to the presumption of liquidity, as required by the EAD Article 2(1) final paragraph. </w:t>
      </w:r>
      <w:r>
        <w:rPr>
          <w:lang w:val="en-US"/>
        </w:rPr>
        <w:t>We also note that the presumption is in reality a presumption of eligibility as opposed to a presumption of liquidity, and it does not override the liquidity risk management obligations of the manager.</w:t>
      </w:r>
    </w:p>
    <w:p w14:paraId="12A64E0F" w14:textId="77777777" w:rsidR="00134269" w:rsidRDefault="00134269" w:rsidP="00134269">
      <w:pPr>
        <w:rPr>
          <w:lang w:val="en-US"/>
        </w:rPr>
      </w:pPr>
      <w:r>
        <w:rPr>
          <w:lang w:val="en-US"/>
        </w:rPr>
        <w:lastRenderedPageBreak/>
        <w:t>W</w:t>
      </w:r>
      <w:r w:rsidRPr="00223CA2">
        <w:rPr>
          <w:lang w:val="en-US"/>
        </w:rPr>
        <w:t xml:space="preserve">hen used in conjunction </w:t>
      </w:r>
      <w:r>
        <w:rPr>
          <w:lang w:val="en-US"/>
        </w:rPr>
        <w:t>with these broader principles of liquidity management, t</w:t>
      </w:r>
      <w:r w:rsidRPr="00223CA2">
        <w:rPr>
          <w:lang w:val="en-US"/>
        </w:rPr>
        <w:t>he presumption of liquidity is an effective</w:t>
      </w:r>
      <w:r>
        <w:rPr>
          <w:lang w:val="en-US"/>
        </w:rPr>
        <w:t xml:space="preserve">, </w:t>
      </w:r>
      <w:r w:rsidRPr="00223CA2">
        <w:rPr>
          <w:lang w:val="en-US"/>
        </w:rPr>
        <w:t>well-functioning tool w</w:t>
      </w:r>
      <w:r>
        <w:rPr>
          <w:lang w:val="en-US"/>
        </w:rPr>
        <w:t xml:space="preserve">hich reflects the pragmatic, risk-based approach managers take to such situations. </w:t>
      </w:r>
    </w:p>
    <w:p w14:paraId="7CD908F1" w14:textId="77777777" w:rsidR="00134269" w:rsidRDefault="00134269" w:rsidP="00667FF6">
      <w:pPr>
        <w:rPr>
          <w:lang w:val="en-US"/>
        </w:rPr>
      </w:pPr>
      <w:r>
        <w:rPr>
          <w:lang w:val="en-US"/>
        </w:rPr>
        <w:t xml:space="preserve">The 2020 ESMA CSA on UCITS liquidity risk management identified, in paragraphs 9 – 11, a few cases in which NCAs identified significant liquidity risks which could jeopardise the ability of the UCITS under review to meet redemption requests or fulfil other obligations. For a very limited number of UCITS, liquidity profiles pointed to potential asset/liability mismatch risks, which were only sometimes mitigated using liquidity management tools. </w:t>
      </w:r>
      <w:r>
        <w:t xml:space="preserve">In most cases, the exercise found that the level of compliance with the applicable rules on liquidity risk management was satisfactory with entities meeting their regulatory obligations. </w:t>
      </w:r>
      <w:r w:rsidRPr="00A3232D">
        <w:rPr>
          <w:lang w:val="en-US"/>
        </w:rPr>
        <w:t>Whil</w:t>
      </w:r>
      <w:r>
        <w:rPr>
          <w:lang w:val="en-US"/>
        </w:rPr>
        <w:t>e</w:t>
      </w:r>
      <w:r w:rsidRPr="00A3232D">
        <w:rPr>
          <w:lang w:val="en-US"/>
        </w:rPr>
        <w:t xml:space="preserve"> the ESMA review highlighted some firms’ shortcomings, both in terms of over-reliance on the presumption of liquidity and the application for non-listed securities, we believe the EAD rules around the presumption of liquidity remain relevant to the overall risk management of liquidity for open-ended funds.</w:t>
      </w:r>
    </w:p>
    <w:permEnd w:id="1300367218"/>
    <w:p w14:paraId="25A344BA" w14:textId="783DFB2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8706230" w14:textId="77777777" w:rsidR="005E7228" w:rsidRDefault="005B757D" w:rsidP="005E7228">
      <w:permStart w:id="974730357" w:edGrp="everyone"/>
      <w:r>
        <w:t xml:space="preserve"> </w:t>
      </w:r>
      <w:r w:rsidR="005E7228" w:rsidRPr="000A03C5">
        <w:t xml:space="preserve">The UCITS Directive does not currently define a set limit for ancillary liquid assets. </w:t>
      </w:r>
      <w:r w:rsidR="005E7228">
        <w:t xml:space="preserve">The purpose of this, according to Recital 41 of UCITS, was to provide flexibility to </w:t>
      </w:r>
      <w:r w:rsidR="005E7228" w:rsidRPr="00D07763">
        <w:t>cover payments, facilitate reinvestment of proceeds from the sale of portfolio holdings or where market conditions require suspension of investment in other financial assets</w:t>
      </w:r>
      <w:r w:rsidR="005E7228">
        <w:t>.</w:t>
      </w:r>
    </w:p>
    <w:p w14:paraId="4A73A247" w14:textId="77777777" w:rsidR="005E7228" w:rsidRDefault="005E7228" w:rsidP="005E7228">
      <w:r w:rsidRPr="000A03C5">
        <w:t>However, limits for the holding of ancillary liquid assets are established at national level, differing from one jurisdiction to the next.</w:t>
      </w:r>
      <w:r>
        <w:t xml:space="preserve"> The application of different limitations requires asset managers to establish different compliance systems for each country for their cross-border operations, generating high costs and administrative burdens, and impeding transparency and comparability for end-investors. When determining the approach which would produce the best result for investors, we note it can be beneficial to permit the l</w:t>
      </w:r>
      <w:r w:rsidRPr="000A03C5">
        <w:t>imit to be temporarily exceeded in cases of operational exigencies, such as significant changes in investment allocation, or substantial subscription/redemptions.</w:t>
      </w:r>
      <w:r>
        <w:t xml:space="preserve"> </w:t>
      </w:r>
    </w:p>
    <w:p w14:paraId="51256BA3" w14:textId="77777777" w:rsidR="005E7228" w:rsidRPr="008C6121" w:rsidRDefault="005E7228" w:rsidP="005E7228">
      <w:r>
        <w:lastRenderedPageBreak/>
        <w:t>Therefore, in compliance with UCITS Directive, we would support guidance to clarify that a UCITS can hold ancillary liquid assets ‘to the extent necessary for the management of the fund’ and defines as ancillary liquid assets</w:t>
      </w:r>
      <w:r w:rsidRPr="005D462A">
        <w:t xml:space="preserve"> cash, cash equivalents that have negligible risk of change in value</w:t>
      </w:r>
      <w:r>
        <w:t>, bank deposits</w:t>
      </w:r>
      <w:r w:rsidRPr="00D63069">
        <w:rPr>
          <w:lang w:val="en-US"/>
        </w:rPr>
        <w:t xml:space="preserve"> accessible at any time</w:t>
      </w:r>
      <w:r>
        <w:t xml:space="preserve"> and</w:t>
      </w:r>
      <w:r w:rsidRPr="00DA0B4A">
        <w:t xml:space="preserve"> </w:t>
      </w:r>
      <w:r>
        <w:t>overnight term deposits,</w:t>
      </w:r>
      <w:r w:rsidRPr="005D462A">
        <w:t xml:space="preserve"> not limited to the base currency.  </w:t>
      </w:r>
      <w:r>
        <w:t>Should this proposal not be deemed appropriate, w</w:t>
      </w:r>
      <w:r w:rsidRPr="000A03C5">
        <w:t>e</w:t>
      </w:r>
      <w:r>
        <w:t xml:space="preserve"> would</w:t>
      </w:r>
      <w:r w:rsidRPr="000A03C5">
        <w:t xml:space="preserve"> </w:t>
      </w:r>
      <w:r>
        <w:t xml:space="preserve">encourage national regulators to exchange on this topic, in order to achieve a convergence in standards which reflects the local market and secures the best interests of investors. </w:t>
      </w:r>
    </w:p>
    <w:p w14:paraId="307CFCEA" w14:textId="239F30FF" w:rsidR="00667FF6" w:rsidRDefault="008E6C79" w:rsidP="00667FF6">
      <w:r>
        <w:t xml:space="preserve"> </w:t>
      </w:r>
      <w:permEnd w:id="974730357"/>
      <w:r w:rsidR="00667FF6">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74ABD7D8" w14:textId="77777777" w:rsidR="009A0CB7" w:rsidRDefault="009A0CB7" w:rsidP="009A0CB7">
      <w:pPr>
        <w:rPr>
          <w:lang w:val="en-US"/>
        </w:rPr>
      </w:pPr>
      <w:permStart w:id="12191390" w:edGrp="everyone"/>
      <w:r>
        <w:rPr>
          <w:lang w:val="en-US"/>
        </w:rPr>
        <w:t>We note that it is already possible for UCITS to gain exposure to foreign currency for investment purposes (e.g. through foreign state bonds or other international assets, and derivative exposure under Article 50(1)(g)(i) of the UCITS Directive), and that that it should remain possible to do so, directly or indirectly, provided the associated risks are adequately disclosed and effectively managed in accordance with the same principles as for other assets, and that the exposure itself is disclosed in the prospectus. For example, the currency in question should be assessed in light of its capacity to meet the necessary liquidity requirements. This allows for the efficient active management of currency risk, and provides access to a large and liquid market together with the diversification benefits and investment features this may offer. Notably, benchmarks can be hedged or unhedged, requiring the fund manager to take positions in foreign currency. Foreign exchange can also serve both as a return contributor and diversifier in a multi-asset context.</w:t>
      </w:r>
    </w:p>
    <w:permEnd w:id="12191390"/>
    <w:p w14:paraId="1D468445" w14:textId="07B47D40"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 xml:space="preserve">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w:t>
      </w:r>
      <w:r>
        <w:lastRenderedPageBreak/>
        <w:t>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50981941" w14:textId="77777777" w:rsidR="00B233EC" w:rsidRDefault="00BF44A9" w:rsidP="00B233EC">
      <w:pPr>
        <w:rPr>
          <w:lang w:val="en-US"/>
        </w:rPr>
      </w:pPr>
      <w:permStart w:id="1602386857" w:edGrp="everyone"/>
      <w:r>
        <w:t xml:space="preserve"> </w:t>
      </w:r>
      <w:r w:rsidR="00B233EC">
        <w:rPr>
          <w:lang w:val="en-US"/>
        </w:rPr>
        <w:t xml:space="preserve">Outdated referencing to now repealed provisions of the UCITS Directive within the wording of Article 2(1) of the EAD also creates uncertainty and would benefit from </w:t>
      </w:r>
      <w:r w:rsidR="00B233EC" w:rsidRPr="006365A8">
        <w:t>clarifications through a table mentioning the latest version of the articles, which replace the old ones</w:t>
      </w:r>
      <w:r w:rsidR="00B233EC">
        <w:rPr>
          <w:lang w:val="en-US"/>
        </w:rPr>
        <w:t xml:space="preserve">. </w:t>
      </w:r>
    </w:p>
    <w:p w14:paraId="720FFABA" w14:textId="64A8A3AD" w:rsidR="00667FF6" w:rsidRDefault="00B233EC" w:rsidP="00667FF6">
      <w:r>
        <w:rPr>
          <w:lang w:val="en-US"/>
        </w:rPr>
        <w:t>We suggest there could be merit in considering guidance by which certain CIUs which do not comply with Article 50(1)(e)(i) – (iv) could be included within the 10% ratio. As we note</w:t>
      </w:r>
      <w:r>
        <w:t xml:space="preserve"> in </w:t>
      </w:r>
      <w:r w:rsidRPr="005E6A19">
        <w:rPr>
          <w:b/>
          <w:bCs/>
        </w:rPr>
        <w:t>Question</w:t>
      </w:r>
      <w:r>
        <w:rPr>
          <w:b/>
          <w:bCs/>
        </w:rPr>
        <w:t xml:space="preserve"> 14 and</w:t>
      </w:r>
      <w:r w:rsidRPr="005E6A19">
        <w:rPr>
          <w:b/>
          <w:bCs/>
        </w:rPr>
        <w:t xml:space="preserve"> </w:t>
      </w:r>
      <w:r w:rsidRPr="00735FAC">
        <w:rPr>
          <w:b/>
          <w:bCs/>
        </w:rPr>
        <w:t>15</w:t>
      </w:r>
      <w:r>
        <w:t>, the regulatory framework has evolved since 2007 giving rise to a wider variety of CIUs than was available at that time (including AIFs and ELTIFs). While we do not advocate that all CIUs which are not captured by Article 50(1)(e) should be included within Article 50(2)(a), we do suggest there could be a benefit in permitting some limited exposure to certain of these CIUs, with the parameters for this to be subject to further consideration.</w:t>
      </w:r>
      <w:r>
        <w:rPr>
          <w:lang w:val="en-US"/>
        </w:rPr>
        <w:t xml:space="preserve"> </w:t>
      </w:r>
      <w:r w:rsidR="005E4DDB">
        <w:t xml:space="preserve"> </w:t>
      </w:r>
      <w:permEnd w:id="1602386857"/>
      <w:r w:rsidR="00667FF6">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2A45BD72" w14:textId="77777777" w:rsidR="00A96FF0" w:rsidRDefault="00A96FF0" w:rsidP="00A96FF0">
      <w:pPr>
        <w:rPr>
          <w:lang w:val="en-US"/>
        </w:rPr>
      </w:pPr>
      <w:permStart w:id="1226657538" w:edGrp="everyone"/>
      <w:r>
        <w:rPr>
          <w:lang w:val="en-US"/>
        </w:rPr>
        <w:t>These are broadly considered appropriate. We are not aware of significant difficulties in the interpretation or application of these criteria.</w:t>
      </w:r>
    </w:p>
    <w:p w14:paraId="3EA76277" w14:textId="50818705" w:rsidR="007D7E0D" w:rsidRDefault="00A96FF0" w:rsidP="00A96FF0">
      <w:r>
        <w:t xml:space="preserve">Notably, the definition of a ‘financial instrument’ in MiFID II, which includes ‘transferable securities’, was recently expanded to include any traditional ‘financial instrument’ listed in Section C of Annex I of MiFID II which is issued via distributed ledger technology – for the purposes of legal certainty, guidance would be welcome clarifying that this revised definition should be seen as extending to the EAD. </w:t>
      </w:r>
      <w:r w:rsidRPr="00AA5C58">
        <w:t>Given the increasing use and market benefits of tokenised assets, in particular tokenised fund units, this clarification would be beneficial and consistent with the direction of travel of European legislation.</w:t>
      </w:r>
    </w:p>
    <w:permEnd w:id="1226657538"/>
    <w:p w14:paraId="362436C7" w14:textId="1C4C856D"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lastRenderedPageBreak/>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4E27026E" w14:textId="77777777" w:rsidR="00044649" w:rsidRDefault="00352401" w:rsidP="00044649">
      <w:permStart w:id="1286214635" w:edGrp="everyone"/>
      <w:r>
        <w:t xml:space="preserve"> </w:t>
      </w:r>
      <w:r w:rsidR="00044649">
        <w:t xml:space="preserve">These criteria should generally focus on the required expertise and experience of staff in relation to the relevant asset class and the implementation of adequate procedures for managing the relevant risk. In other words, we interpret these criteria to imply that the manager is obliged to ensure that all material risks </w:t>
      </w:r>
      <w:r w:rsidR="00044649" w:rsidRPr="0017337C">
        <w:t>associated with the investment are encapsulated within the risk and investment compliance processes</w:t>
      </w:r>
      <w:r w:rsidR="00044649">
        <w:t>, captured by the global exposure calculations, as well as the capability of IT infrastructure to integrate and compute risk metrics</w:t>
      </w:r>
      <w:r w:rsidR="00044649" w:rsidRPr="0017337C">
        <w:t>.</w:t>
      </w:r>
      <w:r w:rsidR="00044649">
        <w:t xml:space="preserve"> UCITS managers follow specific procedures when onboarding new instruments or strategies, which will differ depending on the profile of the asset. Standard instruments will typically be covered by the risk management process and valuation policies, which are periodically assessed and amended as necessary, while new instruments will be subject to a dedicated risk and valuation assessment. That ‘new’ instrument will then only be integrated into the portfolio where it is determined that it can be adequately captured by the risk and valuation process. </w:t>
      </w:r>
    </w:p>
    <w:p w14:paraId="499516C5" w14:textId="77777777" w:rsidR="00044649" w:rsidRPr="002F2059" w:rsidRDefault="00044649" w:rsidP="00044649">
      <w:pPr>
        <w:rPr>
          <w:bCs/>
        </w:rPr>
      </w:pPr>
      <w:r>
        <w:rPr>
          <w:bCs/>
        </w:rPr>
        <w:t xml:space="preserve">With respect to the availability of reliable valuation/prices, members note comprehensive procedures for the valuation of portfolio instruments. Members have cited the presence of observable prices (i.e., exchange quote or multiple counterparty sourced) or where, due to the nature of the asset or circumstances (e.g. assets frozen by sanctions), the presence of a clearly established pricing policy and independent pricing committee. Members cite the maintenance of </w:t>
      </w:r>
      <w:r w:rsidRPr="002F2059">
        <w:rPr>
          <w:bCs/>
        </w:rPr>
        <w:t>list</w:t>
      </w:r>
      <w:r>
        <w:rPr>
          <w:bCs/>
        </w:rPr>
        <w:t>s</w:t>
      </w:r>
      <w:r w:rsidRPr="002F2059">
        <w:rPr>
          <w:bCs/>
        </w:rPr>
        <w:t xml:space="preserve"> of price sources for each type of instrument</w:t>
      </w:r>
      <w:r>
        <w:rPr>
          <w:bCs/>
        </w:rPr>
        <w:t xml:space="preserve">, defining </w:t>
      </w:r>
      <w:r w:rsidRPr="002F2059">
        <w:rPr>
          <w:bCs/>
        </w:rPr>
        <w:t>the preferred main and alternative price source for each assets group/type</w:t>
      </w:r>
      <w:r>
        <w:rPr>
          <w:bCs/>
        </w:rPr>
        <w:t>, and also note that vendors used as a source of pricing must be</w:t>
      </w:r>
      <w:r w:rsidRPr="002F2059">
        <w:rPr>
          <w:bCs/>
        </w:rPr>
        <w:t xml:space="preserve"> reputable and have expertise in pricing</w:t>
      </w:r>
      <w:r>
        <w:rPr>
          <w:bCs/>
        </w:rPr>
        <w:t xml:space="preserve"> and are made subject to periodic due diligence</w:t>
      </w:r>
      <w:r w:rsidRPr="002F2059">
        <w:rPr>
          <w:bCs/>
        </w:rPr>
        <w:t>.</w:t>
      </w:r>
      <w:r>
        <w:rPr>
          <w:bCs/>
        </w:rPr>
        <w:t xml:space="preserve"> Internal valuation teams are tasked with ensuring </w:t>
      </w:r>
      <w:r w:rsidRPr="002F2059">
        <w:rPr>
          <w:bCs/>
        </w:rPr>
        <w:t xml:space="preserve">that instrument valuations are consistent across each business area and pricing sources are in </w:t>
      </w:r>
      <w:r>
        <w:rPr>
          <w:bCs/>
        </w:rPr>
        <w:t>line with procedures and subject to monitoring and price challenge procedure. Third parties are also engaged to conduct price quality control checks.</w:t>
      </w:r>
    </w:p>
    <w:p w14:paraId="3B135C1E" w14:textId="016EF376" w:rsidR="00F058B1" w:rsidRDefault="00044649" w:rsidP="00667FF6">
      <w:r>
        <w:t xml:space="preserve">Similar to our answer to </w:t>
      </w:r>
      <w:r w:rsidRPr="00F640BE">
        <w:rPr>
          <w:b/>
          <w:bCs/>
        </w:rPr>
        <w:t>Question 5</w:t>
      </w:r>
      <w:r>
        <w:t xml:space="preserve"> above, the role of the manager is that of risk management. </w:t>
      </w:r>
      <w:r w:rsidRPr="0017337C">
        <w:t xml:space="preserve">This </w:t>
      </w:r>
      <w:r>
        <w:t>practice is a constant element when adding new assets to the portfolio, including via</w:t>
      </w:r>
      <w:r w:rsidRPr="0017337C">
        <w:t xml:space="preserve"> indirect exposure to underlying assets.</w:t>
      </w:r>
    </w:p>
    <w:permEnd w:id="1286214635"/>
    <w:p w14:paraId="596ED339" w14:textId="2DCD611D"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5DD43B0E" w14:textId="77777777" w:rsidR="00CE6679" w:rsidRPr="004A4A30" w:rsidRDefault="00CE6679" w:rsidP="00CE6679">
      <w:pPr>
        <w:rPr>
          <w:b/>
          <w:bCs/>
        </w:rPr>
      </w:pPr>
      <w:permStart w:id="704664972" w:edGrp="everyone"/>
      <w:r>
        <w:t xml:space="preserve">Differences exist between Member States on the question of whether there is an obligation for the manager to look through to the underlying where a UCITS invests in a financial instrument backed by or linked to the performance of assets which are not directly investable. These divergent interpretations imply a greater or lesser possibility </w:t>
      </w:r>
      <w:r w:rsidRPr="00D54901">
        <w:t xml:space="preserve">of obtaining indirect exposure to underlying assets which are not </w:t>
      </w:r>
      <w:r>
        <w:t>directly investable by the UCITS</w:t>
      </w:r>
      <w:r w:rsidRPr="00D54901">
        <w:t>.</w:t>
      </w:r>
      <w:r>
        <w:t xml:space="preserve"> </w:t>
      </w:r>
    </w:p>
    <w:p w14:paraId="31EA781B" w14:textId="77777777" w:rsidR="00CE6679" w:rsidRDefault="00CE6679" w:rsidP="00CE6679">
      <w:r>
        <w:t xml:space="preserve">We discuss these points in detail in </w:t>
      </w:r>
      <w:r>
        <w:rPr>
          <w:b/>
          <w:bCs/>
        </w:rPr>
        <w:t>Question 13 and 22</w:t>
      </w:r>
      <w:r>
        <w:t xml:space="preserve">. We suggest that the objective should be to achieve a degree of relative harmonisation which would facilitate cross-border distribution, address competitive distortions and provide transparency and comparability for end-investors. The correct approach must balance the character of the UCITS as being the predominant structure for retail investors while permitting the manager to further diversify the portfolio. </w:t>
      </w:r>
    </w:p>
    <w:p w14:paraId="69872656" w14:textId="0B0E6C7E" w:rsidR="00C639E8" w:rsidRDefault="00CE6679" w:rsidP="00CE6679">
      <w:r>
        <w:t>We note the merits of the establishment of explicit disclosure rules to assist investors in better understanding the operation, merits and risks of these techniques and would refrain from a framework that is too narrow and restricts the flexibility when establishing new or amending existing instruments. Notably, adopting a more restrictive approach may not be in the best interests of investors, who may benefit from indirect investment to a broader set of underlying assets, and whose existing UCITS investments may be impacted should a change in the rules require them to divest.</w:t>
      </w:r>
    </w:p>
    <w:permEnd w:id="704664972"/>
    <w:p w14:paraId="0F547A6E" w14:textId="71190FFC"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lastRenderedPageBreak/>
        <w:t>&lt;ESMA_QUESTION_EADC_12&gt;</w:t>
      </w:r>
    </w:p>
    <w:p w14:paraId="3F013096" w14:textId="007F3511" w:rsidR="002C42AA" w:rsidRDefault="00CA675D" w:rsidP="00667FF6">
      <w:permStart w:id="624035433" w:edGrp="everyone"/>
      <w:r>
        <w:t xml:space="preserve">This concept is considered clear, in light of Articles 2(3) and 10 of the EAD read in tandem. </w:t>
      </w:r>
      <w:r w:rsidRPr="00886076">
        <w:t>We do not have specific changes to suggest to the Level 1 rules at this time.</w:t>
      </w:r>
    </w:p>
    <w:permEnd w:id="624035433"/>
    <w:p w14:paraId="0AE10AA5" w14:textId="37D69AE6"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29EA6DB0" w14:textId="77777777" w:rsidR="006C6B5F" w:rsidRDefault="008B7A76" w:rsidP="006C6B5F">
      <w:permStart w:id="1487874619" w:edGrp="everyone"/>
      <w:r>
        <w:t xml:space="preserve"> </w:t>
      </w:r>
      <w:r w:rsidR="006C6B5F">
        <w:t>The approach taken to this issue must place at the centre the best outcome for the investor.</w:t>
      </w:r>
    </w:p>
    <w:p w14:paraId="217EC31E" w14:textId="77777777" w:rsidR="006C6B5F" w:rsidRDefault="006C6B5F" w:rsidP="006C6B5F">
      <w:r>
        <w:t xml:space="preserve">EFAMA recognises that </w:t>
      </w:r>
      <w:r w:rsidRPr="003E0F5C">
        <w:rPr>
          <w:b/>
          <w:bCs/>
        </w:rPr>
        <w:t>diverging interpretations</w:t>
      </w:r>
      <w:r>
        <w:t xml:space="preserve"> between Member States regarding the treatment of delta-one instruments has negative repercussions on investors and on industry – creating distortions in competition, legal uncertainty for industry, and influencing decisions in portfolio composition in order to avoid national barriers to cross-border distribution.</w:t>
      </w:r>
    </w:p>
    <w:p w14:paraId="171028FF" w14:textId="77777777" w:rsidR="006C6B5F" w:rsidRDefault="006C6B5F" w:rsidP="006C6B5F">
      <w:r>
        <w:t xml:space="preserve">However, we also note </w:t>
      </w:r>
      <w:r w:rsidRPr="003E0F5C">
        <w:rPr>
          <w:b/>
          <w:bCs/>
        </w:rPr>
        <w:t>key benefits for investors</w:t>
      </w:r>
      <w:r>
        <w:t xml:space="preserve"> in allowing indirect exposure to assets which are not directly investable by UCITS, notably through delta-one instruments, which are allowed in certain prominent jurisdictions on the basis that they are considered to not embed a derivative. This practice allows for diversification, protecting investors during stressed markets by providing uncorrelated returns when traditional asset classes become correlated. I</w:t>
      </w:r>
      <w:r w:rsidRPr="00B41A2B">
        <w:t xml:space="preserve">ndirect exposure via delta-one instruments </w:t>
      </w:r>
      <w:r>
        <w:t xml:space="preserve">can also </w:t>
      </w:r>
      <w:r w:rsidRPr="00B41A2B">
        <w:t>offer benefits of an institutional-grade product due diligence</w:t>
      </w:r>
      <w:r>
        <w:t xml:space="preserve"> (assessing the legal, operational and service provider setup and the particularities of the underlying, including custody arrangements)</w:t>
      </w:r>
      <w:r w:rsidRPr="00B41A2B">
        <w:t xml:space="preserve"> and</w:t>
      </w:r>
      <w:r>
        <w:t xml:space="preserve"> can provide</w:t>
      </w:r>
      <w:r w:rsidRPr="00B41A2B">
        <w:t xml:space="preserve"> liquidity</w:t>
      </w:r>
      <w:r>
        <w:t xml:space="preserve"> and </w:t>
      </w:r>
      <w:r w:rsidRPr="00B41A2B">
        <w:t>efficiency of ETP investments</w:t>
      </w:r>
      <w:r>
        <w:t xml:space="preserve">. </w:t>
      </w:r>
      <w:r>
        <w:rPr>
          <w:lang w:val="en-US"/>
        </w:rPr>
        <w:t xml:space="preserve">We also note that although delta-one instruments may provide exposure to non-UCITS eligible assets, these assets share the characteristics of transferable securities and are themselves consistent with the UCITS Directive, such that </w:t>
      </w:r>
      <w:r w:rsidRPr="00240ED0">
        <w:rPr>
          <w:lang w:val="en-US"/>
        </w:rPr>
        <w:t xml:space="preserve">allowing exposure to certain asset classes via </w:t>
      </w:r>
      <w:r>
        <w:rPr>
          <w:lang w:val="en-US"/>
        </w:rPr>
        <w:t>delta-ones</w:t>
      </w:r>
      <w:r w:rsidRPr="00240ED0">
        <w:rPr>
          <w:lang w:val="en-US"/>
        </w:rPr>
        <w:t xml:space="preserve"> </w:t>
      </w:r>
      <w:r>
        <w:rPr>
          <w:lang w:val="en-US"/>
        </w:rPr>
        <w:t>mitigates some of the</w:t>
      </w:r>
      <w:r w:rsidRPr="00240ED0">
        <w:rPr>
          <w:lang w:val="en-US"/>
        </w:rPr>
        <w:t xml:space="preserve"> risks </w:t>
      </w:r>
      <w:r>
        <w:rPr>
          <w:lang w:val="en-US"/>
        </w:rPr>
        <w:t xml:space="preserve">and </w:t>
      </w:r>
      <w:r w:rsidRPr="00240ED0">
        <w:rPr>
          <w:lang w:val="en-US"/>
        </w:rPr>
        <w:t xml:space="preserve">challenges that would be associated in investing directly in the asset class. </w:t>
      </w:r>
      <w:r>
        <w:t xml:space="preserve">However, we note that, when considering these benefits, the manager will consider that </w:t>
      </w:r>
      <w:r w:rsidRPr="00E169FD">
        <w:rPr>
          <w:b/>
          <w:bCs/>
        </w:rPr>
        <w:t>delta-one products differ</w:t>
      </w:r>
      <w:r>
        <w:rPr>
          <w:b/>
          <w:bCs/>
        </w:rPr>
        <w:t xml:space="preserve"> </w:t>
      </w:r>
      <w:r>
        <w:t>from one type to another,</w:t>
      </w:r>
      <w:r>
        <w:rPr>
          <w:b/>
          <w:bCs/>
        </w:rPr>
        <w:t xml:space="preserve"> </w:t>
      </w:r>
      <w:r>
        <w:t xml:space="preserve">ranging from regulated products like UCITS ETFs to other exchange-traded </w:t>
      </w:r>
      <w:r>
        <w:lastRenderedPageBreak/>
        <w:t>or OTC products, and consequently differ in terms of structural benefits they can bring to the portfolio. It would be for the asset manager to determine the benefit a particular delta-one instrument could provide in this regard.</w:t>
      </w:r>
    </w:p>
    <w:p w14:paraId="620182F8" w14:textId="77777777" w:rsidR="006C6B5F" w:rsidRDefault="006C6B5F" w:rsidP="006C6B5F">
      <w:r>
        <w:t xml:space="preserve">To remediate national divergencies while ensuring investors retain the benefits of limited indirect exposure to ineligible asset classes, we encourage addressing these divergences in a manner which would achieve a </w:t>
      </w:r>
      <w:r w:rsidRPr="003E0F5C">
        <w:rPr>
          <w:b/>
          <w:bCs/>
        </w:rPr>
        <w:t>level of relative harmonisation</w:t>
      </w:r>
      <w:r>
        <w:t xml:space="preserve"> to </w:t>
      </w:r>
      <w:r w:rsidRPr="00DB1EF4">
        <w:rPr>
          <w:b/>
          <w:bCs/>
        </w:rPr>
        <w:t>ensure</w:t>
      </w:r>
      <w:r>
        <w:rPr>
          <w:b/>
          <w:bCs/>
        </w:rPr>
        <w:t xml:space="preserve"> the best investor outcome</w:t>
      </w:r>
      <w:r>
        <w:t>. We suggest a common tool across jurisdictions – such as in the framework of a common questionnaire – outlining differences in approach between regulators as a pragmatic tool to foster dialogue, for regulators to work together with ESMA towards coordination and consistency of approach, and ultimately to provide legal certainty to industry operating cross-border. Within the framework of this common questionnaire, and with the benefit of the information it provides, each regulator can continue to accommodate specific market conditions and practices of their jurisdiction which are seen as benefiting investors while ultimately working, through dialogue, to greater convergence of approach through ESMA.</w:t>
      </w:r>
    </w:p>
    <w:p w14:paraId="6F0A571B" w14:textId="77777777" w:rsidR="006C6B5F" w:rsidRPr="00DB1EF4" w:rsidRDefault="006C6B5F" w:rsidP="006C6B5F">
      <w:pPr>
        <w:rPr>
          <w:lang w:val="en-US"/>
        </w:rPr>
      </w:pPr>
      <w:r>
        <w:t xml:space="preserve">When investing indirectly through a delta-one instrument, the manager remains obliged through its fiduciary duties to </w:t>
      </w:r>
      <w:r w:rsidRPr="00D715BE">
        <w:rPr>
          <w:bCs/>
          <w:lang w:val="en-US"/>
        </w:rPr>
        <w:t>perform a look-through approach from a risk management perspective,</w:t>
      </w:r>
      <w:r w:rsidRPr="00D715BE">
        <w:rPr>
          <w:lang w:val="en-US"/>
        </w:rPr>
        <w:t xml:space="preserve"> </w:t>
      </w:r>
      <w:r>
        <w:rPr>
          <w:lang w:val="en-US"/>
        </w:rPr>
        <w:t xml:space="preserve">to be in a </w:t>
      </w:r>
      <w:r w:rsidRPr="00D715BE">
        <w:rPr>
          <w:lang w:val="en-US"/>
        </w:rPr>
        <w:t xml:space="preserve">position to understand, measure and monitor the risk of a financial instrument and its underlyings. New underlyings require the performance of a New Instrument Onboarding process (“NIO”), </w:t>
      </w:r>
      <w:r>
        <w:rPr>
          <w:lang w:val="en-US"/>
        </w:rPr>
        <w:t>integrating the</w:t>
      </w:r>
      <w:r w:rsidRPr="00D715BE">
        <w:rPr>
          <w:lang w:val="en-US"/>
        </w:rPr>
        <w:t xml:space="preserve"> new underlying in</w:t>
      </w:r>
      <w:r>
        <w:rPr>
          <w:lang w:val="en-US"/>
        </w:rPr>
        <w:t xml:space="preserve">to existing </w:t>
      </w:r>
      <w:r w:rsidRPr="00D715BE">
        <w:rPr>
          <w:lang w:val="en-US"/>
        </w:rPr>
        <w:t xml:space="preserve">processes and systems, </w:t>
      </w:r>
      <w:r>
        <w:rPr>
          <w:lang w:val="en-US"/>
        </w:rPr>
        <w:t>ensuring it</w:t>
      </w:r>
      <w:r w:rsidRPr="00D715BE">
        <w:rPr>
          <w:lang w:val="en-US"/>
        </w:rPr>
        <w:t xml:space="preserve"> fits into the fund’s investment strategy, </w:t>
      </w:r>
      <w:r>
        <w:rPr>
          <w:lang w:val="en-US"/>
        </w:rPr>
        <w:t>t</w:t>
      </w:r>
      <w:r w:rsidRPr="00D715BE">
        <w:rPr>
          <w:lang w:val="en-US"/>
        </w:rPr>
        <w:t>ransparently set</w:t>
      </w:r>
      <w:r>
        <w:rPr>
          <w:lang w:val="en-US"/>
        </w:rPr>
        <w:t>ting out any additional risks</w:t>
      </w:r>
      <w:r w:rsidRPr="00D715BE">
        <w:rPr>
          <w:lang w:val="en-US"/>
        </w:rPr>
        <w:t xml:space="preserve"> in the fund documents (including the prospectus) and </w:t>
      </w:r>
      <w:r>
        <w:rPr>
          <w:lang w:val="en-US"/>
        </w:rPr>
        <w:t xml:space="preserve">considering </w:t>
      </w:r>
      <w:r w:rsidRPr="00D715BE">
        <w:rPr>
          <w:lang w:val="en-US"/>
        </w:rPr>
        <w:t>exposure limits.</w:t>
      </w:r>
      <w:r>
        <w:rPr>
          <w:lang w:val="en-US"/>
        </w:rPr>
        <w:t xml:space="preserve"> T</w:t>
      </w:r>
      <w:r w:rsidRPr="00D715BE">
        <w:rPr>
          <w:lang w:val="en-US"/>
        </w:rPr>
        <w:t>he new underlying must be integrated into the operating model, all IT-systems and relevant risk models</w:t>
      </w:r>
      <w:r>
        <w:rPr>
          <w:lang w:val="en-US"/>
        </w:rPr>
        <w:t xml:space="preserve">, which </w:t>
      </w:r>
      <w:r w:rsidRPr="00D715BE">
        <w:rPr>
          <w:lang w:val="en-US"/>
        </w:rPr>
        <w:t xml:space="preserve">may require system changes, additional market data integration and process enhancements. </w:t>
      </w:r>
      <w:r>
        <w:rPr>
          <w:lang w:val="en-US"/>
        </w:rPr>
        <w:t xml:space="preserve">We also note that delta-one notes are typically issued by bankruptcy remote SPVs and can be issued on a secured basis using the assets of the issuer as security for the note, which limits counterparty risk. </w:t>
      </w:r>
    </w:p>
    <w:p w14:paraId="7ABCA00A" w14:textId="77777777" w:rsidR="006C6B5F" w:rsidRDefault="006C6B5F" w:rsidP="006C6B5F">
      <w:r>
        <w:t xml:space="preserve">In addition, as stated in Chapter IX of the UCITS Directive, we acknowledge the importance of appropriate </w:t>
      </w:r>
      <w:r w:rsidRPr="00E169FD">
        <w:rPr>
          <w:b/>
          <w:bCs/>
        </w:rPr>
        <w:t>disclosures</w:t>
      </w:r>
      <w:r>
        <w:t xml:space="preserve"> to investors in the prospectus as regards the investment universe and assets. The fund should, in line with these rules, only invest in accordance with the descriptions provided in its prospectus, ensuring that investors are furnished with pertinent information. </w:t>
      </w:r>
    </w:p>
    <w:p w14:paraId="196DC390" w14:textId="264AF6FF" w:rsidR="00272F15" w:rsidRDefault="006C6B5F" w:rsidP="006C6B5F">
      <w:r>
        <w:t xml:space="preserve">With respect to cost implications of indirect investing through delta-one instruments, we address more fully in </w:t>
      </w:r>
      <w:r w:rsidRPr="00E169FD">
        <w:rPr>
          <w:b/>
          <w:bCs/>
        </w:rPr>
        <w:t>Question 21</w:t>
      </w:r>
      <w:r w:rsidRPr="00C33953">
        <w:t>.</w:t>
      </w:r>
    </w:p>
    <w:permEnd w:id="1487874619"/>
    <w:p w14:paraId="7EE4CE59" w14:textId="0D0F2792"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lastRenderedPageBreak/>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21E54EDC" w14:textId="77777777" w:rsidR="006C7566" w:rsidRPr="00257F37" w:rsidRDefault="006C7566" w:rsidP="006C7566">
      <w:permStart w:id="1362129429" w:edGrp="everyone"/>
      <w:r w:rsidRPr="007E357A">
        <w:t xml:space="preserve">We agree that the distinction in the EAD between ‘open-ended’ and ‘closed-ended funds’ is outdated </w:t>
      </w:r>
      <w:r>
        <w:t>in light of</w:t>
      </w:r>
      <w:r w:rsidRPr="007E357A">
        <w:t xml:space="preserve"> </w:t>
      </w:r>
      <w:r>
        <w:t xml:space="preserve">legislative developments since the enactment of the EAD in 2007, namely </w:t>
      </w:r>
      <w:r w:rsidRPr="007E357A">
        <w:t>the AIFMD and also the ELTIF</w:t>
      </w:r>
      <w:r>
        <w:t xml:space="preserve"> Regulation, and the prevalence of semi-liquid funds, with the latter being particularly relevant for supporting the transition towards sustainability</w:t>
      </w:r>
      <w:r w:rsidRPr="007E357A">
        <w:t>.</w:t>
      </w:r>
      <w:r>
        <w:rPr>
          <w:bCs/>
          <w:lang w:val="en-US"/>
        </w:rPr>
        <w:t xml:space="preserve"> This distinction is quite simplistic in light of these developments, and does not necessarily reflect the liquidity profile of the target fund – for example, an eligible investment in a non-EU </w:t>
      </w:r>
      <w:r w:rsidRPr="007E357A">
        <w:t>venture capital vehicle</w:t>
      </w:r>
      <w:r>
        <w:t xml:space="preserve"> may</w:t>
      </w:r>
      <w:r w:rsidRPr="007E357A">
        <w:t xml:space="preserve"> be less liquid than</w:t>
      </w:r>
      <w:r>
        <w:t xml:space="preserve"> certain</w:t>
      </w:r>
      <w:r w:rsidRPr="007E357A">
        <w:t xml:space="preserve"> open-ended </w:t>
      </w:r>
      <w:r>
        <w:t>AIFs or ELTIFs</w:t>
      </w:r>
      <w:r w:rsidRPr="007E357A">
        <w:t>.</w:t>
      </w:r>
      <w:r>
        <w:t xml:space="preserve"> However, careful consideration would be needed if this reference were to be updated or supplemented – for example, not all open-ended AIFs or ELTIFs would be suitable for investment as an eligible asset under Article 50(1), and so a replacement of the notion of ‘closed-ended funds’ would need to reflect a range of factors. We have outlined, in our response to </w:t>
      </w:r>
      <w:r>
        <w:rPr>
          <w:b/>
          <w:bCs/>
        </w:rPr>
        <w:t>Question 8</w:t>
      </w:r>
      <w:r>
        <w:t xml:space="preserve"> above, that limited exposure to certain open-ended non-UCITS funds could be desirable as part of the 10% ratio in Article 50(2)(a).</w:t>
      </w:r>
    </w:p>
    <w:p w14:paraId="750F140D" w14:textId="77777777" w:rsidR="006C7566" w:rsidRDefault="006C7566" w:rsidP="006C7566">
      <w:pPr>
        <w:rPr>
          <w:lang w:val="en-IE"/>
        </w:rPr>
      </w:pPr>
      <w:r>
        <w:t>A separate point arises w</w:t>
      </w:r>
      <w:r>
        <w:rPr>
          <w:lang w:val="en-IE"/>
        </w:rPr>
        <w:t>ith respect to certain REITs, which are typically not structured as investment companies but rather corporations with a specific business purpose (real estate development/management), as well as other corporations which are not constituted as investment companies but which have investment in securities as their business purpose. As ESMA’s</w:t>
      </w:r>
      <w:r w:rsidRPr="009C0FE9">
        <w:t xml:space="preserve"> Guidelines on key concepts of the AIFMD</w:t>
      </w:r>
      <w:r>
        <w:t xml:space="preserve"> provide that the fact that an</w:t>
      </w:r>
      <w:r w:rsidRPr="00147C18">
        <w:t xml:space="preserve"> undertaking </w:t>
      </w:r>
      <w:r>
        <w:t>“</w:t>
      </w:r>
      <w:r w:rsidRPr="00147C18">
        <w:t>does not have a general commercial or industrial purpose</w:t>
      </w:r>
      <w:r>
        <w:t>” will be indicative as to its status as a CIU, the fact that REITs are structured in the abovementioned manner often requires a case-</w:t>
      </w:r>
      <w:r>
        <w:lastRenderedPageBreak/>
        <w:t>by-case analysis as there are some REITs which undertake a mixture of development and investment activities</w:t>
      </w:r>
      <w:r>
        <w:rPr>
          <w:lang w:val="en-IE"/>
        </w:rPr>
        <w:t xml:space="preserve">. </w:t>
      </w:r>
      <w:r w:rsidRPr="00301FC5">
        <w:rPr>
          <w:lang w:val="en-IE"/>
        </w:rPr>
        <w:t xml:space="preserve">We suggest </w:t>
      </w:r>
      <w:r w:rsidRPr="00E169FD">
        <w:rPr>
          <w:lang w:val="en-IE"/>
        </w:rPr>
        <w:t>it</w:t>
      </w:r>
      <w:r w:rsidRPr="00301FC5">
        <w:rPr>
          <w:lang w:val="en-IE"/>
        </w:rPr>
        <w:t xml:space="preserve"> can be clarified by way of guidance</w:t>
      </w:r>
      <w:r w:rsidRPr="00E169FD">
        <w:rPr>
          <w:lang w:val="en-IE"/>
        </w:rPr>
        <w:t xml:space="preserve"> that such entities would be considered CIUs for the purposes of Article 2(2)(a) of the EAD</w:t>
      </w:r>
      <w:r w:rsidRPr="00301FC5">
        <w:rPr>
          <w:lang w:val="en-IE"/>
        </w:rPr>
        <w:t>.</w:t>
      </w:r>
    </w:p>
    <w:p w14:paraId="1F511D3C" w14:textId="5E813786" w:rsidR="008D331C" w:rsidRPr="006C7566" w:rsidRDefault="006C7566" w:rsidP="006C7566">
      <w:r>
        <w:rPr>
          <w:lang w:val="en-IE"/>
        </w:rPr>
        <w:t xml:space="preserve">A jurisdiction-specific obstacle relates to the French Fonds Commun de Placement, which, as closed-ended funds, cannot qualify as eligible assets as Article 2(2)(a) or (b) of the EAD as they are not, under French law, considered to fall into any of these categories (notably, French law does not recognise the concept of a ‘unit trust’). We also note another instance of national divergence in France under </w:t>
      </w:r>
      <w:r>
        <w:rPr>
          <w:b/>
          <w:bCs/>
          <w:lang w:val="en-IE"/>
        </w:rPr>
        <w:t>Question 19</w:t>
      </w:r>
      <w:r>
        <w:rPr>
          <w:lang w:val="en-IE"/>
        </w:rPr>
        <w:t>.</w:t>
      </w:r>
    </w:p>
    <w:permEnd w:id="1362129429"/>
    <w:p w14:paraId="1A4BA964" w14:textId="40B949CD"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50A73880" w14:textId="77777777" w:rsidR="00A032D8" w:rsidRDefault="008C691B" w:rsidP="00667FF6">
      <w:permStart w:id="493775816" w:edGrp="everyone"/>
      <w:r>
        <w:t>The current Level 1 rules (in the EAD and UCITS Directive) have not led to recurring or significant issues among our membership.</w:t>
      </w:r>
      <w:r w:rsidRPr="007F3403">
        <w:t xml:space="preserve"> </w:t>
      </w:r>
      <w:r w:rsidRPr="00096301">
        <w:t>We do not have specific changes to suggest to the Level 1 rules at this time.</w:t>
      </w:r>
      <w:r w:rsidR="00A14976">
        <w:t xml:space="preserve"> </w:t>
      </w:r>
    </w:p>
    <w:permEnd w:id="493775816"/>
    <w:p w14:paraId="2FCB81E2" w14:textId="0834121B"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752296C3" w14:textId="77777777" w:rsidR="000E4D2C" w:rsidRDefault="000E4D2C" w:rsidP="000E4D2C">
      <w:pPr>
        <w:rPr>
          <w:lang w:val="en-IE"/>
        </w:rPr>
      </w:pPr>
      <w:permStart w:id="1032210024" w:edGrp="everyone"/>
      <w:r>
        <w:lastRenderedPageBreak/>
        <w:t>We view the existing rules as providing</w:t>
      </w:r>
      <w:r>
        <w:rPr>
          <w:lang w:val="en-IE"/>
        </w:rPr>
        <w:t xml:space="preserve"> sufficient detail in relat</w:t>
      </w:r>
      <w:r w:rsidRPr="00B87650">
        <w:rPr>
          <w:lang w:val="en-IE"/>
        </w:rPr>
        <w:t>ion to</w:t>
      </w:r>
      <w:r>
        <w:rPr>
          <w:lang w:val="en-IE"/>
        </w:rPr>
        <w:t xml:space="preserve"> the conduct of</w:t>
      </w:r>
      <w:r w:rsidRPr="00B87650">
        <w:rPr>
          <w:lang w:val="en-IE"/>
        </w:rPr>
        <w:t xml:space="preserve"> EPM and disclosures </w:t>
      </w:r>
      <w:r>
        <w:rPr>
          <w:lang w:val="en-IE"/>
        </w:rPr>
        <w:t>to be made.</w:t>
      </w:r>
    </w:p>
    <w:p w14:paraId="4AFEBE63" w14:textId="77777777" w:rsidR="000E4D2C" w:rsidRPr="00231211" w:rsidRDefault="000E4D2C" w:rsidP="000E4D2C">
      <w:pPr>
        <w:rPr>
          <w:lang w:val="en-US"/>
        </w:rPr>
      </w:pPr>
      <w:r w:rsidRPr="00D63069">
        <w:rPr>
          <w:lang w:val="en-US"/>
        </w:rPr>
        <w:t>EPM techniques have long been a source of additional performance for UCITS shareholders. This extra</w:t>
      </w:r>
      <w:r>
        <w:rPr>
          <w:lang w:val="en-US"/>
        </w:rPr>
        <w:t xml:space="preserve"> </w:t>
      </w:r>
      <w:r w:rsidRPr="00D63069">
        <w:rPr>
          <w:lang w:val="en-US"/>
        </w:rPr>
        <w:t>revenue stems from the offering of multiple services and from the know-how of the lending agent that is in charge of implementing these specific activities. EPM techniques cover a value-chain that includes various tasks and requires several capabilities such as</w:t>
      </w:r>
      <w:r>
        <w:rPr>
          <w:lang w:val="en-US"/>
        </w:rPr>
        <w:t xml:space="preserve"> t</w:t>
      </w:r>
      <w:r w:rsidRPr="00231211">
        <w:rPr>
          <w:lang w:val="en-US"/>
        </w:rPr>
        <w:t>he sourcing of market interests,</w:t>
      </w:r>
      <w:r>
        <w:rPr>
          <w:lang w:val="en-US"/>
        </w:rPr>
        <w:t xml:space="preserve"> collateral management</w:t>
      </w:r>
      <w:r w:rsidRPr="00231211">
        <w:rPr>
          <w:lang w:val="en-US"/>
        </w:rPr>
        <w:t>,</w:t>
      </w:r>
      <w:r>
        <w:rPr>
          <w:lang w:val="en-US"/>
        </w:rPr>
        <w:t xml:space="preserve"> </w:t>
      </w:r>
      <w:r w:rsidRPr="00231211">
        <w:rPr>
          <w:lang w:val="en-US"/>
        </w:rPr>
        <w:t>assessment of counterparty risk,</w:t>
      </w:r>
      <w:r>
        <w:rPr>
          <w:lang w:val="en-US"/>
        </w:rPr>
        <w:t xml:space="preserve"> and t</w:t>
      </w:r>
      <w:r w:rsidRPr="00231211">
        <w:rPr>
          <w:lang w:val="en-US"/>
        </w:rPr>
        <w:t>he implementation of detailed disclosure requirements.</w:t>
      </w:r>
    </w:p>
    <w:p w14:paraId="29DAA612" w14:textId="77777777" w:rsidR="000E4D2C" w:rsidRPr="0015445A" w:rsidRDefault="000E4D2C" w:rsidP="000E4D2C">
      <w:pPr>
        <w:rPr>
          <w:lang w:val="en-US"/>
        </w:rPr>
      </w:pPr>
      <w:r w:rsidRPr="00F25E02">
        <w:rPr>
          <w:lang w:val="en-US"/>
        </w:rPr>
        <w:t>EPM techniques</w:t>
      </w:r>
      <w:r>
        <w:rPr>
          <w:lang w:val="en-US"/>
        </w:rPr>
        <w:t xml:space="preserve"> are employed to reduce risk and costs and/or generate additional income. Any change to the ESMA Guidelines which would l</w:t>
      </w:r>
      <w:r>
        <w:t>imit the costs which can be deducted for engaging in EPM would result either in also limiting the range of affordable protections available to the fund manager in terms of risk management techniques outlined in the next paragraph or would simply lead managers to discontinue their use of EPM techniques altogether. This in turn would reduce competition in the market for EPM providers, leading to investors possibly being offered terms that are less suitable for them due to lack of competition. In addition to cutting investors off from a significant source of additional performance, this would also negatively impact the functioning of financial markets in removing a source of liquidity as securities lending activities decline. As is already the case per ESMA guidelines, we suggest that any concerns that EPM techniques are not being employed for the best interests of investors can be allayed by transparency as to the features, revenue and costs of the EPM technique employed.</w:t>
      </w:r>
    </w:p>
    <w:p w14:paraId="4421CCAB" w14:textId="77777777" w:rsidR="000E4D2C" w:rsidRDefault="000E4D2C" w:rsidP="000E4D2C">
      <w:r w:rsidRPr="007D54B7">
        <w:rPr>
          <w:lang w:val="en-US"/>
        </w:rPr>
        <w:t xml:space="preserve">UCITS </w:t>
      </w:r>
      <w:r>
        <w:rPr>
          <w:lang w:val="en-US"/>
        </w:rPr>
        <w:t>managers</w:t>
      </w:r>
      <w:r w:rsidRPr="007D54B7">
        <w:rPr>
          <w:lang w:val="en-US"/>
        </w:rPr>
        <w:t xml:space="preserve">, irrespective of whether the activity is outsourced to a third-party or performed by the UCITS </w:t>
      </w:r>
      <w:r>
        <w:rPr>
          <w:lang w:val="en-US"/>
        </w:rPr>
        <w:t>management company</w:t>
      </w:r>
      <w:r w:rsidRPr="007D54B7">
        <w:rPr>
          <w:lang w:val="en-US"/>
        </w:rPr>
        <w:t xml:space="preserve"> itself</w:t>
      </w:r>
      <w:r>
        <w:rPr>
          <w:lang w:val="en-US"/>
        </w:rPr>
        <w:t xml:space="preserve"> or a subsidiary</w:t>
      </w:r>
      <w:r w:rsidRPr="007D54B7">
        <w:rPr>
          <w:lang w:val="en-US"/>
        </w:rPr>
        <w:t xml:space="preserve">, should be allowed to deduct a fair market rate fee (including a margin) for the initiation, preparation and execution of securities lending transactions of the gross revenues generated by these transactions. </w:t>
      </w:r>
      <w:r>
        <w:t xml:space="preserve">The costs expended for engaging in EPM techniques must be viewed in the context of the quality of protection afforded to investors against risks inherent in EPM techniques. The level of cost will be commensurate with, for example, the degree of collateralisation, the experience of the securities lending agent, the counterparty risk management framework (such as appropriate levels of collateral and haircuts, suspensions to trade) provided for counterparty default, the percentage of the portfolio on loan. </w:t>
      </w:r>
    </w:p>
    <w:p w14:paraId="5FB58493" w14:textId="77777777" w:rsidR="000E4D2C" w:rsidRPr="00C61FB9" w:rsidRDefault="000E4D2C" w:rsidP="000E4D2C">
      <w:pPr>
        <w:rPr>
          <w:lang w:val="en-US"/>
        </w:rPr>
      </w:pPr>
      <w:r>
        <w:t>We believe that disclosure to investors providing transparency into the revenue split to be applied in the precontractual documents of the UCITS, permitting investors to make an informed decision, is the best approach. Pr</w:t>
      </w:r>
      <w:r w:rsidRPr="00A70CB4">
        <w:t>ovisions regarding disclosures, risk management, contractual terms and others are already reflected in the ESMA Guidelines for competent authorities and UCITS management companies and as such are currently being applied.</w:t>
      </w:r>
      <w:r>
        <w:t xml:space="preserve"> The use of EPM techniques benefit both end-investors (as a source of additional revenues </w:t>
      </w:r>
      <w:r>
        <w:lastRenderedPageBreak/>
        <w:t>improving the performance of their investments) and markets as a whole (by providing additional liquidity in the markets).</w:t>
      </w:r>
    </w:p>
    <w:permEnd w:id="1032210024"/>
    <w:p w14:paraId="09F73C64" w14:textId="16982D79"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6416EDCA" w14:textId="77777777" w:rsidR="002C3BFE" w:rsidRDefault="002C3BFE" w:rsidP="002C3BFE">
      <w:permStart w:id="589041498" w:edGrp="everyone"/>
      <w:r>
        <w:t xml:space="preserve">We do not see merit in replacing the notion of EPM techniques in the UCITS framework with the notion of securities financing transactions in the SFTR. </w:t>
      </w:r>
    </w:p>
    <w:p w14:paraId="5EAD4568" w14:textId="77777777" w:rsidR="002C3BFE" w:rsidRPr="00E169FD" w:rsidRDefault="002C3BFE" w:rsidP="002C3BFE">
      <w:pPr>
        <w:rPr>
          <w:lang w:val="en-US"/>
        </w:rPr>
      </w:pPr>
      <w:r>
        <w:t xml:space="preserve">Doing so </w:t>
      </w:r>
      <w:r w:rsidRPr="001B4B83">
        <w:t xml:space="preserve">would limit EPM techniques to </w:t>
      </w:r>
      <w:r>
        <w:t xml:space="preserve">securities lending transactions, repurchase agreements and reverse purchase agreement transactions, whereas techniques and instruments outside of these are routinely used in the efficient and cost-effective management of a portfolio. For example, the CSSF states that </w:t>
      </w:r>
      <w:r>
        <w:rPr>
          <w:lang w:val="en-US"/>
        </w:rPr>
        <w:t>EPM is not restricted to the concept of SFTs,</w:t>
      </w:r>
      <w:r w:rsidRPr="00CC5C1C">
        <w:rPr>
          <w:lang w:val="en-US"/>
        </w:rPr>
        <w:t xml:space="preserve"> </w:t>
      </w:r>
      <w:r>
        <w:rPr>
          <w:lang w:val="en-US"/>
        </w:rPr>
        <w:t>and that</w:t>
      </w:r>
      <w:r w:rsidRPr="00CC5C1C">
        <w:rPr>
          <w:lang w:val="en-US"/>
        </w:rPr>
        <w:t xml:space="preserve"> financial derivative instruments (for instance options, futures, swaps) can be used under the EPM provisions if they comply with the related provisions.</w:t>
      </w:r>
      <w:r>
        <w:rPr>
          <w:lang w:val="en-US"/>
        </w:rPr>
        <w:t xml:space="preserve"> </w:t>
      </w:r>
      <w:r w:rsidRPr="00CC5C1C">
        <w:rPr>
          <w:lang w:val="en-US"/>
        </w:rPr>
        <w:t>Accordingly, the definition of SFT in the SFTR is more restrict</w:t>
      </w:r>
      <w:r>
        <w:rPr>
          <w:lang w:val="en-US"/>
        </w:rPr>
        <w:t>ive</w:t>
      </w:r>
      <w:r w:rsidRPr="00CC5C1C">
        <w:rPr>
          <w:lang w:val="en-US"/>
        </w:rPr>
        <w:t xml:space="preserve"> tha</w:t>
      </w:r>
      <w:r>
        <w:rPr>
          <w:lang w:val="en-US"/>
        </w:rPr>
        <w:t>n</w:t>
      </w:r>
      <w:r w:rsidRPr="00CC5C1C">
        <w:rPr>
          <w:lang w:val="en-US"/>
        </w:rPr>
        <w:t xml:space="preserve"> the common understand</w:t>
      </w:r>
      <w:r>
        <w:rPr>
          <w:lang w:val="en-US"/>
        </w:rPr>
        <w:t>ing</w:t>
      </w:r>
      <w:r w:rsidRPr="00CC5C1C">
        <w:rPr>
          <w:lang w:val="en-US"/>
        </w:rPr>
        <w:t xml:space="preserve"> of what EPM techniques include.</w:t>
      </w:r>
      <w:r>
        <w:rPr>
          <w:lang w:val="en-US"/>
        </w:rPr>
        <w:t xml:space="preserve"> </w:t>
      </w:r>
    </w:p>
    <w:p w14:paraId="384C9D9E" w14:textId="77777777" w:rsidR="002C3BFE" w:rsidRDefault="002C3BFE" w:rsidP="002C3BFE">
      <w:r w:rsidRPr="001B4B83">
        <w:t xml:space="preserve">There is </w:t>
      </w:r>
      <w:r>
        <w:t xml:space="preserve">also </w:t>
      </w:r>
      <w:r w:rsidRPr="001B4B83">
        <w:t>the risk that techniques developed in the future would not fall under such definition.</w:t>
      </w:r>
      <w:r>
        <w:t xml:space="preserve"> </w:t>
      </w:r>
    </w:p>
    <w:p w14:paraId="1EEF2231" w14:textId="23BC2191" w:rsidR="007D53E8" w:rsidRPr="002C3BFE" w:rsidRDefault="002C3BFE" w:rsidP="00667FF6">
      <w:pPr>
        <w:rPr>
          <w:lang w:val="en-US"/>
        </w:rPr>
      </w:pPr>
      <w:r w:rsidRPr="001B4B83">
        <w:t>To retain the flexibility</w:t>
      </w:r>
      <w:r>
        <w:t xml:space="preserve"> that</w:t>
      </w:r>
      <w:r w:rsidRPr="001B4B83">
        <w:t xml:space="preserve"> the current definition of EPM techniques provides but at the same time have a greater consistency across NCAs it could be considered to add a non-exhaustive list of techniques that are considered by ESMA as EPM techniques.</w:t>
      </w:r>
    </w:p>
    <w:permEnd w:id="589041498"/>
    <w:p w14:paraId="47A34CC0" w14:textId="430B2DF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 xml:space="preserve">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w:t>
      </w:r>
      <w:r>
        <w:lastRenderedPageBreak/>
        <w:t>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7EAF4E70" w14:textId="77777777" w:rsidR="002E5014" w:rsidRPr="00861F0B" w:rsidRDefault="002E5014" w:rsidP="002E5014">
      <w:permStart w:id="1158356501" w:edGrp="everyone"/>
      <w:r>
        <w:t xml:space="preserve">Readability of the EAD would be greatly enhanced by updating references within the EAD to outdated legislation – in particular, replacing references to the repealed </w:t>
      </w:r>
      <w:r w:rsidRPr="00861F0B">
        <w:t xml:space="preserve">Directive 85/611/EC </w:t>
      </w:r>
      <w:r>
        <w:t>with the existing UCITS Directive.</w:t>
      </w:r>
    </w:p>
    <w:p w14:paraId="2661287C" w14:textId="77777777" w:rsidR="002E5014" w:rsidRDefault="002E5014" w:rsidP="002E5014">
      <w:r>
        <w:t xml:space="preserve">This would also be a good opportunity to </w:t>
      </w:r>
      <w:r w:rsidRPr="00861F0B">
        <w:t xml:space="preserve">align the definition of concepts such as </w:t>
      </w:r>
      <w:r>
        <w:t>‘</w:t>
      </w:r>
      <w:r w:rsidRPr="00861F0B">
        <w:t>financial instruments</w:t>
      </w:r>
      <w:r>
        <w:t>’</w:t>
      </w:r>
      <w:r w:rsidRPr="00861F0B">
        <w:t xml:space="preserve"> with those provided for in </w:t>
      </w:r>
      <w:r>
        <w:t>MiFID II</w:t>
      </w:r>
      <w:r w:rsidRPr="00861F0B">
        <w:t xml:space="preserve">, recognising the possibility to invest in emission allowances consisting of recognised units for the purposes of compliance with the requirements of Directive 2003/87/EC (Emissions Trading Scheme). </w:t>
      </w:r>
      <w:r>
        <w:t xml:space="preserve"> With respect to the notion of ‘financial instruments’, please note also our comment above concerning the revised definition under MiFID II which now includes traditional financial instruments listed in Section C of Annex I which are issued by means of distributed ledger technology.</w:t>
      </w:r>
    </w:p>
    <w:p w14:paraId="4BCAE471" w14:textId="785AD205" w:rsidR="00BE7C94" w:rsidRDefault="002E5014" w:rsidP="002E5014">
      <w:r>
        <w:t>As outlined above, the EAD</w:t>
      </w:r>
      <w:r w:rsidRPr="00861F0B">
        <w:t xml:space="preserve"> establishe</w:t>
      </w:r>
      <w:r>
        <w:t xml:space="preserve">d </w:t>
      </w:r>
      <w:r w:rsidRPr="00861F0B">
        <w:t xml:space="preserve">a </w:t>
      </w:r>
      <w:r>
        <w:t xml:space="preserve">number </w:t>
      </w:r>
      <w:r w:rsidRPr="00861F0B">
        <w:t xml:space="preserve">of requirements </w:t>
      </w:r>
      <w:r>
        <w:t>for</w:t>
      </w:r>
      <w:r w:rsidRPr="00861F0B">
        <w:t xml:space="preserve"> the use of </w:t>
      </w:r>
      <w:r>
        <w:t>financial</w:t>
      </w:r>
      <w:r w:rsidRPr="00861F0B">
        <w:t xml:space="preserve"> indices by </w:t>
      </w:r>
      <w:r>
        <w:t>a</w:t>
      </w:r>
      <w:r w:rsidRPr="00861F0B">
        <w:t xml:space="preserve"> UCITS,</w:t>
      </w:r>
      <w:r>
        <w:t xml:space="preserve"> however of which have been surpassed by the establishment of specific regulations of direct application in the Benchmarks Regulations and ESMA’s Guidelines on ETFs and other UCITS Issues.</w:t>
      </w:r>
      <w:r w:rsidRPr="00861F0B">
        <w:t xml:space="preserve"> </w:t>
      </w:r>
      <w:r>
        <w:t>However, we note that the ongoing review of the Benchmarks Regulation may remove the majority of benchmarks and their administrators from the scope of those rules, which would impact on a rationalisation between the EAD and Benchmark Regulation. Also, with respect to the definition of an index in the Benchmark Regulation, we note that not all indices may fall into the scope of the Benchmarks Regulation and therefore an alignment of the definition of an index would not be appropriate for the moment.</w:t>
      </w:r>
    </w:p>
    <w:permEnd w:id="1158356501"/>
    <w:p w14:paraId="223CC270" w14:textId="604ED83F"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54FF2C93" w14:textId="77777777" w:rsidR="00922C46" w:rsidRDefault="00922C46" w:rsidP="00922C46">
      <w:permStart w:id="784558918" w:edGrp="everyone"/>
      <w:r>
        <w:t xml:space="preserve">A number of divergencies between Member States have been identified. As outlined in our responses to other questions, </w:t>
      </w:r>
      <w:r>
        <w:rPr>
          <w:bCs/>
          <w:lang w:val="en-IE"/>
        </w:rPr>
        <w:t>convergence in</w:t>
      </w:r>
      <w:r w:rsidRPr="00015F72">
        <w:rPr>
          <w:bCs/>
          <w:lang w:val="en-IE"/>
        </w:rPr>
        <w:t xml:space="preserve"> the interpretation of existing rules across the EU</w:t>
      </w:r>
      <w:r>
        <w:rPr>
          <w:bCs/>
          <w:lang w:val="en-IE"/>
        </w:rPr>
        <w:t xml:space="preserve"> (through guidance or FAQs) would</w:t>
      </w:r>
      <w:r w:rsidRPr="00015F72">
        <w:rPr>
          <w:bCs/>
          <w:lang w:val="en-IE"/>
        </w:rPr>
        <w:t xml:space="preserve"> </w:t>
      </w:r>
      <w:r>
        <w:rPr>
          <w:bCs/>
          <w:lang w:val="en-IE"/>
        </w:rPr>
        <w:t>enhance the UCITS framework by providing further</w:t>
      </w:r>
      <w:r w:rsidRPr="00015F72">
        <w:rPr>
          <w:bCs/>
          <w:lang w:val="en-IE"/>
        </w:rPr>
        <w:t xml:space="preserve"> legal </w:t>
      </w:r>
      <w:r w:rsidRPr="00015F72">
        <w:rPr>
          <w:bCs/>
          <w:lang w:val="en-IE"/>
        </w:rPr>
        <w:lastRenderedPageBreak/>
        <w:t xml:space="preserve">certainty, </w:t>
      </w:r>
      <w:r>
        <w:rPr>
          <w:bCs/>
          <w:lang w:val="en-IE"/>
        </w:rPr>
        <w:t xml:space="preserve">transparency and comparability for investors and </w:t>
      </w:r>
      <w:r w:rsidRPr="00015F72">
        <w:rPr>
          <w:bCs/>
          <w:lang w:val="en-IE"/>
        </w:rPr>
        <w:t>remove obstacles for cross-border distribution</w:t>
      </w:r>
      <w:r>
        <w:t>:</w:t>
      </w:r>
    </w:p>
    <w:p w14:paraId="5C5DE735" w14:textId="77777777" w:rsidR="00922C46" w:rsidRPr="00F066FE" w:rsidRDefault="00922C46" w:rsidP="00922C46">
      <w:pPr>
        <w:pStyle w:val="ListParagraph"/>
        <w:numPr>
          <w:ilvl w:val="0"/>
          <w:numId w:val="16"/>
        </w:numPr>
        <w:spacing w:after="160" w:line="259" w:lineRule="auto"/>
        <w:contextualSpacing/>
        <w:jc w:val="left"/>
      </w:pPr>
      <w:r w:rsidRPr="00F066FE">
        <w:t xml:space="preserve">Other funds: </w:t>
      </w:r>
      <w:r>
        <w:t>Danish law requires</w:t>
      </w:r>
      <w:r w:rsidRPr="00F066FE">
        <w:t xml:space="preserve"> a UCITS </w:t>
      </w:r>
      <w:r>
        <w:t>to</w:t>
      </w:r>
      <w:r w:rsidRPr="00F066FE">
        <w:t xml:space="preserve"> only allocate investments to other funds that adhere strictly to the risk-spreading principles of UCITS</w:t>
      </w:r>
      <w:r>
        <w:t xml:space="preserve">, which appears </w:t>
      </w:r>
      <w:r w:rsidRPr="00F066FE">
        <w:t xml:space="preserve">more stringent </w:t>
      </w:r>
      <w:r>
        <w:t>than required by EU law.</w:t>
      </w:r>
    </w:p>
    <w:p w14:paraId="197BB3FF" w14:textId="77777777" w:rsidR="00922C46" w:rsidRPr="00D256D4" w:rsidRDefault="00922C46" w:rsidP="00922C46">
      <w:pPr>
        <w:pStyle w:val="ListParagraph"/>
        <w:numPr>
          <w:ilvl w:val="0"/>
          <w:numId w:val="16"/>
        </w:numPr>
        <w:spacing w:after="160" w:line="259" w:lineRule="auto"/>
        <w:contextualSpacing/>
        <w:jc w:val="left"/>
      </w:pPr>
      <w:r w:rsidRPr="00D256D4">
        <w:t xml:space="preserve">Financial indices: national competent authorities have diverging interpretations with respect to the eligibility criteria and approval process for financial indices. For instance, </w:t>
      </w:r>
      <w:r>
        <w:t xml:space="preserve">the eligibility criteria </w:t>
      </w:r>
      <w:r w:rsidRPr="00D256D4">
        <w:t xml:space="preserve">in Luxembourg </w:t>
      </w:r>
      <w:r>
        <w:t>appear more detailed</w:t>
      </w:r>
      <w:r w:rsidRPr="00D256D4">
        <w:t xml:space="preserve"> than those stipulated in the UCITS </w:t>
      </w:r>
      <w:r>
        <w:t>D</w:t>
      </w:r>
      <w:r w:rsidRPr="00D256D4">
        <w:t>irective</w:t>
      </w:r>
      <w:r>
        <w:t xml:space="preserve">, and in Denmark, the </w:t>
      </w:r>
      <w:r w:rsidRPr="00ED17F4">
        <w:t>Danish Financial Supervisory Authority (DFSA), which is responsible for approving financial indices, has adopted a more conservative stance in their approval of new indices.</w:t>
      </w:r>
      <w:r>
        <w:t xml:space="preserve"> We also note that t</w:t>
      </w:r>
      <w:r w:rsidRPr="00814284">
        <w:t>here is no consistent application across jurisdictions regarding exposure to ineligible assets through financial indices. Spanish legislation require</w:t>
      </w:r>
      <w:r>
        <w:t>s</w:t>
      </w:r>
      <w:r w:rsidRPr="00814284">
        <w:t xml:space="preserve"> financial indices to be benchmarked against eligible or pre-approved underlying assets.</w:t>
      </w:r>
    </w:p>
    <w:p w14:paraId="39B50C03" w14:textId="77777777" w:rsidR="00922C46" w:rsidRPr="00975EA1" w:rsidRDefault="00922C46" w:rsidP="00922C46">
      <w:pPr>
        <w:pStyle w:val="ListParagraph"/>
        <w:numPr>
          <w:ilvl w:val="0"/>
          <w:numId w:val="16"/>
        </w:numPr>
        <w:spacing w:after="160" w:line="259" w:lineRule="auto"/>
        <w:contextualSpacing/>
        <w:jc w:val="left"/>
      </w:pPr>
      <w:r w:rsidRPr="00975EA1">
        <w:t xml:space="preserve">Ancillary Liquid Assets: we have outlined </w:t>
      </w:r>
      <w:r>
        <w:t>a number of</w:t>
      </w:r>
      <w:r w:rsidRPr="00975EA1">
        <w:t xml:space="preserve"> instances of national divergences imposing different limitations on ancillary liquid assets.</w:t>
      </w:r>
    </w:p>
    <w:p w14:paraId="719AA8C7" w14:textId="77777777" w:rsidR="00922C46" w:rsidRPr="00FA5E25" w:rsidRDefault="00922C46" w:rsidP="00922C46">
      <w:pPr>
        <w:pStyle w:val="ListParagraph"/>
        <w:numPr>
          <w:ilvl w:val="0"/>
          <w:numId w:val="16"/>
        </w:numPr>
        <w:spacing w:after="160" w:line="259" w:lineRule="auto"/>
        <w:contextualSpacing/>
        <w:jc w:val="left"/>
      </w:pPr>
      <w:r>
        <w:t>The requirement in</w:t>
      </w:r>
      <w:r w:rsidRPr="00FA5E25">
        <w:t xml:space="preserve"> Luxembourg</w:t>
      </w:r>
      <w:r>
        <w:t xml:space="preserve"> for</w:t>
      </w:r>
      <w:r w:rsidRPr="00FA5E25">
        <w:t xml:space="preserve"> certain assets, strategies, and instruments </w:t>
      </w:r>
      <w:r>
        <w:t>to be</w:t>
      </w:r>
      <w:r w:rsidRPr="00FA5E25">
        <w:t xml:space="preserve"> disclosed in the prospectus</w:t>
      </w:r>
      <w:r>
        <w:t xml:space="preserve"> in order to be permitted</w:t>
      </w:r>
      <w:r w:rsidRPr="00FA5E25">
        <w:t>, as per the template for new funds (Questionnaire for the approval of a new sub-fund – CSSF)</w:t>
      </w:r>
      <w:r>
        <w:t xml:space="preserve">, is an </w:t>
      </w:r>
      <w:r w:rsidRPr="00FA5E25">
        <w:t>interpretation</w:t>
      </w:r>
      <w:r>
        <w:t xml:space="preserve"> which we have noted being adopted</w:t>
      </w:r>
      <w:r w:rsidRPr="00FA5E25">
        <w:t xml:space="preserve"> in other </w:t>
      </w:r>
      <w:r>
        <w:t>Member States</w:t>
      </w:r>
      <w:r w:rsidRPr="00FA5E25">
        <w:t>.</w:t>
      </w:r>
    </w:p>
    <w:p w14:paraId="5549C464" w14:textId="77777777" w:rsidR="00922C46" w:rsidRPr="00FA5E25" w:rsidRDefault="00922C46" w:rsidP="00922C46">
      <w:pPr>
        <w:pStyle w:val="ListParagraph"/>
        <w:numPr>
          <w:ilvl w:val="0"/>
          <w:numId w:val="16"/>
        </w:numPr>
        <w:spacing w:after="160" w:line="259" w:lineRule="auto"/>
        <w:contextualSpacing/>
        <w:jc w:val="left"/>
      </w:pPr>
      <w:r w:rsidRPr="00FA5E25">
        <w:t xml:space="preserve">Derivatives: </w:t>
      </w:r>
      <w:r>
        <w:t>in Denmark,</w:t>
      </w:r>
      <w:r w:rsidRPr="00FA5E25">
        <w:t xml:space="preserve"> specific local requirements</w:t>
      </w:r>
      <w:r>
        <w:t xml:space="preserve"> exist on the use of derivatives by UCITS</w:t>
      </w:r>
      <w:r w:rsidRPr="00FA5E25">
        <w:t>.</w:t>
      </w:r>
      <w:r>
        <w:t xml:space="preserve"> </w:t>
      </w:r>
      <w:r w:rsidRPr="00E00DBF">
        <w:rPr>
          <w:lang w:val="en-US"/>
        </w:rPr>
        <w:t>In Italy, specific rules</w:t>
      </w:r>
      <w:r w:rsidRPr="00E169FD">
        <w:rPr>
          <w:lang w:val="en-US"/>
        </w:rPr>
        <w:t xml:space="preserve"> </w:t>
      </w:r>
      <w:r>
        <w:rPr>
          <w:lang w:val="en-US"/>
        </w:rPr>
        <w:t xml:space="preserve">exist </w:t>
      </w:r>
      <w:r w:rsidRPr="00E00DBF">
        <w:rPr>
          <w:lang w:val="en-US"/>
        </w:rPr>
        <w:t>on the method of calculation of the amount to cover the cash commitment arising from short positions in derivative financial instruments</w:t>
      </w:r>
      <w:r>
        <w:rPr>
          <w:lang w:val="en-US"/>
        </w:rPr>
        <w:t>, and the</w:t>
      </w:r>
      <w:r w:rsidRPr="00E00DBF">
        <w:rPr>
          <w:lang w:val="en-US"/>
        </w:rPr>
        <w:t xml:space="preserve"> VaR model </w:t>
      </w:r>
      <w:r>
        <w:rPr>
          <w:lang w:val="en-US"/>
        </w:rPr>
        <w:t xml:space="preserve">can only be used </w:t>
      </w:r>
      <w:r w:rsidRPr="00E00DBF">
        <w:rPr>
          <w:lang w:val="en-US"/>
        </w:rPr>
        <w:t>for the calculation of the global exposure</w:t>
      </w:r>
      <w:r>
        <w:rPr>
          <w:lang w:val="en-US"/>
        </w:rPr>
        <w:t xml:space="preserve"> where it is specifically authorized by the NCA</w:t>
      </w:r>
      <w:r w:rsidRPr="00E00DBF">
        <w:rPr>
          <w:lang w:val="en-US"/>
        </w:rPr>
        <w:t>.</w:t>
      </w:r>
      <w:r>
        <w:rPr>
          <w:lang w:val="en-US"/>
        </w:rPr>
        <w:t xml:space="preserve"> In France, </w:t>
      </w:r>
      <w:r w:rsidRPr="00D46EC1">
        <w:rPr>
          <w:lang w:val="en-US"/>
        </w:rPr>
        <w:t>some ETPs are analysed with a look-through approach while it is not the case in other EU jurisdictions.</w:t>
      </w:r>
    </w:p>
    <w:p w14:paraId="0A0011F7" w14:textId="77777777" w:rsidR="00922C46" w:rsidRDefault="00922C46" w:rsidP="00922C46">
      <w:pPr>
        <w:pStyle w:val="ListParagraph"/>
        <w:numPr>
          <w:ilvl w:val="0"/>
          <w:numId w:val="16"/>
        </w:numPr>
        <w:spacing w:after="160" w:line="259" w:lineRule="auto"/>
        <w:contextualSpacing/>
        <w:jc w:val="left"/>
      </w:pPr>
      <w:r w:rsidRPr="00FA5E25">
        <w:t xml:space="preserve">Audits: </w:t>
      </w:r>
      <w:r>
        <w:t>i</w:t>
      </w:r>
      <w:r w:rsidRPr="00FA5E25">
        <w:t xml:space="preserve">n Luxembourg, auditors generally adopt a strict interpretation of the requirement, leading to varying levels of scrutiny and differing expectations on eligibility from auditors in other </w:t>
      </w:r>
      <w:r>
        <w:t>Member States</w:t>
      </w:r>
      <w:r w:rsidRPr="00FA5E25">
        <w:t>.</w:t>
      </w:r>
    </w:p>
    <w:p w14:paraId="3FBDD7D8" w14:textId="77777777" w:rsidR="00922C46" w:rsidRDefault="00922C46" w:rsidP="00922C46">
      <w:pPr>
        <w:pStyle w:val="ListParagraph"/>
        <w:numPr>
          <w:ilvl w:val="0"/>
          <w:numId w:val="16"/>
        </w:numPr>
        <w:spacing w:after="160" w:line="259" w:lineRule="auto"/>
        <w:contextualSpacing/>
        <w:jc w:val="left"/>
      </w:pPr>
      <w:r>
        <w:t xml:space="preserve">Securities lending: in Sweden, national rules limit the percentage of the fund’s assets which can be used for securities lending to a maximum of 20%. </w:t>
      </w:r>
      <w:r w:rsidRPr="003417AE">
        <w:t>This</w:t>
      </w:r>
      <w:r>
        <w:t xml:space="preserve"> creates </w:t>
      </w:r>
      <w:r w:rsidRPr="003417AE">
        <w:t>an unlevel-playing-field for</w:t>
      </w:r>
      <w:r>
        <w:t xml:space="preserve"> UCITS registered in Sweden, particularly index funds</w:t>
      </w:r>
      <w:r w:rsidRPr="003417AE">
        <w:t>.</w:t>
      </w:r>
      <w:r>
        <w:t xml:space="preserve"> In Spain, the lack of national regulation has meant that </w:t>
      </w:r>
      <w:r>
        <w:rPr>
          <w:lang w:val="en-US"/>
        </w:rPr>
        <w:t>securities lending is not permitted</w:t>
      </w:r>
      <w:r w:rsidRPr="00DA1D5C">
        <w:rPr>
          <w:lang w:val="en-US"/>
        </w:rPr>
        <w:t>.</w:t>
      </w:r>
    </w:p>
    <w:p w14:paraId="710E4C43" w14:textId="77777777" w:rsidR="00922C46" w:rsidRDefault="00922C46" w:rsidP="00922C46">
      <w:pPr>
        <w:pStyle w:val="ListParagraph"/>
        <w:numPr>
          <w:ilvl w:val="0"/>
          <w:numId w:val="16"/>
        </w:numPr>
        <w:spacing w:after="160" w:line="259" w:lineRule="auto"/>
        <w:contextualSpacing/>
        <w:jc w:val="left"/>
      </w:pPr>
      <w:r>
        <w:t>Global Exposure: w</w:t>
      </w:r>
      <w:r w:rsidRPr="00BA0C7F">
        <w:t xml:space="preserve">hen calculating </w:t>
      </w:r>
      <w:r>
        <w:t>global exposure using the commitment approach</w:t>
      </w:r>
      <w:r w:rsidRPr="00BA0C7F">
        <w:t>,</w:t>
      </w:r>
      <w:r>
        <w:t xml:space="preserve"> the Swedish Financial Supervisory Authority provides that financial derivatives can be netted only against “cash which is invested in risk free assets” but not against a “cash position”. This is based on an interpretation of the </w:t>
      </w:r>
      <w:r w:rsidRPr="00BA0C7F">
        <w:t>CESR Guidelines on Risk Measurement and the Calculation of Global Exposure and Counterparty Risk for UCITS</w:t>
      </w:r>
      <w:r>
        <w:t xml:space="preserve">, which provides </w:t>
      </w:r>
      <w:r w:rsidRPr="00BA0C7F">
        <w:t xml:space="preserve">that </w:t>
      </w:r>
      <w:r>
        <w:t xml:space="preserve">FDIs should not be </w:t>
      </w:r>
      <w:r w:rsidRPr="00BA0C7F">
        <w:t xml:space="preserve">taken into account when (for example) “The combined holding by the UCITS of a financial derivative instrument </w:t>
      </w:r>
      <w:r w:rsidRPr="00BA0C7F">
        <w:lastRenderedPageBreak/>
        <w:t>relating to a financial asset and cash which is invested in risk free assets is equivalent to holding a cash position in the given asset.” Th</w:t>
      </w:r>
      <w:r>
        <w:t>e Swedish position</w:t>
      </w:r>
      <w:r w:rsidRPr="00BA0C7F">
        <w:t xml:space="preserve"> means that cash would have to be invested in certain assets to be considered “risk free” and thus eligible for netting. This has forced some management companies to use the VaR-calculation</w:t>
      </w:r>
      <w:r>
        <w:t xml:space="preserve"> approach</w:t>
      </w:r>
      <w:r w:rsidRPr="00BA0C7F">
        <w:t xml:space="preserve"> instead of the commitment approach</w:t>
      </w:r>
      <w:r>
        <w:t xml:space="preserve"> which may otherwise be more suitable for the fund</w:t>
      </w:r>
      <w:r w:rsidRPr="00BA0C7F">
        <w:t>. For legal certainty reasons and for a level playing field it should be clarified that “cash” is considered a risk</w:t>
      </w:r>
      <w:r>
        <w:t>-</w:t>
      </w:r>
      <w:r w:rsidRPr="00BA0C7F">
        <w:t>free asset and eligible for netting.</w:t>
      </w:r>
    </w:p>
    <w:p w14:paraId="4C909B87" w14:textId="77777777" w:rsidR="00922C46" w:rsidRDefault="00922C46" w:rsidP="00922C46">
      <w:pPr>
        <w:pStyle w:val="ListParagraph"/>
        <w:numPr>
          <w:ilvl w:val="0"/>
          <w:numId w:val="16"/>
        </w:numPr>
        <w:spacing w:after="160" w:line="259" w:lineRule="auto"/>
        <w:contextualSpacing/>
        <w:jc w:val="left"/>
      </w:pPr>
      <w:r>
        <w:t>Enhanced scrutiny: in Ireland, the Central Bank of Ireland operates an enhanced scrutiny regime during the authorisation process for certain proposed exposures for UCITS – e.g., for exposure to CFDs, CLOs, coco bonds or binary options. This comprises a request for additional information when reviewing the UCITS’ application for authorisation to ensure the exposure is appropriate taking into account the overall portfolio of assets proposed.</w:t>
      </w:r>
    </w:p>
    <w:p w14:paraId="62AB672D" w14:textId="77777777" w:rsidR="00922C46" w:rsidRPr="00F35810" w:rsidRDefault="00922C46" w:rsidP="00922C46">
      <w:pPr>
        <w:pStyle w:val="ListParagraph"/>
        <w:numPr>
          <w:ilvl w:val="0"/>
          <w:numId w:val="16"/>
        </w:numPr>
        <w:spacing w:after="160" w:line="259" w:lineRule="auto"/>
        <w:contextualSpacing/>
        <w:jc w:val="left"/>
      </w:pPr>
      <w:r>
        <w:t xml:space="preserve">Loans: </w:t>
      </w:r>
      <w:r w:rsidRPr="009145FD">
        <w:rPr>
          <w:lang w:val="en-IE"/>
        </w:rPr>
        <w:t xml:space="preserve">there is divergence as to whether loans can be considered transferable securities. </w:t>
      </w:r>
      <w:r>
        <w:rPr>
          <w:lang w:val="en-IE"/>
        </w:rPr>
        <w:t>In Luxembourg, since</w:t>
      </w:r>
      <w:r w:rsidRPr="009145FD">
        <w:rPr>
          <w:lang w:val="en-IE"/>
        </w:rPr>
        <w:t xml:space="preserve"> August 2020</w:t>
      </w:r>
      <w:r>
        <w:rPr>
          <w:lang w:val="en-IE"/>
        </w:rPr>
        <w:t>,</w:t>
      </w:r>
      <w:r w:rsidRPr="009145FD">
        <w:rPr>
          <w:lang w:val="en-IE"/>
        </w:rPr>
        <w:t xml:space="preserve"> </w:t>
      </w:r>
      <w:r>
        <w:rPr>
          <w:lang w:val="en-IE"/>
        </w:rPr>
        <w:t>loans</w:t>
      </w:r>
      <w:r w:rsidRPr="009145FD">
        <w:rPr>
          <w:lang w:val="en-IE"/>
        </w:rPr>
        <w:t xml:space="preserve"> </w:t>
      </w:r>
      <w:r>
        <w:rPr>
          <w:lang w:val="en-IE"/>
        </w:rPr>
        <w:t xml:space="preserve">were stated not to be considered </w:t>
      </w:r>
      <w:r w:rsidRPr="009145FD">
        <w:rPr>
          <w:lang w:val="en-IE"/>
        </w:rPr>
        <w:t>constitute eligible assets</w:t>
      </w:r>
      <w:r>
        <w:rPr>
          <w:lang w:val="en-IE"/>
        </w:rPr>
        <w:t>. In other jurisdictions (such as Ireland, UK), they are potentially permitted provided they meet the transferable security criteria. I</w:t>
      </w:r>
      <w:r w:rsidRPr="009145FD">
        <w:rPr>
          <w:lang w:val="en-IE"/>
        </w:rPr>
        <w:t xml:space="preserve">n </w:t>
      </w:r>
      <w:r w:rsidRPr="00F35810">
        <w:rPr>
          <w:lang w:val="en-IE"/>
        </w:rPr>
        <w:t>Ireland</w:t>
      </w:r>
      <w:r w:rsidRPr="009145FD">
        <w:rPr>
          <w:lang w:val="en-IE"/>
        </w:rPr>
        <w:t>, investment in CLOS</w:t>
      </w:r>
      <w:r>
        <w:rPr>
          <w:lang w:val="en-IE"/>
        </w:rPr>
        <w:t xml:space="preserve"> are permitted</w:t>
      </w:r>
      <w:r w:rsidRPr="009145FD">
        <w:rPr>
          <w:lang w:val="en-IE"/>
        </w:rPr>
        <w:t xml:space="preserve"> subject to enhanced scrutiny </w:t>
      </w:r>
      <w:r>
        <w:rPr>
          <w:lang w:val="en-IE"/>
        </w:rPr>
        <w:t>at</w:t>
      </w:r>
      <w:r w:rsidRPr="009145FD">
        <w:rPr>
          <w:lang w:val="en-IE"/>
        </w:rPr>
        <w:t xml:space="preserve"> the authorisation phase.</w:t>
      </w:r>
      <w:r>
        <w:rPr>
          <w:lang w:val="en-IE"/>
        </w:rPr>
        <w:t xml:space="preserve"> We continue to see a convergence in the functioning of the broadly syndicated loan market compared to that of high yield bonds. Such trend is more pronounced in the US where bank loans are traded similar to high yield bonds and have active retail fund participations.</w:t>
      </w:r>
    </w:p>
    <w:p w14:paraId="64A22115" w14:textId="77777777" w:rsidR="00922C46" w:rsidRPr="00E169FD" w:rsidRDefault="00922C46" w:rsidP="00922C46">
      <w:pPr>
        <w:pStyle w:val="ListParagraph"/>
        <w:numPr>
          <w:ilvl w:val="0"/>
          <w:numId w:val="16"/>
        </w:numPr>
        <w:spacing w:after="160" w:line="259" w:lineRule="auto"/>
        <w:contextualSpacing/>
        <w:jc w:val="left"/>
      </w:pPr>
      <w:r>
        <w:rPr>
          <w:rFonts w:cstheme="minorHAnsi"/>
          <w:color w:val="000000"/>
          <w:lang w:val="en-US"/>
        </w:rPr>
        <w:t>Certificates representing commodities: in Austria and Germany, UCITS are not permitted to</w:t>
      </w:r>
      <w:r w:rsidRPr="007927DC">
        <w:rPr>
          <w:rFonts w:cstheme="minorHAnsi"/>
          <w:color w:val="000000"/>
          <w:lang w:val="en-US"/>
        </w:rPr>
        <w:t xml:space="preserve"> acquire certificates representing commodities which lead to a physical delivery</w:t>
      </w:r>
      <w:r>
        <w:rPr>
          <w:rFonts w:cstheme="minorHAnsi"/>
          <w:color w:val="000000"/>
          <w:lang w:val="en-US"/>
        </w:rPr>
        <w:t xml:space="preserve">, either by way of </w:t>
      </w:r>
      <w:r w:rsidRPr="007927DC">
        <w:rPr>
          <w:rFonts w:cstheme="minorHAnsi"/>
          <w:color w:val="000000"/>
          <w:lang w:val="en-US"/>
        </w:rPr>
        <w:t>agreement with the issuer or</w:t>
      </w:r>
      <w:r>
        <w:rPr>
          <w:rFonts w:cstheme="minorHAnsi"/>
          <w:color w:val="000000"/>
          <w:lang w:val="en-US"/>
        </w:rPr>
        <w:t xml:space="preserve"> by</w:t>
      </w:r>
      <w:r w:rsidRPr="007927DC">
        <w:rPr>
          <w:rFonts w:cstheme="minorHAnsi"/>
          <w:color w:val="000000"/>
          <w:lang w:val="en-US"/>
        </w:rPr>
        <w:t xml:space="preserve"> de facto not exercising the right of delivery.</w:t>
      </w:r>
    </w:p>
    <w:p w14:paraId="5B4EEF7B" w14:textId="77777777" w:rsidR="00922C46" w:rsidRPr="00922C46" w:rsidRDefault="00922C46" w:rsidP="00922C46">
      <w:pPr>
        <w:pStyle w:val="ListParagraph"/>
        <w:numPr>
          <w:ilvl w:val="0"/>
          <w:numId w:val="16"/>
        </w:numPr>
        <w:spacing w:after="160" w:line="259" w:lineRule="auto"/>
        <w:contextualSpacing/>
        <w:jc w:val="left"/>
      </w:pPr>
      <w:r>
        <w:rPr>
          <w:rFonts w:cstheme="minorHAnsi"/>
          <w:color w:val="000000"/>
          <w:lang w:val="en-US"/>
        </w:rPr>
        <w:t xml:space="preserve">Short-term borrowing: Article 83(2)(d) of UCITS permits </w:t>
      </w:r>
      <w:r w:rsidRPr="00BF07F6">
        <w:rPr>
          <w:rFonts w:cstheme="minorHAnsi"/>
          <w:color w:val="000000"/>
          <w:lang w:val="en-US"/>
        </w:rPr>
        <w:t>UCITS to borrow up to 10% of the</w:t>
      </w:r>
      <w:r>
        <w:rPr>
          <w:rFonts w:cstheme="minorHAnsi"/>
          <w:color w:val="000000"/>
          <w:lang w:val="en-US"/>
        </w:rPr>
        <w:t>ir</w:t>
      </w:r>
      <w:r w:rsidRPr="00BF07F6">
        <w:rPr>
          <w:rFonts w:cstheme="minorHAnsi"/>
          <w:color w:val="000000"/>
          <w:lang w:val="en-US"/>
        </w:rPr>
        <w:t xml:space="preserve"> NAV for a short-term period. </w:t>
      </w:r>
      <w:r>
        <w:rPr>
          <w:rFonts w:cstheme="minorHAnsi"/>
          <w:color w:val="000000"/>
          <w:lang w:val="en-US"/>
        </w:rPr>
        <w:t>In Austria, the regulator restricts this to be permitted only for exceptional redemptions.</w:t>
      </w:r>
    </w:p>
    <w:p w14:paraId="60E2B4E4" w14:textId="7096913E" w:rsidR="00002574" w:rsidRPr="00922C46" w:rsidRDefault="00922C46" w:rsidP="00922C46">
      <w:pPr>
        <w:pStyle w:val="ListParagraph"/>
        <w:numPr>
          <w:ilvl w:val="0"/>
          <w:numId w:val="16"/>
        </w:numPr>
        <w:spacing w:after="160" w:line="259" w:lineRule="auto"/>
        <w:contextualSpacing/>
        <w:jc w:val="left"/>
      </w:pPr>
      <w:r w:rsidRPr="00922C46">
        <w:rPr>
          <w:lang w:val="en-IE"/>
        </w:rPr>
        <w:t xml:space="preserve">Investments in other CIUs: in France, the term ‘asset segregation’ in Article 50(1)(e)(ii) was implemented with </w:t>
      </w:r>
      <w:r w:rsidRPr="00AE335E">
        <w:t xml:space="preserve">an incorrect translation, which led the AMF to interpret that criterion as equivalent to the risk spreading rule in Article 52 of UCITS. </w:t>
      </w:r>
      <w:r w:rsidRPr="00922C46">
        <w:rPr>
          <w:lang w:val="en-US"/>
        </w:rPr>
        <w:t>This creates an issue for French UCITS, as most AIFs are not eligible for the 30% ratio.</w:t>
      </w:r>
    </w:p>
    <w:permEnd w:id="784558918"/>
    <w:p w14:paraId="014C3237" w14:textId="5AF41551"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xml:space="preserve">. Please assess and provide evidence on the merits of such exposures in light of their risks and benefits taking into account the characteristics of the underlying markets (e.g. </w:t>
      </w:r>
      <w:r>
        <w:lastRenderedPageBreak/>
        <w:t>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0258008F" w14:textId="77777777" w:rsidR="005A5FF0" w:rsidRDefault="00002574" w:rsidP="00667FF6">
      <w:permStart w:id="1828006997" w:edGrp="everyone"/>
      <w:r>
        <w:t>We have provided our responses in the Annex which we have uploaded separately.</w:t>
      </w:r>
    </w:p>
    <w:permEnd w:id="1828006997"/>
    <w:p w14:paraId="01D62D2E" w14:textId="57D0DA6A"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61F35640" w14:textId="77777777" w:rsidR="00357487" w:rsidRDefault="00357487" w:rsidP="00357487">
      <w:permStart w:id="199050040" w:edGrp="everyone"/>
      <w:r>
        <w:t xml:space="preserve">Further detail is provided in the answer to </w:t>
      </w:r>
      <w:r w:rsidRPr="007C479E">
        <w:rPr>
          <w:b/>
          <w:bCs/>
        </w:rPr>
        <w:t>Question 13</w:t>
      </w:r>
      <w:r>
        <w:t>.</w:t>
      </w:r>
    </w:p>
    <w:p w14:paraId="4F40BEE6" w14:textId="77777777" w:rsidR="00357487" w:rsidRDefault="00357487" w:rsidP="00357487">
      <w:pPr>
        <w:rPr>
          <w:lang w:val="en-US"/>
        </w:rPr>
      </w:pPr>
      <w:r>
        <w:rPr>
          <w:lang w:val="en-US"/>
        </w:rPr>
        <w:t xml:space="preserve">Investing indirectly can imply cost reductions for investors, for example through economies of scale, and through avoiding operationally burdensome aspects associated with direct investing in certain asset classes outlined below. Indirect exposure may also, conversely, increase costs by virtue of the associated structing fees, index license fees, cost of market data, which would be weighed against the benefits of obtaining exposure to the underlying asset through this mechanism (some of which are outlined below). As mentioned in our response to </w:t>
      </w:r>
      <w:r>
        <w:rPr>
          <w:b/>
          <w:bCs/>
          <w:lang w:val="en-US"/>
        </w:rPr>
        <w:t>Question 13</w:t>
      </w:r>
      <w:r>
        <w:rPr>
          <w:lang w:val="en-US"/>
        </w:rPr>
        <w:t>, instruments through which indirect exposure can be obtained differ and it is the responsibility of the management company to choose whether direct or indirect investment is in the best interest of UCITS shareholders, and this choice should be preserved as it allows the manager to select the most effective solution for the benefit of investors.</w:t>
      </w:r>
    </w:p>
    <w:p w14:paraId="01E85BBE" w14:textId="77777777" w:rsidR="00357487" w:rsidRDefault="00357487" w:rsidP="00357487">
      <w:pPr>
        <w:rPr>
          <w:lang w:val="en-US"/>
        </w:rPr>
      </w:pPr>
      <w:r>
        <w:rPr>
          <w:lang w:val="en-US"/>
        </w:rPr>
        <w:t xml:space="preserve">Obtaining indirect exposure through delta-one instruments, other ETPs and OTC derivatives can be of great value to investors. Transparency to investors is central however, to assist the investor to understand the costs specific to these instruments – e.g. costs may include margins </w:t>
      </w:r>
      <w:r>
        <w:rPr>
          <w:lang w:val="en-US"/>
        </w:rPr>
        <w:lastRenderedPageBreak/>
        <w:t xml:space="preserve">to provide providers/OTC derivative counterparty, or returns may be adjusted e.g. for withholding taxes not applicable for direct investment. </w:t>
      </w:r>
    </w:p>
    <w:p w14:paraId="4A1447DD" w14:textId="77777777" w:rsidR="00357487" w:rsidRDefault="00357487" w:rsidP="00357487">
      <w:r>
        <w:t>Indirect exposure can be achieved through a number of mechanisms:</w:t>
      </w:r>
    </w:p>
    <w:p w14:paraId="0715B9D7" w14:textId="77777777" w:rsidR="00357487" w:rsidRDefault="00357487" w:rsidP="00357487">
      <w:pPr>
        <w:pStyle w:val="ListParagraph"/>
        <w:numPr>
          <w:ilvl w:val="0"/>
          <w:numId w:val="17"/>
        </w:numPr>
        <w:spacing w:after="160" w:line="259" w:lineRule="auto"/>
        <w:contextualSpacing/>
        <w:jc w:val="left"/>
      </w:pPr>
      <w:r>
        <w:t>Through open or closed AIFs, which carries the benefit of obtaining exposure via a well-managed and regulated fund, allowing diversification and de-correlation of the portfolio and with limited leverage.</w:t>
      </w:r>
    </w:p>
    <w:p w14:paraId="67871B56" w14:textId="77777777" w:rsidR="00357487" w:rsidRDefault="00357487" w:rsidP="00357487">
      <w:pPr>
        <w:pStyle w:val="ListParagraph"/>
        <w:numPr>
          <w:ilvl w:val="0"/>
          <w:numId w:val="17"/>
        </w:numPr>
        <w:spacing w:after="160" w:line="259" w:lineRule="auto"/>
        <w:contextualSpacing/>
        <w:jc w:val="left"/>
      </w:pPr>
      <w:r>
        <w:t xml:space="preserve">Through derivatives, which permits exposure to assets not directly investable (e.g. gold or oil futures) with market depth and volume, again allowing diversification and de-correlation of the portfolio, provided that they are netted and diversification limits are respected. </w:t>
      </w:r>
    </w:p>
    <w:p w14:paraId="45308EDB" w14:textId="77777777" w:rsidR="00357487" w:rsidRDefault="00357487" w:rsidP="00357487">
      <w:pPr>
        <w:pStyle w:val="ListParagraph"/>
        <w:numPr>
          <w:ilvl w:val="0"/>
          <w:numId w:val="17"/>
        </w:numPr>
        <w:spacing w:after="160" w:line="259" w:lineRule="auto"/>
        <w:contextualSpacing/>
        <w:jc w:val="left"/>
      </w:pPr>
      <w:r>
        <w:t>Through indices, which carry the advantage of being regulated financial instruments, permitting indirect investments into specific markets, commodities and various other financial instruments, as long as the diversification limits are respected.</w:t>
      </w:r>
    </w:p>
    <w:p w14:paraId="72E52E83" w14:textId="77777777" w:rsidR="00357487" w:rsidRDefault="00357487" w:rsidP="00357487">
      <w:pPr>
        <w:pStyle w:val="ListParagraph"/>
        <w:numPr>
          <w:ilvl w:val="0"/>
          <w:numId w:val="17"/>
        </w:numPr>
        <w:spacing w:after="160" w:line="259" w:lineRule="auto"/>
        <w:contextualSpacing/>
        <w:jc w:val="left"/>
      </w:pPr>
      <w:r>
        <w:t>Through exchange-traded products (ETPs) which can provides diversification without leverage and lower replication costs.</w:t>
      </w:r>
    </w:p>
    <w:p w14:paraId="19227008" w14:textId="5D365851" w:rsidR="00754982" w:rsidRPr="006B0AA5" w:rsidRDefault="00357487" w:rsidP="00357487">
      <w:pPr>
        <w:rPr>
          <w:lang w:val="en-US"/>
        </w:rPr>
      </w:pPr>
      <w:r w:rsidRPr="006B0AA5">
        <w:rPr>
          <w:lang w:val="en-US"/>
        </w:rPr>
        <w:t>The main advantages</w:t>
      </w:r>
      <w:r>
        <w:rPr>
          <w:lang w:val="en-US"/>
        </w:rPr>
        <w:t xml:space="preserve"> overall of investing through these mechanisms</w:t>
      </w:r>
      <w:r w:rsidRPr="006B0AA5">
        <w:rPr>
          <w:lang w:val="en-US"/>
        </w:rPr>
        <w:t xml:space="preserve"> are operational ease and regulatory security, reducing costs and risks borne by UCITS investors. UCITS asset managers may not have the necessary expertise to enabl</w:t>
      </w:r>
      <w:r>
        <w:rPr>
          <w:lang w:val="en-US"/>
        </w:rPr>
        <w:t>e</w:t>
      </w:r>
      <w:r w:rsidRPr="006B0AA5">
        <w:rPr>
          <w:lang w:val="en-US"/>
        </w:rPr>
        <w:t xml:space="preserve"> direct investments</w:t>
      </w:r>
      <w:r>
        <w:rPr>
          <w:lang w:val="en-US"/>
        </w:rPr>
        <w:t>,</w:t>
      </w:r>
      <w:r w:rsidRPr="006B0AA5">
        <w:rPr>
          <w:lang w:val="en-US"/>
        </w:rPr>
        <w:t xml:space="preserve"> or doing so would require many resources</w:t>
      </w:r>
      <w:r>
        <w:rPr>
          <w:lang w:val="en-US"/>
        </w:rPr>
        <w:t xml:space="preserve">, for example </w:t>
      </w:r>
      <w:r w:rsidRPr="006B0AA5">
        <w:rPr>
          <w:lang w:val="en-US"/>
        </w:rPr>
        <w:t xml:space="preserve">setting up custody for </w:t>
      </w:r>
      <w:r>
        <w:rPr>
          <w:lang w:val="en-US"/>
        </w:rPr>
        <w:t xml:space="preserve">assets such as </w:t>
      </w:r>
      <w:r w:rsidRPr="006B0AA5">
        <w:rPr>
          <w:lang w:val="en-US"/>
        </w:rPr>
        <w:t>carbon allowances (</w:t>
      </w:r>
      <w:r>
        <w:rPr>
          <w:lang w:val="en-US"/>
        </w:rPr>
        <w:t xml:space="preserve">via a </w:t>
      </w:r>
      <w:r w:rsidRPr="006B0AA5">
        <w:rPr>
          <w:lang w:val="en-US"/>
        </w:rPr>
        <w:t>union registry account), crypto assets (</w:t>
      </w:r>
      <w:r>
        <w:rPr>
          <w:lang w:val="en-US"/>
        </w:rPr>
        <w:t xml:space="preserve">via a </w:t>
      </w:r>
      <w:r w:rsidRPr="006B0AA5">
        <w:rPr>
          <w:lang w:val="en-US"/>
        </w:rPr>
        <w:t>crypto asset custody account)</w:t>
      </w:r>
      <w:r>
        <w:rPr>
          <w:lang w:val="en-US"/>
        </w:rPr>
        <w:t xml:space="preserve"> and </w:t>
      </w:r>
      <w:r w:rsidRPr="006B0AA5">
        <w:rPr>
          <w:lang w:val="en-US"/>
        </w:rPr>
        <w:t>precious metals</w:t>
      </w:r>
      <w:r>
        <w:rPr>
          <w:lang w:val="en-US"/>
        </w:rPr>
        <w:t>,</w:t>
      </w:r>
      <w:r w:rsidRPr="006B0AA5">
        <w:rPr>
          <w:lang w:val="en-US"/>
        </w:rPr>
        <w:t xml:space="preserve"> or access</w:t>
      </w:r>
      <w:r>
        <w:rPr>
          <w:lang w:val="en-US"/>
        </w:rPr>
        <w:t>ing</w:t>
      </w:r>
      <w:r w:rsidRPr="006B0AA5">
        <w:rPr>
          <w:lang w:val="en-US"/>
        </w:rPr>
        <w:t xml:space="preserve"> the liquidity venues for these assets. UCITS asset managers must </w:t>
      </w:r>
      <w:r>
        <w:rPr>
          <w:lang w:val="en-US"/>
        </w:rPr>
        <w:t xml:space="preserve">regardless </w:t>
      </w:r>
      <w:r w:rsidRPr="006B0AA5">
        <w:rPr>
          <w:lang w:val="en-US"/>
        </w:rPr>
        <w:t xml:space="preserve">perform detailed </w:t>
      </w:r>
      <w:r>
        <w:rPr>
          <w:lang w:val="en-US"/>
        </w:rPr>
        <w:t xml:space="preserve">due diligence </w:t>
      </w:r>
      <w:r w:rsidRPr="006B0AA5">
        <w:rPr>
          <w:lang w:val="en-US"/>
        </w:rPr>
        <w:t xml:space="preserve">on the indirect access vehicles they invest in and confirm </w:t>
      </w:r>
      <w:r>
        <w:rPr>
          <w:lang w:val="en-US"/>
        </w:rPr>
        <w:t xml:space="preserve">the adequacy </w:t>
      </w:r>
      <w:r w:rsidRPr="006B0AA5">
        <w:rPr>
          <w:lang w:val="en-US"/>
        </w:rPr>
        <w:t>of the product setup (</w:t>
      </w:r>
      <w:r>
        <w:rPr>
          <w:lang w:val="en-US"/>
        </w:rPr>
        <w:t xml:space="preserve">for example, with respect to </w:t>
      </w:r>
      <w:r w:rsidRPr="006B0AA5">
        <w:rPr>
          <w:lang w:val="en-US"/>
        </w:rPr>
        <w:t>custody</w:t>
      </w:r>
      <w:r>
        <w:rPr>
          <w:lang w:val="en-US"/>
        </w:rPr>
        <w:t>)</w:t>
      </w:r>
      <w:r w:rsidRPr="006B0AA5">
        <w:rPr>
          <w:lang w:val="en-US"/>
        </w:rPr>
        <w:t>. ETCs</w:t>
      </w:r>
      <w:r>
        <w:rPr>
          <w:lang w:val="en-US"/>
        </w:rPr>
        <w:t xml:space="preserve"> in particular</w:t>
      </w:r>
      <w:r w:rsidRPr="006B0AA5">
        <w:rPr>
          <w:lang w:val="en-US"/>
        </w:rPr>
        <w:t xml:space="preserve"> are a regulated well-established transparent security form typically held within a regulated Central Securities Depository</w:t>
      </w:r>
      <w:r>
        <w:rPr>
          <w:lang w:val="en-US"/>
        </w:rPr>
        <w:t xml:space="preserve"> and </w:t>
      </w:r>
      <w:r w:rsidRPr="006B0AA5">
        <w:rPr>
          <w:lang w:val="en-US"/>
        </w:rPr>
        <w:t>traded on regulated exchanges throughout the day</w:t>
      </w:r>
      <w:r>
        <w:rPr>
          <w:lang w:val="en-US"/>
        </w:rPr>
        <w:t xml:space="preserve">, offering </w:t>
      </w:r>
      <w:r w:rsidRPr="006B0AA5">
        <w:rPr>
          <w:lang w:val="en-US"/>
        </w:rPr>
        <w:t>increased liquidity over the physical market.</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 xml:space="preserve">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w:t>
      </w:r>
      <w:r>
        <w:lastRenderedPageBreak/>
        <w:t>possible, please provide views, data or estimates on the possible impact of such a possible policy measure.</w:t>
      </w:r>
    </w:p>
    <w:p w14:paraId="3D9FBAEC" w14:textId="77777777" w:rsidR="00667FF6" w:rsidRDefault="00667FF6" w:rsidP="00667FF6">
      <w:r>
        <w:t>&lt;ESMA_QUESTION_EADC_22&gt;</w:t>
      </w:r>
    </w:p>
    <w:p w14:paraId="642D4D69" w14:textId="77777777" w:rsidR="005F532D" w:rsidRDefault="005F532D" w:rsidP="005F532D">
      <w:permStart w:id="1004748421" w:edGrp="everyone"/>
      <w:r>
        <w:t xml:space="preserve">The approach taken with respect to the application of a look-through approach must be guided by the outcome which best serves investors. </w:t>
      </w:r>
    </w:p>
    <w:p w14:paraId="38FFAF5A" w14:textId="77777777" w:rsidR="005F532D" w:rsidRPr="00B902B0" w:rsidRDefault="005F532D" w:rsidP="005F532D">
      <w:r>
        <w:t xml:space="preserve">As outlined in our response to </w:t>
      </w:r>
      <w:r>
        <w:rPr>
          <w:b/>
          <w:bCs/>
        </w:rPr>
        <w:t>Question 13</w:t>
      </w:r>
      <w:r>
        <w:t xml:space="preserve"> above, EFAMA notes the </w:t>
      </w:r>
      <w:r w:rsidRPr="003E0F5C">
        <w:rPr>
          <w:b/>
          <w:bCs/>
        </w:rPr>
        <w:t>key benefits for investors</w:t>
      </w:r>
      <w:r>
        <w:t xml:space="preserve"> in allowing limited indirect exposure to assets which are not directly investable by UCITS. This practice can allow for diversification, protecting investors during stressed markets by allowing the portfolio to be decoupled from the financial market, providing uncorrelated returns when traditional asset classes become correlated. This practice has become widely used and should be permitted to continue for the benefit of investors. We note, also, the importance of ensuring that this is done in a way which ensures essential safeguards for liquidity and risk management and which </w:t>
      </w:r>
      <w:r>
        <w:rPr>
          <w:b/>
          <w:bCs/>
        </w:rPr>
        <w:t>preserves the UCITS brand</w:t>
      </w:r>
      <w:r>
        <w:t xml:space="preserve">, both in the EU and abroad, as a safe, liquid investment product. </w:t>
      </w:r>
    </w:p>
    <w:p w14:paraId="43F6F35A" w14:textId="77777777" w:rsidR="005F532D" w:rsidRDefault="005F532D" w:rsidP="005F532D">
      <w:r>
        <w:t xml:space="preserve">We note that </w:t>
      </w:r>
      <w:r w:rsidRPr="003E0F5C">
        <w:rPr>
          <w:b/>
          <w:bCs/>
        </w:rPr>
        <w:t>diverging interpretations</w:t>
      </w:r>
      <w:r>
        <w:t xml:space="preserve"> between Member States regarding when a look-through approach is required has negative repercussions on investors and on industry – creating distortions in competition, legal uncertainty for industry, and influencing decisions in portfolio composition in order to avoid national barriers to cross-border distribution. To remediate national divergencies while ensuring investors retain the benefits of limited indirect exposure to ineligible asset classes, we encourage addressing these divergences in a manner which would achieve a </w:t>
      </w:r>
      <w:r w:rsidRPr="003E0F5C">
        <w:rPr>
          <w:b/>
          <w:bCs/>
        </w:rPr>
        <w:t>level of relative harmonisation</w:t>
      </w:r>
      <w:r>
        <w:t xml:space="preserve"> which is aimed at </w:t>
      </w:r>
      <w:r>
        <w:rPr>
          <w:b/>
          <w:bCs/>
        </w:rPr>
        <w:t>ensuring the best investor outcome</w:t>
      </w:r>
      <w:r>
        <w:t xml:space="preserve">. We outlined, at </w:t>
      </w:r>
      <w:r>
        <w:rPr>
          <w:b/>
          <w:bCs/>
        </w:rPr>
        <w:t>Question 13</w:t>
      </w:r>
      <w:r>
        <w:t xml:space="preserve">, the possibility of a </w:t>
      </w:r>
      <w:r w:rsidRPr="00710D4C">
        <w:rPr>
          <w:b/>
          <w:bCs/>
        </w:rPr>
        <w:t>common questionnaire between regulators outlining their approaches</w:t>
      </w:r>
      <w:r>
        <w:t>, which could serve to foster dialogue with a view to working, together with ESMA, towards coordination and consistency of approach, provide legal certainty to managers, in particular those operating cross-border, and transparency for investors.</w:t>
      </w:r>
    </w:p>
    <w:p w14:paraId="73E28D7F" w14:textId="77777777" w:rsidR="005F532D" w:rsidRDefault="005F532D" w:rsidP="005F532D">
      <w:r>
        <w:t xml:space="preserve">As outlined in our response to </w:t>
      </w:r>
      <w:r w:rsidRPr="00135005">
        <w:rPr>
          <w:b/>
          <w:bCs/>
        </w:rPr>
        <w:t>Question 13</w:t>
      </w:r>
      <w:r>
        <w:t>, this should have regard to the specific instrument through which indirect investment is obtained in terms of its liquidity and other characteristics. Regard should also be had to the role of risk management and adequate redemption frequency in securing a high level of investor protection.</w:t>
      </w:r>
    </w:p>
    <w:p w14:paraId="4B9CF138" w14:textId="29D47581" w:rsidR="00310BEF" w:rsidRDefault="005F532D" w:rsidP="00310BEF">
      <w:r>
        <w:t xml:space="preserve">We also note </w:t>
      </w:r>
      <w:r w:rsidRPr="00610DF5">
        <w:t xml:space="preserve">that the possibility to invest into asset classes that are otherwise ineligible for a UCITS </w:t>
      </w:r>
      <w:r>
        <w:t xml:space="preserve">should not be framed as a ‘circumvention’ of the rules, as per the wording of Question 22, as it is expressly permitted in the EAD, per Article 2(2)(c)(ii) (which permits investments in securities </w:t>
      </w:r>
      <w:r w:rsidRPr="00610DF5">
        <w:t>backed by, or linked to the performance of,</w:t>
      </w:r>
      <w:r w:rsidRPr="00EC24A5">
        <w:t xml:space="preserve"> </w:t>
      </w:r>
      <w:r>
        <w:t>“</w:t>
      </w:r>
      <w:r w:rsidRPr="00EC24A5">
        <w:t>other assets, which may differ from those referred to in</w:t>
      </w:r>
      <w:r>
        <w:t>” Article 50(1) of UCITS).</w:t>
      </w:r>
    </w:p>
    <w:permEnd w:id="1004748421"/>
    <w:p w14:paraId="36473833" w14:textId="77777777" w:rsidR="00667FF6" w:rsidRDefault="00667FF6" w:rsidP="00667FF6">
      <w:r>
        <w:lastRenderedPageBreak/>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0AC15FEB" w14:textId="271DC958" w:rsidR="00DB1C48" w:rsidRDefault="002A676C" w:rsidP="00DB1C48">
      <w:permStart w:id="1208368603" w:edGrp="everyone"/>
      <w:r w:rsidRPr="00D24FF7">
        <w:t>We support the regulatory framework regarding due diligence, considering it a necessary component, however we would like to explore methods to better streamline and make the process more efficient to better facilitate investment by UCITS funds</w:t>
      </w:r>
      <w:r>
        <w:t>, including methods to incentivise compliance by non-EU issuers in order to broaden the investible universe</w:t>
      </w:r>
      <w:r w:rsidRPr="00D24FF7">
        <w:t>. We look forward to considering this more holistically as part of a broader discussion on the securitisation legal framework.</w:t>
      </w:r>
      <w:r>
        <w:t xml:space="preserve"> As a separate point, we note that the authorisation process at national level could be made more efficient by ensuring that regulators make available the criteria according to which regulators will scrutinise and determine whether investments in particular CLOs and CDOs will be permitted.</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2156E45D" w14:textId="77777777" w:rsidR="00017867" w:rsidRDefault="00017867" w:rsidP="00017867">
      <w:permStart w:id="160252285" w:edGrp="everyone"/>
      <w:r w:rsidRPr="00067E85">
        <w:t xml:space="preserve">We understand that it is already possible to build up short positions under the existing legal framework, and we advocate to maintain this so long as it is clearly within the investment strategy of the fund (e.g. long-short equity strategy funds). </w:t>
      </w:r>
      <w:r>
        <w:t xml:space="preserve">Financial short positions can be a natural element in an investment strategy for both investment and risk management purposes. </w:t>
      </w:r>
      <w:r w:rsidRPr="003E7D39">
        <w:t>We are not aware of any practice in the market which would warrant a reopening of this topic by regulators.</w:t>
      </w:r>
    </w:p>
    <w:p w14:paraId="1D83960F" w14:textId="77777777" w:rsidR="00017867" w:rsidRDefault="00017867" w:rsidP="00017867">
      <w:r>
        <w:t xml:space="preserve">Benefits include, for example, the ability for a UCITS with a simple bonds strategy to manage its credit risk through short positions in a CDS-index or manage its interest rate risk by taking </w:t>
      </w:r>
      <w:r>
        <w:lastRenderedPageBreak/>
        <w:t xml:space="preserve">short positions in bond futures. More complex strategies targeting certain risk premia, such as hedge fund or allocation strategies, could use short positions to lock in the risk premia they aim for. The current distinction between a fund using the commitment approach and the limit of 100%, and a fund using the VaR approach, is in our experience quite effective in </w:t>
      </w:r>
      <w:r w:rsidRPr="00D11CF2">
        <w:t>differentiating between funds that use derivatives less or more extensively</w:t>
      </w:r>
      <w:r>
        <w:t xml:space="preserve"> and the extent of the use of short positions.</w:t>
      </w:r>
    </w:p>
    <w:p w14:paraId="44FCE4DA" w14:textId="5C2081DB" w:rsidR="000948C1" w:rsidRDefault="00017867" w:rsidP="00017867">
      <w:r>
        <w:t>In terms of risks, using physical short positions, which can be used by selling assets 'borrowed' via reverse repos or securities borrowing, is difficult for UCITS, as it collides with the very limited allowance to re-use collateral.</w:t>
      </w:r>
      <w:r w:rsidRPr="006E3F04">
        <w:t xml:space="preserve"> </w:t>
      </w:r>
      <w:r>
        <w:t xml:space="preserve">We would also </w:t>
      </w:r>
      <w:r w:rsidRPr="006F33CC">
        <w:t>add options risk in terms of short</w:t>
      </w:r>
      <w:r>
        <w:t xml:space="preserve"> position</w:t>
      </w:r>
      <w:r w:rsidRPr="006F33CC">
        <w:t xml:space="preserve">, </w:t>
      </w:r>
      <w:r>
        <w:t xml:space="preserve">and need for internal measures for managing </w:t>
      </w:r>
      <w:r w:rsidRPr="006F33CC">
        <w:t>“potentially” unlimited downside risks associated with selling options.</w:t>
      </w:r>
    </w:p>
    <w:permEnd w:id="160252285"/>
    <w:p w14:paraId="63C4C4A9" w14:textId="764EB82F"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788E2E76" w14:textId="77777777" w:rsidR="0095793B" w:rsidRDefault="0095793B" w:rsidP="0095793B">
      <w:permStart w:id="478484191" w:edGrp="everyone"/>
      <w:r>
        <w:t xml:space="preserve">Article 54 of UCITS permits a UCITS to invest up to 100% of their assets in public debt of a single issuer if the securities are from at least 6 different issues. The requirement for at least 6 different issues may be unduly restrictive. It is not intended to mitigate credit risk but rather had initially been to ensure the proper functioning of the capital market would not be disturbed (as per the Recitals to the UCITS). Compliance with this rule requires passive funds with a recommended minimum holding period </w:t>
      </w:r>
      <w:r w:rsidRPr="00776322">
        <w:t>whose portfolio is often based on a zero coupon bond</w:t>
      </w:r>
      <w:r>
        <w:t xml:space="preserve"> to include more </w:t>
      </w:r>
      <w:r w:rsidRPr="00776322">
        <w:t xml:space="preserve">ISIN benchmarks in the portfolio, </w:t>
      </w:r>
      <w:r>
        <w:t>increasing the difficulty and expense of management as well as duration risk</w:t>
      </w:r>
      <w:r w:rsidRPr="00776322">
        <w:t xml:space="preserve">, to the detriment of the product's performance. </w:t>
      </w:r>
      <w:r>
        <w:t xml:space="preserve">Furthermore, this requirement was extended </w:t>
      </w:r>
      <w:r w:rsidRPr="00776322">
        <w:t>to government securities received by UCITS as collateral</w:t>
      </w:r>
      <w:r>
        <w:t xml:space="preserve"> in ESMA’s Final Report on the</w:t>
      </w:r>
      <w:r w:rsidRPr="00776322">
        <w:t xml:space="preserve"> Revision of the provisions on diversification of collateral in ESMA’s guidelines on ETFs and other UCITS</w:t>
      </w:r>
      <w:r>
        <w:t xml:space="preserve">, solely for the reason of aligning with the provisions of Article 54(1) of the UCITS Directive despite recognising the </w:t>
      </w:r>
      <w:r w:rsidRPr="00776322">
        <w:t>operational challenges of implementation.</w:t>
      </w:r>
    </w:p>
    <w:p w14:paraId="3078D734" w14:textId="6AC8721C" w:rsidR="00DC28A6" w:rsidRDefault="0095793B" w:rsidP="00DC28A6">
      <w:pPr>
        <w:rPr>
          <w:lang w:val="en-US"/>
        </w:rPr>
      </w:pPr>
      <w:r w:rsidRPr="00641B32">
        <w:rPr>
          <w:lang w:val="en-US"/>
        </w:rPr>
        <w:t>Art</w:t>
      </w:r>
      <w:r>
        <w:rPr>
          <w:lang w:val="en-US"/>
        </w:rPr>
        <w:t xml:space="preserve">icle 4(1)(15) of </w:t>
      </w:r>
      <w:r w:rsidRPr="00641B32">
        <w:rPr>
          <w:lang w:val="en-US"/>
        </w:rPr>
        <w:t xml:space="preserve">MiFID </w:t>
      </w:r>
      <w:r>
        <w:rPr>
          <w:lang w:val="en-US"/>
        </w:rPr>
        <w:t xml:space="preserve">now provides that a </w:t>
      </w:r>
      <w:r w:rsidRPr="00641B32">
        <w:rPr>
          <w:i/>
          <w:iCs/>
          <w:lang w:val="en-US"/>
        </w:rPr>
        <w:t>‘financial instrument’ means those instruments specified in Section C of Annex I, including such instruments issued by means of distributed ledger technology</w:t>
      </w:r>
      <w:r>
        <w:rPr>
          <w:i/>
          <w:iCs/>
          <w:lang w:val="en-US"/>
        </w:rPr>
        <w:t>,</w:t>
      </w:r>
      <w:r w:rsidRPr="00641B32">
        <w:rPr>
          <w:i/>
          <w:iCs/>
          <w:lang w:val="en-US"/>
        </w:rPr>
        <w:t>”</w:t>
      </w:r>
      <w:r>
        <w:rPr>
          <w:lang w:val="en-US"/>
        </w:rPr>
        <w:t xml:space="preserve"> following the insertion by </w:t>
      </w:r>
      <w:r w:rsidRPr="00641B32">
        <w:rPr>
          <w:lang w:val="en-US"/>
        </w:rPr>
        <w:t>Art</w:t>
      </w:r>
      <w:r>
        <w:rPr>
          <w:lang w:val="en-US"/>
        </w:rPr>
        <w:t>icle</w:t>
      </w:r>
      <w:r w:rsidRPr="00641B32">
        <w:rPr>
          <w:lang w:val="en-US"/>
        </w:rPr>
        <w:t xml:space="preserve"> 18 of the DLT Pilot Regime Regulation </w:t>
      </w:r>
      <w:r w:rsidRPr="00641B32">
        <w:rPr>
          <w:lang w:val="en-US"/>
        </w:rPr>
        <w:lastRenderedPageBreak/>
        <w:t>(EU) 2022/858</w:t>
      </w:r>
      <w:r>
        <w:rPr>
          <w:lang w:val="en-US"/>
        </w:rPr>
        <w:t>. Similar clarifications should be issued by ESMA confirming the status of an eligible asset is not impacted by virtue of having been tokenised.</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7FA1E" w14:textId="77777777" w:rsidR="00462824" w:rsidRDefault="00462824" w:rsidP="007E7997">
      <w:pPr>
        <w:spacing w:line="240" w:lineRule="auto"/>
      </w:pPr>
      <w:r>
        <w:separator/>
      </w:r>
    </w:p>
  </w:endnote>
  <w:endnote w:type="continuationSeparator" w:id="0">
    <w:p w14:paraId="532C0812" w14:textId="77777777" w:rsidR="00462824" w:rsidRDefault="00462824" w:rsidP="007E7997">
      <w:pPr>
        <w:spacing w:line="240" w:lineRule="auto"/>
      </w:pPr>
      <w:r>
        <w:continuationSeparator/>
      </w:r>
    </w:p>
  </w:endnote>
  <w:endnote w:type="continuationNotice" w:id="1">
    <w:p w14:paraId="052908BE"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01635" w14:textId="77777777" w:rsidR="00462824" w:rsidRDefault="00462824" w:rsidP="007E7997">
      <w:pPr>
        <w:spacing w:line="240" w:lineRule="auto"/>
      </w:pPr>
      <w:r>
        <w:separator/>
      </w:r>
    </w:p>
  </w:footnote>
  <w:footnote w:type="continuationSeparator" w:id="0">
    <w:p w14:paraId="5AE5E16C" w14:textId="77777777" w:rsidR="00462824" w:rsidRDefault="00462824" w:rsidP="007E7997">
      <w:pPr>
        <w:spacing w:line="240" w:lineRule="auto"/>
      </w:pPr>
      <w:r>
        <w:continuationSeparator/>
      </w:r>
    </w:p>
  </w:footnote>
  <w:footnote w:type="continuationNotice" w:id="1">
    <w:p w14:paraId="3AC5BEF8" w14:textId="77777777" w:rsidR="00462824" w:rsidRDefault="004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7BA9"/>
    <w:multiLevelType w:val="hybridMultilevel"/>
    <w:tmpl w:val="E8F49FE0"/>
    <w:lvl w:ilvl="0" w:tplc="A6CC6BA8">
      <w:start w:val="15"/>
      <w:numFmt w:val="bullet"/>
      <w:lvlText w:val="-"/>
      <w:lvlJc w:val="left"/>
      <w:pPr>
        <w:ind w:left="720" w:hanging="360"/>
      </w:pPr>
      <w:rPr>
        <w:rFonts w:ascii="Aptos" w:eastAsiaTheme="minorHAnsi" w:hAnsi="Aptos" w:cstheme="minorBidi"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42F342F"/>
    <w:multiLevelType w:val="hybridMultilevel"/>
    <w:tmpl w:val="258E013A"/>
    <w:lvl w:ilvl="0" w:tplc="056A2946">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3"/>
  </w:num>
  <w:num w:numId="2" w16cid:durableId="1144354351">
    <w:abstractNumId w:val="5"/>
  </w:num>
  <w:num w:numId="3" w16cid:durableId="1006909420">
    <w:abstractNumId w:val="11"/>
  </w:num>
  <w:num w:numId="4" w16cid:durableId="569996677">
    <w:abstractNumId w:val="4"/>
  </w:num>
  <w:num w:numId="5" w16cid:durableId="807014924">
    <w:abstractNumId w:val="1"/>
  </w:num>
  <w:num w:numId="6" w16cid:durableId="310985182">
    <w:abstractNumId w:val="7"/>
  </w:num>
  <w:num w:numId="7" w16cid:durableId="492061559">
    <w:abstractNumId w:val="14"/>
  </w:num>
  <w:num w:numId="8" w16cid:durableId="2063743978">
    <w:abstractNumId w:val="3"/>
  </w:num>
  <w:num w:numId="9" w16cid:durableId="1378703109">
    <w:abstractNumId w:val="12"/>
  </w:num>
  <w:num w:numId="10" w16cid:durableId="632100844">
    <w:abstractNumId w:val="10"/>
  </w:num>
  <w:num w:numId="11" w16cid:durableId="1573200029">
    <w:abstractNumId w:val="9"/>
  </w:num>
  <w:num w:numId="12" w16cid:durableId="1587836858">
    <w:abstractNumId w:val="9"/>
    <w:lvlOverride w:ilvl="0">
      <w:startOverride w:val="1"/>
    </w:lvlOverride>
  </w:num>
  <w:num w:numId="13" w16cid:durableId="1548224532">
    <w:abstractNumId w:val="2"/>
  </w:num>
  <w:num w:numId="14" w16cid:durableId="501431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0484420">
    <w:abstractNumId w:val="0"/>
  </w:num>
  <w:num w:numId="17" w16cid:durableId="177327894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574"/>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67"/>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6"/>
    <w:rsid w:val="000275BD"/>
    <w:rsid w:val="000279E9"/>
    <w:rsid w:val="00027E96"/>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649"/>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1ABA"/>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5C2A"/>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8C1"/>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4D2C"/>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269"/>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9AD"/>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78F"/>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2E1C"/>
    <w:rsid w:val="00272F15"/>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76C"/>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3BFE"/>
    <w:rsid w:val="002C40BE"/>
    <w:rsid w:val="002C423B"/>
    <w:rsid w:val="002C42AA"/>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68EE"/>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014"/>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BEF"/>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01"/>
    <w:rsid w:val="00352433"/>
    <w:rsid w:val="00352A2C"/>
    <w:rsid w:val="00352DA9"/>
    <w:rsid w:val="00353629"/>
    <w:rsid w:val="00353E8B"/>
    <w:rsid w:val="003540E9"/>
    <w:rsid w:val="00354133"/>
    <w:rsid w:val="00355569"/>
    <w:rsid w:val="0035556C"/>
    <w:rsid w:val="003564FA"/>
    <w:rsid w:val="00356903"/>
    <w:rsid w:val="00356CAF"/>
    <w:rsid w:val="00357487"/>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4CF"/>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4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5AE"/>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6B2"/>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0C8F"/>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C88"/>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98D"/>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467"/>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5FF0"/>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57D"/>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4E12"/>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4DDB"/>
    <w:rsid w:val="005E5E9E"/>
    <w:rsid w:val="005E6C4A"/>
    <w:rsid w:val="005E6DE4"/>
    <w:rsid w:val="005E7228"/>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32D"/>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33A"/>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B5F"/>
    <w:rsid w:val="006C6C5B"/>
    <w:rsid w:val="006C6E63"/>
    <w:rsid w:val="006C6E8F"/>
    <w:rsid w:val="006C6F0A"/>
    <w:rsid w:val="006C712E"/>
    <w:rsid w:val="006C7352"/>
    <w:rsid w:val="006C7566"/>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0C29"/>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6D6B"/>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82"/>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2E1E"/>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B0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3E8"/>
    <w:rsid w:val="007D5621"/>
    <w:rsid w:val="007D58B9"/>
    <w:rsid w:val="007D5ADA"/>
    <w:rsid w:val="007D5C4D"/>
    <w:rsid w:val="007D5E64"/>
    <w:rsid w:val="007D6233"/>
    <w:rsid w:val="007D7192"/>
    <w:rsid w:val="007D7226"/>
    <w:rsid w:val="007D7412"/>
    <w:rsid w:val="007D7509"/>
    <w:rsid w:val="007D7C86"/>
    <w:rsid w:val="007D7E0D"/>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8ED"/>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3B02"/>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5BC5"/>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A76"/>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91B"/>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31C"/>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6C79"/>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2C46"/>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93B"/>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A5E"/>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CB7"/>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2D8"/>
    <w:rsid w:val="00A03835"/>
    <w:rsid w:val="00A03F4B"/>
    <w:rsid w:val="00A04085"/>
    <w:rsid w:val="00A044EC"/>
    <w:rsid w:val="00A047E7"/>
    <w:rsid w:val="00A04B6B"/>
    <w:rsid w:val="00A04D01"/>
    <w:rsid w:val="00A052FF"/>
    <w:rsid w:val="00A06211"/>
    <w:rsid w:val="00A06C5E"/>
    <w:rsid w:val="00A06F50"/>
    <w:rsid w:val="00A06FEA"/>
    <w:rsid w:val="00A07028"/>
    <w:rsid w:val="00A07F00"/>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4976"/>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A03"/>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6FF0"/>
    <w:rsid w:val="00A97546"/>
    <w:rsid w:val="00A9795A"/>
    <w:rsid w:val="00AA031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3EC"/>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4C8"/>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A30"/>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E7C94"/>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4A9"/>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13"/>
    <w:rsid w:val="00C06A65"/>
    <w:rsid w:val="00C06B7B"/>
    <w:rsid w:val="00C06D56"/>
    <w:rsid w:val="00C07601"/>
    <w:rsid w:val="00C07624"/>
    <w:rsid w:val="00C07C80"/>
    <w:rsid w:val="00C07C86"/>
    <w:rsid w:val="00C100C9"/>
    <w:rsid w:val="00C1064A"/>
    <w:rsid w:val="00C10EC6"/>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9E8"/>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5D"/>
    <w:rsid w:val="00CA679E"/>
    <w:rsid w:val="00CA68AA"/>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679"/>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52B1"/>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48"/>
    <w:rsid w:val="00DB1C6C"/>
    <w:rsid w:val="00DB1E1E"/>
    <w:rsid w:val="00DB1F5D"/>
    <w:rsid w:val="00DB209B"/>
    <w:rsid w:val="00DB2D68"/>
    <w:rsid w:val="00DB3D7B"/>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8A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5E93"/>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3BA"/>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8B1"/>
    <w:rsid w:val="00F05D8B"/>
    <w:rsid w:val="00F06455"/>
    <w:rsid w:val="00F06948"/>
    <w:rsid w:val="00F06B25"/>
    <w:rsid w:val="00F06B7D"/>
    <w:rsid w:val="00F07237"/>
    <w:rsid w:val="00F0727B"/>
    <w:rsid w:val="00F079D4"/>
    <w:rsid w:val="00F07C34"/>
    <w:rsid w:val="00F10049"/>
    <w:rsid w:val="00F1049F"/>
    <w:rsid w:val="00F108D4"/>
    <w:rsid w:val="00F11564"/>
    <w:rsid w:val="00F11732"/>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F71C9"/>
    <w:rsid w:val="003C3A27"/>
    <w:rsid w:val="003E2607"/>
    <w:rsid w:val="004E4CF9"/>
    <w:rsid w:val="0064033A"/>
    <w:rsid w:val="00747575"/>
    <w:rsid w:val="007A2E1E"/>
    <w:rsid w:val="00813189"/>
    <w:rsid w:val="008222A0"/>
    <w:rsid w:val="00836D47"/>
    <w:rsid w:val="0087748B"/>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984E3E832593459483A65C6D41B012" ma:contentTypeVersion="15" ma:contentTypeDescription="Create a new document." ma:contentTypeScope="" ma:versionID="90c4ac713f861ed886a1766744311b80">
  <xsd:schema xmlns:xsd="http://www.w3.org/2001/XMLSchema" xmlns:xs="http://www.w3.org/2001/XMLSchema" xmlns:p="http://schemas.microsoft.com/office/2006/metadata/properties" xmlns:ns2="8d04436c-97e7-4ff5-ab8a-2aced667a8e8" xmlns:ns3="19ef4362-ebb2-43d2-99d3-7d30d0204601" targetNamespace="http://schemas.microsoft.com/office/2006/metadata/properties" ma:root="true" ma:fieldsID="b6ab21c959fd68ad83d8fc801fff6856" ns2:_="" ns3:_="">
    <xsd:import namespace="8d04436c-97e7-4ff5-ab8a-2aced667a8e8"/>
    <xsd:import namespace="19ef4362-ebb2-43d2-99d3-7d30d0204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436c-97e7-4ff5-ab8a-2aced667a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00e026c-922a-4cff-badf-f3eeb93394e9}" ma:internalName="TaxCatchAll" ma:showField="CatchAllData" ma:web="8d04436c-97e7-4ff5-ab8a-2aced667a8e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4362-ebb2-43d2-99d3-7d30d020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5ee7d-9196-4379-8658-44738156ff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d04436c-97e7-4ff5-ab8a-2aced667a8e8" xsi:nil="true"/>
    <_dlc_DocId xmlns="8d04436c-97e7-4ff5-ab8a-2aced667a8e8">UX3J3NH7HRHJ-167323429-346428</_dlc_DocId>
    <_dlc_DocIdUrl xmlns="8d04436c-97e7-4ff5-ab8a-2aced667a8e8">
      <Url>https://efama.sharepoint.com/sites/Data/_layouts/15/DocIdRedir.aspx?ID=UX3J3NH7HRHJ-167323429-346428</Url>
      <Description>UX3J3NH7HRHJ-167323429-346428</Description>
    </_dlc_DocIdUrl>
    <_dlc_DocIdPersistId xmlns="8d04436c-97e7-4ff5-ab8a-2aced667a8e8" xsi:nil="true"/>
    <SharedWithUsers xmlns="8d04436c-97e7-4ff5-ab8a-2aced667a8e8">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lcf76f155ced4ddcb4097134ff3c332f xmlns="19ef4362-ebb2-43d2-99d3-7d30d0204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4.xml><?xml version="1.0" encoding="utf-8"?>
<ds:datastoreItem xmlns:ds="http://schemas.openxmlformats.org/officeDocument/2006/customXml" ds:itemID="{5EEB3074-416E-4070-BF80-EA95A91D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436c-97e7-4ff5-ab8a-2aced667a8e8"/>
    <ds:schemaRef ds:uri="19ef4362-ebb2-43d2-99d3-7d30d020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8d04436c-97e7-4ff5-ab8a-2aced667a8e8"/>
    <ds:schemaRef ds:uri="19ef4362-ebb2-43d2-99d3-7d30d02046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9770</Words>
  <Characters>55690</Characters>
  <Application>Microsoft Office Word</Application>
  <DocSecurity>8</DocSecurity>
  <Lines>464</Lines>
  <Paragraphs>130</Paragraphs>
  <ScaleCrop>false</ScaleCrop>
  <Company/>
  <LinksUpToDate>false</LinksUpToDate>
  <CharactersWithSpaces>65330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Isabelle Van Acker</cp:lastModifiedBy>
  <cp:revision>75</cp:revision>
  <cp:lastPrinted>2023-09-09T09:53:00Z</cp:lastPrinted>
  <dcterms:created xsi:type="dcterms:W3CDTF">2024-08-06T13:36:00Z</dcterms:created>
  <dcterms:modified xsi:type="dcterms:W3CDTF">2024-08-07T11:38:00Z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50acab3f6949599688191e8740e810">
    <vt:lpwstr>Regular|07f1e362-856b-423d-bea6-a14079762141</vt:lpwstr>
  </property>
  <property fmtid="{D5CDD505-2E9C-101B-9397-08002B2CF9AE}" pid="3" name="n84bf37b4eaf4fd99e887816221de8a8">
    <vt:lpwstr>EN|f7e7f686-dfa7-4032-a218-a5881e990598</vt:lpwstr>
  </property>
  <property fmtid="{D5CDD505-2E9C-101B-9397-08002B2CF9AE}" pid="4" name="ESMATemplatesConfidentialityLevel">
    <vt:lpwstr>17;#Public|a0c619ff-bd46-48f0-b213-6b7c03fe156d</vt:lpwstr>
  </property>
  <property fmtid="{D5CDD505-2E9C-101B-9397-08002B2CF9AE}" pid="5" name="ESMATemplatesTopic">
    <vt:lpwstr>58;#Report|066a9501-23d0-4103-814a-86d99d41b931</vt:lpwstr>
  </property>
  <property fmtid="{D5CDD505-2E9C-101B-9397-08002B2CF9AE}" pid="6" name="EsmaAudience">
    <vt:lpwstr>345;#Post-Trading Standing Committee|b4466ad1-2610-4bb4-b77e-13cd08e75663</vt:lpwstr>
  </property>
  <property fmtid="{D5CDD505-2E9C-101B-9397-08002B2CF9AE}" pid="7" name="Topic">
    <vt:lpwstr>254</vt:lpwstr>
  </property>
  <property fmtid="{D5CDD505-2E9C-101B-9397-08002B2CF9AE}" pid="8" name="ConfidentialityLevel">
    <vt:lpwstr>6;#Regular|07f1e362-856b-423d-bea6-a14079762141</vt:lpwstr>
  </property>
  <property fmtid="{D5CDD505-2E9C-101B-9397-08002B2CF9AE}" pid="9" name="DocumentType">
    <vt:lpwstr>54;#Call for Evidence|4dd13041-d074-4513-b0c9-9d450ea451f0</vt:lpwstr>
  </property>
  <property fmtid="{D5CDD505-2E9C-101B-9397-08002B2CF9AE}" pid="10" name="Order">
    <vt:r8>52000</vt:r8>
  </property>
  <property fmtid="{D5CDD505-2E9C-101B-9397-08002B2CF9AE}" pid="11" name="DocumentSetDescription">
    <vt:lpwstr/>
  </property>
  <property fmtid="{D5CDD505-2E9C-101B-9397-08002B2CF9AE}" pid="12" name="TeamName">
    <vt:lpwstr>5</vt:lpwstr>
  </property>
  <property fmtid="{D5CDD505-2E9C-101B-9397-08002B2CF9AE}" pid="13" name="SubTopic">
    <vt:lpwstr>323;#CSDR General - T + 1|a5a376d4-84eb-4354-ab81-b0766b380093</vt:lpwstr>
  </property>
  <property fmtid="{D5CDD505-2E9C-101B-9397-08002B2CF9AE}" pid="14" name="TeamTopic">
    <vt:lpwstr>33;#UCITS|a853cb80-aed9-44bd-ac2a-0e80b5a444d7</vt:lpwstr>
  </property>
  <property fmtid="{D5CDD505-2E9C-101B-9397-08002B2CF9AE}" pid="15" name="ContentTypeId">
    <vt:lpwstr>0x01010065984E3E832593459483A65C6D41B012</vt:lpwstr>
  </property>
  <property fmtid="{D5CDD505-2E9C-101B-9397-08002B2CF9AE}" pid="16" name="_dlc_DocIdItemGuid">
    <vt:lpwstr>7f065bb5-5801-4321-b446-c485d8433390</vt:lpwstr>
  </property>
  <property fmtid="{D5CDD505-2E9C-101B-9397-08002B2CF9AE}" pid="17" name="MediaServiceImageTags">
    <vt:lpwstr/>
  </property>
</Properties>
</file>