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26B4542A" w:rsidR="00635BCA" w:rsidRPr="00557BD2" w:rsidRDefault="00930191" w:rsidP="00D21C35">
                <w:r>
                  <w:t>Insight Investment Europe</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698B1DC6" w:rsidR="00635BCA" w:rsidRPr="00557BD2" w:rsidRDefault="00930191" w:rsidP="00D21C35">
                <w:r>
                  <w:t>Asset Management</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7F64E894" w:rsidR="00635BCA" w:rsidRPr="00557BD2" w:rsidRDefault="00930191" w:rsidP="00D21C35">
                <w:r>
                  <w:t>Ireland</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1E7C868E" w14:textId="77777777" w:rsidR="00667FF6" w:rsidRDefault="00667FF6" w:rsidP="00667FF6">
      <w:permStart w:id="1975413025" w:edGrp="everyone"/>
      <w:r>
        <w:t>TYPE YOUR TEXT HERE</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1EF35207" w14:textId="77777777" w:rsidR="00930191" w:rsidRDefault="00930191" w:rsidP="00930191">
      <w:permStart w:id="85149166" w:edGrp="everyone"/>
      <w:r>
        <w:t>The existing process for an eligibility review is overly burdensome specifically when it comes to any index which has UCITS eligible assets as the underlying constituents, e.g. S&amp;P 500 and other versions of the main index. Only indices which have non-UCITS eligible assets as the underlying constituents should be required to go through due a diligence process.</w:t>
      </w:r>
    </w:p>
    <w:p w14:paraId="1AB9B59E" w14:textId="77777777" w:rsidR="00930191" w:rsidRDefault="00930191" w:rsidP="00930191">
      <w:r>
        <w:lastRenderedPageBreak/>
        <w:t>More clarity around how these should be treated in terms of diversification and look through. Any diversification requirements should be reviewed for compliance at portfolio level rather than individual index level.</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77777777" w:rsidR="00667FF6" w:rsidRDefault="00667FF6" w:rsidP="00667FF6">
      <w:permStart w:id="1981048397" w:edGrp="everyone"/>
      <w:r>
        <w:t>TYPE YOUR TEXT HERE</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4658538" w14:textId="77777777" w:rsidR="00667FF6" w:rsidRDefault="00667FF6" w:rsidP="00667FF6">
      <w:permStart w:id="1012351271" w:edGrp="everyone"/>
      <w:r>
        <w:t>TYPE YOUR TEXT HERE</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 xml:space="preserve">The 2020 ESMA CSA on UCITS liquidity risk management identified issues with respect to the presumption of liquidity and negotiability set out in UCITS EAD. In light of the changed market conditions since 2007, do you consider such a </w:t>
      </w:r>
      <w:r>
        <w:lastRenderedPageBreak/>
        <w:t>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52B248D9" w:rsidR="00667FF6" w:rsidRDefault="00930191" w:rsidP="00667FF6">
      <w:permStart w:id="1300367218" w:edGrp="everyone"/>
      <w:r w:rsidRPr="00CC3903">
        <w:t xml:space="preserve">We still view this definition as adequate.  Additional requirements/regulations introduced since - </w:t>
      </w:r>
      <w:proofErr w:type="gramStart"/>
      <w:r w:rsidRPr="00CC3903">
        <w:t>in particular around</w:t>
      </w:r>
      <w:proofErr w:type="gramEnd"/>
      <w:r w:rsidRPr="00CC3903">
        <w:t xml:space="preserve"> liquidity monitoring and liquidity stress testing - do fill the gap </w:t>
      </w:r>
      <w:r>
        <w:t>identified</w:t>
      </w:r>
      <w:r w:rsidRPr="00CC3903">
        <w:t xml:space="preserve"> here.</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AE834AB" w14:textId="2F5503EF" w:rsidR="00930191" w:rsidRDefault="00930191" w:rsidP="00930191">
      <w:permStart w:id="974730357" w:edGrp="everyone"/>
      <w:r>
        <w:t>On a read of the UCITS regulations and UCITS Q&amp;As, ancillary liquid assets appear to include bank deposits and cash booked in accounts.</w:t>
      </w:r>
      <w:r w:rsidR="005F0267">
        <w:t xml:space="preserve"> Therefore,</w:t>
      </w:r>
      <w:r>
        <w:t xml:space="preserve"> </w:t>
      </w:r>
      <w:r w:rsidR="005F0267">
        <w:t>t</w:t>
      </w:r>
      <w:r>
        <w:t xml:space="preserve">he concept of ancillary liquid assets seems to also capture bank deposits that are held for investment purposes however this is not sufficiently clear, particularly when it comes to the application of diversification limits. </w:t>
      </w:r>
      <w:bookmarkStart w:id="1" w:name="_Hlk173832106"/>
    </w:p>
    <w:bookmarkEnd w:id="1"/>
    <w:p w14:paraId="253601D0" w14:textId="3301B06A" w:rsidR="00930191" w:rsidRDefault="00930191" w:rsidP="00930191">
      <w:r w:rsidRPr="00695616">
        <w:t xml:space="preserve">We would typically only view assets denominated in base currency as ancillary liquid assets. </w:t>
      </w:r>
      <w:bookmarkStart w:id="2" w:name="_Hlk173832421"/>
      <w:r w:rsidRPr="00695616">
        <w:t>H</w:t>
      </w:r>
      <w:r w:rsidRPr="00695616">
        <w:rPr>
          <w:rStyle w:val="ui-provider"/>
        </w:rPr>
        <w:t xml:space="preserve">owever, we would also consider as ancillary liquid assets </w:t>
      </w:r>
      <w:bookmarkEnd w:id="2"/>
      <w:r w:rsidRPr="00695616">
        <w:rPr>
          <w:rStyle w:val="ui-provider"/>
        </w:rPr>
        <w:t>Money Market instruments (CD/CP, TD), and short-dated Government Bonds, particularly when used for coverage tests</w:t>
      </w:r>
      <w:r w:rsidR="00294ECD">
        <w:rPr>
          <w:rStyle w:val="ui-provider"/>
        </w:rPr>
        <w:t>.</w:t>
      </w:r>
    </w:p>
    <w:p w14:paraId="3FEE353B" w14:textId="059B8920" w:rsidR="00667FF6" w:rsidRDefault="00667FF6" w:rsidP="00667FF6"/>
    <w:permEnd w:id="974730357"/>
    <w:p w14:paraId="307CFCEA" w14:textId="77777777"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lastRenderedPageBreak/>
        <w:t>&lt;ESMA_QUESTION_EADC_7&gt;</w:t>
      </w:r>
    </w:p>
    <w:p w14:paraId="30DE7109" w14:textId="77777777" w:rsidR="00294ECD" w:rsidRDefault="00294ECD" w:rsidP="00294ECD">
      <w:permStart w:id="12191390" w:edGrp="everyone"/>
      <w:r w:rsidRPr="00711A57">
        <w:t xml:space="preserve">Yes, we </w:t>
      </w:r>
      <w:r>
        <w:t xml:space="preserve">consider </w:t>
      </w:r>
      <w:r w:rsidRPr="00711A57">
        <w:t xml:space="preserve">tradable currency investment as another potential asset type option depending on the investment strategy. Non-base currency assets in </w:t>
      </w:r>
      <w:r>
        <w:t>emerging market debt</w:t>
      </w:r>
      <w:r w:rsidRPr="00711A57">
        <w:t xml:space="preserve"> funds for example contain the same currency risk in any case.</w:t>
      </w:r>
      <w:r>
        <w:t xml:space="preserve">  In addition, benchmarks can be hedged or unhedged, requiring the fund manager to take positions (in active risk) in foreign currency.  We also view FX as an important component / asset calls in a multi-asset context, which can serve both as a return contributor or a diversifier. </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35599E16" w14:textId="42FB1E7C" w:rsidR="00BE6E7E" w:rsidRDefault="00BE6E7E" w:rsidP="00BE6E7E">
      <w:permStart w:id="1602386857" w:edGrp="everyone"/>
      <w:r>
        <w:t xml:space="preserve">ESMA, UCITS, AIFMD requirements around liquidity stress testing contain more sophisticated measures than the unlisted or regulated market aspect of UCITS 10% </w:t>
      </w:r>
      <w:proofErr w:type="gramStart"/>
      <w:r>
        <w:t>limit .</w:t>
      </w:r>
      <w:proofErr w:type="gramEnd"/>
      <w:r>
        <w:t xml:space="preserve"> Therefore, we question does it still serve a purpose in the UCITS Directive. We suggest that a general consideration be given to the limit placed on investments in transferable securities and money market instruments other than those referred to in Article 50(1) of the UCITS Directive to determine if it is still valid in today's regulatory landscape.</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6A3FF3" w14:textId="77777777" w:rsidR="00667FF6" w:rsidRDefault="00667FF6" w:rsidP="00667FF6">
      <w:permStart w:id="1226657538" w:edGrp="everyone"/>
      <w:r>
        <w:t>TYPE YOUR TEXT HERE</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32529899" w14:textId="04F69F44" w:rsidR="00BE6E7E" w:rsidRDefault="00BE6E7E" w:rsidP="00BE6E7E">
      <w:permStart w:id="1286214635" w:edGrp="everyone"/>
      <w:r>
        <w:t xml:space="preserve">We interpret (1) to mean that a manger </w:t>
      </w:r>
      <w:proofErr w:type="gramStart"/>
      <w:r>
        <w:t>has to</w:t>
      </w:r>
      <w:proofErr w:type="gramEnd"/>
      <w:r>
        <w:t xml:space="preserve"> ensure all material risks are captured in the Global Exposure calculations (either Value-at-Risk and Sum of </w:t>
      </w:r>
      <w:proofErr w:type="spellStart"/>
      <w:r>
        <w:t>Notionals</w:t>
      </w:r>
      <w:proofErr w:type="spellEnd"/>
      <w:r>
        <w:t xml:space="preserve"> or the Commitment Exposure figures). We view this as adequately clear.</w:t>
      </w:r>
    </w:p>
    <w:p w14:paraId="25B4E978" w14:textId="0EE522D0" w:rsidR="00BE6E7E" w:rsidRDefault="00BE6E7E" w:rsidP="00BE6E7E">
      <w:r>
        <w:t xml:space="preserve">We interpret (2) to mean observable prices, i.e. exchange quote or multiple </w:t>
      </w:r>
      <w:proofErr w:type="gramStart"/>
      <w:r>
        <w:t>counterparty</w:t>
      </w:r>
      <w:proofErr w:type="gramEnd"/>
      <w:r>
        <w:t xml:space="preserve"> sourced.  When dealing in assets where either due to their nature, or their circumstance (e.g. funds being stuck with Russian assets following introduction of sanctions), investment managers should have a clearly established pricing policy and an independent pricing committee.  </w:t>
      </w:r>
    </w:p>
    <w:p w14:paraId="0BA52450" w14:textId="7E2DF2D5" w:rsidR="00667FF6" w:rsidRDefault="00667FF6" w:rsidP="00667FF6"/>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5DF99619" w14:textId="77777777" w:rsidR="00BE6E7E" w:rsidRDefault="00BE6E7E" w:rsidP="00BE6E7E">
      <w:permStart w:id="704664972" w:edGrp="everyone"/>
      <w:r>
        <w:t xml:space="preserve">We agree that instruments such ABS investment should be permitted in investment funds. Currently there is greater scrutiny for these investment in funds during the authorisation process and we believe this process can be made more efficient by ensuring the criteria for including these investments are made available in advance. </w:t>
      </w:r>
    </w:p>
    <w:p w14:paraId="0E3B2DB0" w14:textId="4F3922D1" w:rsidR="00667FF6" w:rsidRDefault="00667FF6" w:rsidP="00667FF6"/>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18DAD0C9" w14:textId="77777777" w:rsidR="007557D8" w:rsidRDefault="007557D8" w:rsidP="007557D8">
      <w:permStart w:id="624035433" w:edGrp="everyone"/>
      <w:r>
        <w:t xml:space="preserve">It is not completely clear what security types should be considered a "transferable security that embeds a derivative" under the Directive and guidelines and therefore whether they should be characterised and described as such in prospectuses/supplements and risk management processes of UCITS that invest in them </w:t>
      </w:r>
      <w:proofErr w:type="gramStart"/>
      <w:r>
        <w:t>and also</w:t>
      </w:r>
      <w:proofErr w:type="gramEnd"/>
      <w:r>
        <w:t xml:space="preserve"> whether they should then be captured in leverage calculations of UCITS investing in them. E.g. CoCos or Callable Bonds.</w:t>
      </w:r>
    </w:p>
    <w:p w14:paraId="1D886EA3" w14:textId="77777777" w:rsidR="007557D8" w:rsidRDefault="007557D8" w:rsidP="007557D8">
      <w:r>
        <w:t>CoCos are a hybrid debt security that are intended to either convert into equity or have their principal written down upon the occurrence of certain ‘</w:t>
      </w:r>
      <w:proofErr w:type="gramStart"/>
      <w:r>
        <w:t>triggers’</w:t>
      </w:r>
      <w:proofErr w:type="gramEnd"/>
    </w:p>
    <w:p w14:paraId="16091EDC" w14:textId="77777777" w:rsidR="007557D8" w:rsidRDefault="007557D8" w:rsidP="007557D8">
      <w:r>
        <w:t xml:space="preserve">We suggest that given these triggers are linked to regulatory capital thresholds or other entity specific occurrences with the issuing bank and so do not represent an "other variable" that could be equated with an interest rate, exchange rate or equivalent that can act as a means of modifying an instrument's returns. Similarly, the triggers do not carry their own "economic characteristics" that would fit with the criteria. By way of an example therefore, a </w:t>
      </w:r>
      <w:proofErr w:type="spellStart"/>
      <w:r>
        <w:t>CoCo</w:t>
      </w:r>
      <w:proofErr w:type="spellEnd"/>
      <w:r>
        <w:t xml:space="preserve"> should not be treated as a TS that embeds a derivative based on how they are structured but rather a debt-related security. We suggest therefore reviewing the list of securities that may be classified as a transferable security that embeds a derivative.</w:t>
      </w:r>
    </w:p>
    <w:p w14:paraId="76F1A7E0" w14:textId="77777777" w:rsidR="007557D8" w:rsidRDefault="007557D8" w:rsidP="007557D8">
      <w:r>
        <w:t>Following a review it then falls to be considered which and how these securities should be captured in leverage calculations.</w:t>
      </w:r>
    </w:p>
    <w:p w14:paraId="259CC93E" w14:textId="1A826EA1" w:rsidR="00667FF6" w:rsidRDefault="00667FF6" w:rsidP="00667FF6"/>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 xml:space="preserve">Linked to Q11 and Q12, ESMA is aware of diverging interpretations on the treatment of delta-one instruments under the EAD, taking into account that they </w:t>
      </w:r>
      <w:r>
        <w:lastRenderedPageBreak/>
        <w:t>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0E557136" w14:textId="2A6B818F" w:rsidR="00667FF6" w:rsidRDefault="007557D8" w:rsidP="00667FF6">
      <w:permStart w:id="1487874619" w:edGrp="everyone"/>
      <w:r>
        <w:t>TYPE YOUR TEXT HERE</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5FFCDF55" w:rsidR="00667FF6" w:rsidRDefault="007557D8" w:rsidP="00667FF6">
      <w:permStart w:id="1362129429" w:edGrp="everyone"/>
      <w:r>
        <w:t xml:space="preserve">Review the UCITS eligibility of 1940 Acts funds. Equivalency should be reconsidered for "40 Act" funds, as they </w:t>
      </w:r>
      <w:r w:rsidRPr="007557D8">
        <w:rPr>
          <w:szCs w:val="22"/>
        </w:rPr>
        <w:t xml:space="preserve">have similar investment restrictions to UCITS funds with only differences in their legal structures. Exposure to these fund structures could benefit the return of the funds providing greater exposure thereby benefiting investors. The restriction on cross-investment between sub-funds of the same umbrella should be removed as </w:t>
      </w:r>
      <w:r w:rsidRPr="007557D8">
        <w:rPr>
          <w:rFonts w:ascii="Arial" w:hAnsi="Arial"/>
          <w:color w:val="auto"/>
          <w:szCs w:val="22"/>
        </w:rPr>
        <w:t xml:space="preserve">we are not sure what purpose it serves. We understand the separate provision which includes a rule to avoid the double charging of management fees for funds managed by the same manager but not necessarily </w:t>
      </w:r>
      <w:r w:rsidRPr="007557D8">
        <w:rPr>
          <w:rFonts w:ascii="Arial" w:hAnsi="Arial"/>
          <w:color w:val="auto"/>
          <w:szCs w:val="22"/>
        </w:rPr>
        <w:lastRenderedPageBreak/>
        <w:t>this restriction re investment within the one umbrella once there is a solid investment rationale for doing so</w:t>
      </w:r>
      <w:r>
        <w:rPr>
          <w:rFonts w:ascii="Arial" w:hAnsi="Arial"/>
          <w:color w:val="auto"/>
          <w:szCs w:val="22"/>
        </w:rPr>
        <w:t>.</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4C70DBB1" w14:textId="77777777" w:rsidR="007557D8" w:rsidRDefault="007557D8" w:rsidP="007557D8">
      <w:permStart w:id="493775816" w:edGrp="everyone"/>
      <w:r>
        <w:t>Please see answer to Q14 in respect of 1940 Act Funds.</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4E6EC137" w14:textId="77777777" w:rsidR="00667FF6" w:rsidRDefault="00667FF6" w:rsidP="00667FF6">
      <w:permStart w:id="1032210024" w:edGrp="everyone"/>
      <w:r>
        <w:t>TYPE YOUR TEXT HERE</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 xml:space="preserve">Would you see merit in linking or replacing the notion of EPM techniques set out in the UCITS Directive and UCITS EAD with the notion of securities financing transaction (SFT) set out in the SFTR? Beyond the notions of EPM and </w:t>
      </w:r>
      <w:r>
        <w:lastRenderedPageBreak/>
        <w:t>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0A21A428" w14:textId="77777777" w:rsidR="00667FF6" w:rsidRDefault="00667FF6" w:rsidP="00667FF6">
      <w:permStart w:id="589041498" w:edGrp="everyone"/>
      <w:r>
        <w:t>TYPE YOUR TEXT HERE</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5A3E0D86" w14:textId="17A2F913" w:rsidR="0038126E" w:rsidRDefault="0038126E" w:rsidP="0038126E">
      <w:permStart w:id="1158356501" w:edGrp="everyone"/>
      <w:r>
        <w:t xml:space="preserve">A UCITS (which would include MMF UCITS) is permitted to invest up to 10% in any one CIS. However a UCITS MMF can only invest up to 5% in another UCITS MMF. We believe either the MMF funds rule should align to the 10% rule in the broader UCITS </w:t>
      </w:r>
      <w:r w:rsidR="009120EC">
        <w:t>rules,</w:t>
      </w:r>
      <w:r>
        <w:t xml:space="preserve"> or the rules should be clarified to eliminate any ambiguity. </w:t>
      </w:r>
    </w:p>
    <w:p w14:paraId="1999A1E7" w14:textId="77777777" w:rsidR="0038126E" w:rsidRDefault="0038126E" w:rsidP="0038126E">
      <w:r w:rsidRPr="00A3622E">
        <w:t>Similarly, there are also “in aggregate” limits for investment in CIS in the two regulations therefore, we believe this requires the same clarification as above.</w:t>
      </w:r>
    </w:p>
    <w:p w14:paraId="35E4D4B0" w14:textId="77777777" w:rsidR="0038126E" w:rsidRDefault="0038126E" w:rsidP="0038126E">
      <w:r>
        <w:t>There are divergences between the deposit limits between UCITS and the MMFR. The MMFR has a 10% limit with a derogation for up to 15%. UCITS rules have a 20% on deposit with any one institution.</w:t>
      </w:r>
    </w:p>
    <w:p w14:paraId="26C03F80" w14:textId="0FCFA239" w:rsidR="0038126E" w:rsidRDefault="0038126E" w:rsidP="0038126E">
      <w:pPr>
        <w:rPr>
          <w:highlight w:val="yellow"/>
        </w:rPr>
      </w:pPr>
      <w:r w:rsidRPr="65A2EE27">
        <w:rPr>
          <w:highlight w:val="yellow"/>
        </w:rPr>
        <w:t xml:space="preserve">The MMFR and UCITS Directive quotes "equivalent prudential rules" for eligible credit institutions in third countries for deposits. Does </w:t>
      </w:r>
      <w:r>
        <w:rPr>
          <w:highlight w:val="yellow"/>
        </w:rPr>
        <w:t>this</w:t>
      </w:r>
      <w:r w:rsidRPr="65A2EE27">
        <w:rPr>
          <w:highlight w:val="yellow"/>
        </w:rPr>
        <w:t xml:space="preserve"> include deposits with UK banks? Under the CBI UCITS Regulations, deposits or cash booked in accounts and held as ancillary liquid assets can be held with a signatory of the Basle Agreement which includes the UK suggesting that deposits with UK banks are permissible for Irish domiciled UCITS. We think clarity is needed </w:t>
      </w:r>
      <w:proofErr w:type="gramStart"/>
      <w:r w:rsidRPr="65A2EE27">
        <w:rPr>
          <w:highlight w:val="yellow"/>
        </w:rPr>
        <w:t>in the area of</w:t>
      </w:r>
      <w:proofErr w:type="gramEnd"/>
      <w:r w:rsidRPr="65A2EE27">
        <w:rPr>
          <w:highlight w:val="yellow"/>
        </w:rPr>
        <w:t xml:space="preserve"> the definition of “eligible institutions” or counterparties across the different rules and regulations.</w:t>
      </w:r>
    </w:p>
    <w:p w14:paraId="3850E9FE" w14:textId="77777777" w:rsidR="0038126E" w:rsidRDefault="0038126E" w:rsidP="0038126E">
      <w:r w:rsidRPr="00977CF5">
        <w:lastRenderedPageBreak/>
        <w:t>There is an anomaly in the interaction with the securitisation regulation where repo traded with third country investment managers and banks in certain jurisdictions does not require a haircut whereas recognised CCPs from the same jurisdictions do require a haircut. This causes an issue when trading repo transactions in currencies that are typically not available, or liquid with EU CCPs. We believe that Europe, as a global hub for funds and MMFs, should take into consideration the needs of its global investors to maintain this important role that Europe currently provides as a jurisdiction. As such, we recommend that MMFs trading cleared repos with recognised CCPs do not require the CCP to post haircuts to MMFs.</w:t>
      </w:r>
      <w:r>
        <w:t xml:space="preserve"> </w:t>
      </w:r>
    </w:p>
    <w:p w14:paraId="132D7C9C" w14:textId="77777777" w:rsidR="0038126E" w:rsidRDefault="0038126E" w:rsidP="0038126E"/>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2B449671" w14:textId="77777777" w:rsidR="00667FF6" w:rsidRDefault="00667FF6" w:rsidP="00667FF6">
      <w:permStart w:id="784558918" w:edGrp="everyone"/>
      <w:r>
        <w:t>TYPE YOUR TEXT HERE</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lastRenderedPageBreak/>
        <w:t>&lt;ESMA_QUESTION_EADC_20&gt;</w:t>
      </w:r>
    </w:p>
    <w:p w14:paraId="3E4BB983" w14:textId="77777777" w:rsidR="00256F16" w:rsidRDefault="00256F16" w:rsidP="00256F16">
      <w:permStart w:id="1828006997" w:edGrp="everyone"/>
      <w:r>
        <w:t xml:space="preserve">In general, we would value a transparent set of criteria for including any of the investments below to help us meet the regulatory requirement ahead of the fund authorisation process. </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026D7EED" w14:textId="77777777" w:rsidR="00667FF6" w:rsidRDefault="00667FF6" w:rsidP="00667FF6">
      <w:permStart w:id="199050040" w:edGrp="everyone"/>
      <w:r>
        <w:t>TYPE YOUR TEXT HERE</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33D2BA70" w14:textId="259FCB60" w:rsidR="00667FF6" w:rsidRDefault="00256F16" w:rsidP="00667FF6">
      <w:permStart w:id="1004748421" w:edGrp="everyone"/>
      <w:r>
        <w:t xml:space="preserve">As mentioned in question 13, we do not believe that one could circumvent eligibility via (delta-one) </w:t>
      </w:r>
      <w:proofErr w:type="gramStart"/>
      <w:r>
        <w:t>derivatives</w:t>
      </w:r>
      <w:proofErr w:type="gramEnd"/>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lastRenderedPageBreak/>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61365DD4" w14:textId="77777777" w:rsidR="00256F16" w:rsidRDefault="00256F16" w:rsidP="00256F16">
      <w:permStart w:id="1208368603" w:edGrp="everyone"/>
      <w:r>
        <w:t xml:space="preserve">Currently, the greater scrutiny for CLOs and CDO investment in funds during the authorisation process can be made more efficient by ensuring the criteria for including these investments are made available in advance. </w:t>
      </w:r>
    </w:p>
    <w:p w14:paraId="7DBA8A18" w14:textId="77777777" w:rsidR="00256F16" w:rsidRPr="00FA46D8" w:rsidRDefault="00256F16" w:rsidP="00256F16">
      <w:r w:rsidRPr="00FA46D8">
        <w:t>More generally, investing in securitisations is far from straightforward under the existing European securitisation regime:</w:t>
      </w:r>
    </w:p>
    <w:p w14:paraId="7850B320" w14:textId="77777777" w:rsidR="00256F16" w:rsidRPr="00256F16" w:rsidRDefault="00256F16" w:rsidP="00256F16">
      <w:pPr>
        <w:pStyle w:val="ListParagraph"/>
        <w:numPr>
          <w:ilvl w:val="0"/>
          <w:numId w:val="16"/>
        </w:numPr>
        <w:spacing w:after="160" w:line="259" w:lineRule="auto"/>
        <w:contextualSpacing/>
        <w:jc w:val="left"/>
      </w:pPr>
      <w:r w:rsidRPr="00256F16">
        <w:t xml:space="preserve">The current European securitisation regime has created a significant administrative burden on managers. The initial and ongoing due diligence requirements imposed on managers requires the gathering and analysis of a vast amount of information (including information in particular formats prescribed by the European securitisation regime) and performing ongoing analysis, which is in addition to the due diligence managers perform in respect of any asset they invest in. Obtaining and analysing such information along with the other due diligence requirements set out in the current European securitisation regime is a time-consuming, costly and complex process which adds to the regulatory burdens of managers and which in turn may disincentivise managers from investing in securitisations. These additional processes for investing in securitisations also cause delays in the investment process and potentially missed investment opportunities due to such delays. </w:t>
      </w:r>
    </w:p>
    <w:p w14:paraId="4AF4CEEE" w14:textId="77777777" w:rsidR="00256F16" w:rsidRPr="007D30A9" w:rsidRDefault="00256F16" w:rsidP="00256F16">
      <w:pPr>
        <w:pStyle w:val="ListParagraph"/>
        <w:numPr>
          <w:ilvl w:val="0"/>
          <w:numId w:val="16"/>
        </w:numPr>
        <w:spacing w:after="160" w:line="259" w:lineRule="auto"/>
        <w:contextualSpacing/>
        <w:jc w:val="left"/>
        <w:rPr>
          <w:rFonts w:asciiTheme="minorHAnsi" w:hAnsiTheme="minorHAnsi"/>
        </w:rPr>
      </w:pPr>
      <w:r w:rsidRPr="00256F16">
        <w:rPr>
          <w:rFonts w:asciiTheme="minorHAnsi" w:hAnsiTheme="minorHAnsi"/>
        </w:rPr>
        <w:t>As indicated by various industry organisations (including the Association for Financial Markets in Europe), the current European securitisation regime is marred by considerable levels of uncertainty and ambiguity and a lack of clear guidance. As a result, more diligent managers would seek additional legal advice leading to increased (compliance) costs and another impediment to the investment process. More diligent managers may therefore be less incentivised to invest in securitisations given the regulatory uncertainty and increased costs with less diligent managers more willing and ready to invest in securitisations. This seems to go against the spirit of the current European securitisation regime where the regulators would want the more diligent managers more involved in the securitisation market</w:t>
      </w:r>
      <w:r w:rsidRPr="008712CE">
        <w:rPr>
          <w:rFonts w:asciiTheme="minorHAnsi" w:hAnsiTheme="minorHAnsi"/>
          <w:sz w:val="19"/>
          <w:szCs w:val="19"/>
        </w:rPr>
        <w:t>.</w:t>
      </w:r>
    </w:p>
    <w:p w14:paraId="57C1BB11" w14:textId="11BB7758" w:rsidR="00667FF6" w:rsidRDefault="00667FF6" w:rsidP="00667FF6"/>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lastRenderedPageBreak/>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15145C43" w:rsidR="00667FF6" w:rsidRDefault="00B07D2B" w:rsidP="00667FF6">
      <w:permStart w:id="160252285" w:edGrp="everyone"/>
      <w:r w:rsidRPr="00F41272">
        <w:t xml:space="preserve">We see taking short positions </w:t>
      </w:r>
      <w:proofErr w:type="gramStart"/>
      <w:r w:rsidRPr="00F41272">
        <w:t>through the use of</w:t>
      </w:r>
      <w:proofErr w:type="gramEnd"/>
      <w:r w:rsidRPr="00F41272">
        <w:t xml:space="preserve"> Derivatives </w:t>
      </w:r>
      <w:r>
        <w:t xml:space="preserve">(whether through Delta-One instruments or options) </w:t>
      </w:r>
      <w:r w:rsidRPr="00F41272">
        <w:t>as beneficial, as it makes managing the Beta of a portfolio a lot more efficient and cost effective</w:t>
      </w:r>
      <w:r>
        <w:t xml:space="preserve"> and can help to reduce drawdowns</w:t>
      </w:r>
      <w:r w:rsidRPr="00F41272">
        <w:t>.</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4826CA7D" w14:textId="60780098" w:rsidR="00B07D2B" w:rsidRDefault="00B07D2B" w:rsidP="00B07D2B">
      <w:permStart w:id="478484191" w:edGrp="everyone"/>
      <w:r>
        <w:t>We believe that restriction on cross-investment between sub-funds of the same umbrella should be removed</w:t>
      </w:r>
      <w:r w:rsidR="009142DD">
        <w:t xml:space="preserve"> as outlined in Q14.</w:t>
      </w:r>
    </w:p>
    <w:p w14:paraId="1332F6F4" w14:textId="23751B8F" w:rsidR="00B07D2B" w:rsidRPr="005B1762" w:rsidRDefault="0072035E" w:rsidP="00B07D2B">
      <w:r>
        <w:t xml:space="preserve">It is unclear to us </w:t>
      </w:r>
      <w:r w:rsidR="004247A1">
        <w:t>whether exposure</w:t>
      </w:r>
      <w:r w:rsidR="00024E4B">
        <w:t xml:space="preserve"> generated</w:t>
      </w:r>
      <w:r w:rsidR="004247A1">
        <w:t xml:space="preserve"> from reverse repos should be captured</w:t>
      </w:r>
      <w:r w:rsidR="00B07D2B" w:rsidRPr="0091470E">
        <w:t xml:space="preserve"> </w:t>
      </w:r>
      <w:r w:rsidR="00024E4B">
        <w:t>when</w:t>
      </w:r>
      <w:r>
        <w:t xml:space="preserve"> </w:t>
      </w:r>
      <w:r w:rsidR="00B07D2B" w:rsidRPr="0091470E">
        <w:t>calculating counterparty exposure</w:t>
      </w:r>
      <w:r w:rsidR="004247A1">
        <w:t>.</w:t>
      </w:r>
      <w:r>
        <w:t xml:space="preserve"> </w:t>
      </w:r>
      <w:r w:rsidR="00B07D2B" w:rsidRPr="0091470E">
        <w:t>There are</w:t>
      </w:r>
      <w:r w:rsidR="00B46C2A">
        <w:t xml:space="preserve"> also</w:t>
      </w:r>
      <w:r w:rsidR="00B07D2B" w:rsidRPr="0091470E">
        <w:t xml:space="preserve"> divergences between the</w:t>
      </w:r>
      <w:r w:rsidR="00024E4B">
        <w:t xml:space="preserve"> limits in the</w:t>
      </w:r>
      <w:r w:rsidR="00B07D2B" w:rsidRPr="0091470E">
        <w:t xml:space="preserve"> UCITS rules and the MMF rules, i.e. UCITS </w:t>
      </w:r>
      <w:r w:rsidR="00024E4B">
        <w:t>counterparty</w:t>
      </w:r>
      <w:r w:rsidR="00B07D2B" w:rsidRPr="0091470E">
        <w:t xml:space="preserve"> exposure limits are 5% or 10% (depending on counterparty eligibility)</w:t>
      </w:r>
      <w:r w:rsidR="00024E4B">
        <w:t xml:space="preserve"> to any one counterparty</w:t>
      </w:r>
      <w:r w:rsidR="00B07D2B" w:rsidRPr="0091470E">
        <w:t xml:space="preserve"> and under the MMFR a single reverse repurchase agreement counterparty should not account for more than </w:t>
      </w:r>
      <w:r w:rsidR="00B07D2B" w:rsidRPr="00024E4B">
        <w:rPr>
          <w:u w:val="single"/>
        </w:rPr>
        <w:t>15 %</w:t>
      </w:r>
      <w:r w:rsidR="00B07D2B" w:rsidRPr="0091470E">
        <w:t xml:space="preserve"> of a MMF's assets (aggregate amount of cash provided to the same counterparty in reverse repurchase agreements).</w:t>
      </w:r>
      <w:r w:rsidR="00B07D2B">
        <w:t xml:space="preserve"> </w:t>
      </w:r>
    </w:p>
    <w:p w14:paraId="2538A471" w14:textId="5B7A09AF" w:rsidR="00B07D2B" w:rsidRDefault="00B07D2B" w:rsidP="00B07D2B">
      <w:r>
        <w:t xml:space="preserve">It is not clear from the Directive and guidance </w:t>
      </w:r>
      <w:r w:rsidR="00024E4B">
        <w:t>whether</w:t>
      </w:r>
      <w:r>
        <w:t xml:space="preserve"> the</w:t>
      </w:r>
      <w:r w:rsidR="00024E4B">
        <w:t xml:space="preserve"> reverse repo</w:t>
      </w:r>
      <w:r>
        <w:t xml:space="preserve"> exposure should be captured</w:t>
      </w:r>
      <w:r w:rsidR="00B46C2A">
        <w:t xml:space="preserve"> and there are some divergences between the limits in the two regulations. </w:t>
      </w:r>
      <w:r w:rsidR="0072035E">
        <w:t xml:space="preserve">We would appreciate </w:t>
      </w:r>
      <w:r>
        <w:t xml:space="preserve">some clarity </w:t>
      </w:r>
      <w:r w:rsidR="00024E4B">
        <w:t>and greater alignment in this area.</w:t>
      </w:r>
    </w:p>
    <w:p w14:paraId="3D007DCF" w14:textId="09564BF3" w:rsidR="00667FF6" w:rsidRDefault="00667FF6" w:rsidP="00667FF6"/>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729C" w14:textId="77777777" w:rsidR="00462824" w:rsidRDefault="00462824" w:rsidP="007E7997">
      <w:pPr>
        <w:spacing w:line="240" w:lineRule="auto"/>
      </w:pPr>
      <w:r>
        <w:separator/>
      </w:r>
    </w:p>
  </w:endnote>
  <w:endnote w:type="continuationSeparator" w:id="0">
    <w:p w14:paraId="71848F05" w14:textId="77777777" w:rsidR="00462824" w:rsidRDefault="00462824" w:rsidP="007E7997">
      <w:pPr>
        <w:spacing w:line="240" w:lineRule="auto"/>
      </w:pPr>
      <w:r>
        <w:continuationSeparator/>
      </w:r>
    </w:p>
  </w:endnote>
  <w:endnote w:type="continuationNotice" w:id="1">
    <w:p w14:paraId="25F1FE12"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F5A9" w14:textId="77777777" w:rsidR="00462824" w:rsidRDefault="00462824" w:rsidP="007E7997">
      <w:pPr>
        <w:spacing w:line="240" w:lineRule="auto"/>
      </w:pPr>
      <w:r>
        <w:separator/>
      </w:r>
    </w:p>
  </w:footnote>
  <w:footnote w:type="continuationSeparator" w:id="0">
    <w:p w14:paraId="61C0E917" w14:textId="77777777" w:rsidR="00462824" w:rsidRDefault="00462824" w:rsidP="007E7997">
      <w:pPr>
        <w:spacing w:line="240" w:lineRule="auto"/>
      </w:pPr>
      <w:r>
        <w:continuationSeparator/>
      </w:r>
    </w:p>
  </w:footnote>
  <w:footnote w:type="continuationNotice" w:id="1">
    <w:p w14:paraId="61DA64BC" w14:textId="77777777" w:rsidR="00462824" w:rsidRDefault="004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C1E40"/>
    <w:multiLevelType w:val="hybridMultilevel"/>
    <w:tmpl w:val="6A664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3801430">
    <w:abstractNumId w:val="11"/>
  </w:num>
  <w:num w:numId="2" w16cid:durableId="1144354351">
    <w:abstractNumId w:val="4"/>
  </w:num>
  <w:num w:numId="3" w16cid:durableId="1006909420">
    <w:abstractNumId w:val="9"/>
  </w:num>
  <w:num w:numId="4" w16cid:durableId="569996677">
    <w:abstractNumId w:val="3"/>
  </w:num>
  <w:num w:numId="5" w16cid:durableId="807014924">
    <w:abstractNumId w:val="0"/>
  </w:num>
  <w:num w:numId="6" w16cid:durableId="310985182">
    <w:abstractNumId w:val="5"/>
  </w:num>
  <w:num w:numId="7" w16cid:durableId="492061559">
    <w:abstractNumId w:val="12"/>
  </w:num>
  <w:num w:numId="8" w16cid:durableId="2063743978">
    <w:abstractNumId w:val="2"/>
  </w:num>
  <w:num w:numId="9" w16cid:durableId="1378703109">
    <w:abstractNumId w:val="10"/>
  </w:num>
  <w:num w:numId="10" w16cid:durableId="632100844">
    <w:abstractNumId w:val="8"/>
  </w:num>
  <w:num w:numId="11" w16cid:durableId="1573200029">
    <w:abstractNumId w:val="7"/>
  </w:num>
  <w:num w:numId="12" w16cid:durableId="1587836858">
    <w:abstractNumId w:val="7"/>
    <w:lvlOverride w:ilvl="0">
      <w:startOverride w:val="1"/>
    </w:lvlOverride>
  </w:num>
  <w:num w:numId="13" w16cid:durableId="1548224532">
    <w:abstractNumId w:val="1"/>
  </w:num>
  <w:num w:numId="14" w16cid:durableId="50143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680977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4E4B"/>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0CF"/>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6F16"/>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4ECD"/>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26E"/>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7A1"/>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197"/>
    <w:rsid w:val="0053097A"/>
    <w:rsid w:val="005311E2"/>
    <w:rsid w:val="0053134F"/>
    <w:rsid w:val="0053154F"/>
    <w:rsid w:val="005315AA"/>
    <w:rsid w:val="005315CC"/>
    <w:rsid w:val="00533046"/>
    <w:rsid w:val="0053314F"/>
    <w:rsid w:val="00533CE4"/>
    <w:rsid w:val="005342C3"/>
    <w:rsid w:val="00534300"/>
    <w:rsid w:val="00534A52"/>
    <w:rsid w:val="00534E26"/>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267"/>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113"/>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5E"/>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7D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3CF"/>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0EC"/>
    <w:rsid w:val="009121C2"/>
    <w:rsid w:val="00912A82"/>
    <w:rsid w:val="00913079"/>
    <w:rsid w:val="009134CE"/>
    <w:rsid w:val="009140E6"/>
    <w:rsid w:val="009141A8"/>
    <w:rsid w:val="009142DD"/>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191"/>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07D2B"/>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C2A"/>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6E7E"/>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52A"/>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0F36"/>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character" w:customStyle="1" w:styleId="ui-provider">
    <w:name w:val="ui-provider"/>
    <w:basedOn w:val="DefaultParagraphFont"/>
    <w:rsid w:val="0093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F71C9"/>
    <w:rsid w:val="003C3A27"/>
    <w:rsid w:val="003E2607"/>
    <w:rsid w:val="004E4CF9"/>
    <w:rsid w:val="00747575"/>
    <w:rsid w:val="00813189"/>
    <w:rsid w:val="008222A0"/>
    <w:rsid w:val="00836D47"/>
    <w:rsid w:val="0087748B"/>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3.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6992b194-ece9-4b26-973e-e25c2ee2cdcd"/>
    <ds:schemaRef ds:uri="http://schemas.openxmlformats.org/package/2006/metadata/core-properties"/>
    <ds:schemaRef ds:uri="http://purl.org/dc/elements/1.1/"/>
    <ds:schemaRef ds:uri="http://www.w3.org/XML/1998/namespace"/>
    <ds:schemaRef ds:uri="d0fb0f98-34f9-4d57-9559-eb8efd17aa5e"/>
    <ds:schemaRef ds:uri="http://purl.org/dc/dcmitype/"/>
  </ds:schemaRefs>
</ds:datastoreItem>
</file>

<file path=customXml/itemProps3.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4175</Words>
  <Characters>23798</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Indra, Vanaja</cp:lastModifiedBy>
  <cp:revision>8</cp:revision>
  <cp:lastPrinted>2023-09-09T09:53:00Z</cp:lastPrinted>
  <dcterms:created xsi:type="dcterms:W3CDTF">2024-08-06T09:08:00Z</dcterms:created>
  <dcterms:modified xsi:type="dcterms:W3CDTF">2024-08-07T10:05:00Z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