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1EF7FE" w14:textId="05BFA884" w:rsidR="66107C87" w:rsidRPr="00E566A8" w:rsidRDefault="7C53680C" w:rsidP="3FE99FEE">
      <w:pPr>
        <w:spacing w:after="250" w:line="276" w:lineRule="auto"/>
        <w:jc w:val="both"/>
        <w:rPr>
          <w:rFonts w:ascii="Arial" w:eastAsia="MS PGothic" w:hAnsi="Arial" w:cs="Arial"/>
          <w:b/>
          <w:bCs/>
          <w:color w:val="181818"/>
          <w:lang w:val="fr-LU"/>
        </w:rPr>
      </w:pPr>
      <w:r w:rsidRPr="00E566A8">
        <w:rPr>
          <w:rFonts w:ascii="Arial" w:eastAsia="MS PGothic" w:hAnsi="Arial" w:cs="Arial"/>
          <w:b/>
          <w:bCs/>
          <w:color w:val="181818"/>
          <w:lang w:val="fr-LU"/>
        </w:rPr>
        <w:t xml:space="preserve">Annex </w:t>
      </w:r>
      <w:r w:rsidR="2A636CE1" w:rsidRPr="00E566A8">
        <w:rPr>
          <w:rFonts w:ascii="Arial" w:eastAsia="MS PGothic" w:hAnsi="Arial" w:cs="Arial"/>
          <w:b/>
          <w:bCs/>
          <w:color w:val="181818"/>
          <w:lang w:val="fr-LU"/>
        </w:rPr>
        <w:t xml:space="preserve">– </w:t>
      </w:r>
      <w:r w:rsidR="002F58FB" w:rsidRPr="00E566A8">
        <w:rPr>
          <w:rFonts w:ascii="Arial" w:eastAsia="MS PGothic" w:hAnsi="Arial" w:cs="Arial"/>
          <w:b/>
          <w:bCs/>
          <w:color w:val="181818"/>
          <w:lang w:val="fr-LU"/>
        </w:rPr>
        <w:t>Question 20</w:t>
      </w:r>
      <w:r w:rsidR="00394809" w:rsidRPr="00E566A8">
        <w:rPr>
          <w:rFonts w:ascii="Arial" w:eastAsia="MS PGothic" w:hAnsi="Arial" w:cs="Arial"/>
          <w:b/>
          <w:bCs/>
          <w:color w:val="181818"/>
          <w:lang w:val="fr-LU"/>
        </w:rPr>
        <w:t>.</w:t>
      </w:r>
      <w:r w:rsidR="002D58CD" w:rsidRPr="00E566A8">
        <w:rPr>
          <w:rFonts w:ascii="Arial" w:eastAsia="MS PGothic" w:hAnsi="Arial" w:cs="Arial"/>
          <w:b/>
          <w:bCs/>
          <w:color w:val="181818"/>
          <w:lang w:val="fr-LU"/>
        </w:rPr>
        <w:t xml:space="preserve"> </w:t>
      </w:r>
      <w:r w:rsidR="00394809" w:rsidRPr="00E566A8">
        <w:rPr>
          <w:rFonts w:ascii="Arial" w:eastAsia="MS PGothic" w:hAnsi="Arial" w:cs="Arial"/>
          <w:b/>
          <w:bCs/>
          <w:color w:val="181818"/>
          <w:lang w:val="fr-LU"/>
        </w:rPr>
        <w:t>T</w:t>
      </w:r>
      <w:r w:rsidR="002D58CD" w:rsidRPr="00E566A8">
        <w:rPr>
          <w:rFonts w:ascii="Arial" w:eastAsia="MS PGothic" w:hAnsi="Arial" w:cs="Arial"/>
          <w:b/>
          <w:bCs/>
          <w:color w:val="181818"/>
          <w:lang w:val="fr-LU"/>
        </w:rPr>
        <w:t xml:space="preserve">able on </w:t>
      </w:r>
      <w:r w:rsidR="0048151A" w:rsidRPr="00E566A8">
        <w:rPr>
          <w:rFonts w:ascii="Arial" w:eastAsia="MS PGothic" w:hAnsi="Arial" w:cs="Arial"/>
          <w:b/>
          <w:bCs/>
          <w:color w:val="181818"/>
          <w:lang w:val="fr-LU"/>
        </w:rPr>
        <w:t xml:space="preserve">eligible assets </w:t>
      </w:r>
      <w:r w:rsidR="002F58FB" w:rsidRPr="00E566A8">
        <w:rPr>
          <w:rFonts w:ascii="Arial" w:eastAsia="MS PGothic" w:hAnsi="Arial" w:cs="Arial"/>
          <w:b/>
          <w:bCs/>
          <w:color w:val="181818"/>
          <w:lang w:val="fr-LU"/>
        </w:rPr>
        <w:t>UCITS EAD</w:t>
      </w:r>
      <w:r w:rsidR="53D130EB" w:rsidRPr="00E566A8">
        <w:rPr>
          <w:rFonts w:ascii="Arial" w:eastAsia="MS PGothic" w:hAnsi="Arial" w:cs="Arial"/>
          <w:b/>
          <w:bCs/>
          <w:color w:val="181818"/>
          <w:lang w:val="fr-LU"/>
        </w:rPr>
        <w:t xml:space="preserve">. </w:t>
      </w:r>
    </w:p>
    <w:p w14:paraId="10145F69" w14:textId="4B8E6890" w:rsidR="00554F00" w:rsidRDefault="002F58FB" w:rsidP="3FE99FEE">
      <w:pPr>
        <w:spacing w:after="250" w:line="276" w:lineRule="auto"/>
        <w:jc w:val="both"/>
        <w:rPr>
          <w:rFonts w:ascii="Arial" w:eastAsia="MS PGothic" w:hAnsi="Arial" w:cs="Arial"/>
          <w:color w:val="181818"/>
        </w:rPr>
      </w:pPr>
      <w:r w:rsidRPr="002F58FB">
        <w:rPr>
          <w:rFonts w:ascii="Arial" w:eastAsia="MS PGothic" w:hAnsi="Arial" w:cs="Arial"/>
          <w:color w:val="181818"/>
          <w:szCs w:val="20"/>
        </w:rPr>
        <w:t xml:space="preserve">For the purposes of Question 20, please </w:t>
      </w:r>
      <w:r w:rsidR="00A87C58">
        <w:rPr>
          <w:rFonts w:ascii="Arial" w:eastAsia="MS PGothic" w:hAnsi="Arial" w:cs="Arial"/>
          <w:color w:val="181818"/>
          <w:szCs w:val="20"/>
        </w:rPr>
        <w:t>complete</w:t>
      </w:r>
      <w:r w:rsidRPr="002F58FB">
        <w:rPr>
          <w:rFonts w:ascii="Arial" w:eastAsia="MS PGothic" w:hAnsi="Arial" w:cs="Arial"/>
          <w:color w:val="181818"/>
          <w:szCs w:val="20"/>
        </w:rPr>
        <w:t xml:space="preserve"> the table </w:t>
      </w:r>
      <w:r w:rsidR="006C47BC">
        <w:rPr>
          <w:rFonts w:ascii="Arial" w:eastAsia="MS PGothic" w:hAnsi="Arial" w:cs="Arial"/>
          <w:color w:val="181818"/>
          <w:szCs w:val="20"/>
        </w:rPr>
        <w:t>below</w:t>
      </w:r>
      <w:r w:rsidRPr="002F58FB">
        <w:rPr>
          <w:rFonts w:ascii="Arial" w:eastAsia="MS PGothic" w:hAnsi="Arial" w:cs="Arial"/>
          <w:color w:val="181818"/>
          <w:szCs w:val="20"/>
        </w:rPr>
        <w:t xml:space="preserve"> with the requested information</w:t>
      </w:r>
      <w:r w:rsidR="00F042E8">
        <w:rPr>
          <w:rFonts w:ascii="Arial" w:eastAsia="MS PGothic" w:hAnsi="Arial" w:cs="Arial"/>
          <w:color w:val="181818"/>
          <w:szCs w:val="20"/>
        </w:rPr>
        <w:t xml:space="preserve">, </w:t>
      </w:r>
      <w:proofErr w:type="gramStart"/>
      <w:r w:rsidR="00F042E8">
        <w:rPr>
          <w:rFonts w:ascii="Arial" w:eastAsia="MS PGothic" w:hAnsi="Arial" w:cs="Arial"/>
          <w:color w:val="181818"/>
          <w:szCs w:val="20"/>
        </w:rPr>
        <w:t>taking into account</w:t>
      </w:r>
      <w:proofErr w:type="gramEnd"/>
      <w:r w:rsidR="00F042E8">
        <w:rPr>
          <w:rFonts w:ascii="Arial" w:eastAsia="MS PGothic" w:hAnsi="Arial" w:cs="Arial"/>
          <w:color w:val="181818"/>
          <w:szCs w:val="20"/>
        </w:rPr>
        <w:t xml:space="preserve"> the instructions </w:t>
      </w:r>
      <w:r w:rsidR="00FB3EA8">
        <w:rPr>
          <w:rFonts w:ascii="Arial" w:eastAsia="MS PGothic" w:hAnsi="Arial" w:cs="Arial"/>
          <w:color w:val="181818"/>
          <w:szCs w:val="20"/>
        </w:rPr>
        <w:t xml:space="preserve">provided in </w:t>
      </w:r>
      <w:r w:rsidR="006B7B4A">
        <w:rPr>
          <w:rFonts w:ascii="Arial" w:eastAsia="MS PGothic" w:hAnsi="Arial" w:cs="Arial"/>
          <w:color w:val="181818"/>
          <w:szCs w:val="20"/>
        </w:rPr>
        <w:t>the footnotes</w:t>
      </w:r>
      <w:r w:rsidRPr="002F58FB">
        <w:rPr>
          <w:rFonts w:ascii="Arial" w:eastAsia="MS PGothic" w:hAnsi="Arial" w:cs="Arial"/>
          <w:color w:val="181818"/>
          <w:szCs w:val="20"/>
        </w:rPr>
        <w:t xml:space="preserve">. After </w:t>
      </w:r>
      <w:r w:rsidR="003D2C3C">
        <w:rPr>
          <w:rFonts w:ascii="Arial" w:eastAsia="MS PGothic" w:hAnsi="Arial" w:cs="Arial"/>
          <w:color w:val="181818"/>
          <w:szCs w:val="20"/>
        </w:rPr>
        <w:t>having</w:t>
      </w:r>
      <w:r w:rsidRPr="002F58FB">
        <w:rPr>
          <w:rFonts w:ascii="Arial" w:eastAsia="MS PGothic" w:hAnsi="Arial" w:cs="Arial"/>
          <w:color w:val="181818"/>
          <w:szCs w:val="20"/>
        </w:rPr>
        <w:t xml:space="preserve"> </w:t>
      </w:r>
      <w:r w:rsidR="00F042E8">
        <w:rPr>
          <w:rFonts w:ascii="Arial" w:eastAsia="MS PGothic" w:hAnsi="Arial" w:cs="Arial"/>
          <w:color w:val="181818"/>
          <w:szCs w:val="20"/>
        </w:rPr>
        <w:t xml:space="preserve">completed </w:t>
      </w:r>
      <w:r w:rsidRPr="002F58FB">
        <w:rPr>
          <w:rFonts w:ascii="Arial" w:eastAsia="MS PGothic" w:hAnsi="Arial" w:cs="Arial"/>
          <w:color w:val="181818"/>
          <w:szCs w:val="20"/>
        </w:rPr>
        <w:t xml:space="preserve">the form, </w:t>
      </w:r>
      <w:r w:rsidR="00FD12FD">
        <w:rPr>
          <w:rFonts w:ascii="Arial" w:eastAsia="MS PGothic" w:hAnsi="Arial" w:cs="Arial"/>
          <w:color w:val="181818"/>
          <w:szCs w:val="20"/>
        </w:rPr>
        <w:t xml:space="preserve">please </w:t>
      </w:r>
      <w:r w:rsidRPr="002F58FB">
        <w:rPr>
          <w:rFonts w:ascii="Arial" w:eastAsia="MS PGothic" w:hAnsi="Arial" w:cs="Arial"/>
          <w:color w:val="181818"/>
          <w:szCs w:val="20"/>
        </w:rPr>
        <w:t xml:space="preserve">save the document </w:t>
      </w:r>
      <w:r w:rsidR="0040029B">
        <w:rPr>
          <w:rFonts w:ascii="Arial" w:eastAsia="MS PGothic" w:hAnsi="Arial" w:cs="Arial"/>
          <w:color w:val="181818"/>
          <w:szCs w:val="20"/>
        </w:rPr>
        <w:t>(</w:t>
      </w:r>
      <w:r w:rsidR="00FE6B1B">
        <w:rPr>
          <w:rFonts w:ascii="Arial" w:eastAsia="MS PGothic" w:hAnsi="Arial" w:cs="Arial"/>
          <w:color w:val="181818"/>
          <w:szCs w:val="20"/>
        </w:rPr>
        <w:t>according to the following convention:</w:t>
      </w:r>
      <w:r w:rsidRPr="002F58FB">
        <w:rPr>
          <w:rFonts w:ascii="Arial" w:eastAsia="MS PGothic" w:hAnsi="Arial" w:cs="Arial"/>
          <w:color w:val="181818"/>
          <w:szCs w:val="20"/>
        </w:rPr>
        <w:t xml:space="preserve"> </w:t>
      </w:r>
      <w:r w:rsidR="00FE6B1B">
        <w:rPr>
          <w:rFonts w:ascii="Arial" w:eastAsia="MS PGothic" w:hAnsi="Arial" w:cs="Arial"/>
          <w:color w:val="181818"/>
          <w:szCs w:val="20"/>
        </w:rPr>
        <w:t>“</w:t>
      </w:r>
      <w:r w:rsidRPr="002F58FB">
        <w:rPr>
          <w:rFonts w:ascii="Arial" w:eastAsia="MS PGothic" w:hAnsi="Arial" w:cs="Arial"/>
          <w:color w:val="181818"/>
          <w:szCs w:val="20"/>
        </w:rPr>
        <w:t>ESMA_</w:t>
      </w:r>
      <w:r w:rsidR="00915CEE">
        <w:rPr>
          <w:rFonts w:ascii="Arial" w:eastAsia="MS PGothic" w:hAnsi="Arial" w:cs="Arial"/>
          <w:color w:val="181818"/>
          <w:szCs w:val="20"/>
        </w:rPr>
        <w:t>Q20</w:t>
      </w:r>
      <w:r w:rsidRPr="002F58FB">
        <w:rPr>
          <w:rFonts w:ascii="Arial" w:eastAsia="MS PGothic" w:hAnsi="Arial" w:cs="Arial"/>
          <w:color w:val="181818"/>
          <w:szCs w:val="20"/>
        </w:rPr>
        <w:t>_nameofrespondent</w:t>
      </w:r>
      <w:r w:rsidR="00915CEE">
        <w:rPr>
          <w:rFonts w:ascii="Arial" w:eastAsia="MS PGothic" w:hAnsi="Arial" w:cs="Arial"/>
          <w:color w:val="181818"/>
          <w:szCs w:val="20"/>
        </w:rPr>
        <w:t>”</w:t>
      </w:r>
      <w:r w:rsidR="0040029B">
        <w:rPr>
          <w:rFonts w:ascii="Arial" w:eastAsia="MS PGothic" w:hAnsi="Arial" w:cs="Arial"/>
          <w:color w:val="181818"/>
          <w:szCs w:val="20"/>
        </w:rPr>
        <w:t>)</w:t>
      </w:r>
      <w:r w:rsidRPr="002F58FB">
        <w:rPr>
          <w:rFonts w:ascii="Arial" w:eastAsia="MS PGothic" w:hAnsi="Arial" w:cs="Arial"/>
          <w:color w:val="181818"/>
          <w:szCs w:val="20"/>
        </w:rPr>
        <w:t xml:space="preserve"> and</w:t>
      </w:r>
      <w:r w:rsidR="0040029B">
        <w:rPr>
          <w:rFonts w:ascii="Arial" w:eastAsia="MS PGothic" w:hAnsi="Arial" w:cs="Arial"/>
          <w:color w:val="181818"/>
          <w:szCs w:val="20"/>
        </w:rPr>
        <w:t xml:space="preserve"> </w:t>
      </w:r>
      <w:r w:rsidR="0051598D">
        <w:rPr>
          <w:rFonts w:ascii="Arial" w:eastAsia="MS PGothic" w:hAnsi="Arial" w:cs="Arial"/>
          <w:color w:val="181818"/>
          <w:szCs w:val="20"/>
        </w:rPr>
        <w:t xml:space="preserve">upload </w:t>
      </w:r>
      <w:r w:rsidR="0040029B">
        <w:rPr>
          <w:rFonts w:ascii="Arial" w:eastAsia="MS PGothic" w:hAnsi="Arial" w:cs="Arial"/>
          <w:color w:val="181818"/>
          <w:szCs w:val="20"/>
        </w:rPr>
        <w:t>it</w:t>
      </w:r>
      <w:r w:rsidR="006C7811">
        <w:rPr>
          <w:rFonts w:ascii="Arial" w:eastAsia="MS PGothic" w:hAnsi="Arial" w:cs="Arial"/>
          <w:color w:val="181818"/>
          <w:szCs w:val="20"/>
        </w:rPr>
        <w:t xml:space="preserve"> </w:t>
      </w:r>
      <w:r w:rsidR="005A6BF0" w:rsidRPr="005A6BF0">
        <w:rPr>
          <w:rFonts w:ascii="Arial" w:eastAsia="MS PGothic" w:hAnsi="Arial" w:cs="Arial"/>
          <w:bCs/>
          <w:color w:val="181818"/>
          <w:szCs w:val="20"/>
        </w:rPr>
        <w:t xml:space="preserve">online at </w:t>
      </w:r>
      <w:hyperlink r:id="rId10" w:history="1">
        <w:r w:rsidR="00901098" w:rsidRPr="00150222">
          <w:rPr>
            <w:rStyle w:val="Hyperlink"/>
            <w:rFonts w:ascii="Arial" w:eastAsia="MS PGothic" w:hAnsi="Arial" w:cs="Arial"/>
            <w:bCs/>
            <w:szCs w:val="20"/>
          </w:rPr>
          <w:t>https://www.esma.europa.eu/press-news/consultations/call-evidence-review-ucits-eligible-assets-directive</w:t>
        </w:r>
      </w:hyperlink>
      <w:r w:rsidR="00901098">
        <w:rPr>
          <w:rFonts w:ascii="Arial" w:eastAsia="MS PGothic" w:hAnsi="Arial" w:cs="Arial"/>
          <w:bCs/>
          <w:i/>
          <w:iCs/>
          <w:color w:val="181818"/>
          <w:szCs w:val="20"/>
        </w:rPr>
        <w:t xml:space="preserve"> </w:t>
      </w:r>
      <w:r w:rsidR="005A6BF0" w:rsidRPr="005A6BF0">
        <w:rPr>
          <w:rFonts w:ascii="Arial" w:eastAsia="MS PGothic" w:hAnsi="Arial" w:cs="Arial"/>
          <w:bCs/>
          <w:color w:val="181818"/>
          <w:szCs w:val="20"/>
        </w:rPr>
        <w:t xml:space="preserve">under the heading </w:t>
      </w:r>
      <w:r w:rsidR="005A6BF0" w:rsidRPr="005A6BF0">
        <w:rPr>
          <w:rFonts w:ascii="Arial" w:eastAsia="MS PGothic" w:hAnsi="Arial" w:cs="Arial"/>
          <w:bCs/>
          <w:i/>
          <w:iCs/>
          <w:color w:val="181818"/>
          <w:szCs w:val="20"/>
        </w:rPr>
        <w:t>‘Your input - Consultations’</w:t>
      </w:r>
      <w:r w:rsidR="005A6BF0">
        <w:rPr>
          <w:rFonts w:ascii="Arial" w:eastAsia="MS PGothic" w:hAnsi="Arial" w:cs="Arial"/>
          <w:bCs/>
          <w:color w:val="181818"/>
          <w:szCs w:val="20"/>
        </w:rPr>
        <w:t>, as an Annex to the Reply Form</w:t>
      </w:r>
      <w:r w:rsidR="0040029B">
        <w:rPr>
          <w:rFonts w:ascii="Arial" w:eastAsia="MS PGothic" w:hAnsi="Arial" w:cs="Arial"/>
          <w:color w:val="181818"/>
          <w:szCs w:val="20"/>
        </w:rPr>
        <w:t xml:space="preserve">. </w:t>
      </w:r>
      <w:r w:rsidR="008B6D19">
        <w:rPr>
          <w:rFonts w:ascii="Arial" w:eastAsia="MS PGothic" w:hAnsi="Arial" w:cs="Arial"/>
          <w:color w:val="181818"/>
          <w:szCs w:val="20"/>
        </w:rPr>
        <w:t xml:space="preserve">In case you upload a pdf file, please choose an editable form. </w:t>
      </w:r>
    </w:p>
    <w:tbl>
      <w:tblPr>
        <w:tblStyle w:val="Tablenone1"/>
        <w:tblW w:w="9320" w:type="dxa"/>
        <w:tblLook w:val="04A0" w:firstRow="1" w:lastRow="0" w:firstColumn="1" w:lastColumn="0" w:noHBand="0" w:noVBand="1"/>
      </w:tblPr>
      <w:tblGrid>
        <w:gridCol w:w="1943"/>
        <w:gridCol w:w="1764"/>
        <w:gridCol w:w="2006"/>
        <w:gridCol w:w="1962"/>
        <w:gridCol w:w="1645"/>
      </w:tblGrid>
      <w:tr w:rsidR="00B33432" w:rsidRPr="00B33432" w14:paraId="42644C63" w14:textId="77777777" w:rsidTr="00331CF0">
        <w:tc>
          <w:tcPr>
            <w:tcW w:w="1992" w:type="dxa"/>
          </w:tcPr>
          <w:p w14:paraId="0268D242" w14:textId="77777777" w:rsidR="00B33432" w:rsidRPr="00B33432" w:rsidRDefault="00B33432" w:rsidP="00B33432">
            <w:pPr>
              <w:spacing w:after="250" w:line="276" w:lineRule="auto"/>
              <w:jc w:val="center"/>
              <w:rPr>
                <w:rFonts w:ascii="Arial" w:hAnsi="Arial" w:cs="Arial"/>
                <w:b/>
                <w:bCs/>
                <w:color w:val="181818"/>
              </w:rPr>
            </w:pPr>
            <w:r w:rsidRPr="00B33432">
              <w:rPr>
                <w:rFonts w:ascii="Arial" w:hAnsi="Arial" w:cs="Arial"/>
                <w:b/>
                <w:bCs/>
                <w:color w:val="181818"/>
              </w:rPr>
              <w:t>Asset class</w:t>
            </w:r>
            <w:r w:rsidRPr="00B33432">
              <w:rPr>
                <w:rFonts w:ascii="Arial" w:hAnsi="Arial" w:cs="Arial"/>
                <w:b/>
                <w:bCs/>
                <w:color w:val="181818"/>
                <w:sz w:val="16"/>
                <w:vertAlign w:val="superscript"/>
              </w:rPr>
              <w:footnoteReference w:id="2"/>
            </w:r>
          </w:p>
        </w:tc>
        <w:tc>
          <w:tcPr>
            <w:tcW w:w="1663" w:type="dxa"/>
          </w:tcPr>
          <w:p w14:paraId="60F87FED" w14:textId="77777777" w:rsidR="00B33432" w:rsidRPr="00B33432" w:rsidRDefault="00B33432" w:rsidP="00B33432">
            <w:pPr>
              <w:spacing w:after="250" w:line="276" w:lineRule="auto"/>
              <w:jc w:val="center"/>
              <w:rPr>
                <w:rFonts w:ascii="Arial" w:hAnsi="Arial" w:cs="Arial"/>
                <w:b/>
                <w:bCs/>
                <w:color w:val="181818"/>
              </w:rPr>
            </w:pPr>
            <w:r w:rsidRPr="00B33432">
              <w:rPr>
                <w:rFonts w:ascii="Arial" w:hAnsi="Arial" w:cs="Arial"/>
                <w:b/>
                <w:bCs/>
                <w:color w:val="181818"/>
              </w:rPr>
              <w:t>Merits of allowing direct UCITS exposures</w:t>
            </w:r>
          </w:p>
        </w:tc>
        <w:tc>
          <w:tcPr>
            <w:tcW w:w="2006" w:type="dxa"/>
          </w:tcPr>
          <w:p w14:paraId="49FEA0C2" w14:textId="77777777" w:rsidR="00B33432" w:rsidRPr="00B33432" w:rsidRDefault="00B33432" w:rsidP="00B33432">
            <w:pPr>
              <w:spacing w:after="250" w:line="276" w:lineRule="auto"/>
              <w:jc w:val="center"/>
              <w:rPr>
                <w:rFonts w:ascii="Arial" w:hAnsi="Arial" w:cs="Arial"/>
                <w:b/>
                <w:bCs/>
                <w:color w:val="181818"/>
              </w:rPr>
            </w:pPr>
            <w:r w:rsidRPr="00B33432">
              <w:rPr>
                <w:rFonts w:ascii="Arial" w:hAnsi="Arial" w:cs="Arial"/>
                <w:b/>
                <w:bCs/>
                <w:color w:val="181818"/>
              </w:rPr>
              <w:t xml:space="preserve">Merits of allowing </w:t>
            </w:r>
            <w:r w:rsidRPr="00B33432">
              <w:rPr>
                <w:rFonts w:ascii="Arial" w:hAnsi="Arial" w:cs="Arial"/>
                <w:b/>
                <w:i/>
                <w:color w:val="181818"/>
              </w:rPr>
              <w:t>indirect</w:t>
            </w:r>
            <w:r w:rsidRPr="00B33432">
              <w:rPr>
                <w:rFonts w:ascii="Arial" w:hAnsi="Arial" w:cs="Arial"/>
                <w:b/>
                <w:bCs/>
                <w:color w:val="181818"/>
              </w:rPr>
              <w:t xml:space="preserve"> UCITS exposures</w:t>
            </w:r>
            <w:r w:rsidRPr="00B33432">
              <w:rPr>
                <w:rFonts w:ascii="Arial" w:hAnsi="Arial" w:cs="Arial"/>
                <w:b/>
                <w:bCs/>
                <w:color w:val="181818"/>
                <w:sz w:val="16"/>
                <w:vertAlign w:val="superscript"/>
              </w:rPr>
              <w:footnoteReference w:id="3"/>
            </w:r>
          </w:p>
        </w:tc>
        <w:tc>
          <w:tcPr>
            <w:tcW w:w="1994" w:type="dxa"/>
          </w:tcPr>
          <w:p w14:paraId="5668F975" w14:textId="77777777" w:rsidR="00B33432" w:rsidRPr="00B33432" w:rsidRDefault="00B33432" w:rsidP="00B33432">
            <w:pPr>
              <w:spacing w:after="250" w:line="276" w:lineRule="auto"/>
              <w:jc w:val="center"/>
              <w:rPr>
                <w:rFonts w:ascii="Arial" w:hAnsi="Arial" w:cs="Arial"/>
                <w:b/>
                <w:bCs/>
                <w:color w:val="181818"/>
              </w:rPr>
            </w:pPr>
            <w:r w:rsidRPr="00B33432">
              <w:rPr>
                <w:rFonts w:ascii="Arial" w:hAnsi="Arial" w:cs="Arial"/>
                <w:b/>
                <w:bCs/>
                <w:color w:val="181818"/>
              </w:rPr>
              <w:t>Extent/amount of existing UCITS exposures</w:t>
            </w:r>
            <w:r w:rsidRPr="00B33432">
              <w:rPr>
                <w:rFonts w:ascii="Arial" w:hAnsi="Arial" w:cs="Arial"/>
                <w:b/>
                <w:bCs/>
                <w:color w:val="181818"/>
                <w:sz w:val="16"/>
                <w:vertAlign w:val="superscript"/>
              </w:rPr>
              <w:footnoteReference w:id="4"/>
            </w:r>
            <w:r w:rsidRPr="00B33432">
              <w:rPr>
                <w:rFonts w:ascii="Arial" w:hAnsi="Arial" w:cs="Arial"/>
                <w:b/>
                <w:bCs/>
                <w:color w:val="181818"/>
              </w:rPr>
              <w:t xml:space="preserve"> </w:t>
            </w:r>
          </w:p>
        </w:tc>
        <w:tc>
          <w:tcPr>
            <w:tcW w:w="1665" w:type="dxa"/>
          </w:tcPr>
          <w:p w14:paraId="50147042" w14:textId="77777777" w:rsidR="00B33432" w:rsidRPr="00B33432" w:rsidRDefault="00B33432" w:rsidP="00B33432">
            <w:pPr>
              <w:spacing w:after="250" w:line="276" w:lineRule="auto"/>
              <w:jc w:val="center"/>
              <w:rPr>
                <w:rFonts w:ascii="Arial" w:hAnsi="Arial" w:cs="Arial"/>
                <w:b/>
                <w:bCs/>
                <w:color w:val="181818"/>
              </w:rPr>
            </w:pPr>
            <w:r w:rsidRPr="00B33432">
              <w:rPr>
                <w:rFonts w:ascii="Arial" w:hAnsi="Arial" w:cs="Arial"/>
                <w:b/>
                <w:bCs/>
                <w:color w:val="181818"/>
              </w:rPr>
              <w:t>Additional comments</w:t>
            </w:r>
            <w:r w:rsidRPr="00B33432">
              <w:rPr>
                <w:rFonts w:ascii="Arial" w:hAnsi="Arial" w:cs="Arial"/>
                <w:b/>
                <w:bCs/>
                <w:vertAlign w:val="superscript"/>
              </w:rPr>
              <w:footnoteReference w:id="5"/>
            </w:r>
          </w:p>
        </w:tc>
      </w:tr>
      <w:tr w:rsidR="003D3746" w:rsidRPr="00B33432" w14:paraId="52801425" w14:textId="77777777" w:rsidTr="00331CF0">
        <w:tc>
          <w:tcPr>
            <w:tcW w:w="1992" w:type="dxa"/>
          </w:tcPr>
          <w:p w14:paraId="06FDDDF6" w14:textId="77777777" w:rsidR="003D3746" w:rsidRPr="00B33432" w:rsidRDefault="003D3746" w:rsidP="003D3746">
            <w:pPr>
              <w:spacing w:after="250" w:line="276" w:lineRule="auto"/>
              <w:rPr>
                <w:rFonts w:ascii="Arial" w:hAnsi="Arial" w:cs="Arial"/>
                <w:color w:val="181818"/>
              </w:rPr>
            </w:pPr>
            <w:r w:rsidRPr="00B33432">
              <w:rPr>
                <w:rFonts w:ascii="Arial" w:hAnsi="Arial" w:cs="Arial"/>
              </w:rPr>
              <w:t>1. Loans</w:t>
            </w:r>
            <w:r w:rsidRPr="00B33432">
              <w:rPr>
                <w:rFonts w:ascii="Arial" w:hAnsi="Arial" w:cs="Arial"/>
                <w:sz w:val="16"/>
                <w:vertAlign w:val="superscript"/>
              </w:rPr>
              <w:footnoteReference w:id="6"/>
            </w:r>
          </w:p>
        </w:tc>
        <w:tc>
          <w:tcPr>
            <w:tcW w:w="1663" w:type="dxa"/>
          </w:tcPr>
          <w:p w14:paraId="6516085B" w14:textId="77777777" w:rsidR="003D3746" w:rsidRPr="00B30867" w:rsidRDefault="003D3746" w:rsidP="003D3746">
            <w:pPr>
              <w:spacing w:after="200" w:line="276" w:lineRule="auto"/>
              <w:jc w:val="both"/>
              <w:rPr>
                <w:rFonts w:ascii="Segoe UI" w:hAnsi="Segoe UI" w:cs="Segoe UI"/>
              </w:rPr>
            </w:pPr>
            <w:r w:rsidRPr="00B30867">
              <w:rPr>
                <w:rFonts w:ascii="Segoe UI" w:hAnsi="Segoe UI" w:cs="Segoe UI"/>
              </w:rPr>
              <w:t xml:space="preserve">Some promoters have raised that a discussion on the eligibility of bank loans for UCITS would be welcome and helpful, as these are still considered as eligible in </w:t>
            </w:r>
            <w:r>
              <w:rPr>
                <w:rFonts w:ascii="Segoe UI" w:hAnsi="Segoe UI" w:cs="Segoe UI"/>
              </w:rPr>
              <w:t>certain jurisdictions</w:t>
            </w:r>
            <w:r w:rsidRPr="00B30867">
              <w:rPr>
                <w:rFonts w:ascii="Segoe UI" w:hAnsi="Segoe UI" w:cs="Segoe UI"/>
              </w:rPr>
              <w:t xml:space="preserve">, provided they qualify as </w:t>
            </w:r>
            <w:r w:rsidRPr="00B30867">
              <w:rPr>
                <w:rFonts w:ascii="Segoe UI" w:hAnsi="Segoe UI" w:cs="Segoe UI"/>
              </w:rPr>
              <w:lastRenderedPageBreak/>
              <w:t>transferable securities.</w:t>
            </w:r>
          </w:p>
          <w:p w14:paraId="194B7D7A" w14:textId="77777777" w:rsidR="003D3746" w:rsidRPr="00B30867" w:rsidRDefault="003D3746" w:rsidP="003D3746">
            <w:pPr>
              <w:spacing w:after="200" w:line="276" w:lineRule="auto"/>
              <w:jc w:val="both"/>
              <w:rPr>
                <w:rFonts w:ascii="Segoe UI" w:hAnsi="Segoe UI" w:cs="Segoe UI"/>
              </w:rPr>
            </w:pPr>
            <w:r w:rsidRPr="00B30867">
              <w:rPr>
                <w:rFonts w:ascii="Segoe UI" w:hAnsi="Segoe UI" w:cs="Segoe UI"/>
              </w:rPr>
              <w:t xml:space="preserve">The review of the Eligible Assets Directive </w:t>
            </w:r>
            <w:r>
              <w:rPr>
                <w:rFonts w:ascii="Segoe UI" w:hAnsi="Segoe UI" w:cs="Segoe UI"/>
              </w:rPr>
              <w:t>is</w:t>
            </w:r>
            <w:r w:rsidRPr="00B30867">
              <w:rPr>
                <w:rFonts w:ascii="Segoe UI" w:hAnsi="Segoe UI" w:cs="Segoe UI"/>
              </w:rPr>
              <w:t xml:space="preserve"> indeed a good opportunity to implement a European level playing field on this question.</w:t>
            </w:r>
          </w:p>
          <w:p w14:paraId="001972D0" w14:textId="77777777" w:rsidR="003D3746" w:rsidRDefault="003D3746" w:rsidP="003D3746">
            <w:pPr>
              <w:spacing w:after="200" w:line="276" w:lineRule="auto"/>
              <w:jc w:val="both"/>
              <w:rPr>
                <w:rFonts w:ascii="Segoe UI" w:hAnsi="Segoe UI" w:cs="Segoe UI"/>
              </w:rPr>
            </w:pPr>
            <w:r>
              <w:rPr>
                <w:rFonts w:ascii="Segoe UI" w:hAnsi="Segoe UI" w:cs="Segoe UI"/>
              </w:rPr>
              <w:t>T</w:t>
            </w:r>
            <w:r w:rsidRPr="00B30867">
              <w:rPr>
                <w:rFonts w:ascii="Segoe UI" w:hAnsi="Segoe UI" w:cs="Segoe UI"/>
              </w:rPr>
              <w:t xml:space="preserve">o manage risks associated with investments in bank loans, we are of the view that it would be appropriate to allow UCITS to invest in bank loans, subject to a predetermined maximum limit (e.g. 20% of the </w:t>
            </w:r>
            <w:proofErr w:type="gramStart"/>
            <w:r w:rsidRPr="00B30867">
              <w:rPr>
                <w:rFonts w:ascii="Segoe UI" w:hAnsi="Segoe UI" w:cs="Segoe UI"/>
              </w:rPr>
              <w:t>UCITS assets</w:t>
            </w:r>
            <w:proofErr w:type="gramEnd"/>
            <w:r w:rsidRPr="00B30867">
              <w:rPr>
                <w:rFonts w:ascii="Segoe UI" w:hAnsi="Segoe UI" w:cs="Segoe UI"/>
              </w:rPr>
              <w:t xml:space="preserve">). Eligible loans can be restricted to the most liquid part of the market as well as high level loan specific settlement requirements. It is worth noting that the bank loans market, in particular those loans forming the broadly syndicated loan </w:t>
            </w:r>
            <w:r w:rsidRPr="00B30867">
              <w:rPr>
                <w:rFonts w:ascii="Segoe UI" w:hAnsi="Segoe UI" w:cs="Segoe UI"/>
              </w:rPr>
              <w:lastRenderedPageBreak/>
              <w:t>market, exhibits features that are very similar to the corporate high yield market. Indeed, the borrowers of these loans are generally the same names issuing bonds in the corporate high yield market and are made through syndicates of large internationally recognized banks. The market has deep liquidity</w:t>
            </w:r>
            <w:r>
              <w:rPr>
                <w:rFonts w:ascii="Segoe UI" w:hAnsi="Segoe UI" w:cs="Segoe UI"/>
              </w:rPr>
              <w:t>. Investor protection related concerns, such as the</w:t>
            </w:r>
            <w:r w:rsidRPr="00B30867">
              <w:rPr>
                <w:rFonts w:ascii="Segoe UI" w:hAnsi="Segoe UI" w:cs="Segoe UI"/>
              </w:rPr>
              <w:t xml:space="preserve"> lengthy settlement</w:t>
            </w:r>
            <w:r>
              <w:rPr>
                <w:rFonts w:ascii="Segoe UI" w:hAnsi="Segoe UI" w:cs="Segoe UI"/>
              </w:rPr>
              <w:t>,</w:t>
            </w:r>
            <w:r w:rsidRPr="00B30867">
              <w:rPr>
                <w:rFonts w:ascii="Segoe UI" w:hAnsi="Segoe UI" w:cs="Segoe UI"/>
              </w:rPr>
              <w:t xml:space="preserve"> could be managed via </w:t>
            </w:r>
            <w:r>
              <w:rPr>
                <w:rFonts w:ascii="Segoe UI" w:hAnsi="Segoe UI" w:cs="Segoe UI"/>
              </w:rPr>
              <w:t>e.g. allowing those exposures under the 10% bucket, possible redemptions twice per month or prior notice.</w:t>
            </w:r>
          </w:p>
          <w:p w14:paraId="672A6659" w14:textId="6B563F98" w:rsidR="003D3746" w:rsidRPr="00B33432" w:rsidRDefault="003D3746" w:rsidP="003D3746">
            <w:pPr>
              <w:spacing w:after="250" w:line="276" w:lineRule="auto"/>
              <w:jc w:val="both"/>
              <w:rPr>
                <w:rFonts w:ascii="Arial" w:hAnsi="Arial" w:cs="Arial"/>
                <w:color w:val="181818"/>
              </w:rPr>
            </w:pPr>
            <w:r>
              <w:rPr>
                <w:rFonts w:ascii="Segoe UI" w:hAnsi="Segoe UI" w:cs="Segoe UI"/>
              </w:rPr>
              <w:t xml:space="preserve">We would like to point out in addition that any national divergence, not only in the </w:t>
            </w:r>
            <w:r>
              <w:rPr>
                <w:rFonts w:ascii="Segoe UI" w:hAnsi="Segoe UI" w:cs="Segoe UI"/>
              </w:rPr>
              <w:lastRenderedPageBreak/>
              <w:t>treatment of loans as eligible assets, but also other asset classes in general, can weaken the position of UCITS as a strong cross-border product as a whole. Any amendments to the UCITS EAD should therefore be performed in light of harmonization.</w:t>
            </w:r>
          </w:p>
        </w:tc>
        <w:tc>
          <w:tcPr>
            <w:tcW w:w="2006" w:type="dxa"/>
          </w:tcPr>
          <w:p w14:paraId="0A37501D" w14:textId="77777777" w:rsidR="003D3746" w:rsidRPr="00B33432" w:rsidRDefault="003D3746" w:rsidP="003D3746">
            <w:pPr>
              <w:spacing w:after="250" w:line="276" w:lineRule="auto"/>
              <w:jc w:val="both"/>
              <w:rPr>
                <w:rFonts w:ascii="Arial" w:hAnsi="Arial" w:cs="Arial"/>
                <w:color w:val="181818"/>
              </w:rPr>
            </w:pPr>
          </w:p>
        </w:tc>
        <w:tc>
          <w:tcPr>
            <w:tcW w:w="1994" w:type="dxa"/>
          </w:tcPr>
          <w:p w14:paraId="5DAB6C7B" w14:textId="77777777" w:rsidR="003D3746" w:rsidRPr="00B33432" w:rsidRDefault="003D3746" w:rsidP="003D3746">
            <w:pPr>
              <w:spacing w:after="250" w:line="276" w:lineRule="auto"/>
              <w:jc w:val="both"/>
              <w:rPr>
                <w:rFonts w:ascii="Arial" w:hAnsi="Arial" w:cs="Arial"/>
                <w:color w:val="181818"/>
              </w:rPr>
            </w:pPr>
          </w:p>
        </w:tc>
        <w:tc>
          <w:tcPr>
            <w:tcW w:w="1665" w:type="dxa"/>
          </w:tcPr>
          <w:p w14:paraId="02EB378F" w14:textId="77777777" w:rsidR="003D3746" w:rsidRPr="00B33432" w:rsidRDefault="003D3746" w:rsidP="003D3746">
            <w:pPr>
              <w:spacing w:after="250" w:line="276" w:lineRule="auto"/>
              <w:jc w:val="both"/>
              <w:rPr>
                <w:rFonts w:ascii="Arial" w:hAnsi="Arial" w:cs="Arial"/>
                <w:color w:val="181818"/>
              </w:rPr>
            </w:pPr>
          </w:p>
        </w:tc>
      </w:tr>
      <w:tr w:rsidR="00697363" w:rsidRPr="00B33432" w14:paraId="131FC414" w14:textId="77777777" w:rsidTr="00331CF0">
        <w:tc>
          <w:tcPr>
            <w:tcW w:w="1992" w:type="dxa"/>
          </w:tcPr>
          <w:p w14:paraId="55346258" w14:textId="77777777" w:rsidR="00697363" w:rsidRPr="00B33432" w:rsidRDefault="00697363" w:rsidP="00697363">
            <w:pPr>
              <w:spacing w:after="250" w:line="276" w:lineRule="auto"/>
              <w:rPr>
                <w:rFonts w:ascii="Arial" w:hAnsi="Arial" w:cs="Arial"/>
              </w:rPr>
            </w:pPr>
            <w:r w:rsidRPr="00B33432">
              <w:rPr>
                <w:rFonts w:ascii="Arial" w:hAnsi="Arial" w:cs="Arial"/>
              </w:rPr>
              <w:lastRenderedPageBreak/>
              <w:t>2. Catastrophe bonds (‘Cat bonds’)</w:t>
            </w:r>
          </w:p>
        </w:tc>
        <w:tc>
          <w:tcPr>
            <w:tcW w:w="1663" w:type="dxa"/>
          </w:tcPr>
          <w:p w14:paraId="49D42BC2" w14:textId="77777777" w:rsidR="00697363" w:rsidRPr="006C18D7" w:rsidRDefault="00697363" w:rsidP="00697363">
            <w:pPr>
              <w:spacing w:after="200" w:line="276" w:lineRule="auto"/>
              <w:jc w:val="both"/>
              <w:rPr>
                <w:rFonts w:ascii="Segoe UI" w:hAnsi="Segoe UI" w:cs="Segoe UI"/>
              </w:rPr>
            </w:pPr>
            <w:r w:rsidRPr="006C18D7">
              <w:rPr>
                <w:rFonts w:ascii="Segoe UI" w:hAnsi="Segoe UI" w:cs="Segoe UI"/>
              </w:rPr>
              <w:t>Regarding C</w:t>
            </w:r>
            <w:r>
              <w:rPr>
                <w:rFonts w:ascii="Segoe UI" w:hAnsi="Segoe UI" w:cs="Segoe UI"/>
              </w:rPr>
              <w:t xml:space="preserve">at </w:t>
            </w:r>
            <w:r w:rsidRPr="006C18D7">
              <w:rPr>
                <w:rFonts w:ascii="Segoe UI" w:hAnsi="Segoe UI" w:cs="Segoe UI"/>
              </w:rPr>
              <w:t>bonds, we note that investments by UCITS can be beneficial in order to increase performance.</w:t>
            </w:r>
          </w:p>
          <w:p w14:paraId="6B9F98E0" w14:textId="77777777" w:rsidR="00697363" w:rsidRPr="006C18D7" w:rsidRDefault="00697363" w:rsidP="00697363">
            <w:pPr>
              <w:spacing w:after="200" w:line="276" w:lineRule="auto"/>
              <w:jc w:val="both"/>
              <w:rPr>
                <w:rFonts w:ascii="Segoe UI" w:hAnsi="Segoe UI" w:cs="Segoe UI"/>
              </w:rPr>
            </w:pPr>
            <w:r w:rsidRPr="006C18D7">
              <w:rPr>
                <w:rFonts w:ascii="Segoe UI" w:hAnsi="Segoe UI" w:cs="Segoe UI"/>
              </w:rPr>
              <w:t>Typically, C</w:t>
            </w:r>
            <w:r>
              <w:rPr>
                <w:rFonts w:ascii="Segoe UI" w:hAnsi="Segoe UI" w:cs="Segoe UI"/>
              </w:rPr>
              <w:t xml:space="preserve">at </w:t>
            </w:r>
            <w:r w:rsidRPr="006C18D7">
              <w:rPr>
                <w:rFonts w:ascii="Segoe UI" w:hAnsi="Segoe UI" w:cs="Segoe UI"/>
              </w:rPr>
              <w:t>bonds offer higher interest rates compared to similarly rated traditional corporate bonds.  C</w:t>
            </w:r>
            <w:r>
              <w:rPr>
                <w:rFonts w:ascii="Segoe UI" w:hAnsi="Segoe UI" w:cs="Segoe UI"/>
              </w:rPr>
              <w:t xml:space="preserve">at </w:t>
            </w:r>
            <w:r w:rsidRPr="006C18D7">
              <w:rPr>
                <w:rFonts w:ascii="Segoe UI" w:hAnsi="Segoe UI" w:cs="Segoe UI"/>
              </w:rPr>
              <w:t>bonds also provide portfolio diversification given that the return from C</w:t>
            </w:r>
            <w:r>
              <w:rPr>
                <w:rFonts w:ascii="Segoe UI" w:hAnsi="Segoe UI" w:cs="Segoe UI"/>
              </w:rPr>
              <w:t xml:space="preserve">at </w:t>
            </w:r>
            <w:r w:rsidRPr="006C18D7">
              <w:rPr>
                <w:rFonts w:ascii="Segoe UI" w:hAnsi="Segoe UI" w:cs="Segoe UI"/>
              </w:rPr>
              <w:t xml:space="preserve">bonds is largely uncorrelated with the return on other </w:t>
            </w:r>
            <w:r w:rsidRPr="006C18D7">
              <w:rPr>
                <w:rFonts w:ascii="Segoe UI" w:hAnsi="Segoe UI" w:cs="Segoe UI"/>
              </w:rPr>
              <w:lastRenderedPageBreak/>
              <w:t>investments in fixed income or equity markets.</w:t>
            </w:r>
          </w:p>
          <w:p w14:paraId="64B8BCB0" w14:textId="77777777" w:rsidR="00697363" w:rsidRDefault="00697363" w:rsidP="00697363">
            <w:pPr>
              <w:spacing w:after="200" w:line="276" w:lineRule="auto"/>
              <w:jc w:val="both"/>
              <w:rPr>
                <w:rFonts w:ascii="Segoe UI" w:hAnsi="Segoe UI" w:cs="Segoe UI"/>
              </w:rPr>
            </w:pPr>
            <w:r>
              <w:rPr>
                <w:rFonts w:ascii="Segoe UI" w:hAnsi="Segoe UI" w:cs="Segoe UI"/>
              </w:rPr>
              <w:t>There are Luxembourg domiciled funds dedicated to Cat bonds, as well as funds that invest in those funds getting an indirect exposure. There have been no particular issues raised by our Members with regard to Cat bonds. It was noted that the CSSF provides a detailed questionnaire covering Cat bonds which supports a clear overview and scrutiny on such investments.</w:t>
            </w:r>
          </w:p>
          <w:p w14:paraId="6A05A809" w14:textId="77777777" w:rsidR="00697363" w:rsidRPr="00B33432" w:rsidRDefault="00697363" w:rsidP="00697363">
            <w:pPr>
              <w:spacing w:after="250" w:line="276" w:lineRule="auto"/>
              <w:jc w:val="both"/>
              <w:rPr>
                <w:rFonts w:ascii="Arial" w:hAnsi="Arial" w:cs="Arial"/>
                <w:color w:val="181818"/>
              </w:rPr>
            </w:pPr>
          </w:p>
        </w:tc>
        <w:tc>
          <w:tcPr>
            <w:tcW w:w="2006" w:type="dxa"/>
          </w:tcPr>
          <w:p w14:paraId="5A39BBE3" w14:textId="77777777" w:rsidR="00697363" w:rsidRPr="00B33432" w:rsidRDefault="00697363" w:rsidP="00697363">
            <w:pPr>
              <w:spacing w:after="250" w:line="276" w:lineRule="auto"/>
              <w:jc w:val="both"/>
              <w:rPr>
                <w:rFonts w:ascii="Arial" w:hAnsi="Arial" w:cs="Arial"/>
                <w:color w:val="181818"/>
              </w:rPr>
            </w:pPr>
          </w:p>
        </w:tc>
        <w:tc>
          <w:tcPr>
            <w:tcW w:w="1994" w:type="dxa"/>
          </w:tcPr>
          <w:p w14:paraId="41C8F396" w14:textId="77777777" w:rsidR="00697363" w:rsidRPr="00B33432" w:rsidRDefault="00697363" w:rsidP="00697363">
            <w:pPr>
              <w:spacing w:after="250" w:line="276" w:lineRule="auto"/>
              <w:jc w:val="both"/>
              <w:rPr>
                <w:rFonts w:ascii="Arial" w:hAnsi="Arial" w:cs="Arial"/>
                <w:color w:val="181818"/>
              </w:rPr>
            </w:pPr>
          </w:p>
        </w:tc>
        <w:tc>
          <w:tcPr>
            <w:tcW w:w="1665" w:type="dxa"/>
          </w:tcPr>
          <w:p w14:paraId="5C4FB002" w14:textId="77777777" w:rsidR="00697363" w:rsidRPr="00E66080" w:rsidRDefault="00697363" w:rsidP="00697363">
            <w:pPr>
              <w:jc w:val="both"/>
              <w:rPr>
                <w:rFonts w:ascii="Segoe UI" w:hAnsi="Segoe UI" w:cs="Segoe UI"/>
              </w:rPr>
            </w:pPr>
            <w:r w:rsidRPr="00E66080">
              <w:rPr>
                <w:rFonts w:ascii="Segoe UI" w:hAnsi="Segoe UI" w:cs="Segoe UI"/>
              </w:rPr>
              <w:t xml:space="preserve">It must be noted that insurance-linked securities and more specifically Cat bonds are widely used in the financial ecosystem and have become an indispensable </w:t>
            </w:r>
            <w:proofErr w:type="gramStart"/>
            <w:r w:rsidRPr="00E66080">
              <w:rPr>
                <w:rFonts w:ascii="Segoe UI" w:hAnsi="Segoe UI" w:cs="Segoe UI"/>
              </w:rPr>
              <w:t>risk management</w:t>
            </w:r>
            <w:proofErr w:type="gramEnd"/>
            <w:r w:rsidRPr="00E66080">
              <w:rPr>
                <w:rFonts w:ascii="Segoe UI" w:hAnsi="Segoe UI" w:cs="Segoe UI"/>
              </w:rPr>
              <w:t xml:space="preserve"> tool, in particular in the reinsurance market. </w:t>
            </w:r>
          </w:p>
          <w:p w14:paraId="78201297" w14:textId="77777777" w:rsidR="00697363" w:rsidRPr="00E66080" w:rsidRDefault="00697363" w:rsidP="00697363">
            <w:pPr>
              <w:spacing w:after="200" w:line="276" w:lineRule="auto"/>
              <w:jc w:val="both"/>
              <w:rPr>
                <w:rFonts w:ascii="Segoe UI" w:hAnsi="Segoe UI" w:cs="Segoe UI"/>
              </w:rPr>
            </w:pPr>
          </w:p>
          <w:p w14:paraId="01763135" w14:textId="77777777" w:rsidR="00697363" w:rsidRPr="00E66080" w:rsidRDefault="00697363" w:rsidP="00697363">
            <w:pPr>
              <w:spacing w:after="200" w:line="276" w:lineRule="auto"/>
              <w:jc w:val="both"/>
              <w:rPr>
                <w:rFonts w:ascii="Segoe UI" w:hAnsi="Segoe UI" w:cs="Segoe UI"/>
              </w:rPr>
            </w:pPr>
          </w:p>
          <w:p w14:paraId="72A3D3EC" w14:textId="77777777" w:rsidR="00697363" w:rsidRPr="00B33432" w:rsidRDefault="00697363" w:rsidP="00697363">
            <w:pPr>
              <w:spacing w:after="250" w:line="276" w:lineRule="auto"/>
              <w:jc w:val="both"/>
              <w:rPr>
                <w:rFonts w:ascii="Arial" w:hAnsi="Arial" w:cs="Arial"/>
                <w:color w:val="181818"/>
              </w:rPr>
            </w:pPr>
          </w:p>
        </w:tc>
      </w:tr>
      <w:tr w:rsidR="0034530A" w:rsidRPr="00B33432" w14:paraId="756B6A0E" w14:textId="77777777" w:rsidTr="00331CF0">
        <w:tc>
          <w:tcPr>
            <w:tcW w:w="1992" w:type="dxa"/>
          </w:tcPr>
          <w:p w14:paraId="2C56CC88" w14:textId="77777777" w:rsidR="0034530A" w:rsidRPr="00B33432" w:rsidRDefault="0034530A" w:rsidP="0034530A">
            <w:pPr>
              <w:spacing w:after="250" w:line="276" w:lineRule="auto"/>
              <w:rPr>
                <w:rFonts w:ascii="Arial" w:hAnsi="Arial" w:cs="Arial"/>
                <w:color w:val="181818"/>
              </w:rPr>
            </w:pPr>
            <w:r w:rsidRPr="00B33432">
              <w:rPr>
                <w:rFonts w:ascii="Arial" w:hAnsi="Arial" w:cs="Arial"/>
              </w:rPr>
              <w:t>3. Contingent Convertible bonds (‘CoCo bonds’)</w:t>
            </w:r>
          </w:p>
        </w:tc>
        <w:tc>
          <w:tcPr>
            <w:tcW w:w="1663" w:type="dxa"/>
          </w:tcPr>
          <w:p w14:paraId="18FC9FB2" w14:textId="77777777" w:rsidR="0034530A" w:rsidRPr="00306AFF" w:rsidRDefault="0034530A" w:rsidP="00320BB0">
            <w:pPr>
              <w:spacing w:after="200" w:line="276" w:lineRule="auto"/>
              <w:jc w:val="both"/>
              <w:rPr>
                <w:rFonts w:ascii="Segoe UI" w:hAnsi="Segoe UI" w:cs="Segoe UI"/>
              </w:rPr>
            </w:pPr>
            <w:r w:rsidRPr="00306AFF">
              <w:rPr>
                <w:rFonts w:ascii="Segoe UI" w:hAnsi="Segoe UI" w:cs="Segoe UI"/>
              </w:rPr>
              <w:t xml:space="preserve">Similarly, to Cat bonds, some products have been developed with a focus on CoCos to address investors’ demand. It is worth mentioning that </w:t>
            </w:r>
            <w:r w:rsidRPr="00306AFF">
              <w:rPr>
                <w:rFonts w:ascii="Segoe UI" w:hAnsi="Segoe UI" w:cs="Segoe UI"/>
              </w:rPr>
              <w:lastRenderedPageBreak/>
              <w:t>this has been achieved with an important scrutiny of National Competent Authorities (e.g. specific stress-testing requests) to make sure that the Management Companies processes were capable to capture the risk profile of these instruments and strategies.</w:t>
            </w:r>
          </w:p>
          <w:p w14:paraId="2E87204B" w14:textId="77777777" w:rsidR="0034530A" w:rsidRDefault="0034530A" w:rsidP="00320BB0">
            <w:pPr>
              <w:spacing w:after="200" w:line="276" w:lineRule="auto"/>
              <w:jc w:val="both"/>
              <w:rPr>
                <w:rFonts w:ascii="Segoe UI" w:hAnsi="Segoe UI" w:cs="Segoe UI"/>
              </w:rPr>
            </w:pPr>
          </w:p>
          <w:p w14:paraId="0D0B940D" w14:textId="10EEB2AB" w:rsidR="0034530A" w:rsidRPr="00B33432" w:rsidRDefault="0034530A" w:rsidP="00320BB0">
            <w:pPr>
              <w:spacing w:after="250" w:line="276" w:lineRule="auto"/>
              <w:jc w:val="both"/>
              <w:rPr>
                <w:rFonts w:ascii="Arial" w:hAnsi="Arial" w:cs="Arial"/>
                <w:color w:val="181818"/>
              </w:rPr>
            </w:pPr>
            <w:r>
              <w:rPr>
                <w:rFonts w:ascii="Segoe UI" w:hAnsi="Segoe UI" w:cs="Segoe UI"/>
              </w:rPr>
              <w:t>Keeping this in mind, investments in CoCo bonds by UCITS can constitute a positive and robust feature, enabling broader diversification for investors. As for other asset classes, convergence in the treatment at national level would be important to best leverage on the benefits for investors.</w:t>
            </w:r>
          </w:p>
        </w:tc>
        <w:tc>
          <w:tcPr>
            <w:tcW w:w="2006" w:type="dxa"/>
          </w:tcPr>
          <w:p w14:paraId="0E27B00A" w14:textId="77777777" w:rsidR="0034530A" w:rsidRPr="00B33432" w:rsidRDefault="0034530A" w:rsidP="0034530A">
            <w:pPr>
              <w:spacing w:after="250" w:line="276" w:lineRule="auto"/>
              <w:jc w:val="both"/>
              <w:rPr>
                <w:rFonts w:ascii="Arial" w:hAnsi="Arial" w:cs="Arial"/>
                <w:color w:val="181818"/>
              </w:rPr>
            </w:pPr>
          </w:p>
        </w:tc>
        <w:tc>
          <w:tcPr>
            <w:tcW w:w="1994" w:type="dxa"/>
          </w:tcPr>
          <w:p w14:paraId="60061E4C" w14:textId="77777777" w:rsidR="0034530A" w:rsidRPr="00B33432" w:rsidRDefault="0034530A" w:rsidP="0034530A">
            <w:pPr>
              <w:spacing w:after="250" w:line="276" w:lineRule="auto"/>
              <w:jc w:val="both"/>
              <w:rPr>
                <w:rFonts w:ascii="Arial" w:hAnsi="Arial" w:cs="Arial"/>
                <w:color w:val="181818"/>
              </w:rPr>
            </w:pPr>
          </w:p>
        </w:tc>
        <w:tc>
          <w:tcPr>
            <w:tcW w:w="1665" w:type="dxa"/>
          </w:tcPr>
          <w:p w14:paraId="44EAFD9C" w14:textId="77777777" w:rsidR="0034530A" w:rsidRPr="00B33432" w:rsidRDefault="0034530A" w:rsidP="0034530A">
            <w:pPr>
              <w:spacing w:after="250" w:line="276" w:lineRule="auto"/>
              <w:jc w:val="both"/>
              <w:rPr>
                <w:rFonts w:ascii="Arial" w:hAnsi="Arial" w:cs="Arial"/>
                <w:color w:val="181818"/>
              </w:rPr>
            </w:pPr>
          </w:p>
        </w:tc>
      </w:tr>
      <w:tr w:rsidR="0034530A" w:rsidRPr="00B33432" w14:paraId="02325B0B" w14:textId="77777777" w:rsidTr="00331CF0">
        <w:tc>
          <w:tcPr>
            <w:tcW w:w="1992" w:type="dxa"/>
          </w:tcPr>
          <w:p w14:paraId="4EA5968E" w14:textId="77777777" w:rsidR="0034530A" w:rsidRPr="00B33432" w:rsidRDefault="0034530A" w:rsidP="0034530A">
            <w:pPr>
              <w:spacing w:after="250" w:line="276" w:lineRule="auto"/>
              <w:rPr>
                <w:rFonts w:ascii="Arial" w:hAnsi="Arial" w:cs="Arial"/>
                <w:color w:val="181818"/>
              </w:rPr>
            </w:pPr>
            <w:r w:rsidRPr="00B33432">
              <w:rPr>
                <w:rFonts w:ascii="Arial" w:hAnsi="Arial" w:cs="Arial"/>
              </w:rPr>
              <w:lastRenderedPageBreak/>
              <w:t>4. Unrated bonds</w:t>
            </w:r>
          </w:p>
        </w:tc>
        <w:tc>
          <w:tcPr>
            <w:tcW w:w="1663" w:type="dxa"/>
          </w:tcPr>
          <w:p w14:paraId="24C6D6B0" w14:textId="77777777" w:rsidR="008D0D4C" w:rsidRDefault="008D0D4C" w:rsidP="008D0D4C">
            <w:pPr>
              <w:spacing w:after="200" w:line="276" w:lineRule="auto"/>
              <w:jc w:val="both"/>
              <w:rPr>
                <w:rFonts w:ascii="Segoe UI" w:hAnsi="Segoe UI" w:cs="Segoe UI"/>
              </w:rPr>
            </w:pPr>
            <w:r>
              <w:rPr>
                <w:rFonts w:ascii="Segoe UI" w:hAnsi="Segoe UI" w:cs="Segoe UI"/>
              </w:rPr>
              <w:t xml:space="preserve">Unrated bonds can serve as a good source of returns and therefore added value for investors. In our view, it would be beneficial to continue allowing a portion of UCITS’ investments in such assets, while ensuring the proper mitigation of possible risks for investors. </w:t>
            </w:r>
          </w:p>
          <w:p w14:paraId="4B94D5A5" w14:textId="77777777" w:rsidR="0034530A" w:rsidRPr="00B33432" w:rsidRDefault="0034530A" w:rsidP="0034530A">
            <w:pPr>
              <w:spacing w:after="250" w:line="276" w:lineRule="auto"/>
              <w:jc w:val="both"/>
              <w:rPr>
                <w:rFonts w:ascii="Arial" w:hAnsi="Arial" w:cs="Arial"/>
                <w:color w:val="181818"/>
              </w:rPr>
            </w:pPr>
          </w:p>
        </w:tc>
        <w:tc>
          <w:tcPr>
            <w:tcW w:w="2006" w:type="dxa"/>
          </w:tcPr>
          <w:p w14:paraId="3DEEC669" w14:textId="77777777" w:rsidR="0034530A" w:rsidRPr="00B33432" w:rsidRDefault="0034530A" w:rsidP="0034530A">
            <w:pPr>
              <w:spacing w:after="250" w:line="276" w:lineRule="auto"/>
              <w:jc w:val="both"/>
              <w:rPr>
                <w:rFonts w:ascii="Arial" w:hAnsi="Arial" w:cs="Arial"/>
                <w:color w:val="181818"/>
              </w:rPr>
            </w:pPr>
          </w:p>
        </w:tc>
        <w:tc>
          <w:tcPr>
            <w:tcW w:w="1994" w:type="dxa"/>
          </w:tcPr>
          <w:p w14:paraId="3656B9AB" w14:textId="77777777" w:rsidR="0034530A" w:rsidRPr="00B33432" w:rsidRDefault="0034530A" w:rsidP="0034530A">
            <w:pPr>
              <w:spacing w:after="250" w:line="276" w:lineRule="auto"/>
              <w:jc w:val="both"/>
              <w:rPr>
                <w:rFonts w:ascii="Arial" w:hAnsi="Arial" w:cs="Arial"/>
                <w:color w:val="181818"/>
              </w:rPr>
            </w:pPr>
          </w:p>
        </w:tc>
        <w:tc>
          <w:tcPr>
            <w:tcW w:w="1665" w:type="dxa"/>
          </w:tcPr>
          <w:p w14:paraId="45FB0818" w14:textId="77777777" w:rsidR="0034530A" w:rsidRPr="00B33432" w:rsidRDefault="0034530A" w:rsidP="0034530A">
            <w:pPr>
              <w:spacing w:after="250" w:line="276" w:lineRule="auto"/>
              <w:jc w:val="both"/>
              <w:rPr>
                <w:rFonts w:ascii="Arial" w:hAnsi="Arial" w:cs="Arial"/>
                <w:color w:val="181818"/>
              </w:rPr>
            </w:pPr>
          </w:p>
        </w:tc>
      </w:tr>
      <w:tr w:rsidR="0034530A" w:rsidRPr="00B33432" w14:paraId="68D99D9D" w14:textId="77777777" w:rsidTr="00331CF0">
        <w:tc>
          <w:tcPr>
            <w:tcW w:w="1992" w:type="dxa"/>
          </w:tcPr>
          <w:p w14:paraId="17D8B71D" w14:textId="77777777" w:rsidR="0034530A" w:rsidRPr="00B33432" w:rsidRDefault="0034530A" w:rsidP="0034530A">
            <w:pPr>
              <w:spacing w:after="250" w:line="276" w:lineRule="auto"/>
              <w:rPr>
                <w:rFonts w:ascii="Arial" w:hAnsi="Arial" w:cs="Arial"/>
                <w:color w:val="181818"/>
              </w:rPr>
            </w:pPr>
            <w:r w:rsidRPr="00B33432">
              <w:rPr>
                <w:rFonts w:ascii="Arial" w:hAnsi="Arial" w:cs="Arial"/>
              </w:rPr>
              <w:t>5. Distressed securities</w:t>
            </w:r>
          </w:p>
        </w:tc>
        <w:tc>
          <w:tcPr>
            <w:tcW w:w="1663" w:type="dxa"/>
          </w:tcPr>
          <w:p w14:paraId="049F31CB" w14:textId="2072652D" w:rsidR="0034530A" w:rsidRPr="00B33432" w:rsidRDefault="008D0D4C" w:rsidP="0034530A">
            <w:pPr>
              <w:spacing w:after="250" w:line="276" w:lineRule="auto"/>
              <w:jc w:val="both"/>
              <w:rPr>
                <w:rFonts w:ascii="Arial" w:hAnsi="Arial" w:cs="Arial"/>
                <w:color w:val="181818"/>
              </w:rPr>
            </w:pPr>
            <w:r>
              <w:rPr>
                <w:rFonts w:ascii="Segoe UI" w:hAnsi="Segoe UI" w:cs="Segoe UI"/>
              </w:rPr>
              <w:t>We would like to refer to our reasoning under point 4 alike.</w:t>
            </w:r>
          </w:p>
        </w:tc>
        <w:tc>
          <w:tcPr>
            <w:tcW w:w="2006" w:type="dxa"/>
          </w:tcPr>
          <w:p w14:paraId="53128261" w14:textId="77777777" w:rsidR="0034530A" w:rsidRPr="00B33432" w:rsidRDefault="0034530A" w:rsidP="0034530A">
            <w:pPr>
              <w:spacing w:after="250" w:line="276" w:lineRule="auto"/>
              <w:jc w:val="both"/>
              <w:rPr>
                <w:rFonts w:ascii="Arial" w:hAnsi="Arial" w:cs="Arial"/>
                <w:color w:val="181818"/>
              </w:rPr>
            </w:pPr>
          </w:p>
        </w:tc>
        <w:tc>
          <w:tcPr>
            <w:tcW w:w="1994" w:type="dxa"/>
          </w:tcPr>
          <w:p w14:paraId="62486C05" w14:textId="77777777" w:rsidR="0034530A" w:rsidRPr="00B33432" w:rsidRDefault="0034530A" w:rsidP="0034530A">
            <w:pPr>
              <w:spacing w:after="250" w:line="276" w:lineRule="auto"/>
              <w:jc w:val="both"/>
              <w:rPr>
                <w:rFonts w:ascii="Arial" w:hAnsi="Arial" w:cs="Arial"/>
                <w:color w:val="181818"/>
              </w:rPr>
            </w:pPr>
          </w:p>
        </w:tc>
        <w:tc>
          <w:tcPr>
            <w:tcW w:w="1665" w:type="dxa"/>
          </w:tcPr>
          <w:p w14:paraId="4101652C" w14:textId="77777777" w:rsidR="0034530A" w:rsidRPr="00B33432" w:rsidRDefault="0034530A" w:rsidP="0034530A">
            <w:pPr>
              <w:spacing w:after="250" w:line="276" w:lineRule="auto"/>
              <w:jc w:val="both"/>
              <w:rPr>
                <w:rFonts w:ascii="Arial" w:hAnsi="Arial" w:cs="Arial"/>
                <w:color w:val="181818"/>
              </w:rPr>
            </w:pPr>
          </w:p>
        </w:tc>
      </w:tr>
      <w:tr w:rsidR="008D0D4C" w:rsidRPr="00B33432" w14:paraId="2B493676" w14:textId="77777777" w:rsidTr="00331CF0">
        <w:tc>
          <w:tcPr>
            <w:tcW w:w="1992" w:type="dxa"/>
          </w:tcPr>
          <w:p w14:paraId="45E99430" w14:textId="77777777" w:rsidR="008D0D4C" w:rsidRPr="00B33432" w:rsidRDefault="008D0D4C" w:rsidP="008D0D4C">
            <w:pPr>
              <w:spacing w:after="250" w:line="276" w:lineRule="auto"/>
              <w:rPr>
                <w:rFonts w:ascii="Arial" w:hAnsi="Arial" w:cs="Arial"/>
              </w:rPr>
            </w:pPr>
            <w:r w:rsidRPr="00B33432">
              <w:rPr>
                <w:rFonts w:ascii="Arial" w:hAnsi="Arial" w:cs="Arial"/>
              </w:rPr>
              <w:t>6. Unlisted equities</w:t>
            </w:r>
            <w:r w:rsidRPr="00B33432">
              <w:rPr>
                <w:rFonts w:ascii="Arial" w:hAnsi="Arial" w:cs="Arial"/>
                <w:sz w:val="16"/>
                <w:vertAlign w:val="superscript"/>
              </w:rPr>
              <w:footnoteReference w:id="7"/>
            </w:r>
          </w:p>
        </w:tc>
        <w:tc>
          <w:tcPr>
            <w:tcW w:w="1663" w:type="dxa"/>
          </w:tcPr>
          <w:p w14:paraId="1DF8EEC5" w14:textId="77777777" w:rsidR="008D0D4C" w:rsidRDefault="008D0D4C" w:rsidP="00BB1315">
            <w:pPr>
              <w:spacing w:after="200" w:line="276" w:lineRule="auto"/>
              <w:jc w:val="both"/>
              <w:rPr>
                <w:rFonts w:ascii="Segoe UI" w:hAnsi="Segoe UI" w:cs="Segoe UI"/>
              </w:rPr>
            </w:pPr>
            <w:r w:rsidRPr="00EE5BAF">
              <w:rPr>
                <w:rFonts w:ascii="Segoe UI" w:hAnsi="Segoe UI" w:cs="Segoe UI"/>
              </w:rPr>
              <w:t>Some specific consideration maybe given to IPO processes where a security can be temporarily unlisted.</w:t>
            </w:r>
          </w:p>
          <w:p w14:paraId="4B99056E" w14:textId="71ECCF69" w:rsidR="008D0D4C" w:rsidRPr="00B33432" w:rsidRDefault="008D0D4C" w:rsidP="00BB1315">
            <w:pPr>
              <w:spacing w:after="250" w:line="276" w:lineRule="auto"/>
              <w:jc w:val="both"/>
              <w:rPr>
                <w:rFonts w:ascii="Arial" w:hAnsi="Arial" w:cs="Arial"/>
                <w:color w:val="181818"/>
              </w:rPr>
            </w:pPr>
            <w:r>
              <w:rPr>
                <w:rFonts w:ascii="Segoe UI" w:hAnsi="Segoe UI" w:cs="Segoe UI"/>
              </w:rPr>
              <w:t xml:space="preserve">Equities that are unlisted, but planned to be listed or relisted could be considered as </w:t>
            </w:r>
            <w:r>
              <w:rPr>
                <w:rFonts w:ascii="Segoe UI" w:hAnsi="Segoe UI" w:cs="Segoe UI"/>
              </w:rPr>
              <w:lastRenderedPageBreak/>
              <w:t>eligible as well, applying the 12-months exemption for temporary unlisted equities.</w:t>
            </w:r>
          </w:p>
        </w:tc>
        <w:tc>
          <w:tcPr>
            <w:tcW w:w="2006" w:type="dxa"/>
          </w:tcPr>
          <w:p w14:paraId="1299C43A" w14:textId="77777777" w:rsidR="008D0D4C" w:rsidRPr="00B33432" w:rsidRDefault="008D0D4C" w:rsidP="008D0D4C">
            <w:pPr>
              <w:spacing w:after="250" w:line="276" w:lineRule="auto"/>
              <w:jc w:val="both"/>
              <w:rPr>
                <w:rFonts w:ascii="Arial" w:hAnsi="Arial" w:cs="Arial"/>
                <w:color w:val="181818"/>
              </w:rPr>
            </w:pPr>
          </w:p>
        </w:tc>
        <w:tc>
          <w:tcPr>
            <w:tcW w:w="1994" w:type="dxa"/>
          </w:tcPr>
          <w:p w14:paraId="4DDBEF00" w14:textId="77777777" w:rsidR="008D0D4C" w:rsidRPr="00B33432" w:rsidRDefault="008D0D4C" w:rsidP="008D0D4C">
            <w:pPr>
              <w:spacing w:after="250" w:line="276" w:lineRule="auto"/>
              <w:jc w:val="both"/>
              <w:rPr>
                <w:rFonts w:ascii="Arial" w:hAnsi="Arial" w:cs="Arial"/>
                <w:color w:val="181818"/>
              </w:rPr>
            </w:pPr>
          </w:p>
        </w:tc>
        <w:tc>
          <w:tcPr>
            <w:tcW w:w="1665" w:type="dxa"/>
          </w:tcPr>
          <w:p w14:paraId="3461D779" w14:textId="77777777" w:rsidR="008D0D4C" w:rsidRPr="00B33432" w:rsidRDefault="008D0D4C" w:rsidP="008D0D4C">
            <w:pPr>
              <w:spacing w:after="250" w:line="276" w:lineRule="auto"/>
              <w:jc w:val="both"/>
              <w:rPr>
                <w:rFonts w:ascii="Arial" w:hAnsi="Arial" w:cs="Arial"/>
                <w:color w:val="181818"/>
              </w:rPr>
            </w:pPr>
          </w:p>
        </w:tc>
      </w:tr>
      <w:tr w:rsidR="00313B13" w:rsidRPr="00B33432" w14:paraId="5539B04B" w14:textId="77777777" w:rsidTr="00331CF0">
        <w:tc>
          <w:tcPr>
            <w:tcW w:w="1992" w:type="dxa"/>
          </w:tcPr>
          <w:p w14:paraId="378D969D" w14:textId="77777777" w:rsidR="00313B13" w:rsidRPr="00B33432" w:rsidRDefault="00313B13" w:rsidP="00313B13">
            <w:pPr>
              <w:spacing w:after="250" w:line="276" w:lineRule="auto"/>
              <w:rPr>
                <w:rFonts w:ascii="Arial" w:hAnsi="Arial" w:cs="Arial"/>
              </w:rPr>
            </w:pPr>
            <w:r w:rsidRPr="00B33432">
              <w:rPr>
                <w:rFonts w:ascii="Arial" w:hAnsi="Arial" w:cs="Arial"/>
              </w:rPr>
              <w:t>7. Crypto assets</w:t>
            </w:r>
            <w:r w:rsidRPr="00B33432">
              <w:rPr>
                <w:rFonts w:ascii="Arial" w:hAnsi="Arial" w:cs="Arial"/>
                <w:vertAlign w:val="superscript"/>
              </w:rPr>
              <w:footnoteReference w:id="8"/>
            </w:r>
          </w:p>
        </w:tc>
        <w:tc>
          <w:tcPr>
            <w:tcW w:w="1663" w:type="dxa"/>
          </w:tcPr>
          <w:p w14:paraId="7EC1ACBD" w14:textId="77777777" w:rsidR="00313B13" w:rsidRDefault="00313B13" w:rsidP="00313B13">
            <w:pPr>
              <w:spacing w:after="200" w:line="276" w:lineRule="auto"/>
              <w:jc w:val="both"/>
              <w:rPr>
                <w:rFonts w:ascii="Segoe UI" w:hAnsi="Segoe UI" w:cs="Segoe UI"/>
              </w:rPr>
            </w:pPr>
            <w:r w:rsidRPr="00C148BB">
              <w:rPr>
                <w:rFonts w:ascii="Segoe UI" w:hAnsi="Segoe UI" w:cs="Segoe UI"/>
              </w:rPr>
              <w:t xml:space="preserve">More flexibility regarding the eligibility of digital assets for UCITS could be a way to modernize the fund industry and to attract younger investors, whilst mitigating risks as </w:t>
            </w:r>
            <w:proofErr w:type="gramStart"/>
            <w:r w:rsidRPr="00C148BB">
              <w:rPr>
                <w:rFonts w:ascii="Segoe UI" w:hAnsi="Segoe UI" w:cs="Segoe UI"/>
              </w:rPr>
              <w:t>UCITS managers</w:t>
            </w:r>
            <w:proofErr w:type="gramEnd"/>
            <w:r w:rsidRPr="00C148BB">
              <w:rPr>
                <w:rFonts w:ascii="Segoe UI" w:hAnsi="Segoe UI" w:cs="Segoe UI"/>
              </w:rPr>
              <w:t xml:space="preserve"> would have to apply their due diligence processes to investments and trading platforms.</w:t>
            </w:r>
            <w:r>
              <w:rPr>
                <w:rFonts w:ascii="Segoe UI" w:hAnsi="Segoe UI" w:cs="Segoe UI"/>
              </w:rPr>
              <w:t xml:space="preserve"> In addition, w</w:t>
            </w:r>
            <w:r w:rsidRPr="00E722A6">
              <w:rPr>
                <w:rFonts w:ascii="Segoe UI" w:hAnsi="Segoe UI" w:cs="Segoe UI"/>
              </w:rPr>
              <w:t>ith the increased transparency and rules proposed by MiCA, should a crypto-asset meet the EAD requirements and UCITS requirements</w:t>
            </w:r>
            <w:r>
              <w:rPr>
                <w:rFonts w:ascii="Segoe UI" w:hAnsi="Segoe UI" w:cs="Segoe UI"/>
              </w:rPr>
              <w:t>,</w:t>
            </w:r>
            <w:r w:rsidRPr="00E722A6">
              <w:rPr>
                <w:rFonts w:ascii="Segoe UI" w:hAnsi="Segoe UI" w:cs="Segoe UI"/>
              </w:rPr>
              <w:t xml:space="preserve"> it </w:t>
            </w:r>
            <w:r w:rsidRPr="00E722A6">
              <w:rPr>
                <w:rFonts w:ascii="Segoe UI" w:hAnsi="Segoe UI" w:cs="Segoe UI"/>
              </w:rPr>
              <w:lastRenderedPageBreak/>
              <w:t>could be an option to provide a safer exposure to investors.</w:t>
            </w:r>
            <w:r>
              <w:rPr>
                <w:rFonts w:ascii="Segoe UI" w:hAnsi="Segoe UI" w:cs="Segoe UI"/>
              </w:rPr>
              <w:t xml:space="preserve"> If the </w:t>
            </w:r>
            <w:proofErr w:type="gramStart"/>
            <w:r>
              <w:rPr>
                <w:rFonts w:ascii="Segoe UI" w:hAnsi="Segoe UI" w:cs="Segoe UI"/>
              </w:rPr>
              <w:t>UCITS regime</w:t>
            </w:r>
            <w:proofErr w:type="gramEnd"/>
            <w:r>
              <w:rPr>
                <w:rFonts w:ascii="Segoe UI" w:hAnsi="Segoe UI" w:cs="Segoe UI"/>
              </w:rPr>
              <w:t xml:space="preserve"> would in the future not be open to offer the possibility of such exposures, investors may use riskier products to invest in crypto assets. Therefore, we believe, the review of the UCITS EAD would be the right moment to consider the provision of a certain, forward-looking and principle-based flexibility to enable the further assessment of their eligibility, once market practices and knowledge concerning these assets have been deepened and developed more broadly.</w:t>
            </w:r>
          </w:p>
          <w:p w14:paraId="670CC126" w14:textId="77777777" w:rsidR="00313B13" w:rsidRPr="00926219" w:rsidRDefault="00313B13" w:rsidP="00313B13">
            <w:pPr>
              <w:spacing w:after="200" w:line="276" w:lineRule="auto"/>
              <w:jc w:val="both"/>
              <w:rPr>
                <w:rFonts w:ascii="Segoe UI" w:hAnsi="Segoe UI" w:cs="Segoe UI"/>
              </w:rPr>
            </w:pPr>
            <w:r>
              <w:rPr>
                <w:rFonts w:ascii="Segoe UI" w:hAnsi="Segoe UI" w:cs="Segoe UI"/>
              </w:rPr>
              <w:t xml:space="preserve">In this context we would like to refer to the </w:t>
            </w:r>
            <w:proofErr w:type="gramStart"/>
            <w:r>
              <w:rPr>
                <w:rFonts w:ascii="Segoe UI" w:hAnsi="Segoe UI" w:cs="Segoe UI"/>
              </w:rPr>
              <w:t>ALFI response</w:t>
            </w:r>
            <w:proofErr w:type="gramEnd"/>
            <w:r>
              <w:rPr>
                <w:rFonts w:ascii="Segoe UI" w:hAnsi="Segoe UI" w:cs="Segoe UI"/>
              </w:rPr>
              <w:t xml:space="preserve"> to the </w:t>
            </w:r>
            <w:r>
              <w:rPr>
                <w:rFonts w:ascii="Segoe UI" w:hAnsi="Segoe UI" w:cs="Segoe UI"/>
              </w:rPr>
              <w:lastRenderedPageBreak/>
              <w:t>ESMA consultation</w:t>
            </w:r>
            <w:r w:rsidRPr="00983A52">
              <w:rPr>
                <w:rFonts w:ascii="Segoe UI" w:hAnsi="Segoe UI" w:cs="Segoe UI"/>
              </w:rPr>
              <w:t xml:space="preserve"> on the proposed guidelines on the qualification of crypto assets with regards to their classification as financial instruments under MiCA</w:t>
            </w:r>
            <w:r>
              <w:rPr>
                <w:rFonts w:ascii="Segoe UI" w:hAnsi="Segoe UI" w:cs="Segoe UI"/>
              </w:rPr>
              <w:t xml:space="preserve">. In this response, ALFI also preferred a principle-based approach and supported the flexibility proposed in the consultation paper </w:t>
            </w:r>
            <w:r w:rsidRPr="00926219">
              <w:rPr>
                <w:rFonts w:ascii="Segoe UI" w:hAnsi="Segoe UI" w:cs="Segoe UI"/>
              </w:rPr>
              <w:t>with regards to the</w:t>
            </w:r>
            <w:r>
              <w:rPr>
                <w:rFonts w:ascii="Segoe UI" w:hAnsi="Segoe UI" w:cs="Segoe UI"/>
              </w:rPr>
              <w:t xml:space="preserve"> </w:t>
            </w:r>
            <w:r w:rsidRPr="00926219">
              <w:rPr>
                <w:rFonts w:ascii="Segoe UI" w:hAnsi="Segoe UI" w:cs="Segoe UI"/>
              </w:rPr>
              <w:t>criteria for qualification of crypto assets as financial instruments.</w:t>
            </w:r>
            <w:r>
              <w:rPr>
                <w:rFonts w:ascii="Segoe UI" w:hAnsi="Segoe UI" w:cs="Segoe UI"/>
              </w:rPr>
              <w:t xml:space="preserve"> As stated in the response, a p</w:t>
            </w:r>
            <w:r w:rsidRPr="00926219">
              <w:rPr>
                <w:rFonts w:ascii="Segoe UI" w:hAnsi="Segoe UI" w:cs="Segoe UI"/>
              </w:rPr>
              <w:t>rinciple-based approach is preferable, rather than a rule-based approach</w:t>
            </w:r>
            <w:r>
              <w:rPr>
                <w:rFonts w:ascii="Segoe UI" w:hAnsi="Segoe UI" w:cs="Segoe UI"/>
              </w:rPr>
              <w:t>, because of the following rationale:</w:t>
            </w:r>
          </w:p>
          <w:p w14:paraId="6F5ABD9F" w14:textId="77777777" w:rsidR="00313B13" w:rsidRPr="00926219" w:rsidRDefault="00313B13" w:rsidP="00313B13">
            <w:pPr>
              <w:spacing w:after="200" w:line="276" w:lineRule="auto"/>
              <w:jc w:val="both"/>
              <w:rPr>
                <w:rFonts w:ascii="Segoe UI" w:hAnsi="Segoe UI" w:cs="Segoe UI"/>
              </w:rPr>
            </w:pPr>
            <w:r w:rsidRPr="00926219">
              <w:rPr>
                <w:rFonts w:ascii="Segoe UI" w:hAnsi="Segoe UI" w:cs="Segoe UI"/>
              </w:rPr>
              <w:t xml:space="preserve">1. The individual instrument definitions with regards to </w:t>
            </w:r>
            <w:r w:rsidRPr="00926219">
              <w:rPr>
                <w:rFonts w:ascii="Segoe UI" w:hAnsi="Segoe UI" w:cs="Segoe UI"/>
              </w:rPr>
              <w:lastRenderedPageBreak/>
              <w:t>crypto-assets still remain to be fully</w:t>
            </w:r>
            <w:r>
              <w:rPr>
                <w:rFonts w:ascii="Segoe UI" w:hAnsi="Segoe UI" w:cs="Segoe UI"/>
              </w:rPr>
              <w:t xml:space="preserve"> </w:t>
            </w:r>
            <w:r w:rsidRPr="00926219">
              <w:rPr>
                <w:rFonts w:ascii="Segoe UI" w:hAnsi="Segoe UI" w:cs="Segoe UI"/>
              </w:rPr>
              <w:t>defined</w:t>
            </w:r>
            <w:r>
              <w:rPr>
                <w:rFonts w:ascii="Segoe UI" w:hAnsi="Segoe UI" w:cs="Segoe UI"/>
              </w:rPr>
              <w:t>.</w:t>
            </w:r>
          </w:p>
          <w:p w14:paraId="07296F68" w14:textId="77777777" w:rsidR="00313B13" w:rsidRPr="00C148BB" w:rsidRDefault="00313B13" w:rsidP="00313B13">
            <w:pPr>
              <w:spacing w:after="200" w:line="276" w:lineRule="auto"/>
              <w:jc w:val="both"/>
              <w:rPr>
                <w:rFonts w:ascii="Segoe UI" w:hAnsi="Segoe UI" w:cs="Segoe UI"/>
              </w:rPr>
            </w:pPr>
            <w:r w:rsidRPr="00926219">
              <w:rPr>
                <w:rFonts w:ascii="Segoe UI" w:hAnsi="Segoe UI" w:cs="Segoe UI"/>
              </w:rPr>
              <w:t>2. With regards to qualification and eligibility, various pieces of regulation are interconnected</w:t>
            </w:r>
            <w:r>
              <w:rPr>
                <w:rFonts w:ascii="Segoe UI" w:hAnsi="Segoe UI" w:cs="Segoe UI"/>
              </w:rPr>
              <w:t xml:space="preserve"> </w:t>
            </w:r>
            <w:r w:rsidRPr="00926219">
              <w:rPr>
                <w:rFonts w:ascii="Segoe UI" w:hAnsi="Segoe UI" w:cs="Segoe UI"/>
              </w:rPr>
              <w:t>(MiFID in particular) and such flexibility allows to ensur</w:t>
            </w:r>
            <w:r>
              <w:rPr>
                <w:rFonts w:ascii="Segoe UI" w:hAnsi="Segoe UI" w:cs="Segoe UI"/>
              </w:rPr>
              <w:t>e</w:t>
            </w:r>
            <w:r w:rsidRPr="00926219">
              <w:rPr>
                <w:rFonts w:ascii="Segoe UI" w:hAnsi="Segoe UI" w:cs="Segoe UI"/>
              </w:rPr>
              <w:t xml:space="preserve"> consistency across the board.</w:t>
            </w:r>
          </w:p>
          <w:p w14:paraId="3CF2D8B6" w14:textId="5BA398F5" w:rsidR="00313B13" w:rsidRPr="00B33432" w:rsidRDefault="00313B13" w:rsidP="00313B13">
            <w:pPr>
              <w:spacing w:after="250" w:line="276" w:lineRule="auto"/>
              <w:jc w:val="both"/>
              <w:rPr>
                <w:rFonts w:ascii="Arial" w:hAnsi="Arial" w:cs="Arial"/>
                <w:color w:val="181818"/>
              </w:rPr>
            </w:pPr>
            <w:r w:rsidRPr="00811BAA">
              <w:rPr>
                <w:rFonts w:ascii="Segoe UI" w:hAnsi="Segoe UI" w:cs="Segoe UI"/>
                <w:lang w:val="en-GB"/>
              </w:rPr>
              <w:t>The same rationale can be used regarding crypto assets as eligible assets for UCITS in the future.</w:t>
            </w:r>
          </w:p>
        </w:tc>
        <w:tc>
          <w:tcPr>
            <w:tcW w:w="2006" w:type="dxa"/>
          </w:tcPr>
          <w:p w14:paraId="0FB78278" w14:textId="77777777" w:rsidR="00313B13" w:rsidRPr="00B33432" w:rsidRDefault="00313B13" w:rsidP="00313B13">
            <w:pPr>
              <w:spacing w:after="250" w:line="276" w:lineRule="auto"/>
              <w:jc w:val="both"/>
              <w:rPr>
                <w:rFonts w:ascii="Arial" w:hAnsi="Arial" w:cs="Arial"/>
                <w:color w:val="181818"/>
              </w:rPr>
            </w:pPr>
          </w:p>
        </w:tc>
        <w:tc>
          <w:tcPr>
            <w:tcW w:w="1994" w:type="dxa"/>
          </w:tcPr>
          <w:p w14:paraId="1FC39945" w14:textId="77777777" w:rsidR="00313B13" w:rsidRPr="00B33432" w:rsidRDefault="00313B13" w:rsidP="00313B13">
            <w:pPr>
              <w:spacing w:after="250" w:line="276" w:lineRule="auto"/>
              <w:jc w:val="both"/>
              <w:rPr>
                <w:rFonts w:ascii="Arial" w:hAnsi="Arial" w:cs="Arial"/>
                <w:color w:val="181818"/>
              </w:rPr>
            </w:pPr>
          </w:p>
        </w:tc>
        <w:tc>
          <w:tcPr>
            <w:tcW w:w="1665" w:type="dxa"/>
          </w:tcPr>
          <w:p w14:paraId="0562CB0E" w14:textId="77777777" w:rsidR="00313B13" w:rsidRPr="00B33432" w:rsidRDefault="00313B13" w:rsidP="00313B13">
            <w:pPr>
              <w:spacing w:after="250" w:line="276" w:lineRule="auto"/>
              <w:jc w:val="both"/>
              <w:rPr>
                <w:rFonts w:ascii="Arial" w:hAnsi="Arial" w:cs="Arial"/>
                <w:color w:val="181818"/>
              </w:rPr>
            </w:pPr>
          </w:p>
        </w:tc>
      </w:tr>
      <w:tr w:rsidR="00453BEF" w:rsidRPr="00B33432" w14:paraId="6582FE19" w14:textId="77777777" w:rsidTr="00331CF0">
        <w:tc>
          <w:tcPr>
            <w:tcW w:w="1992" w:type="dxa"/>
          </w:tcPr>
          <w:p w14:paraId="73AF3CD4" w14:textId="77777777" w:rsidR="00453BEF" w:rsidRPr="00B33432" w:rsidRDefault="00453BEF" w:rsidP="00453BEF">
            <w:pPr>
              <w:spacing w:after="250" w:line="276" w:lineRule="auto"/>
              <w:rPr>
                <w:rFonts w:ascii="Arial" w:hAnsi="Arial" w:cs="Arial"/>
              </w:rPr>
            </w:pPr>
            <w:r w:rsidRPr="00B33432">
              <w:rPr>
                <w:rFonts w:ascii="Arial" w:hAnsi="Arial" w:cs="Arial"/>
              </w:rPr>
              <w:lastRenderedPageBreak/>
              <w:t>8. Commodities and precious metals</w:t>
            </w:r>
            <w:r w:rsidRPr="00B33432">
              <w:rPr>
                <w:rFonts w:ascii="Arial" w:hAnsi="Arial" w:cs="Arial"/>
                <w:sz w:val="16"/>
                <w:vertAlign w:val="superscript"/>
              </w:rPr>
              <w:footnoteReference w:id="9"/>
            </w:r>
          </w:p>
        </w:tc>
        <w:tc>
          <w:tcPr>
            <w:tcW w:w="1663" w:type="dxa"/>
          </w:tcPr>
          <w:p w14:paraId="34CE0A41" w14:textId="77777777" w:rsidR="00453BEF" w:rsidRPr="00B33432" w:rsidRDefault="00453BEF" w:rsidP="00453BEF">
            <w:pPr>
              <w:spacing w:after="250" w:line="276" w:lineRule="auto"/>
              <w:jc w:val="both"/>
              <w:rPr>
                <w:rFonts w:ascii="Arial" w:hAnsi="Arial" w:cs="Arial"/>
                <w:color w:val="181818"/>
              </w:rPr>
            </w:pPr>
          </w:p>
        </w:tc>
        <w:tc>
          <w:tcPr>
            <w:tcW w:w="2006" w:type="dxa"/>
          </w:tcPr>
          <w:p w14:paraId="5F0016C5" w14:textId="77777777" w:rsidR="00453BEF" w:rsidRPr="00B30F8B" w:rsidRDefault="00453BEF" w:rsidP="00453BEF">
            <w:pPr>
              <w:spacing w:after="200" w:line="276" w:lineRule="auto"/>
              <w:jc w:val="both"/>
              <w:rPr>
                <w:rFonts w:ascii="Segoe UI" w:hAnsi="Segoe UI" w:cs="Segoe UI"/>
              </w:rPr>
            </w:pPr>
            <w:r w:rsidRPr="00B30F8B">
              <w:rPr>
                <w:rFonts w:ascii="Segoe UI" w:hAnsi="Segoe UI" w:cs="Segoe UI"/>
              </w:rPr>
              <w:t xml:space="preserve">Funds which gain indirect exposure to commodity markets by taking positions in diversified commodity indices are currently allowed on a case by </w:t>
            </w:r>
            <w:proofErr w:type="gramStart"/>
            <w:r w:rsidRPr="00B30F8B">
              <w:rPr>
                <w:rFonts w:ascii="Segoe UI" w:hAnsi="Segoe UI" w:cs="Segoe UI"/>
              </w:rPr>
              <w:t>case basis</w:t>
            </w:r>
            <w:proofErr w:type="gramEnd"/>
            <w:r w:rsidRPr="00B30F8B">
              <w:rPr>
                <w:rFonts w:ascii="Segoe UI" w:hAnsi="Segoe UI" w:cs="Segoe UI"/>
              </w:rPr>
              <w:t xml:space="preserve">, subject to transparency and diversification. </w:t>
            </w:r>
            <w:r>
              <w:rPr>
                <w:rFonts w:ascii="Segoe UI" w:hAnsi="Segoe UI" w:cs="Segoe UI"/>
              </w:rPr>
              <w:t xml:space="preserve">We believe it is important that this possibility should be maintained in the </w:t>
            </w:r>
            <w:r>
              <w:rPr>
                <w:rFonts w:ascii="Segoe UI" w:hAnsi="Segoe UI" w:cs="Segoe UI"/>
              </w:rPr>
              <w:lastRenderedPageBreak/>
              <w:t>review of</w:t>
            </w:r>
            <w:r w:rsidRPr="00B30F8B">
              <w:rPr>
                <w:rFonts w:ascii="Segoe UI" w:hAnsi="Segoe UI" w:cs="Segoe UI"/>
              </w:rPr>
              <w:t xml:space="preserve"> the </w:t>
            </w:r>
            <w:r>
              <w:rPr>
                <w:rFonts w:ascii="Segoe UI" w:hAnsi="Segoe UI" w:cs="Segoe UI"/>
              </w:rPr>
              <w:t xml:space="preserve">UCITS AED. In case it would not be maintained and </w:t>
            </w:r>
            <w:r w:rsidRPr="00B30F8B">
              <w:rPr>
                <w:rFonts w:ascii="Segoe UI" w:hAnsi="Segoe UI" w:cs="Segoe UI"/>
              </w:rPr>
              <w:t>diversified commodity indices</w:t>
            </w:r>
            <w:r>
              <w:rPr>
                <w:rFonts w:ascii="Segoe UI" w:hAnsi="Segoe UI" w:cs="Segoe UI"/>
              </w:rPr>
              <w:t xml:space="preserve"> became</w:t>
            </w:r>
            <w:r w:rsidRPr="00B30F8B">
              <w:rPr>
                <w:rFonts w:ascii="Segoe UI" w:hAnsi="Segoe UI" w:cs="Segoe UI"/>
              </w:rPr>
              <w:t xml:space="preserve"> ineligible, such funds would have to cease to exist, or move into a non-UCITS umbrella. There would be a further knock-on effect as this would also reduce the universe of investment available to investors, including funds of funds, some of which have their own minimum/maximum ‘Alternatives’ exposure requirements.  </w:t>
            </w:r>
          </w:p>
          <w:p w14:paraId="2176790E" w14:textId="77777777" w:rsidR="00453BEF" w:rsidRDefault="00453BEF" w:rsidP="00453BEF">
            <w:pPr>
              <w:spacing w:after="200" w:line="276" w:lineRule="auto"/>
              <w:jc w:val="both"/>
              <w:rPr>
                <w:rFonts w:ascii="Segoe UI" w:hAnsi="Segoe UI" w:cs="Segoe UI"/>
              </w:rPr>
            </w:pPr>
            <w:r w:rsidRPr="00B30F8B">
              <w:rPr>
                <w:rFonts w:ascii="Segoe UI" w:hAnsi="Segoe UI" w:cs="Segoe UI"/>
              </w:rPr>
              <w:t xml:space="preserve">In addition, the exclusion of commodities exposure could have a considerable impact on trend-following strategies.  </w:t>
            </w:r>
            <w:r>
              <w:rPr>
                <w:rFonts w:ascii="Segoe UI" w:hAnsi="Segoe UI" w:cs="Segoe UI"/>
              </w:rPr>
              <w:t xml:space="preserve">A significant reduction of </w:t>
            </w:r>
            <w:r w:rsidRPr="00B30F8B">
              <w:rPr>
                <w:rFonts w:ascii="Segoe UI" w:hAnsi="Segoe UI" w:cs="Segoe UI"/>
              </w:rPr>
              <w:t>commodities allocation</w:t>
            </w:r>
            <w:r>
              <w:rPr>
                <w:rFonts w:ascii="Segoe UI" w:hAnsi="Segoe UI" w:cs="Segoe UI"/>
              </w:rPr>
              <w:t xml:space="preserve"> can result</w:t>
            </w:r>
            <w:r w:rsidRPr="00B30F8B">
              <w:rPr>
                <w:rFonts w:ascii="Segoe UI" w:hAnsi="Segoe UI" w:cs="Segoe UI"/>
              </w:rPr>
              <w:t xml:space="preserve"> in fewer opportunities for UCITS investors to profit from trends.  This has a particular </w:t>
            </w:r>
            <w:r w:rsidRPr="00B30F8B">
              <w:rPr>
                <w:rFonts w:ascii="Segoe UI" w:hAnsi="Segoe UI" w:cs="Segoe UI"/>
              </w:rPr>
              <w:lastRenderedPageBreak/>
              <w:t xml:space="preserve">impact when commodity markets move a lot, such as in 2022 when inflation was causing commodity markets to trend upwards, and gave rise to an underperformance of </w:t>
            </w:r>
            <w:proofErr w:type="gramStart"/>
            <w:r w:rsidRPr="00B30F8B">
              <w:rPr>
                <w:rFonts w:ascii="Segoe UI" w:hAnsi="Segoe UI" w:cs="Segoe UI"/>
              </w:rPr>
              <w:t>UCITS trend</w:t>
            </w:r>
            <w:proofErr w:type="gramEnd"/>
            <w:r w:rsidRPr="00B30F8B">
              <w:rPr>
                <w:rFonts w:ascii="Segoe UI" w:hAnsi="Segoe UI" w:cs="Segoe UI"/>
              </w:rPr>
              <w:t>-following products.</w:t>
            </w:r>
          </w:p>
          <w:p w14:paraId="590EE0BB" w14:textId="77777777" w:rsidR="00453BEF" w:rsidRPr="000A458F" w:rsidRDefault="00453BEF" w:rsidP="00453BEF">
            <w:pPr>
              <w:spacing w:after="200" w:line="276" w:lineRule="auto"/>
              <w:jc w:val="both"/>
              <w:rPr>
                <w:rFonts w:ascii="Segoe UI" w:hAnsi="Segoe UI" w:cs="Segoe UI"/>
              </w:rPr>
            </w:pPr>
            <w:r w:rsidRPr="000A458F">
              <w:rPr>
                <w:rFonts w:ascii="Segoe UI" w:hAnsi="Segoe UI" w:cs="Segoe UI"/>
              </w:rPr>
              <w:t xml:space="preserve">Multi-asset portfolio managers are also strongly in favour of retaining the ability to invest in commodity ETCs </w:t>
            </w:r>
            <w:r>
              <w:rPr>
                <w:rFonts w:ascii="Segoe UI" w:hAnsi="Segoe UI" w:cs="Segoe UI"/>
              </w:rPr>
              <w:t xml:space="preserve">qualifying as transferable securities non-embedding a derivative element </w:t>
            </w:r>
            <w:r w:rsidRPr="000A458F">
              <w:rPr>
                <w:rFonts w:ascii="Segoe UI" w:hAnsi="Segoe UI" w:cs="Segoe UI"/>
              </w:rPr>
              <w:t>and in particular gold ETCs. In their views, not being able to invest in a (physically backed) gold ET</w:t>
            </w:r>
            <w:r>
              <w:rPr>
                <w:rFonts w:ascii="Segoe UI" w:hAnsi="Segoe UI" w:cs="Segoe UI"/>
              </w:rPr>
              <w:t>C</w:t>
            </w:r>
            <w:r w:rsidRPr="000A458F">
              <w:rPr>
                <w:rFonts w:ascii="Segoe UI" w:hAnsi="Segoe UI" w:cs="Segoe UI"/>
              </w:rPr>
              <w:t xml:space="preserve"> would reduce their ability to protect their investor’s real returns from the key forward looking risk in the coming decades due to the increasing level of sovereign debts in various jurisdictions. In addition, it was highlighted by </w:t>
            </w:r>
            <w:r w:rsidRPr="000A458F">
              <w:rPr>
                <w:rFonts w:ascii="Segoe UI" w:hAnsi="Segoe UI" w:cs="Segoe UI"/>
              </w:rPr>
              <w:lastRenderedPageBreak/>
              <w:t>managers that investing in commodities through ETCs is a well-trodden path now for UCITS.</w:t>
            </w:r>
          </w:p>
          <w:p w14:paraId="62EBF3C5" w14:textId="2AD04D30" w:rsidR="00453BEF" w:rsidRPr="00B33432" w:rsidRDefault="00453BEF" w:rsidP="00453BEF">
            <w:pPr>
              <w:spacing w:after="250" w:line="276" w:lineRule="auto"/>
              <w:jc w:val="both"/>
              <w:rPr>
                <w:rFonts w:ascii="Arial" w:hAnsi="Arial" w:cs="Arial"/>
                <w:color w:val="181818"/>
              </w:rPr>
            </w:pPr>
            <w:r w:rsidRPr="000A458F">
              <w:rPr>
                <w:rFonts w:ascii="Segoe UI" w:hAnsi="Segoe UI" w:cs="Segoe UI"/>
              </w:rPr>
              <w:t xml:space="preserve">We would like to reference the ESMA Guidelines on ETFs and other </w:t>
            </w:r>
            <w:proofErr w:type="gramStart"/>
            <w:r w:rsidRPr="000A458F">
              <w:rPr>
                <w:rFonts w:ascii="Segoe UI" w:hAnsi="Segoe UI" w:cs="Segoe UI"/>
              </w:rPr>
              <w:t>UCITS issues</w:t>
            </w:r>
            <w:proofErr w:type="gramEnd"/>
            <w:r w:rsidRPr="000A458F">
              <w:rPr>
                <w:rFonts w:ascii="Segoe UI" w:hAnsi="Segoe UI" w:cs="Segoe UI"/>
              </w:rPr>
              <w:t xml:space="preserve"> which define a clear framework for exposures to commodity indices, including detailed requirements for diversification and the calculation of correlation observations (point 51). This shows that such exposures were already analy</w:t>
            </w:r>
            <w:r>
              <w:rPr>
                <w:rFonts w:ascii="Segoe UI" w:hAnsi="Segoe UI" w:cs="Segoe UI"/>
              </w:rPr>
              <w:t>s</w:t>
            </w:r>
            <w:r w:rsidRPr="000A458F">
              <w:rPr>
                <w:rFonts w:ascii="Segoe UI" w:hAnsi="Segoe UI" w:cs="Segoe UI"/>
              </w:rPr>
              <w:t xml:space="preserve">ed in depth and that subsequent, adequate safeguards were put in place in order to protect investors. In turn, investors can benefit from a more diversified source of return. Such benefits for investors should in our view be preserved in the course of the review of the UCITS </w:t>
            </w:r>
            <w:r>
              <w:rPr>
                <w:rFonts w:ascii="Segoe UI" w:hAnsi="Segoe UI" w:cs="Segoe UI"/>
              </w:rPr>
              <w:t>EAD</w:t>
            </w:r>
            <w:r w:rsidRPr="000A458F">
              <w:rPr>
                <w:rFonts w:ascii="Segoe UI" w:hAnsi="Segoe UI" w:cs="Segoe UI"/>
              </w:rPr>
              <w:t>.</w:t>
            </w:r>
          </w:p>
        </w:tc>
        <w:tc>
          <w:tcPr>
            <w:tcW w:w="1994" w:type="dxa"/>
          </w:tcPr>
          <w:p w14:paraId="6D98A12B" w14:textId="77777777" w:rsidR="00453BEF" w:rsidRPr="00B33432" w:rsidRDefault="00453BEF" w:rsidP="00453BEF">
            <w:pPr>
              <w:spacing w:after="250" w:line="276" w:lineRule="auto"/>
              <w:jc w:val="both"/>
              <w:rPr>
                <w:rFonts w:ascii="Arial" w:hAnsi="Arial" w:cs="Arial"/>
                <w:color w:val="181818"/>
              </w:rPr>
            </w:pPr>
          </w:p>
        </w:tc>
        <w:tc>
          <w:tcPr>
            <w:tcW w:w="1665" w:type="dxa"/>
          </w:tcPr>
          <w:p w14:paraId="2946DB82" w14:textId="77777777" w:rsidR="00453BEF" w:rsidRPr="00B33432" w:rsidRDefault="00453BEF" w:rsidP="00453BEF">
            <w:pPr>
              <w:spacing w:after="250" w:line="276" w:lineRule="auto"/>
              <w:jc w:val="both"/>
              <w:rPr>
                <w:rFonts w:ascii="Arial" w:hAnsi="Arial" w:cs="Arial"/>
                <w:color w:val="181818"/>
              </w:rPr>
            </w:pPr>
          </w:p>
        </w:tc>
      </w:tr>
      <w:tr w:rsidR="00453BEF" w:rsidRPr="00B33432" w14:paraId="1D06A7CA" w14:textId="77777777" w:rsidTr="00331CF0">
        <w:tc>
          <w:tcPr>
            <w:tcW w:w="1992" w:type="dxa"/>
          </w:tcPr>
          <w:p w14:paraId="695108F8" w14:textId="77777777" w:rsidR="00453BEF" w:rsidRPr="00B33432" w:rsidRDefault="00453BEF" w:rsidP="00453BEF">
            <w:pPr>
              <w:spacing w:after="250" w:line="276" w:lineRule="auto"/>
              <w:rPr>
                <w:rFonts w:ascii="Arial" w:hAnsi="Arial" w:cs="Arial"/>
              </w:rPr>
            </w:pPr>
            <w:r w:rsidRPr="00B33432">
              <w:rPr>
                <w:rFonts w:ascii="Arial" w:hAnsi="Arial" w:cs="Arial"/>
              </w:rPr>
              <w:lastRenderedPageBreak/>
              <w:t>9. Exchange-traded commodities (‘ETCs’)</w:t>
            </w:r>
          </w:p>
        </w:tc>
        <w:tc>
          <w:tcPr>
            <w:tcW w:w="1663" w:type="dxa"/>
          </w:tcPr>
          <w:p w14:paraId="5997CC1D" w14:textId="77777777" w:rsidR="00453BEF" w:rsidRPr="00B33432" w:rsidRDefault="00453BEF" w:rsidP="00453BEF">
            <w:pPr>
              <w:spacing w:after="250" w:line="276" w:lineRule="auto"/>
              <w:jc w:val="both"/>
              <w:rPr>
                <w:rFonts w:ascii="Arial" w:hAnsi="Arial" w:cs="Arial"/>
                <w:color w:val="181818"/>
              </w:rPr>
            </w:pPr>
          </w:p>
        </w:tc>
        <w:tc>
          <w:tcPr>
            <w:tcW w:w="2006" w:type="dxa"/>
          </w:tcPr>
          <w:p w14:paraId="2DE307A7" w14:textId="77777777" w:rsidR="009F6C36" w:rsidRDefault="009F6C36" w:rsidP="009F6C36">
            <w:pPr>
              <w:spacing w:after="200" w:line="276" w:lineRule="auto"/>
              <w:jc w:val="both"/>
              <w:rPr>
                <w:rFonts w:ascii="Segoe UI" w:hAnsi="Segoe UI" w:cs="Segoe UI"/>
              </w:rPr>
            </w:pPr>
            <w:r>
              <w:rPr>
                <w:rFonts w:ascii="Segoe UI" w:hAnsi="Segoe UI" w:cs="Segoe UI"/>
              </w:rPr>
              <w:t>We would like to refer to our answer under point 8 above.</w:t>
            </w:r>
          </w:p>
          <w:p w14:paraId="79A951A7" w14:textId="77777777" w:rsidR="009F6C36" w:rsidRDefault="009F6C36" w:rsidP="009F6C36">
            <w:pPr>
              <w:spacing w:after="200" w:line="276" w:lineRule="auto"/>
              <w:jc w:val="both"/>
              <w:rPr>
                <w:rFonts w:ascii="Segoe UI" w:hAnsi="Segoe UI" w:cs="Segoe UI"/>
              </w:rPr>
            </w:pPr>
            <w:r>
              <w:rPr>
                <w:rFonts w:ascii="Segoe UI" w:hAnsi="Segoe UI" w:cs="Segoe UI"/>
              </w:rPr>
              <w:t xml:space="preserve">In addition, we would like to raise the following advantages of investment in </w:t>
            </w:r>
            <w:proofErr w:type="gramStart"/>
            <w:r>
              <w:rPr>
                <w:rFonts w:ascii="Segoe UI" w:hAnsi="Segoe UI" w:cs="Segoe UI"/>
              </w:rPr>
              <w:t>and  exposure</w:t>
            </w:r>
            <w:proofErr w:type="gramEnd"/>
            <w:r>
              <w:rPr>
                <w:rFonts w:ascii="Segoe UI" w:hAnsi="Segoe UI" w:cs="Segoe UI"/>
              </w:rPr>
              <w:t xml:space="preserve"> to ETCs.</w:t>
            </w:r>
          </w:p>
          <w:p w14:paraId="110FFD37" w14:textId="6FAE7883" w:rsidR="00453BEF" w:rsidRPr="00B33432" w:rsidRDefault="009F6C36" w:rsidP="009F6C36">
            <w:pPr>
              <w:spacing w:after="250" w:line="276" w:lineRule="auto"/>
              <w:jc w:val="both"/>
              <w:rPr>
                <w:rFonts w:ascii="Arial" w:hAnsi="Arial" w:cs="Arial"/>
                <w:color w:val="181818"/>
              </w:rPr>
            </w:pPr>
            <w:r w:rsidRPr="00776502">
              <w:rPr>
                <w:rFonts w:ascii="Segoe UI" w:hAnsi="Segoe UI" w:cs="Segoe UI"/>
              </w:rPr>
              <w:t>ETCs give investors the opportunity to invest in markets in which they usually don’t have a direct access to</w:t>
            </w:r>
            <w:r>
              <w:rPr>
                <w:rFonts w:ascii="Segoe UI" w:hAnsi="Segoe UI" w:cs="Segoe UI"/>
              </w:rPr>
              <w:t>,</w:t>
            </w:r>
            <w:r w:rsidRPr="00776502">
              <w:rPr>
                <w:rFonts w:ascii="Segoe UI" w:hAnsi="Segoe UI" w:cs="Segoe UI"/>
              </w:rPr>
              <w:t xml:space="preserve"> such as metals, energy, livestock and other commodities. ETCs invest in one commodity or in a basket of different commodities. The latter helps to diversify the portfolio between the different commodities. Besides ETCs can make a positive contribution to portfolio diversification.</w:t>
            </w:r>
          </w:p>
        </w:tc>
        <w:tc>
          <w:tcPr>
            <w:tcW w:w="1994" w:type="dxa"/>
          </w:tcPr>
          <w:p w14:paraId="6B699379" w14:textId="77777777" w:rsidR="00453BEF" w:rsidRPr="00B33432" w:rsidRDefault="00453BEF" w:rsidP="00453BEF">
            <w:pPr>
              <w:spacing w:after="250" w:line="276" w:lineRule="auto"/>
              <w:jc w:val="both"/>
              <w:rPr>
                <w:rFonts w:ascii="Arial" w:hAnsi="Arial" w:cs="Arial"/>
                <w:color w:val="181818"/>
              </w:rPr>
            </w:pPr>
          </w:p>
        </w:tc>
        <w:tc>
          <w:tcPr>
            <w:tcW w:w="1665" w:type="dxa"/>
          </w:tcPr>
          <w:p w14:paraId="3FE9F23F" w14:textId="77777777" w:rsidR="00453BEF" w:rsidRPr="00B33432" w:rsidRDefault="00453BEF" w:rsidP="00453BEF">
            <w:pPr>
              <w:spacing w:after="250" w:line="276" w:lineRule="auto"/>
              <w:jc w:val="both"/>
              <w:rPr>
                <w:rFonts w:ascii="Arial" w:hAnsi="Arial" w:cs="Arial"/>
                <w:color w:val="181818"/>
              </w:rPr>
            </w:pPr>
          </w:p>
        </w:tc>
      </w:tr>
      <w:tr w:rsidR="00453BEF" w:rsidRPr="00B33432" w14:paraId="241FBBEE" w14:textId="77777777" w:rsidTr="00331CF0">
        <w:tc>
          <w:tcPr>
            <w:tcW w:w="1992" w:type="dxa"/>
          </w:tcPr>
          <w:p w14:paraId="168EC9A2" w14:textId="77777777" w:rsidR="00453BEF" w:rsidRPr="00B33432" w:rsidRDefault="00453BEF" w:rsidP="00453BEF">
            <w:pPr>
              <w:spacing w:after="250" w:line="276" w:lineRule="auto"/>
              <w:rPr>
                <w:rFonts w:ascii="Arial" w:hAnsi="Arial" w:cs="Arial"/>
              </w:rPr>
            </w:pPr>
            <w:r w:rsidRPr="00B33432">
              <w:rPr>
                <w:rFonts w:ascii="Arial" w:hAnsi="Arial" w:cs="Arial"/>
              </w:rPr>
              <w:t>10. Real estate</w:t>
            </w:r>
          </w:p>
        </w:tc>
        <w:tc>
          <w:tcPr>
            <w:tcW w:w="1663" w:type="dxa"/>
          </w:tcPr>
          <w:p w14:paraId="5ED50555" w14:textId="77777777" w:rsidR="00F02137" w:rsidRDefault="00F02137" w:rsidP="00F02137">
            <w:pPr>
              <w:spacing w:after="200" w:line="276" w:lineRule="auto"/>
              <w:jc w:val="both"/>
              <w:rPr>
                <w:rFonts w:ascii="Segoe UI" w:hAnsi="Segoe UI" w:cs="Segoe UI"/>
                <w:lang w:val="en-US"/>
              </w:rPr>
            </w:pPr>
            <w:r w:rsidRPr="00B308DE">
              <w:rPr>
                <w:rFonts w:ascii="Segoe UI" w:hAnsi="Segoe UI" w:cs="Segoe UI"/>
                <w:lang w:val="en-US"/>
              </w:rPr>
              <w:t xml:space="preserve">Real estate can offer higher performance and thereby ensure that also in a low-interest environment </w:t>
            </w:r>
            <w:r w:rsidRPr="00B308DE">
              <w:rPr>
                <w:rFonts w:ascii="Segoe UI" w:hAnsi="Segoe UI" w:cs="Segoe UI"/>
                <w:lang w:val="en-US"/>
              </w:rPr>
              <w:lastRenderedPageBreak/>
              <w:t>UCITS remain one of the most attractive investment opportunities for retail investors</w:t>
            </w:r>
            <w:r>
              <w:rPr>
                <w:rFonts w:ascii="Segoe UI" w:hAnsi="Segoe UI" w:cs="Segoe UI"/>
                <w:lang w:val="en-US"/>
              </w:rPr>
              <w:t>.</w:t>
            </w:r>
          </w:p>
          <w:p w14:paraId="1F72F646" w14:textId="2D3A779B" w:rsidR="00453BEF" w:rsidRPr="00B33432" w:rsidRDefault="00F02137" w:rsidP="00F02137">
            <w:pPr>
              <w:spacing w:after="250" w:line="276" w:lineRule="auto"/>
              <w:jc w:val="both"/>
              <w:rPr>
                <w:rFonts w:ascii="Arial" w:hAnsi="Arial" w:cs="Arial"/>
                <w:color w:val="181818"/>
              </w:rPr>
            </w:pPr>
            <w:r w:rsidRPr="00F04272">
              <w:rPr>
                <w:rFonts w:ascii="Segoe UI" w:hAnsi="Segoe UI" w:cs="Segoe UI"/>
                <w:lang w:val="en-US"/>
              </w:rPr>
              <w:t xml:space="preserve">Real estate often provides higher than average, consistent returns, that are independent from the stock market fluctuations. Correlations with traditional asset classes (stocks/bonds) have been low in the past, which would make real estate a very attractive asset class for UCITS to reduce the overall portfolio risk and to increase potential returns. Also, real estate can be considered as a hedge against inflation and investments in real estate are a dependable way to generate stable revenue </w:t>
            </w:r>
            <w:r w:rsidRPr="00F04272">
              <w:rPr>
                <w:rFonts w:ascii="Segoe UI" w:hAnsi="Segoe UI" w:cs="Segoe UI"/>
                <w:lang w:val="en-US"/>
              </w:rPr>
              <w:lastRenderedPageBreak/>
              <w:t>and profits over time.</w:t>
            </w:r>
          </w:p>
        </w:tc>
        <w:tc>
          <w:tcPr>
            <w:tcW w:w="2006" w:type="dxa"/>
          </w:tcPr>
          <w:p w14:paraId="08CE6F91" w14:textId="77777777" w:rsidR="00453BEF" w:rsidRPr="00B33432" w:rsidRDefault="00453BEF" w:rsidP="00453BEF">
            <w:pPr>
              <w:spacing w:after="250" w:line="276" w:lineRule="auto"/>
              <w:jc w:val="both"/>
              <w:rPr>
                <w:rFonts w:ascii="Arial" w:hAnsi="Arial" w:cs="Arial"/>
                <w:color w:val="181818"/>
              </w:rPr>
            </w:pPr>
          </w:p>
        </w:tc>
        <w:tc>
          <w:tcPr>
            <w:tcW w:w="1994" w:type="dxa"/>
          </w:tcPr>
          <w:p w14:paraId="61CDCEAD" w14:textId="77777777" w:rsidR="00453BEF" w:rsidRPr="00B33432" w:rsidRDefault="00453BEF" w:rsidP="00453BEF">
            <w:pPr>
              <w:spacing w:after="250" w:line="276" w:lineRule="auto"/>
              <w:jc w:val="both"/>
              <w:rPr>
                <w:rFonts w:ascii="Arial" w:hAnsi="Arial" w:cs="Arial"/>
                <w:color w:val="181818"/>
              </w:rPr>
            </w:pPr>
          </w:p>
        </w:tc>
        <w:tc>
          <w:tcPr>
            <w:tcW w:w="1665" w:type="dxa"/>
          </w:tcPr>
          <w:p w14:paraId="6BB9E253" w14:textId="77777777" w:rsidR="00453BEF" w:rsidRPr="00B33432" w:rsidRDefault="00453BEF" w:rsidP="00453BEF">
            <w:pPr>
              <w:spacing w:after="250" w:line="276" w:lineRule="auto"/>
              <w:jc w:val="both"/>
              <w:rPr>
                <w:rFonts w:ascii="Arial" w:hAnsi="Arial" w:cs="Arial"/>
                <w:color w:val="181818"/>
              </w:rPr>
            </w:pPr>
          </w:p>
        </w:tc>
      </w:tr>
      <w:tr w:rsidR="00331CF0" w:rsidRPr="00B33432" w14:paraId="7FD6362C" w14:textId="77777777" w:rsidTr="00331CF0">
        <w:tc>
          <w:tcPr>
            <w:tcW w:w="1992" w:type="dxa"/>
          </w:tcPr>
          <w:p w14:paraId="146B0B65" w14:textId="77777777" w:rsidR="00331CF0" w:rsidRPr="00B33432" w:rsidRDefault="00331CF0" w:rsidP="00331CF0">
            <w:pPr>
              <w:spacing w:after="250" w:line="276" w:lineRule="auto"/>
              <w:rPr>
                <w:rFonts w:ascii="Arial" w:hAnsi="Arial" w:cs="Arial"/>
              </w:rPr>
            </w:pPr>
            <w:r w:rsidRPr="00B33432">
              <w:rPr>
                <w:rFonts w:ascii="Arial" w:hAnsi="Arial" w:cs="Arial"/>
              </w:rPr>
              <w:lastRenderedPageBreak/>
              <w:t>11. Real Estate Investment Trusts (‘REITs’)</w:t>
            </w:r>
          </w:p>
        </w:tc>
        <w:tc>
          <w:tcPr>
            <w:tcW w:w="1663" w:type="dxa"/>
          </w:tcPr>
          <w:p w14:paraId="0C72B4C6" w14:textId="77777777" w:rsidR="00331CF0" w:rsidRPr="00E64AA3" w:rsidRDefault="00331CF0" w:rsidP="00331CF0">
            <w:pPr>
              <w:spacing w:after="200" w:line="276" w:lineRule="auto"/>
              <w:jc w:val="both"/>
              <w:rPr>
                <w:rFonts w:ascii="Segoe UI" w:hAnsi="Segoe UI" w:cs="Segoe UI"/>
              </w:rPr>
            </w:pPr>
            <w:r w:rsidRPr="00E64AA3">
              <w:rPr>
                <w:rFonts w:ascii="Segoe UI" w:hAnsi="Segoe UI" w:cs="Segoe UI"/>
              </w:rPr>
              <w:t xml:space="preserve">REITs are much more flexible than investing in physical properties. Buying and selling shares in a </w:t>
            </w:r>
            <w:proofErr w:type="gramStart"/>
            <w:r w:rsidRPr="00E64AA3">
              <w:rPr>
                <w:rFonts w:ascii="Segoe UI" w:hAnsi="Segoe UI" w:cs="Segoe UI"/>
              </w:rPr>
              <w:t>REIT takes</w:t>
            </w:r>
            <w:proofErr w:type="gramEnd"/>
            <w:r w:rsidRPr="00E64AA3">
              <w:rPr>
                <w:rFonts w:ascii="Segoe UI" w:hAnsi="Segoe UI" w:cs="Segoe UI"/>
              </w:rPr>
              <w:t xml:space="preserve"> much less time than buying and selling physical properties, which could take a long time and could incur high costs. </w:t>
            </w:r>
          </w:p>
          <w:p w14:paraId="23DE523C" w14:textId="278DC714" w:rsidR="00331CF0" w:rsidRPr="00B33432" w:rsidRDefault="00331CF0" w:rsidP="00331CF0">
            <w:pPr>
              <w:spacing w:after="250" w:line="276" w:lineRule="auto"/>
              <w:jc w:val="both"/>
              <w:rPr>
                <w:rFonts w:ascii="Arial" w:hAnsi="Arial" w:cs="Arial"/>
                <w:color w:val="181818"/>
              </w:rPr>
            </w:pPr>
            <w:r w:rsidRPr="00E64AA3">
              <w:rPr>
                <w:rFonts w:ascii="Segoe UI" w:hAnsi="Segoe UI" w:cs="Segoe UI"/>
              </w:rPr>
              <w:t xml:space="preserve">REITs give investors access to property classes which are usually reserved for investors with a significant capital stock as commercial real estate. By investing in REITs the managing cost are much lower than investing in physical properties directly. Usually REITs have a consistent and manageable income stream due to long-term </w:t>
            </w:r>
            <w:r w:rsidRPr="00E64AA3">
              <w:rPr>
                <w:rFonts w:ascii="Segoe UI" w:hAnsi="Segoe UI" w:cs="Segoe UI"/>
              </w:rPr>
              <w:lastRenderedPageBreak/>
              <w:t>leases associated with the managed assets.</w:t>
            </w:r>
          </w:p>
        </w:tc>
        <w:tc>
          <w:tcPr>
            <w:tcW w:w="2006" w:type="dxa"/>
          </w:tcPr>
          <w:p w14:paraId="52E56223" w14:textId="77777777" w:rsidR="00331CF0" w:rsidRPr="00B33432" w:rsidRDefault="00331CF0" w:rsidP="00331CF0">
            <w:pPr>
              <w:spacing w:after="250" w:line="276" w:lineRule="auto"/>
              <w:jc w:val="both"/>
              <w:rPr>
                <w:rFonts w:ascii="Arial" w:hAnsi="Arial" w:cs="Arial"/>
                <w:color w:val="181818"/>
              </w:rPr>
            </w:pPr>
            <w:bookmarkStart w:id="2" w:name="_GoBack"/>
            <w:bookmarkEnd w:id="2"/>
          </w:p>
        </w:tc>
        <w:tc>
          <w:tcPr>
            <w:tcW w:w="1994" w:type="dxa"/>
          </w:tcPr>
          <w:p w14:paraId="07547A01" w14:textId="77777777" w:rsidR="00331CF0" w:rsidRPr="00B33432" w:rsidRDefault="00331CF0" w:rsidP="00331CF0">
            <w:pPr>
              <w:spacing w:after="250" w:line="276" w:lineRule="auto"/>
              <w:jc w:val="both"/>
              <w:rPr>
                <w:rFonts w:ascii="Arial" w:hAnsi="Arial" w:cs="Arial"/>
                <w:color w:val="181818"/>
              </w:rPr>
            </w:pPr>
          </w:p>
        </w:tc>
        <w:tc>
          <w:tcPr>
            <w:tcW w:w="1665" w:type="dxa"/>
          </w:tcPr>
          <w:p w14:paraId="5043CB0F" w14:textId="77777777" w:rsidR="00331CF0" w:rsidRPr="00B33432" w:rsidRDefault="00331CF0" w:rsidP="00331CF0">
            <w:pPr>
              <w:spacing w:after="250" w:line="276" w:lineRule="auto"/>
              <w:jc w:val="both"/>
              <w:rPr>
                <w:rFonts w:ascii="Arial" w:hAnsi="Arial" w:cs="Arial"/>
                <w:color w:val="181818"/>
              </w:rPr>
            </w:pPr>
          </w:p>
        </w:tc>
      </w:tr>
      <w:tr w:rsidR="00ED1A78" w:rsidRPr="00B33432" w14:paraId="585437CF" w14:textId="77777777" w:rsidTr="00331CF0">
        <w:tc>
          <w:tcPr>
            <w:tcW w:w="1992" w:type="dxa"/>
          </w:tcPr>
          <w:p w14:paraId="17F5DE1B" w14:textId="77777777" w:rsidR="00ED1A78" w:rsidRPr="00B33432" w:rsidRDefault="00ED1A78" w:rsidP="00ED1A78">
            <w:pPr>
              <w:spacing w:after="250" w:line="276" w:lineRule="auto"/>
              <w:rPr>
                <w:rFonts w:ascii="Arial" w:hAnsi="Arial" w:cs="Arial"/>
              </w:rPr>
            </w:pPr>
            <w:r w:rsidRPr="00B33432">
              <w:rPr>
                <w:rFonts w:ascii="Arial" w:hAnsi="Arial" w:cs="Arial"/>
              </w:rPr>
              <w:t>12. Special Purpose Acquisition Companies (‘SPACs’)</w:t>
            </w:r>
          </w:p>
        </w:tc>
        <w:tc>
          <w:tcPr>
            <w:tcW w:w="1663" w:type="dxa"/>
          </w:tcPr>
          <w:p w14:paraId="0095B18A" w14:textId="77777777" w:rsidR="00ED1A78" w:rsidRPr="008C1D97" w:rsidRDefault="00ED1A78" w:rsidP="00ED1A78">
            <w:pPr>
              <w:spacing w:after="200" w:line="276" w:lineRule="auto"/>
              <w:jc w:val="both"/>
              <w:rPr>
                <w:rFonts w:ascii="Segoe UI" w:hAnsi="Segoe UI" w:cs="Segoe UI"/>
              </w:rPr>
            </w:pPr>
            <w:proofErr w:type="gramStart"/>
            <w:r w:rsidRPr="008C1D97">
              <w:rPr>
                <w:rFonts w:ascii="Segoe UI" w:hAnsi="Segoe UI" w:cs="Segoe UI"/>
              </w:rPr>
              <w:t>SPAC investments</w:t>
            </w:r>
            <w:proofErr w:type="gramEnd"/>
            <w:r w:rsidRPr="008C1D97">
              <w:rPr>
                <w:rFonts w:ascii="Segoe UI" w:hAnsi="Segoe UI" w:cs="Segoe UI"/>
              </w:rPr>
              <w:t xml:space="preserve"> can be traded in the same manner as normal common stock when they are publicly listed companies on a stock exchange. The main difference being </w:t>
            </w:r>
            <w:r>
              <w:rPr>
                <w:rFonts w:ascii="Segoe UI" w:hAnsi="Segoe UI" w:cs="Segoe UI"/>
              </w:rPr>
              <w:t xml:space="preserve">that </w:t>
            </w:r>
            <w:r w:rsidRPr="008C1D97">
              <w:rPr>
                <w:rFonts w:ascii="Segoe UI" w:hAnsi="Segoe UI" w:cs="Segoe UI"/>
              </w:rPr>
              <w:t xml:space="preserve">they have no operations and are a vehicle which uses an IPO to raise capital to acquire another company down the line. </w:t>
            </w:r>
          </w:p>
          <w:p w14:paraId="07459315" w14:textId="09C8B8CD" w:rsidR="00ED1A78" w:rsidRPr="00B33432" w:rsidRDefault="00ED1A78" w:rsidP="00ED1A78">
            <w:pPr>
              <w:spacing w:after="250" w:line="276" w:lineRule="auto"/>
              <w:jc w:val="both"/>
              <w:rPr>
                <w:rFonts w:ascii="Arial" w:hAnsi="Arial" w:cs="Arial"/>
                <w:color w:val="181818"/>
              </w:rPr>
            </w:pPr>
            <w:r w:rsidRPr="008C1D97">
              <w:rPr>
                <w:rFonts w:ascii="Segoe UI" w:hAnsi="Segoe UI" w:cs="Segoe UI"/>
              </w:rPr>
              <w:t>Clarifying that investment in SPACs is allowed under the E</w:t>
            </w:r>
            <w:r>
              <w:rPr>
                <w:rFonts w:ascii="Segoe UI" w:hAnsi="Segoe UI" w:cs="Segoe UI"/>
              </w:rPr>
              <w:t>AD</w:t>
            </w:r>
            <w:r w:rsidRPr="008C1D97">
              <w:rPr>
                <w:rFonts w:ascii="Segoe UI" w:hAnsi="Segoe UI" w:cs="Segoe UI"/>
              </w:rPr>
              <w:t>, under similar conditions to those mentioned in the CSSF FAQ on the Law of 2010, point 13, p. 24</w:t>
            </w:r>
            <w:r>
              <w:rPr>
                <w:rFonts w:ascii="Segoe UI" w:hAnsi="Segoe UI" w:cs="Segoe UI"/>
              </w:rPr>
              <w:t xml:space="preserve"> </w:t>
            </w:r>
            <w:r w:rsidRPr="008C1D97">
              <w:rPr>
                <w:rFonts w:ascii="Segoe UI" w:hAnsi="Segoe UI" w:cs="Segoe UI"/>
              </w:rPr>
              <w:t xml:space="preserve">(in particular, that SPACs qualify, at any point of their life cycle, as transferable securities in reference to the </w:t>
            </w:r>
            <w:r w:rsidRPr="008C1D97">
              <w:rPr>
                <w:rFonts w:ascii="Segoe UI" w:hAnsi="Segoe UI" w:cs="Segoe UI"/>
              </w:rPr>
              <w:lastRenderedPageBreak/>
              <w:t xml:space="preserve">CESR guidelines), would therefore be positive. In order to further limit any potential risks associated with SPACS, the percentage of possible investments into SPACS could also be limited under the Directive, e.g. as required in the CSSF FAQ, provided that such </w:t>
            </w:r>
            <w:proofErr w:type="gramStart"/>
            <w:r w:rsidRPr="008C1D97">
              <w:rPr>
                <w:rFonts w:ascii="Segoe UI" w:hAnsi="Segoe UI" w:cs="Segoe UI"/>
              </w:rPr>
              <w:t>SPAC investments</w:t>
            </w:r>
            <w:proofErr w:type="gramEnd"/>
            <w:r w:rsidRPr="008C1D97">
              <w:rPr>
                <w:rFonts w:ascii="Segoe UI" w:hAnsi="Segoe UI" w:cs="Segoe UI"/>
              </w:rPr>
              <w:t xml:space="preserve"> fulfil all applicable eligibility requirements, are appropriately disclosed in UCITS prospectuses and are captured adequately by the risk management process of the UCITS.</w:t>
            </w:r>
          </w:p>
        </w:tc>
        <w:tc>
          <w:tcPr>
            <w:tcW w:w="2006" w:type="dxa"/>
          </w:tcPr>
          <w:p w14:paraId="6537F28F" w14:textId="77777777" w:rsidR="00ED1A78" w:rsidRPr="00B33432" w:rsidRDefault="00ED1A78" w:rsidP="00ED1A78">
            <w:pPr>
              <w:spacing w:after="250" w:line="276" w:lineRule="auto"/>
              <w:jc w:val="both"/>
              <w:rPr>
                <w:rFonts w:ascii="Arial" w:hAnsi="Arial" w:cs="Arial"/>
                <w:color w:val="181818"/>
              </w:rPr>
            </w:pPr>
          </w:p>
        </w:tc>
        <w:tc>
          <w:tcPr>
            <w:tcW w:w="1994" w:type="dxa"/>
          </w:tcPr>
          <w:p w14:paraId="6DFB9E20" w14:textId="77777777" w:rsidR="00ED1A78" w:rsidRPr="00B33432" w:rsidRDefault="00ED1A78" w:rsidP="00ED1A78">
            <w:pPr>
              <w:spacing w:after="250" w:line="276" w:lineRule="auto"/>
              <w:jc w:val="both"/>
              <w:rPr>
                <w:rFonts w:ascii="Arial" w:hAnsi="Arial" w:cs="Arial"/>
                <w:color w:val="181818"/>
              </w:rPr>
            </w:pPr>
          </w:p>
        </w:tc>
        <w:tc>
          <w:tcPr>
            <w:tcW w:w="1665" w:type="dxa"/>
          </w:tcPr>
          <w:p w14:paraId="70DF9E56" w14:textId="77777777" w:rsidR="00ED1A78" w:rsidRPr="00B33432" w:rsidRDefault="00ED1A78" w:rsidP="00ED1A78">
            <w:pPr>
              <w:spacing w:after="250" w:line="276" w:lineRule="auto"/>
              <w:jc w:val="both"/>
              <w:rPr>
                <w:rFonts w:ascii="Arial" w:hAnsi="Arial" w:cs="Arial"/>
                <w:color w:val="181818"/>
              </w:rPr>
            </w:pPr>
          </w:p>
        </w:tc>
      </w:tr>
      <w:tr w:rsidR="006F159F" w:rsidRPr="00B33432" w14:paraId="72D194A9" w14:textId="77777777" w:rsidTr="00331CF0">
        <w:tc>
          <w:tcPr>
            <w:tcW w:w="1992" w:type="dxa"/>
          </w:tcPr>
          <w:p w14:paraId="31158681" w14:textId="77777777" w:rsidR="006F159F" w:rsidRPr="00B33432" w:rsidRDefault="006F159F" w:rsidP="006F159F">
            <w:pPr>
              <w:spacing w:after="250" w:line="276" w:lineRule="auto"/>
              <w:rPr>
                <w:rFonts w:ascii="Arial" w:hAnsi="Arial" w:cs="Arial"/>
              </w:rPr>
            </w:pPr>
            <w:r w:rsidRPr="00B33432">
              <w:rPr>
                <w:rFonts w:ascii="Arial" w:hAnsi="Arial" w:cs="Arial"/>
              </w:rPr>
              <w:t>13. EU AIFs</w:t>
            </w:r>
            <w:r w:rsidRPr="00B33432">
              <w:rPr>
                <w:rFonts w:ascii="Arial" w:hAnsi="Arial" w:cs="Arial"/>
                <w:sz w:val="16"/>
                <w:vertAlign w:val="superscript"/>
              </w:rPr>
              <w:footnoteReference w:id="10"/>
            </w:r>
          </w:p>
        </w:tc>
        <w:tc>
          <w:tcPr>
            <w:tcW w:w="1663" w:type="dxa"/>
          </w:tcPr>
          <w:p w14:paraId="1F71A3B2" w14:textId="77777777" w:rsidR="006F159F" w:rsidRDefault="006F159F" w:rsidP="006F159F">
            <w:pPr>
              <w:spacing w:after="200" w:line="276" w:lineRule="auto"/>
              <w:jc w:val="both"/>
              <w:rPr>
                <w:rFonts w:ascii="Segoe UI" w:hAnsi="Segoe UI" w:cs="Segoe UI"/>
              </w:rPr>
            </w:pPr>
            <w:r w:rsidRPr="00FE565F">
              <w:rPr>
                <w:rFonts w:ascii="Segoe UI" w:hAnsi="Segoe UI" w:cs="Segoe UI"/>
              </w:rPr>
              <w:t xml:space="preserve">As a general remark, AIFs meeting UCITS eligibility criteria should remain authorized for </w:t>
            </w:r>
            <w:proofErr w:type="gramStart"/>
            <w:r w:rsidRPr="00FE565F">
              <w:rPr>
                <w:rFonts w:ascii="Segoe UI" w:hAnsi="Segoe UI" w:cs="Segoe UI"/>
              </w:rPr>
              <w:lastRenderedPageBreak/>
              <w:t>UCITS investments</w:t>
            </w:r>
            <w:proofErr w:type="gramEnd"/>
            <w:r w:rsidRPr="00FE565F">
              <w:rPr>
                <w:rFonts w:ascii="Segoe UI" w:hAnsi="Segoe UI" w:cs="Segoe UI"/>
              </w:rPr>
              <w:t>.</w:t>
            </w:r>
          </w:p>
          <w:p w14:paraId="65A1A9F2" w14:textId="77777777" w:rsidR="006F159F" w:rsidRDefault="006F159F" w:rsidP="006F159F">
            <w:pPr>
              <w:spacing w:after="200" w:line="276" w:lineRule="auto"/>
              <w:jc w:val="both"/>
              <w:rPr>
                <w:rFonts w:ascii="Segoe UI" w:hAnsi="Segoe UI" w:cs="Segoe UI"/>
              </w:rPr>
            </w:pPr>
            <w:r>
              <w:rPr>
                <w:rFonts w:ascii="Segoe UI" w:hAnsi="Segoe UI" w:cs="Segoe UI"/>
              </w:rPr>
              <w:t>Retail open-ended</w:t>
            </w:r>
            <w:r w:rsidRPr="00A30CFB">
              <w:rPr>
                <w:rFonts w:ascii="Segoe UI" w:hAnsi="Segoe UI" w:cs="Segoe UI"/>
              </w:rPr>
              <w:t xml:space="preserve"> ELTIF</w:t>
            </w:r>
            <w:r>
              <w:rPr>
                <w:rFonts w:ascii="Segoe UI" w:hAnsi="Segoe UI" w:cs="Segoe UI"/>
              </w:rPr>
              <w:t>s are</w:t>
            </w:r>
            <w:r w:rsidRPr="00A30CFB">
              <w:rPr>
                <w:rFonts w:ascii="Segoe UI" w:hAnsi="Segoe UI" w:cs="Segoe UI"/>
              </w:rPr>
              <w:t xml:space="preserve"> eligible for retail</w:t>
            </w:r>
            <w:r>
              <w:rPr>
                <w:rFonts w:ascii="Segoe UI" w:hAnsi="Segoe UI" w:cs="Segoe UI"/>
              </w:rPr>
              <w:t xml:space="preserve"> investors</w:t>
            </w:r>
            <w:r w:rsidRPr="00A30CFB">
              <w:rPr>
                <w:rFonts w:ascii="Segoe UI" w:hAnsi="Segoe UI" w:cs="Segoe UI"/>
              </w:rPr>
              <w:t xml:space="preserve"> as a direct investment but </w:t>
            </w:r>
            <w:r>
              <w:rPr>
                <w:rFonts w:ascii="Segoe UI" w:hAnsi="Segoe UI" w:cs="Segoe UI"/>
              </w:rPr>
              <w:t>are</w:t>
            </w:r>
            <w:r w:rsidRPr="00A30CFB">
              <w:rPr>
                <w:rFonts w:ascii="Segoe UI" w:hAnsi="Segoe UI" w:cs="Segoe UI"/>
              </w:rPr>
              <w:t xml:space="preserve"> not eligible for a UCITS to invest in. This makes sense to some extent as the investor who targets an ELTIF will be reminded that there is an expected time horizon for the redemption and will invest knowingly while the investor of a </w:t>
            </w:r>
            <w:proofErr w:type="gramStart"/>
            <w:r w:rsidRPr="00A30CFB">
              <w:rPr>
                <w:rFonts w:ascii="Segoe UI" w:hAnsi="Segoe UI" w:cs="Segoe UI"/>
              </w:rPr>
              <w:t>UCITS do</w:t>
            </w:r>
            <w:r>
              <w:rPr>
                <w:rFonts w:ascii="Segoe UI" w:hAnsi="Segoe UI" w:cs="Segoe UI"/>
              </w:rPr>
              <w:t>es</w:t>
            </w:r>
            <w:proofErr w:type="gramEnd"/>
            <w:r w:rsidRPr="00A30CFB">
              <w:rPr>
                <w:rFonts w:ascii="Segoe UI" w:hAnsi="Segoe UI" w:cs="Segoe UI"/>
              </w:rPr>
              <w:t xml:space="preserve"> not have this view and may redeem faster.</w:t>
            </w:r>
          </w:p>
          <w:p w14:paraId="0601914B" w14:textId="77777777" w:rsidR="006F159F" w:rsidRDefault="006F159F" w:rsidP="006F159F">
            <w:pPr>
              <w:spacing w:after="200" w:line="276" w:lineRule="auto"/>
              <w:jc w:val="both"/>
              <w:rPr>
                <w:rFonts w:ascii="Segoe UI" w:hAnsi="Segoe UI" w:cs="Segoe UI"/>
              </w:rPr>
            </w:pPr>
            <w:r w:rsidRPr="00A30CFB">
              <w:rPr>
                <w:rFonts w:ascii="Segoe UI" w:hAnsi="Segoe UI" w:cs="Segoe UI"/>
              </w:rPr>
              <w:t xml:space="preserve">Here again, we could consider putting the liquidity at the centre of consideration. If the redemption cycle of the UCITS is frequent enough to not jeopardize the overall liquidity of the fund, it could be </w:t>
            </w:r>
            <w:r w:rsidRPr="00A30CFB">
              <w:rPr>
                <w:rFonts w:ascii="Segoe UI" w:hAnsi="Segoe UI" w:cs="Segoe UI"/>
              </w:rPr>
              <w:lastRenderedPageBreak/>
              <w:t>considered as acceptable</w:t>
            </w:r>
            <w:r>
              <w:rPr>
                <w:rFonts w:ascii="Segoe UI" w:hAnsi="Segoe UI" w:cs="Segoe UI"/>
              </w:rPr>
              <w:t>.</w:t>
            </w:r>
          </w:p>
          <w:p w14:paraId="052F9EB3" w14:textId="77777777" w:rsidR="006F159F" w:rsidRPr="00010BC5" w:rsidRDefault="006F159F" w:rsidP="006F159F">
            <w:pPr>
              <w:spacing w:after="200" w:line="276" w:lineRule="auto"/>
              <w:jc w:val="both"/>
              <w:rPr>
                <w:rFonts w:ascii="Segoe UI" w:hAnsi="Segoe UI" w:cs="Segoe UI"/>
              </w:rPr>
            </w:pPr>
            <w:r w:rsidRPr="00010BC5">
              <w:rPr>
                <w:rFonts w:ascii="Segoe UI" w:hAnsi="Segoe UI" w:cs="Segoe UI"/>
              </w:rPr>
              <w:t>Investments in AIFs give investors access to investments in large-scale projects such as real estate or infrastructure projects, what is due to the creation of the “ELTIF” now also possible for small investors and not just wealthy private individuals.</w:t>
            </w:r>
          </w:p>
          <w:p w14:paraId="0EE7F233" w14:textId="77777777" w:rsidR="006F159F" w:rsidRPr="00010BC5" w:rsidRDefault="006F159F" w:rsidP="006F159F">
            <w:pPr>
              <w:spacing w:after="200" w:line="276" w:lineRule="auto"/>
              <w:jc w:val="both"/>
              <w:rPr>
                <w:rFonts w:ascii="Segoe UI" w:hAnsi="Segoe UI" w:cs="Segoe UI"/>
              </w:rPr>
            </w:pPr>
            <w:r w:rsidRPr="00010BC5">
              <w:rPr>
                <w:rFonts w:ascii="Segoe UI" w:hAnsi="Segoe UI" w:cs="Segoe UI"/>
              </w:rPr>
              <w:t>Due to the investment focus on real assets, AIFs generally offer investors a high degree of stability and profitability regardless of, for example, the current interest rate phase on the market.</w:t>
            </w:r>
          </w:p>
          <w:p w14:paraId="734358B4" w14:textId="77777777" w:rsidR="006F159F" w:rsidRPr="00010BC5" w:rsidRDefault="006F159F" w:rsidP="006F159F">
            <w:pPr>
              <w:spacing w:after="200" w:line="276" w:lineRule="auto"/>
              <w:jc w:val="both"/>
              <w:rPr>
                <w:rFonts w:ascii="Segoe UI" w:hAnsi="Segoe UI" w:cs="Segoe UI"/>
              </w:rPr>
            </w:pPr>
            <w:r w:rsidRPr="00010BC5">
              <w:rPr>
                <w:rFonts w:ascii="Segoe UI" w:hAnsi="Segoe UI" w:cs="Segoe UI"/>
              </w:rPr>
              <w:t xml:space="preserve">The funds are limited in time and have medium to long-term maturities. They are therefore particularly </w:t>
            </w:r>
            <w:r w:rsidRPr="00010BC5">
              <w:rPr>
                <w:rFonts w:ascii="Segoe UI" w:hAnsi="Segoe UI" w:cs="Segoe UI"/>
              </w:rPr>
              <w:lastRenderedPageBreak/>
              <w:t>suitable for investors who are interested in a medium to long-term investment to build up assets.</w:t>
            </w:r>
          </w:p>
          <w:p w14:paraId="79AEEAD9" w14:textId="77777777" w:rsidR="006F159F" w:rsidRPr="00A30CFB" w:rsidRDefault="006F159F" w:rsidP="006F159F">
            <w:pPr>
              <w:spacing w:after="200" w:line="276" w:lineRule="auto"/>
              <w:jc w:val="both"/>
              <w:rPr>
                <w:rFonts w:ascii="Segoe UI" w:hAnsi="Segoe UI" w:cs="Segoe UI"/>
              </w:rPr>
            </w:pPr>
            <w:r w:rsidRPr="00010BC5">
              <w:rPr>
                <w:rFonts w:ascii="Segoe UI" w:hAnsi="Segoe UI" w:cs="Segoe UI"/>
              </w:rPr>
              <w:t>Furthermore, the statutory regulation of AIFs provides increased investor protection.</w:t>
            </w:r>
          </w:p>
          <w:p w14:paraId="44E871BC" w14:textId="77777777" w:rsidR="006F159F" w:rsidRPr="00B33432" w:rsidRDefault="006F159F" w:rsidP="006F159F">
            <w:pPr>
              <w:spacing w:after="250" w:line="276" w:lineRule="auto"/>
              <w:jc w:val="both"/>
              <w:rPr>
                <w:rFonts w:ascii="Arial" w:hAnsi="Arial" w:cs="Arial"/>
                <w:color w:val="181818"/>
              </w:rPr>
            </w:pPr>
          </w:p>
        </w:tc>
        <w:tc>
          <w:tcPr>
            <w:tcW w:w="2006" w:type="dxa"/>
          </w:tcPr>
          <w:p w14:paraId="144A5D23" w14:textId="77777777" w:rsidR="006F159F" w:rsidRPr="00B33432" w:rsidRDefault="006F159F" w:rsidP="006F159F">
            <w:pPr>
              <w:spacing w:after="250" w:line="276" w:lineRule="auto"/>
              <w:jc w:val="both"/>
              <w:rPr>
                <w:rFonts w:ascii="Arial" w:hAnsi="Arial" w:cs="Arial"/>
                <w:color w:val="181818"/>
              </w:rPr>
            </w:pPr>
          </w:p>
        </w:tc>
        <w:tc>
          <w:tcPr>
            <w:tcW w:w="1994" w:type="dxa"/>
          </w:tcPr>
          <w:p w14:paraId="738610EB" w14:textId="77777777" w:rsidR="006F159F" w:rsidRPr="00B33432" w:rsidRDefault="006F159F" w:rsidP="006F159F">
            <w:pPr>
              <w:spacing w:after="250" w:line="276" w:lineRule="auto"/>
              <w:jc w:val="both"/>
              <w:rPr>
                <w:rFonts w:ascii="Arial" w:hAnsi="Arial" w:cs="Arial"/>
                <w:color w:val="181818"/>
              </w:rPr>
            </w:pPr>
          </w:p>
        </w:tc>
        <w:tc>
          <w:tcPr>
            <w:tcW w:w="1665" w:type="dxa"/>
          </w:tcPr>
          <w:p w14:paraId="637805D2" w14:textId="77777777" w:rsidR="006F159F" w:rsidRPr="00B33432" w:rsidRDefault="006F159F" w:rsidP="006F159F">
            <w:pPr>
              <w:spacing w:after="250" w:line="276" w:lineRule="auto"/>
              <w:jc w:val="both"/>
              <w:rPr>
                <w:rFonts w:ascii="Arial" w:hAnsi="Arial" w:cs="Arial"/>
                <w:color w:val="181818"/>
              </w:rPr>
            </w:pPr>
          </w:p>
        </w:tc>
      </w:tr>
      <w:tr w:rsidR="00484E30" w:rsidRPr="00B33432" w14:paraId="50B47933" w14:textId="77777777" w:rsidTr="00331CF0">
        <w:tc>
          <w:tcPr>
            <w:tcW w:w="1992" w:type="dxa"/>
          </w:tcPr>
          <w:p w14:paraId="5B21E6DB" w14:textId="77777777" w:rsidR="00484E30" w:rsidRPr="00B33432" w:rsidRDefault="00484E30" w:rsidP="00484E30">
            <w:pPr>
              <w:spacing w:after="250" w:line="276" w:lineRule="auto"/>
              <w:rPr>
                <w:rFonts w:ascii="Arial" w:hAnsi="Arial" w:cs="Arial"/>
              </w:rPr>
            </w:pPr>
            <w:r w:rsidRPr="00B33432">
              <w:rPr>
                <w:rFonts w:ascii="Arial" w:hAnsi="Arial" w:cs="Arial"/>
              </w:rPr>
              <w:lastRenderedPageBreak/>
              <w:t>14. Non-EU AIFs</w:t>
            </w:r>
          </w:p>
        </w:tc>
        <w:tc>
          <w:tcPr>
            <w:tcW w:w="1663" w:type="dxa"/>
          </w:tcPr>
          <w:p w14:paraId="195E39B1" w14:textId="77777777" w:rsidR="00484E30" w:rsidRPr="008266AA" w:rsidRDefault="00484E30" w:rsidP="00484E30">
            <w:pPr>
              <w:spacing w:after="200" w:line="276" w:lineRule="auto"/>
              <w:jc w:val="both"/>
              <w:rPr>
                <w:rFonts w:ascii="Segoe UI" w:hAnsi="Segoe UI" w:cs="Segoe UI"/>
              </w:rPr>
            </w:pPr>
            <w:r w:rsidRPr="008266AA">
              <w:rPr>
                <w:rFonts w:ascii="Segoe UI" w:hAnsi="Segoe UI" w:cs="Segoe UI"/>
              </w:rPr>
              <w:t xml:space="preserve">A non-EU AIF makes it possible to invest in sectors outside the EU whose potential returns far exceed the investment opportunities of an AIF limited to the EU. </w:t>
            </w:r>
          </w:p>
          <w:p w14:paraId="4ED80182" w14:textId="77777777" w:rsidR="00484E30" w:rsidRPr="008266AA" w:rsidRDefault="00484E30" w:rsidP="00484E30">
            <w:pPr>
              <w:spacing w:after="200" w:line="276" w:lineRule="auto"/>
              <w:jc w:val="both"/>
              <w:rPr>
                <w:rFonts w:ascii="Segoe UI" w:hAnsi="Segoe UI" w:cs="Segoe UI"/>
              </w:rPr>
            </w:pPr>
            <w:r w:rsidRPr="008266AA">
              <w:rPr>
                <w:rFonts w:ascii="Segoe UI" w:hAnsi="Segoe UI" w:cs="Segoe UI"/>
              </w:rPr>
              <w:t xml:space="preserve">In addition, they can be added to a portfolio heavily invested in the EU as a diversification or stabilization tool to reduce the risks that may arise in Europe. Although AIFs generally have a sectoral focus </w:t>
            </w:r>
            <w:r w:rsidRPr="008266AA">
              <w:rPr>
                <w:rFonts w:ascii="Segoe UI" w:hAnsi="Segoe UI" w:cs="Segoe UI"/>
              </w:rPr>
              <w:lastRenderedPageBreak/>
              <w:t xml:space="preserve">rather than a country focus, assets in one sector can develop differently in different countries. </w:t>
            </w:r>
          </w:p>
          <w:p w14:paraId="463F29E8" w14:textId="4FBEB9A2" w:rsidR="00484E30" w:rsidRPr="00B33432" w:rsidRDefault="00484E30" w:rsidP="00484E30">
            <w:pPr>
              <w:spacing w:after="250" w:line="276" w:lineRule="auto"/>
              <w:jc w:val="both"/>
              <w:rPr>
                <w:rFonts w:ascii="Arial" w:hAnsi="Arial" w:cs="Arial"/>
                <w:color w:val="181818"/>
              </w:rPr>
            </w:pPr>
            <w:r w:rsidRPr="008266AA">
              <w:rPr>
                <w:rFonts w:ascii="Segoe UI" w:hAnsi="Segoe UI" w:cs="Segoe UI"/>
              </w:rPr>
              <w:t>However, investing in countries outside the EU can also entail risks. NON-EU AIFs may be subject to authorities that do not comply with European standards and may put investors at a disadvantage due to the lack of investor protection.</w:t>
            </w:r>
          </w:p>
        </w:tc>
        <w:tc>
          <w:tcPr>
            <w:tcW w:w="2006" w:type="dxa"/>
          </w:tcPr>
          <w:p w14:paraId="3B7B4B86" w14:textId="77777777" w:rsidR="00484E30" w:rsidRPr="00B33432" w:rsidRDefault="00484E30" w:rsidP="00484E30">
            <w:pPr>
              <w:spacing w:after="250" w:line="276" w:lineRule="auto"/>
              <w:jc w:val="both"/>
              <w:rPr>
                <w:rFonts w:ascii="Arial" w:hAnsi="Arial" w:cs="Arial"/>
                <w:color w:val="181818"/>
              </w:rPr>
            </w:pPr>
          </w:p>
        </w:tc>
        <w:tc>
          <w:tcPr>
            <w:tcW w:w="1994" w:type="dxa"/>
          </w:tcPr>
          <w:p w14:paraId="3A0FF5F2" w14:textId="77777777" w:rsidR="00484E30" w:rsidRPr="00B33432" w:rsidRDefault="00484E30" w:rsidP="00484E30">
            <w:pPr>
              <w:spacing w:after="250" w:line="276" w:lineRule="auto"/>
              <w:jc w:val="both"/>
              <w:rPr>
                <w:rFonts w:ascii="Arial" w:hAnsi="Arial" w:cs="Arial"/>
                <w:color w:val="181818"/>
              </w:rPr>
            </w:pPr>
          </w:p>
        </w:tc>
        <w:tc>
          <w:tcPr>
            <w:tcW w:w="1665" w:type="dxa"/>
          </w:tcPr>
          <w:p w14:paraId="5630AD66" w14:textId="77777777" w:rsidR="00484E30" w:rsidRPr="00B33432" w:rsidRDefault="00484E30" w:rsidP="00484E30">
            <w:pPr>
              <w:spacing w:after="250" w:line="276" w:lineRule="auto"/>
              <w:jc w:val="both"/>
              <w:rPr>
                <w:rFonts w:ascii="Arial" w:hAnsi="Arial" w:cs="Arial"/>
                <w:color w:val="181818"/>
              </w:rPr>
            </w:pPr>
          </w:p>
        </w:tc>
      </w:tr>
      <w:tr w:rsidR="00484E30" w:rsidRPr="00B33432" w14:paraId="5A25875C" w14:textId="77777777" w:rsidTr="00331CF0">
        <w:tc>
          <w:tcPr>
            <w:tcW w:w="1992" w:type="dxa"/>
          </w:tcPr>
          <w:p w14:paraId="0BD070FC" w14:textId="77777777" w:rsidR="00484E30" w:rsidRPr="00B33432" w:rsidRDefault="00484E30" w:rsidP="00484E30">
            <w:pPr>
              <w:spacing w:after="250" w:line="276" w:lineRule="auto"/>
              <w:rPr>
                <w:rFonts w:ascii="Arial" w:hAnsi="Arial" w:cs="Arial"/>
              </w:rPr>
            </w:pPr>
            <w:r w:rsidRPr="00B33432">
              <w:rPr>
                <w:rFonts w:ascii="Arial" w:hAnsi="Arial" w:cs="Arial"/>
              </w:rPr>
              <w:t>15. Emission allowances</w:t>
            </w:r>
          </w:p>
        </w:tc>
        <w:tc>
          <w:tcPr>
            <w:tcW w:w="1663" w:type="dxa"/>
          </w:tcPr>
          <w:p w14:paraId="61829076" w14:textId="77777777" w:rsidR="00484E30" w:rsidRPr="00B33432" w:rsidRDefault="00484E30" w:rsidP="00484E30">
            <w:pPr>
              <w:spacing w:after="250" w:line="276" w:lineRule="auto"/>
              <w:jc w:val="both"/>
              <w:rPr>
                <w:rFonts w:ascii="Arial" w:hAnsi="Arial" w:cs="Arial"/>
                <w:color w:val="181818"/>
              </w:rPr>
            </w:pPr>
          </w:p>
        </w:tc>
        <w:tc>
          <w:tcPr>
            <w:tcW w:w="2006" w:type="dxa"/>
          </w:tcPr>
          <w:p w14:paraId="2BA226A1" w14:textId="77777777" w:rsidR="00484E30" w:rsidRPr="00B33432" w:rsidRDefault="00484E30" w:rsidP="00484E30">
            <w:pPr>
              <w:spacing w:after="250" w:line="276" w:lineRule="auto"/>
              <w:jc w:val="both"/>
              <w:rPr>
                <w:rFonts w:ascii="Arial" w:hAnsi="Arial" w:cs="Arial"/>
                <w:color w:val="181818"/>
              </w:rPr>
            </w:pPr>
          </w:p>
        </w:tc>
        <w:tc>
          <w:tcPr>
            <w:tcW w:w="1994" w:type="dxa"/>
          </w:tcPr>
          <w:p w14:paraId="17AD93B2" w14:textId="77777777" w:rsidR="00484E30" w:rsidRPr="00B33432" w:rsidRDefault="00484E30" w:rsidP="00484E30">
            <w:pPr>
              <w:spacing w:after="250" w:line="276" w:lineRule="auto"/>
              <w:jc w:val="both"/>
              <w:rPr>
                <w:rFonts w:ascii="Arial" w:hAnsi="Arial" w:cs="Arial"/>
                <w:color w:val="181818"/>
              </w:rPr>
            </w:pPr>
          </w:p>
        </w:tc>
        <w:tc>
          <w:tcPr>
            <w:tcW w:w="1665" w:type="dxa"/>
          </w:tcPr>
          <w:p w14:paraId="0DE4B5B7" w14:textId="77777777" w:rsidR="00484E30" w:rsidRPr="00B33432" w:rsidRDefault="00484E30" w:rsidP="00484E30">
            <w:pPr>
              <w:spacing w:after="250" w:line="276" w:lineRule="auto"/>
              <w:jc w:val="both"/>
              <w:rPr>
                <w:rFonts w:ascii="Arial" w:hAnsi="Arial" w:cs="Arial"/>
                <w:color w:val="181818"/>
              </w:rPr>
            </w:pPr>
          </w:p>
        </w:tc>
      </w:tr>
      <w:tr w:rsidR="00484E30" w:rsidRPr="00B33432" w14:paraId="4663360E" w14:textId="77777777" w:rsidTr="00331CF0">
        <w:tc>
          <w:tcPr>
            <w:tcW w:w="1992" w:type="dxa"/>
          </w:tcPr>
          <w:p w14:paraId="556F47DB" w14:textId="77777777" w:rsidR="00484E30" w:rsidRPr="00B33432" w:rsidRDefault="00484E30" w:rsidP="00484E30">
            <w:pPr>
              <w:spacing w:after="250" w:line="276" w:lineRule="auto"/>
              <w:rPr>
                <w:rFonts w:ascii="Arial" w:hAnsi="Arial" w:cs="Arial"/>
              </w:rPr>
            </w:pPr>
            <w:r w:rsidRPr="00B33432">
              <w:rPr>
                <w:rFonts w:ascii="Arial" w:hAnsi="Arial" w:cs="Arial"/>
              </w:rPr>
              <w:t>16. Delta-one instruments</w:t>
            </w:r>
          </w:p>
        </w:tc>
        <w:tc>
          <w:tcPr>
            <w:tcW w:w="1663" w:type="dxa"/>
          </w:tcPr>
          <w:p w14:paraId="66204FF1" w14:textId="726B7565" w:rsidR="00484E30" w:rsidRPr="00B33432" w:rsidRDefault="002274BC" w:rsidP="00484E30">
            <w:pPr>
              <w:spacing w:after="250" w:line="276" w:lineRule="auto"/>
              <w:jc w:val="both"/>
              <w:rPr>
                <w:rFonts w:ascii="Arial" w:hAnsi="Arial" w:cs="Arial"/>
                <w:color w:val="181818"/>
              </w:rPr>
            </w:pPr>
            <w:r>
              <w:rPr>
                <w:rFonts w:ascii="Segoe UI" w:hAnsi="Segoe UI" w:cs="Segoe UI"/>
              </w:rPr>
              <w:t>We would like to refer to our response under Q13.</w:t>
            </w:r>
          </w:p>
        </w:tc>
        <w:tc>
          <w:tcPr>
            <w:tcW w:w="2006" w:type="dxa"/>
          </w:tcPr>
          <w:p w14:paraId="2DBF0D7D" w14:textId="77777777" w:rsidR="00484E30" w:rsidRPr="00B33432" w:rsidRDefault="00484E30" w:rsidP="00484E30">
            <w:pPr>
              <w:spacing w:after="250" w:line="276" w:lineRule="auto"/>
              <w:jc w:val="both"/>
              <w:rPr>
                <w:rFonts w:ascii="Arial" w:hAnsi="Arial" w:cs="Arial"/>
                <w:color w:val="181818"/>
              </w:rPr>
            </w:pPr>
          </w:p>
        </w:tc>
        <w:tc>
          <w:tcPr>
            <w:tcW w:w="1994" w:type="dxa"/>
          </w:tcPr>
          <w:p w14:paraId="6B62F1B3" w14:textId="77777777" w:rsidR="00484E30" w:rsidRPr="00B33432" w:rsidRDefault="00484E30" w:rsidP="00484E30">
            <w:pPr>
              <w:spacing w:after="250" w:line="276" w:lineRule="auto"/>
              <w:jc w:val="both"/>
              <w:rPr>
                <w:rFonts w:ascii="Arial" w:hAnsi="Arial" w:cs="Arial"/>
                <w:color w:val="181818"/>
              </w:rPr>
            </w:pPr>
          </w:p>
        </w:tc>
        <w:tc>
          <w:tcPr>
            <w:tcW w:w="1665" w:type="dxa"/>
          </w:tcPr>
          <w:p w14:paraId="02F2C34E" w14:textId="77777777" w:rsidR="00484E30" w:rsidRPr="00B33432" w:rsidRDefault="00484E30" w:rsidP="00484E30">
            <w:pPr>
              <w:spacing w:after="250" w:line="276" w:lineRule="auto"/>
              <w:jc w:val="both"/>
              <w:rPr>
                <w:rFonts w:ascii="Arial" w:hAnsi="Arial" w:cs="Arial"/>
                <w:color w:val="181818"/>
              </w:rPr>
            </w:pPr>
          </w:p>
        </w:tc>
      </w:tr>
      <w:tr w:rsidR="00484E30" w:rsidRPr="00B33432" w14:paraId="6004F4E8" w14:textId="77777777" w:rsidTr="00331CF0">
        <w:tc>
          <w:tcPr>
            <w:tcW w:w="1992" w:type="dxa"/>
          </w:tcPr>
          <w:p w14:paraId="73D5771C" w14:textId="77777777" w:rsidR="00484E30" w:rsidRPr="00B33432" w:rsidRDefault="00484E30" w:rsidP="00484E30">
            <w:pPr>
              <w:spacing w:after="250" w:line="276" w:lineRule="auto"/>
              <w:rPr>
                <w:rFonts w:ascii="Arial" w:hAnsi="Arial" w:cs="Arial"/>
              </w:rPr>
            </w:pPr>
            <w:r w:rsidRPr="00B33432">
              <w:rPr>
                <w:rFonts w:ascii="Arial" w:hAnsi="Arial" w:cs="Arial"/>
              </w:rPr>
              <w:t>17. Exchange-traded notes (‘ETNs’)</w:t>
            </w:r>
          </w:p>
        </w:tc>
        <w:tc>
          <w:tcPr>
            <w:tcW w:w="1663" w:type="dxa"/>
          </w:tcPr>
          <w:p w14:paraId="680A4E5D" w14:textId="468E6C68" w:rsidR="00484E30" w:rsidRPr="00B33432" w:rsidRDefault="009344DB" w:rsidP="00484E30">
            <w:pPr>
              <w:spacing w:after="250" w:line="276" w:lineRule="auto"/>
              <w:jc w:val="both"/>
              <w:rPr>
                <w:rFonts w:ascii="Arial" w:hAnsi="Arial" w:cs="Arial"/>
                <w:color w:val="181818"/>
              </w:rPr>
            </w:pPr>
            <w:r w:rsidRPr="00FE565F">
              <w:rPr>
                <w:rFonts w:ascii="Segoe UI" w:hAnsi="Segoe UI" w:cs="Segoe UI"/>
              </w:rPr>
              <w:t>We would like to refer to our answer to point 9 above and would suggest to apply a similar approach for ETNs</w:t>
            </w:r>
            <w:r w:rsidR="003B67F1">
              <w:rPr>
                <w:rFonts w:ascii="Segoe UI" w:hAnsi="Segoe UI" w:cs="Segoe UI"/>
              </w:rPr>
              <w:t>.</w:t>
            </w:r>
          </w:p>
        </w:tc>
        <w:tc>
          <w:tcPr>
            <w:tcW w:w="2006" w:type="dxa"/>
          </w:tcPr>
          <w:p w14:paraId="19219836" w14:textId="77777777" w:rsidR="00484E30" w:rsidRPr="00B33432" w:rsidRDefault="00484E30" w:rsidP="00484E30">
            <w:pPr>
              <w:spacing w:after="250" w:line="276" w:lineRule="auto"/>
              <w:jc w:val="both"/>
              <w:rPr>
                <w:rFonts w:ascii="Arial" w:hAnsi="Arial" w:cs="Arial"/>
                <w:color w:val="181818"/>
              </w:rPr>
            </w:pPr>
          </w:p>
        </w:tc>
        <w:tc>
          <w:tcPr>
            <w:tcW w:w="1994" w:type="dxa"/>
          </w:tcPr>
          <w:p w14:paraId="296FEF7D" w14:textId="77777777" w:rsidR="00484E30" w:rsidRPr="00B33432" w:rsidRDefault="00484E30" w:rsidP="00484E30">
            <w:pPr>
              <w:spacing w:after="250" w:line="276" w:lineRule="auto"/>
              <w:jc w:val="both"/>
              <w:rPr>
                <w:rFonts w:ascii="Arial" w:hAnsi="Arial" w:cs="Arial"/>
                <w:color w:val="181818"/>
              </w:rPr>
            </w:pPr>
          </w:p>
        </w:tc>
        <w:tc>
          <w:tcPr>
            <w:tcW w:w="1665" w:type="dxa"/>
          </w:tcPr>
          <w:p w14:paraId="7194DBDC" w14:textId="77777777" w:rsidR="00484E30" w:rsidRPr="00B33432" w:rsidRDefault="00484E30" w:rsidP="00484E30">
            <w:pPr>
              <w:spacing w:after="250" w:line="276" w:lineRule="auto"/>
              <w:jc w:val="both"/>
              <w:rPr>
                <w:rFonts w:ascii="Arial" w:hAnsi="Arial" w:cs="Arial"/>
                <w:color w:val="181818"/>
              </w:rPr>
            </w:pPr>
          </w:p>
        </w:tc>
      </w:tr>
      <w:tr w:rsidR="00484E30" w:rsidRPr="00B33432" w14:paraId="66BB473F" w14:textId="77777777" w:rsidTr="00331CF0">
        <w:tc>
          <w:tcPr>
            <w:tcW w:w="1992" w:type="dxa"/>
          </w:tcPr>
          <w:p w14:paraId="08FCC5EB" w14:textId="77777777" w:rsidR="00484E30" w:rsidRPr="00B33432" w:rsidRDefault="00484E30" w:rsidP="00484E30">
            <w:pPr>
              <w:spacing w:after="250" w:line="276" w:lineRule="auto"/>
              <w:rPr>
                <w:rFonts w:ascii="Arial" w:hAnsi="Arial" w:cs="Arial"/>
              </w:rPr>
            </w:pPr>
            <w:r w:rsidRPr="00B33432">
              <w:rPr>
                <w:rFonts w:ascii="Arial" w:hAnsi="Arial" w:cs="Arial"/>
              </w:rPr>
              <w:lastRenderedPageBreak/>
              <w:t>18. Asset-backed securities (‘ABS’) including mortgage-backed securities (‘MBS’)</w:t>
            </w:r>
          </w:p>
        </w:tc>
        <w:tc>
          <w:tcPr>
            <w:tcW w:w="1663" w:type="dxa"/>
          </w:tcPr>
          <w:p w14:paraId="769D0D3C" w14:textId="77777777" w:rsidR="00484E30" w:rsidRPr="00B33432" w:rsidRDefault="00484E30" w:rsidP="00484E30">
            <w:pPr>
              <w:spacing w:after="250" w:line="276" w:lineRule="auto"/>
              <w:jc w:val="both"/>
              <w:rPr>
                <w:rFonts w:ascii="Arial" w:hAnsi="Arial" w:cs="Arial"/>
                <w:color w:val="181818"/>
              </w:rPr>
            </w:pPr>
          </w:p>
        </w:tc>
        <w:tc>
          <w:tcPr>
            <w:tcW w:w="2006" w:type="dxa"/>
          </w:tcPr>
          <w:p w14:paraId="54CD245A" w14:textId="77777777" w:rsidR="00484E30" w:rsidRPr="00B33432" w:rsidRDefault="00484E30" w:rsidP="00484E30">
            <w:pPr>
              <w:spacing w:after="250" w:line="276" w:lineRule="auto"/>
              <w:jc w:val="both"/>
              <w:rPr>
                <w:rFonts w:ascii="Arial" w:hAnsi="Arial" w:cs="Arial"/>
                <w:color w:val="181818"/>
              </w:rPr>
            </w:pPr>
          </w:p>
        </w:tc>
        <w:tc>
          <w:tcPr>
            <w:tcW w:w="1994" w:type="dxa"/>
          </w:tcPr>
          <w:p w14:paraId="1231BE67" w14:textId="77777777" w:rsidR="00484E30" w:rsidRPr="00B33432" w:rsidRDefault="00484E30" w:rsidP="00484E30">
            <w:pPr>
              <w:spacing w:after="250" w:line="276" w:lineRule="auto"/>
              <w:jc w:val="both"/>
              <w:rPr>
                <w:rFonts w:ascii="Arial" w:hAnsi="Arial" w:cs="Arial"/>
                <w:color w:val="181818"/>
              </w:rPr>
            </w:pPr>
          </w:p>
        </w:tc>
        <w:tc>
          <w:tcPr>
            <w:tcW w:w="1665" w:type="dxa"/>
          </w:tcPr>
          <w:p w14:paraId="36FEB5B0" w14:textId="77777777" w:rsidR="00484E30" w:rsidRPr="00B33432" w:rsidRDefault="00484E30" w:rsidP="00484E30">
            <w:pPr>
              <w:spacing w:after="250" w:line="276" w:lineRule="auto"/>
              <w:jc w:val="both"/>
              <w:rPr>
                <w:rFonts w:ascii="Arial" w:hAnsi="Arial" w:cs="Arial"/>
                <w:color w:val="181818"/>
              </w:rPr>
            </w:pPr>
          </w:p>
        </w:tc>
      </w:tr>
      <w:tr w:rsidR="00484E30" w:rsidRPr="00B33432" w14:paraId="16623728" w14:textId="77777777" w:rsidTr="00331CF0">
        <w:tc>
          <w:tcPr>
            <w:tcW w:w="1992" w:type="dxa"/>
          </w:tcPr>
          <w:p w14:paraId="2D5FBB9B" w14:textId="77777777" w:rsidR="00484E30" w:rsidRPr="00B33432" w:rsidRDefault="00484E30" w:rsidP="00484E30">
            <w:pPr>
              <w:spacing w:after="250" w:line="276" w:lineRule="auto"/>
              <w:rPr>
                <w:rFonts w:ascii="Arial" w:hAnsi="Arial" w:cs="Arial"/>
              </w:rPr>
            </w:pPr>
            <w:r w:rsidRPr="00B33432">
              <w:rPr>
                <w:rFonts w:ascii="Arial" w:hAnsi="Arial" w:cs="Arial"/>
              </w:rPr>
              <w:t>19. Other relevant asset classes (please specify)</w:t>
            </w:r>
          </w:p>
        </w:tc>
        <w:tc>
          <w:tcPr>
            <w:tcW w:w="1663" w:type="dxa"/>
          </w:tcPr>
          <w:p w14:paraId="61BFE027" w14:textId="77777777" w:rsidR="003B67F1" w:rsidRPr="00FE565F" w:rsidRDefault="003B67F1" w:rsidP="003B67F1">
            <w:pPr>
              <w:spacing w:after="200" w:line="276" w:lineRule="auto"/>
              <w:jc w:val="both"/>
              <w:rPr>
                <w:rFonts w:ascii="Segoe UI" w:hAnsi="Segoe UI" w:cs="Segoe UI"/>
                <w:b/>
              </w:rPr>
            </w:pPr>
            <w:r w:rsidRPr="00FE565F">
              <w:rPr>
                <w:rFonts w:ascii="Segoe UI" w:hAnsi="Segoe UI" w:cs="Segoe UI"/>
                <w:b/>
              </w:rPr>
              <w:t>Sukuks</w:t>
            </w:r>
          </w:p>
          <w:p w14:paraId="19073381" w14:textId="77777777" w:rsidR="003B67F1" w:rsidRPr="00FE565F" w:rsidRDefault="003B67F1" w:rsidP="003B67F1">
            <w:pPr>
              <w:spacing w:after="200" w:line="276" w:lineRule="auto"/>
              <w:jc w:val="both"/>
              <w:rPr>
                <w:rFonts w:ascii="Segoe UI" w:hAnsi="Segoe UI" w:cs="Segoe UI"/>
              </w:rPr>
            </w:pPr>
            <w:r w:rsidRPr="00FE565F">
              <w:rPr>
                <w:rFonts w:ascii="Segoe UI" w:hAnsi="Segoe UI" w:cs="Segoe UI"/>
              </w:rPr>
              <w:t xml:space="preserve">In line with the above, we understand that the industry would also welcome greater clarity and transparency regarding the eligibility of sukuks, with a focus on whether they can be considered as eligible investments for UCITS, provided they meet the necessary liquidity requirements. Sukuks represent a growing segment within fixed income indices, and as such, they hold increasing significance in the fixed income investment landscape. Sukuks exhibit diverse structures, all </w:t>
            </w:r>
            <w:r w:rsidRPr="00FE565F">
              <w:rPr>
                <w:rFonts w:ascii="Segoe UI" w:hAnsi="Segoe UI" w:cs="Segoe UI"/>
              </w:rPr>
              <w:lastRenderedPageBreak/>
              <w:t>designed to align with Sharia law principles. However, their bespoke structures currently prevent UCITS from investing in such an asset class.</w:t>
            </w:r>
          </w:p>
          <w:p w14:paraId="444F8E97" w14:textId="77777777" w:rsidR="003B67F1" w:rsidRPr="00FE565F" w:rsidRDefault="003B67F1" w:rsidP="003B67F1">
            <w:pPr>
              <w:spacing w:after="200" w:line="276" w:lineRule="auto"/>
              <w:jc w:val="both"/>
              <w:rPr>
                <w:rFonts w:ascii="Segoe UI" w:hAnsi="Segoe UI" w:cs="Segoe UI"/>
              </w:rPr>
            </w:pPr>
            <w:r w:rsidRPr="00FE565F">
              <w:rPr>
                <w:rFonts w:ascii="Segoe UI" w:hAnsi="Segoe UI" w:cs="Segoe UI"/>
              </w:rPr>
              <w:t xml:space="preserve">To illustrate a scenario where a UCITS should be permitted to invest in sukuks, but is currently restricted – consider the case of Sukuk al-Murabaha issued by the Malaysian Government. Upon initial issuance, sukuk investors very briefly hold ownership of palm oil before it is swiftly acquired by the Malaysian government, which subsequently repays the purchase price to the sukuk holders over the sukuk's term. The UCITS cannot take ownership of physical </w:t>
            </w:r>
            <w:r w:rsidRPr="00FE565F">
              <w:rPr>
                <w:rFonts w:ascii="Segoe UI" w:hAnsi="Segoe UI" w:cs="Segoe UI"/>
              </w:rPr>
              <w:lastRenderedPageBreak/>
              <w:t>commodities, which leads to their avoidance of initial issuance. However, this situation appears somewhat illogical, as the true exposure is to the Malaysian government, not the palm oil itself. The very brief ownership (in practice less than a second) of palm oil serves as a mere Sharia law compliance mechanism.</w:t>
            </w:r>
          </w:p>
          <w:p w14:paraId="3B1E0F92" w14:textId="77777777" w:rsidR="003B67F1" w:rsidRPr="00FE565F" w:rsidRDefault="003B67F1" w:rsidP="003B67F1">
            <w:pPr>
              <w:spacing w:after="200" w:line="276" w:lineRule="auto"/>
              <w:jc w:val="both"/>
              <w:rPr>
                <w:rFonts w:ascii="Segoe UI" w:hAnsi="Segoe UI" w:cs="Segoe UI"/>
                <w:b/>
              </w:rPr>
            </w:pPr>
            <w:r w:rsidRPr="00FE565F">
              <w:rPr>
                <w:rFonts w:ascii="Segoe UI" w:hAnsi="Segoe UI" w:cs="Segoe UI"/>
                <w:b/>
              </w:rPr>
              <w:t>Financial indices and OTC</w:t>
            </w:r>
          </w:p>
          <w:p w14:paraId="0B483048" w14:textId="77777777" w:rsidR="003B67F1" w:rsidRPr="00FE565F" w:rsidRDefault="003B67F1" w:rsidP="003B67F1">
            <w:pPr>
              <w:spacing w:after="200" w:line="276" w:lineRule="auto"/>
              <w:jc w:val="both"/>
              <w:rPr>
                <w:rFonts w:ascii="Segoe UI" w:hAnsi="Segoe UI" w:cs="Segoe UI"/>
              </w:rPr>
            </w:pPr>
            <w:r w:rsidRPr="00FE565F">
              <w:rPr>
                <w:rFonts w:ascii="Segoe UI" w:hAnsi="Segoe UI" w:cs="Segoe UI"/>
              </w:rPr>
              <w:t xml:space="preserve">When it comes to financial indices, it would be highly advantageous to establish a centralized </w:t>
            </w:r>
            <w:proofErr w:type="gramStart"/>
            <w:r w:rsidRPr="00FE565F">
              <w:rPr>
                <w:rFonts w:ascii="Segoe UI" w:hAnsi="Segoe UI" w:cs="Segoe UI"/>
              </w:rPr>
              <w:t>EU list</w:t>
            </w:r>
            <w:proofErr w:type="gramEnd"/>
            <w:r w:rsidRPr="00FE565F">
              <w:rPr>
                <w:rFonts w:ascii="Segoe UI" w:hAnsi="Segoe UI" w:cs="Segoe UI"/>
              </w:rPr>
              <w:t xml:space="preserve"> of endorsed indices. The current practice of numerous managers individually scrutinizing indices for suitability appears inefficient and resource-intensive. A </w:t>
            </w:r>
            <w:r w:rsidRPr="00FE565F">
              <w:rPr>
                <w:rFonts w:ascii="Segoe UI" w:hAnsi="Segoe UI" w:cs="Segoe UI"/>
              </w:rPr>
              <w:lastRenderedPageBreak/>
              <w:t>central repository of approved indices, encompassing widely utilized ones, would streamline the process, allowing managers to focus their attention on the more specialized and esoteric indices.</w:t>
            </w:r>
          </w:p>
          <w:p w14:paraId="6B70DE45" w14:textId="77777777" w:rsidR="003B67F1" w:rsidRPr="00FE565F" w:rsidRDefault="003B67F1" w:rsidP="003B67F1">
            <w:pPr>
              <w:spacing w:after="200" w:line="276" w:lineRule="auto"/>
              <w:jc w:val="both"/>
              <w:rPr>
                <w:rFonts w:ascii="Segoe UI" w:hAnsi="Segoe UI" w:cs="Segoe UI"/>
              </w:rPr>
            </w:pPr>
            <w:r w:rsidRPr="00FE565F">
              <w:rPr>
                <w:rFonts w:ascii="Segoe UI" w:hAnsi="Segoe UI" w:cs="Segoe UI"/>
              </w:rPr>
              <w:t>Similarly, we believe that the revision of the UCITS EAD presents an excellent opportunity to re-evaluate the regulations governing eligible markets and take into account over-the-counter (OTC) fixed income markets.</w:t>
            </w:r>
          </w:p>
          <w:p w14:paraId="640BEC09" w14:textId="77777777" w:rsidR="003B67F1" w:rsidRPr="00FE565F" w:rsidRDefault="003B67F1" w:rsidP="003B67F1">
            <w:pPr>
              <w:spacing w:after="200" w:line="276" w:lineRule="auto"/>
              <w:jc w:val="both"/>
              <w:rPr>
                <w:rFonts w:ascii="Segoe UI" w:hAnsi="Segoe UI" w:cs="Segoe UI"/>
              </w:rPr>
            </w:pPr>
            <w:r w:rsidRPr="00FE565F">
              <w:rPr>
                <w:rFonts w:ascii="Segoe UI" w:hAnsi="Segoe UI" w:cs="Segoe UI"/>
              </w:rPr>
              <w:t xml:space="preserve">In terms of investor protection with regard to financial indices and OTC derivative exposures, reference is made to the ESMA Guidelines on </w:t>
            </w:r>
            <w:r w:rsidRPr="00FE565F">
              <w:rPr>
                <w:rFonts w:ascii="Segoe UI" w:hAnsi="Segoe UI" w:cs="Segoe UI"/>
              </w:rPr>
              <w:lastRenderedPageBreak/>
              <w:t xml:space="preserve">ETFs and other </w:t>
            </w:r>
            <w:proofErr w:type="gramStart"/>
            <w:r w:rsidRPr="00FE565F">
              <w:rPr>
                <w:rFonts w:ascii="Segoe UI" w:hAnsi="Segoe UI" w:cs="Segoe UI"/>
              </w:rPr>
              <w:t>UCITS issues</w:t>
            </w:r>
            <w:proofErr w:type="gramEnd"/>
            <w:r w:rsidRPr="00FE565F">
              <w:rPr>
                <w:rFonts w:ascii="Segoe UI" w:hAnsi="Segoe UI" w:cs="Segoe UI"/>
              </w:rPr>
              <w:t xml:space="preserve"> (ESMA/2014/937) which contain dedicated requirements, such as liquidity, diversification and transparency requirements as well as the identification, mitigation and management of risks (points 41 ff. </w:t>
            </w:r>
            <w:proofErr w:type="gramStart"/>
            <w:r w:rsidRPr="00FE565F">
              <w:rPr>
                <w:rFonts w:ascii="Segoe UI" w:hAnsi="Segoe UI" w:cs="Segoe UI"/>
              </w:rPr>
              <w:t>of</w:t>
            </w:r>
            <w:proofErr w:type="gramEnd"/>
            <w:r w:rsidRPr="00FE565F">
              <w:rPr>
                <w:rFonts w:ascii="Segoe UI" w:hAnsi="Segoe UI" w:cs="Segoe UI"/>
              </w:rPr>
              <w:t xml:space="preserve"> the Guidelines).</w:t>
            </w:r>
          </w:p>
          <w:p w14:paraId="386AEF8F" w14:textId="77777777" w:rsidR="003B67F1" w:rsidRPr="00FE565F" w:rsidRDefault="003B67F1" w:rsidP="003B67F1">
            <w:pPr>
              <w:spacing w:after="200" w:line="276" w:lineRule="auto"/>
              <w:jc w:val="both"/>
              <w:rPr>
                <w:rFonts w:ascii="Segoe UI" w:hAnsi="Segoe UI" w:cs="Segoe UI"/>
                <w:b/>
              </w:rPr>
            </w:pPr>
            <w:r w:rsidRPr="00FE565F">
              <w:rPr>
                <w:rFonts w:ascii="Segoe UI" w:hAnsi="Segoe UI" w:cs="Segoe UI"/>
                <w:b/>
              </w:rPr>
              <w:t>Private credit</w:t>
            </w:r>
          </w:p>
          <w:p w14:paraId="79751611" w14:textId="77777777" w:rsidR="003B67F1" w:rsidRPr="00FE565F" w:rsidRDefault="003B67F1" w:rsidP="003B67F1">
            <w:pPr>
              <w:spacing w:after="200" w:line="276" w:lineRule="auto"/>
              <w:jc w:val="both"/>
              <w:rPr>
                <w:rFonts w:ascii="Segoe UI" w:hAnsi="Segoe UI" w:cs="Segoe UI"/>
              </w:rPr>
            </w:pPr>
            <w:r w:rsidRPr="00FE565F">
              <w:rPr>
                <w:rFonts w:ascii="Segoe UI" w:hAnsi="Segoe UI" w:cs="Segoe UI"/>
              </w:rPr>
              <w:t>As investments in private credit expand, it would be worth exploring their eligibility for UCITS, provided existing safeguards continue to be ensured.</w:t>
            </w:r>
          </w:p>
          <w:p w14:paraId="30D7AA69" w14:textId="77777777" w:rsidR="00484E30" w:rsidRPr="00B33432" w:rsidRDefault="00484E30" w:rsidP="00484E30">
            <w:pPr>
              <w:spacing w:after="250" w:line="276" w:lineRule="auto"/>
              <w:jc w:val="both"/>
              <w:rPr>
                <w:rFonts w:ascii="Arial" w:hAnsi="Arial" w:cs="Arial"/>
                <w:color w:val="181818"/>
              </w:rPr>
            </w:pPr>
          </w:p>
        </w:tc>
        <w:tc>
          <w:tcPr>
            <w:tcW w:w="2006" w:type="dxa"/>
          </w:tcPr>
          <w:p w14:paraId="7196D064" w14:textId="77777777" w:rsidR="00484E30" w:rsidRPr="00B33432" w:rsidRDefault="00484E30" w:rsidP="00484E30">
            <w:pPr>
              <w:spacing w:after="250" w:line="276" w:lineRule="auto"/>
              <w:jc w:val="both"/>
              <w:rPr>
                <w:rFonts w:ascii="Arial" w:hAnsi="Arial" w:cs="Arial"/>
                <w:color w:val="181818"/>
              </w:rPr>
            </w:pPr>
          </w:p>
        </w:tc>
        <w:tc>
          <w:tcPr>
            <w:tcW w:w="1994" w:type="dxa"/>
          </w:tcPr>
          <w:p w14:paraId="34FF1C98" w14:textId="77777777" w:rsidR="00484E30" w:rsidRPr="00B33432" w:rsidRDefault="00484E30" w:rsidP="00484E30">
            <w:pPr>
              <w:spacing w:after="250" w:line="276" w:lineRule="auto"/>
              <w:jc w:val="both"/>
              <w:rPr>
                <w:rFonts w:ascii="Arial" w:hAnsi="Arial" w:cs="Arial"/>
                <w:color w:val="181818"/>
              </w:rPr>
            </w:pPr>
          </w:p>
        </w:tc>
        <w:tc>
          <w:tcPr>
            <w:tcW w:w="1665" w:type="dxa"/>
          </w:tcPr>
          <w:p w14:paraId="6D072C0D" w14:textId="77777777" w:rsidR="00484E30" w:rsidRPr="00B33432" w:rsidRDefault="00484E30" w:rsidP="00484E30">
            <w:pPr>
              <w:spacing w:after="250" w:line="276" w:lineRule="auto"/>
              <w:jc w:val="both"/>
              <w:rPr>
                <w:rFonts w:ascii="Arial" w:hAnsi="Arial" w:cs="Arial"/>
                <w:color w:val="181818"/>
              </w:rPr>
            </w:pPr>
          </w:p>
        </w:tc>
      </w:tr>
    </w:tbl>
    <w:p w14:paraId="48A21919" w14:textId="77777777" w:rsidR="00B33432" w:rsidRPr="00B33432" w:rsidRDefault="00B33432" w:rsidP="00B33432">
      <w:pPr>
        <w:spacing w:after="120" w:line="276" w:lineRule="auto"/>
        <w:jc w:val="both"/>
        <w:rPr>
          <w:rFonts w:ascii="Arial" w:eastAsia="MS PGothic" w:hAnsi="Arial" w:cs="Arial"/>
          <w:color w:val="181818"/>
          <w:szCs w:val="20"/>
        </w:rPr>
      </w:pPr>
    </w:p>
    <w:p w14:paraId="6BD18F9B" w14:textId="77777777" w:rsidR="004C269D" w:rsidRDefault="004C269D"/>
    <w:sectPr w:rsidR="004C269D">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12771B" w14:textId="77777777" w:rsidR="00C365B4" w:rsidRDefault="00C365B4" w:rsidP="00B33432">
      <w:pPr>
        <w:spacing w:after="0" w:line="240" w:lineRule="auto"/>
      </w:pPr>
      <w:r>
        <w:separator/>
      </w:r>
    </w:p>
  </w:endnote>
  <w:endnote w:type="continuationSeparator" w:id="0">
    <w:p w14:paraId="75EE4071" w14:textId="77777777" w:rsidR="00C365B4" w:rsidRDefault="00C365B4" w:rsidP="00B33432">
      <w:pPr>
        <w:spacing w:after="0" w:line="240" w:lineRule="auto"/>
      </w:pPr>
      <w:r>
        <w:continuationSeparator/>
      </w:r>
    </w:p>
  </w:endnote>
  <w:endnote w:type="continuationNotice" w:id="1">
    <w:p w14:paraId="22DD8C81" w14:textId="77777777" w:rsidR="00C365B4" w:rsidRDefault="00C365B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7B57A6" w14:textId="77777777" w:rsidR="00C365B4" w:rsidRDefault="00C365B4" w:rsidP="00B33432">
      <w:pPr>
        <w:spacing w:after="0" w:line="240" w:lineRule="auto"/>
      </w:pPr>
      <w:r>
        <w:separator/>
      </w:r>
    </w:p>
  </w:footnote>
  <w:footnote w:type="continuationSeparator" w:id="0">
    <w:p w14:paraId="128651FB" w14:textId="77777777" w:rsidR="00C365B4" w:rsidRDefault="00C365B4" w:rsidP="00B33432">
      <w:pPr>
        <w:spacing w:after="0" w:line="240" w:lineRule="auto"/>
      </w:pPr>
      <w:r>
        <w:continuationSeparator/>
      </w:r>
    </w:p>
  </w:footnote>
  <w:footnote w:type="continuationNotice" w:id="1">
    <w:p w14:paraId="1967645F" w14:textId="77777777" w:rsidR="00C365B4" w:rsidRDefault="00C365B4">
      <w:pPr>
        <w:spacing w:after="0" w:line="240" w:lineRule="auto"/>
      </w:pPr>
    </w:p>
  </w:footnote>
  <w:footnote w:id="2">
    <w:p w14:paraId="53A506E4" w14:textId="77777777" w:rsidR="00B33432" w:rsidRPr="00332B8C" w:rsidRDefault="00B33432" w:rsidP="00332B8C">
      <w:pPr>
        <w:pStyle w:val="FootnoteText"/>
        <w:jc w:val="both"/>
        <w:rPr>
          <w:rFonts w:ascii="Arial" w:hAnsi="Arial" w:cs="Arial"/>
        </w:rPr>
      </w:pPr>
      <w:r w:rsidRPr="00332B8C">
        <w:rPr>
          <w:rStyle w:val="Ref1"/>
          <w:rFonts w:cs="Arial"/>
          <w:sz w:val="20"/>
        </w:rPr>
        <w:footnoteRef/>
      </w:r>
      <w:r w:rsidRPr="00332B8C">
        <w:rPr>
          <w:rFonts w:ascii="Arial" w:hAnsi="Arial" w:cs="Arial"/>
        </w:rPr>
        <w:t xml:space="preserve"> ESMA acknowledges that most of the asset classes listed below have not been clearly defined in EU legislation and this might be a source of divergent interpretations and misunderstandings. Where possible, ESMA invites stakeholders to specify their understanding or definition of the relevant asset classes under the “additional comments” box.</w:t>
      </w:r>
    </w:p>
  </w:footnote>
  <w:footnote w:id="3">
    <w:p w14:paraId="5DF96E01" w14:textId="77777777" w:rsidR="00B33432" w:rsidRPr="00332B8C" w:rsidRDefault="00B33432" w:rsidP="00332B8C">
      <w:pPr>
        <w:pStyle w:val="FootnoteText"/>
        <w:jc w:val="both"/>
        <w:rPr>
          <w:rFonts w:ascii="Arial" w:hAnsi="Arial" w:cs="Arial"/>
        </w:rPr>
      </w:pPr>
      <w:r w:rsidRPr="00332B8C">
        <w:rPr>
          <w:rStyle w:val="Ref1"/>
          <w:rFonts w:cs="Arial"/>
          <w:sz w:val="20"/>
        </w:rPr>
        <w:footnoteRef/>
      </w:r>
      <w:r w:rsidRPr="00332B8C">
        <w:rPr>
          <w:rFonts w:ascii="Arial" w:hAnsi="Arial" w:cs="Arial"/>
        </w:rPr>
        <w:t xml:space="preserve"> Where relevant, please distinguish between indirect exposures via instruments such as delta-one instruments, exchange-traded products, derivatives, or AIFs (EU or non-EU). </w:t>
      </w:r>
    </w:p>
  </w:footnote>
  <w:footnote w:id="4">
    <w:p w14:paraId="0C264AC6" w14:textId="77777777" w:rsidR="00B33432" w:rsidRPr="00332B8C" w:rsidRDefault="00B33432" w:rsidP="00332B8C">
      <w:pPr>
        <w:pStyle w:val="FootnoteText"/>
        <w:jc w:val="both"/>
        <w:rPr>
          <w:rFonts w:ascii="Arial" w:hAnsi="Arial" w:cs="Arial"/>
        </w:rPr>
      </w:pPr>
      <w:r w:rsidRPr="00332B8C">
        <w:rPr>
          <w:rStyle w:val="Ref1"/>
          <w:rFonts w:cs="Arial"/>
          <w:sz w:val="20"/>
        </w:rPr>
        <w:footnoteRef/>
      </w:r>
      <w:r w:rsidRPr="00332B8C">
        <w:rPr>
          <w:rFonts w:ascii="Arial" w:hAnsi="Arial" w:cs="Arial"/>
        </w:rPr>
        <w:t xml:space="preserve"> Please share any available data or estimates that help to assess the amount or extent to which there are existing UCITS exposures (distinguishing between direct and indirect, where possible) to these asset classes. Where no reliable data is available, ESMA would appreciate receiving estimates in terms of numbers and/or percentages of UCITS exposed to these asset classes and what is the average proportion in the relevant portfolios. Any additional data and insights on strategies, techniques and instruments used to gain exposure to these asset classes would be also highly appreciated.</w:t>
      </w:r>
    </w:p>
  </w:footnote>
  <w:footnote w:id="5">
    <w:p w14:paraId="5718C342" w14:textId="77777777" w:rsidR="00B33432" w:rsidRPr="00332B8C" w:rsidRDefault="00B33432" w:rsidP="00332B8C">
      <w:pPr>
        <w:pStyle w:val="FootnoteText"/>
        <w:jc w:val="both"/>
        <w:rPr>
          <w:rFonts w:ascii="Arial" w:hAnsi="Arial" w:cs="Arial"/>
        </w:rPr>
      </w:pPr>
      <w:r w:rsidRPr="00332B8C">
        <w:rPr>
          <w:rStyle w:val="Ref1"/>
          <w:rFonts w:cs="Arial"/>
          <w:sz w:val="20"/>
        </w:rPr>
        <w:footnoteRef/>
      </w:r>
      <w:r w:rsidRPr="00332B8C">
        <w:rPr>
          <w:rFonts w:ascii="Arial" w:hAnsi="Arial" w:cs="Arial"/>
        </w:rPr>
        <w:t xml:space="preserve"> Please include under this column any other evidence or views that you would like to share. </w:t>
      </w:r>
    </w:p>
  </w:footnote>
  <w:footnote w:id="6">
    <w:p w14:paraId="34D4CF9B" w14:textId="77777777" w:rsidR="003D3746" w:rsidRPr="00332B8C" w:rsidRDefault="003D3746" w:rsidP="00332B8C">
      <w:pPr>
        <w:pStyle w:val="FootnoteText"/>
        <w:jc w:val="both"/>
        <w:rPr>
          <w:rFonts w:ascii="Arial" w:hAnsi="Arial" w:cs="Arial"/>
        </w:rPr>
      </w:pPr>
      <w:r w:rsidRPr="00332B8C">
        <w:rPr>
          <w:rStyle w:val="Ref1"/>
          <w:rFonts w:cs="Arial"/>
          <w:sz w:val="20"/>
        </w:rPr>
        <w:footnoteRef/>
      </w:r>
      <w:r w:rsidRPr="00332B8C">
        <w:rPr>
          <w:rFonts w:ascii="Arial" w:hAnsi="Arial" w:cs="Arial"/>
        </w:rPr>
        <w:t xml:space="preserve"> Where relevant, please distinguish between leveraged/structured loans, collateralised loan obligations (CLOs) and other types of loans or loan participations (please specify).</w:t>
      </w:r>
    </w:p>
  </w:footnote>
  <w:footnote w:id="7">
    <w:p w14:paraId="48EF4E2A" w14:textId="77777777" w:rsidR="008D0D4C" w:rsidRPr="00332B8C" w:rsidRDefault="008D0D4C" w:rsidP="00332B8C">
      <w:pPr>
        <w:pStyle w:val="FootnoteText"/>
        <w:jc w:val="both"/>
        <w:rPr>
          <w:rFonts w:ascii="Arial" w:hAnsi="Arial" w:cs="Arial"/>
        </w:rPr>
      </w:pPr>
      <w:r w:rsidRPr="00332B8C">
        <w:rPr>
          <w:rStyle w:val="Ref1"/>
          <w:rFonts w:cs="Arial"/>
          <w:sz w:val="20"/>
        </w:rPr>
        <w:footnoteRef/>
      </w:r>
      <w:r w:rsidRPr="00332B8C">
        <w:rPr>
          <w:rFonts w:ascii="Arial" w:hAnsi="Arial" w:cs="Arial"/>
        </w:rPr>
        <w:t xml:space="preserve"> Where relevant, please distinguish between equity instruments issued by (1) </w:t>
      </w:r>
      <w:r w:rsidRPr="00332B8C">
        <w:rPr>
          <w:rFonts w:ascii="Arial" w:hAnsi="Arial" w:cs="Arial"/>
          <w:lang w:val="en-US"/>
        </w:rPr>
        <w:t>private companies and (2) shares in public companies that that are not listed.</w:t>
      </w:r>
    </w:p>
  </w:footnote>
  <w:footnote w:id="8">
    <w:p w14:paraId="156E5F12" w14:textId="77777777" w:rsidR="00313B13" w:rsidRPr="00332B8C" w:rsidRDefault="00313B13" w:rsidP="00332B8C">
      <w:pPr>
        <w:pStyle w:val="FootnoteText"/>
        <w:jc w:val="both"/>
        <w:rPr>
          <w:rFonts w:ascii="Arial" w:hAnsi="Arial" w:cs="Arial"/>
        </w:rPr>
      </w:pPr>
      <w:r w:rsidRPr="00332B8C">
        <w:rPr>
          <w:rStyle w:val="Ref1"/>
          <w:rFonts w:cs="Arial"/>
          <w:sz w:val="20"/>
        </w:rPr>
        <w:footnoteRef/>
      </w:r>
      <w:r w:rsidRPr="00332B8C">
        <w:rPr>
          <w:rFonts w:ascii="Arial" w:hAnsi="Arial" w:cs="Arial"/>
        </w:rPr>
        <w:t xml:space="preserve"> Where relevant, please specify what type of crypto assets and whether the implementation of MICA will change anything in terms of your assessment. </w:t>
      </w:r>
      <w:bookmarkStart w:id="0" w:name="_Hlk163456352"/>
      <w:r w:rsidRPr="00332B8C">
        <w:rPr>
          <w:rFonts w:ascii="Arial" w:hAnsi="Arial" w:cs="Arial"/>
        </w:rPr>
        <w:t xml:space="preserve">With respect to indirect exposures, ESMA is particularly interested in stakeholder input on exchange-traded products including ETFs with crypto assets as an underlying. </w:t>
      </w:r>
      <w:bookmarkEnd w:id="0"/>
    </w:p>
  </w:footnote>
  <w:footnote w:id="9">
    <w:p w14:paraId="4A59E86A" w14:textId="77777777" w:rsidR="00453BEF" w:rsidRPr="00332B8C" w:rsidRDefault="00453BEF" w:rsidP="00332B8C">
      <w:pPr>
        <w:pStyle w:val="FootnoteText"/>
        <w:jc w:val="both"/>
        <w:rPr>
          <w:rFonts w:ascii="Arial" w:hAnsi="Arial" w:cs="Arial"/>
        </w:rPr>
      </w:pPr>
      <w:r w:rsidRPr="00332B8C">
        <w:rPr>
          <w:rStyle w:val="Ref1"/>
          <w:rFonts w:cs="Arial"/>
          <w:sz w:val="20"/>
        </w:rPr>
        <w:footnoteRef/>
      </w:r>
      <w:r w:rsidRPr="00332B8C">
        <w:rPr>
          <w:rFonts w:ascii="Arial" w:hAnsi="Arial" w:cs="Arial"/>
        </w:rPr>
        <w:t xml:space="preserve"> </w:t>
      </w:r>
      <w:bookmarkStart w:id="1" w:name="_Hlk163456407"/>
      <w:r w:rsidRPr="00332B8C">
        <w:rPr>
          <w:rFonts w:ascii="Arial" w:hAnsi="Arial" w:cs="Arial"/>
        </w:rPr>
        <w:t>With respect to indirect exposures, ESMA is particularly interested in stakeholder input on ETFs with commodities/precious metals as underlying.</w:t>
      </w:r>
      <w:bookmarkEnd w:id="1"/>
      <w:r w:rsidRPr="00332B8C">
        <w:rPr>
          <w:rFonts w:ascii="Arial" w:hAnsi="Arial" w:cs="Arial"/>
        </w:rPr>
        <w:t xml:space="preserve"> Please note that under the current UCITS rules, precious metals and certificates representing them are not eligible (Article 50(2)(b) of the UCITS Directive).</w:t>
      </w:r>
    </w:p>
  </w:footnote>
  <w:footnote w:id="10">
    <w:p w14:paraId="09998020" w14:textId="77777777" w:rsidR="006F159F" w:rsidRPr="00332B8C" w:rsidRDefault="006F159F" w:rsidP="00332B8C">
      <w:pPr>
        <w:pStyle w:val="FootnoteText"/>
        <w:jc w:val="both"/>
        <w:rPr>
          <w:rFonts w:ascii="Arial" w:hAnsi="Arial" w:cs="Arial"/>
        </w:rPr>
      </w:pPr>
      <w:r w:rsidRPr="00332B8C">
        <w:rPr>
          <w:rStyle w:val="Ref1"/>
          <w:rFonts w:cs="Arial"/>
          <w:sz w:val="20"/>
        </w:rPr>
        <w:footnoteRef/>
      </w:r>
      <w:r w:rsidRPr="00332B8C">
        <w:rPr>
          <w:rFonts w:ascii="Arial" w:hAnsi="Arial" w:cs="Arial"/>
        </w:rPr>
        <w:t xml:space="preserve"> Where relevant, please distinguish between different types of AIFs (e.g. open-ended, closed-ended) and investment strategies (e.g. real estate, private equity, hedge funds).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4BB383" w14:textId="77777777" w:rsidR="002D6186" w:rsidRPr="002D6186" w:rsidRDefault="002D6186" w:rsidP="002D6186">
    <w:pPr>
      <w:tabs>
        <w:tab w:val="center" w:pos="4513"/>
        <w:tab w:val="right" w:pos="9026"/>
      </w:tabs>
      <w:spacing w:after="0" w:line="240" w:lineRule="auto"/>
      <w:jc w:val="right"/>
      <w:rPr>
        <w:rFonts w:ascii="Arial" w:eastAsia="MS PGothic" w:hAnsi="Arial" w:cs="Arial"/>
        <w:bCs/>
        <w:caps/>
        <w:color w:val="FF0000"/>
        <w:szCs w:val="20"/>
      </w:rPr>
    </w:pPr>
    <w:r w:rsidRPr="002D6186">
      <w:rPr>
        <w:rFonts w:ascii="Arial" w:eastAsia="MS PGothic" w:hAnsi="Arial" w:cs="Arial"/>
        <w:bCs/>
        <w:caps/>
        <w:noProof/>
        <w:color w:val="FF0000"/>
        <w:szCs w:val="20"/>
      </w:rPr>
      <w:drawing>
        <wp:anchor distT="0" distB="0" distL="114300" distR="114300" simplePos="0" relativeHeight="251658240" behindDoc="0" locked="0" layoutInCell="1" allowOverlap="1" wp14:anchorId="6009BBBF" wp14:editId="70747D81">
          <wp:simplePos x="0" y="0"/>
          <wp:positionH relativeFrom="page">
            <wp:posOffset>892914</wp:posOffset>
          </wp:positionH>
          <wp:positionV relativeFrom="page">
            <wp:posOffset>547370</wp:posOffset>
          </wp:positionV>
          <wp:extent cx="2296800" cy="601200"/>
          <wp:effectExtent l="0" t="0" r="1905"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96800" cy="601200"/>
                  </a:xfrm>
                  <a:prstGeom prst="rect">
                    <a:avLst/>
                  </a:prstGeom>
                  <a:noFill/>
                </pic:spPr>
              </pic:pic>
            </a:graphicData>
          </a:graphic>
          <wp14:sizeRelH relativeFrom="page">
            <wp14:pctWidth>0</wp14:pctWidth>
          </wp14:sizeRelH>
          <wp14:sizeRelV relativeFrom="page">
            <wp14:pctHeight>0</wp14:pctHeight>
          </wp14:sizeRelV>
        </wp:anchor>
      </w:drawing>
    </w:r>
    <w:r w:rsidRPr="002D6186">
      <w:rPr>
        <w:rFonts w:ascii="Arial" w:eastAsia="MS PGothic" w:hAnsi="Arial" w:cs="Arial"/>
        <w:color w:val="001B4F"/>
        <w:sz w:val="16"/>
        <w:szCs w:val="20"/>
      </w:rPr>
      <w:t>7 May 2024</w:t>
    </w:r>
  </w:p>
  <w:p w14:paraId="3E32722B" w14:textId="5F6683E2" w:rsidR="002D6186" w:rsidRPr="002D6186" w:rsidRDefault="002D6186" w:rsidP="002D6186">
    <w:pPr>
      <w:tabs>
        <w:tab w:val="center" w:pos="4513"/>
        <w:tab w:val="right" w:pos="9026"/>
      </w:tabs>
      <w:spacing w:after="0" w:line="240" w:lineRule="auto"/>
      <w:jc w:val="right"/>
      <w:rPr>
        <w:rFonts w:ascii="Arial" w:eastAsia="MS PGothic" w:hAnsi="Arial" w:cs="Arial"/>
        <w:color w:val="001B4F"/>
        <w:sz w:val="16"/>
        <w:szCs w:val="20"/>
      </w:rPr>
    </w:pPr>
    <w:r w:rsidRPr="002D6186">
      <w:rPr>
        <w:rFonts w:ascii="Arial" w:eastAsia="MS PGothic" w:hAnsi="Arial" w:cs="Arial"/>
        <w:color w:val="001B4F"/>
        <w:sz w:val="16"/>
        <w:szCs w:val="20"/>
      </w:rPr>
      <w:t>ESMA 34-1270380148-10</w:t>
    </w:r>
    <w:r w:rsidR="00AF55C3">
      <w:rPr>
        <w:rFonts w:ascii="Arial" w:eastAsia="MS PGothic" w:hAnsi="Arial" w:cs="Arial"/>
        <w:color w:val="001B4F"/>
        <w:sz w:val="16"/>
        <w:szCs w:val="20"/>
      </w:rPr>
      <w:t>66</w:t>
    </w:r>
  </w:p>
  <w:p w14:paraId="3052C3B3" w14:textId="77777777" w:rsidR="002D6186" w:rsidRPr="002D6186" w:rsidRDefault="002D6186" w:rsidP="002D6186">
    <w:pPr>
      <w:spacing w:after="250" w:line="276" w:lineRule="auto"/>
      <w:jc w:val="both"/>
      <w:rPr>
        <w:rFonts w:ascii="Arial" w:eastAsia="MS PGothic" w:hAnsi="Arial" w:cs="Arial"/>
        <w:color w:val="181818"/>
        <w:szCs w:val="20"/>
      </w:rPr>
    </w:pPr>
  </w:p>
  <w:p w14:paraId="722A68F7" w14:textId="77777777" w:rsidR="002D6186" w:rsidRPr="002D6186" w:rsidRDefault="002D6186" w:rsidP="002D6186">
    <w:pPr>
      <w:spacing w:after="250" w:line="276" w:lineRule="auto"/>
      <w:jc w:val="both"/>
      <w:rPr>
        <w:rFonts w:ascii="Arial" w:eastAsia="MS PGothic" w:hAnsi="Arial" w:cs="Arial"/>
        <w:color w:val="181818"/>
        <w:szCs w:val="20"/>
      </w:rPr>
    </w:pPr>
  </w:p>
  <w:p w14:paraId="74BAAB78" w14:textId="588A28CA" w:rsidR="002D6186" w:rsidRPr="002D6186" w:rsidRDefault="002D6186" w:rsidP="002D618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3432"/>
    <w:rsid w:val="00023D31"/>
    <w:rsid w:val="00025A1B"/>
    <w:rsid w:val="00050BF8"/>
    <w:rsid w:val="00065543"/>
    <w:rsid w:val="00067CE6"/>
    <w:rsid w:val="000D6E83"/>
    <w:rsid w:val="001077CC"/>
    <w:rsid w:val="001301D9"/>
    <w:rsid w:val="001314AA"/>
    <w:rsid w:val="001462AD"/>
    <w:rsid w:val="00150222"/>
    <w:rsid w:val="00152FEF"/>
    <w:rsid w:val="00162CAE"/>
    <w:rsid w:val="0017743F"/>
    <w:rsid w:val="001A53B9"/>
    <w:rsid w:val="001B11A8"/>
    <w:rsid w:val="00203EF5"/>
    <w:rsid w:val="002072B4"/>
    <w:rsid w:val="002274BC"/>
    <w:rsid w:val="00243F87"/>
    <w:rsid w:val="0025199F"/>
    <w:rsid w:val="0026434D"/>
    <w:rsid w:val="00264F16"/>
    <w:rsid w:val="00266B15"/>
    <w:rsid w:val="002829AC"/>
    <w:rsid w:val="00282BD2"/>
    <w:rsid w:val="00290E24"/>
    <w:rsid w:val="002A740A"/>
    <w:rsid w:val="002D58CD"/>
    <w:rsid w:val="002D6186"/>
    <w:rsid w:val="002F58FB"/>
    <w:rsid w:val="00304E46"/>
    <w:rsid w:val="00313B13"/>
    <w:rsid w:val="00320BB0"/>
    <w:rsid w:val="00331CF0"/>
    <w:rsid w:val="00332B8C"/>
    <w:rsid w:val="0034530A"/>
    <w:rsid w:val="0035372F"/>
    <w:rsid w:val="00394809"/>
    <w:rsid w:val="003A6B50"/>
    <w:rsid w:val="003B67F1"/>
    <w:rsid w:val="003D2C3C"/>
    <w:rsid w:val="003D3746"/>
    <w:rsid w:val="0040029B"/>
    <w:rsid w:val="00453BEF"/>
    <w:rsid w:val="004664E3"/>
    <w:rsid w:val="00470FA5"/>
    <w:rsid w:val="0048151A"/>
    <w:rsid w:val="00484E30"/>
    <w:rsid w:val="004C269D"/>
    <w:rsid w:val="004F280B"/>
    <w:rsid w:val="00501AC4"/>
    <w:rsid w:val="0050210B"/>
    <w:rsid w:val="00502D1C"/>
    <w:rsid w:val="0051598D"/>
    <w:rsid w:val="00523239"/>
    <w:rsid w:val="00537FD1"/>
    <w:rsid w:val="00544A7D"/>
    <w:rsid w:val="00546B72"/>
    <w:rsid w:val="00554F00"/>
    <w:rsid w:val="00556DBB"/>
    <w:rsid w:val="00557028"/>
    <w:rsid w:val="00563E4D"/>
    <w:rsid w:val="00580D8A"/>
    <w:rsid w:val="005846C0"/>
    <w:rsid w:val="00594512"/>
    <w:rsid w:val="005A35D5"/>
    <w:rsid w:val="005A6BF0"/>
    <w:rsid w:val="005C1551"/>
    <w:rsid w:val="005C347A"/>
    <w:rsid w:val="005E0910"/>
    <w:rsid w:val="005E31F2"/>
    <w:rsid w:val="005E75CC"/>
    <w:rsid w:val="00605E0B"/>
    <w:rsid w:val="00611825"/>
    <w:rsid w:val="0061475B"/>
    <w:rsid w:val="00686D73"/>
    <w:rsid w:val="00697363"/>
    <w:rsid w:val="006B6977"/>
    <w:rsid w:val="006B7B4A"/>
    <w:rsid w:val="006C47BC"/>
    <w:rsid w:val="006C7811"/>
    <w:rsid w:val="006F159F"/>
    <w:rsid w:val="00712439"/>
    <w:rsid w:val="00753DB8"/>
    <w:rsid w:val="00784D7C"/>
    <w:rsid w:val="00794019"/>
    <w:rsid w:val="007A589D"/>
    <w:rsid w:val="00817444"/>
    <w:rsid w:val="008351CF"/>
    <w:rsid w:val="00847BDD"/>
    <w:rsid w:val="0087027F"/>
    <w:rsid w:val="0089038E"/>
    <w:rsid w:val="008B6D19"/>
    <w:rsid w:val="008C4D04"/>
    <w:rsid w:val="008C632A"/>
    <w:rsid w:val="008D0D4C"/>
    <w:rsid w:val="008D1492"/>
    <w:rsid w:val="00901098"/>
    <w:rsid w:val="00915CEE"/>
    <w:rsid w:val="00920E73"/>
    <w:rsid w:val="009212B4"/>
    <w:rsid w:val="009244B3"/>
    <w:rsid w:val="009344DB"/>
    <w:rsid w:val="00951595"/>
    <w:rsid w:val="00967D76"/>
    <w:rsid w:val="00971266"/>
    <w:rsid w:val="00997493"/>
    <w:rsid w:val="009A3E35"/>
    <w:rsid w:val="009F6C36"/>
    <w:rsid w:val="009F7052"/>
    <w:rsid w:val="00A338CF"/>
    <w:rsid w:val="00A35853"/>
    <w:rsid w:val="00A53BC9"/>
    <w:rsid w:val="00A73913"/>
    <w:rsid w:val="00A85F46"/>
    <w:rsid w:val="00A87C58"/>
    <w:rsid w:val="00AE6FD6"/>
    <w:rsid w:val="00AF3545"/>
    <w:rsid w:val="00AF55C3"/>
    <w:rsid w:val="00B01DB8"/>
    <w:rsid w:val="00B33432"/>
    <w:rsid w:val="00B53F54"/>
    <w:rsid w:val="00B626E5"/>
    <w:rsid w:val="00B62E29"/>
    <w:rsid w:val="00BB1315"/>
    <w:rsid w:val="00BB49D8"/>
    <w:rsid w:val="00BC577D"/>
    <w:rsid w:val="00BD4295"/>
    <w:rsid w:val="00BD7454"/>
    <w:rsid w:val="00C06FE4"/>
    <w:rsid w:val="00C202C8"/>
    <w:rsid w:val="00C242FA"/>
    <w:rsid w:val="00C365B4"/>
    <w:rsid w:val="00C36669"/>
    <w:rsid w:val="00C745C1"/>
    <w:rsid w:val="00C95659"/>
    <w:rsid w:val="00CB1B38"/>
    <w:rsid w:val="00CF043C"/>
    <w:rsid w:val="00CF0B7A"/>
    <w:rsid w:val="00D01FE5"/>
    <w:rsid w:val="00D10784"/>
    <w:rsid w:val="00D16F57"/>
    <w:rsid w:val="00D45009"/>
    <w:rsid w:val="00D6002F"/>
    <w:rsid w:val="00D64553"/>
    <w:rsid w:val="00D814E8"/>
    <w:rsid w:val="00D86E5D"/>
    <w:rsid w:val="00DD67D7"/>
    <w:rsid w:val="00DF78BC"/>
    <w:rsid w:val="00E12FCA"/>
    <w:rsid w:val="00E566A8"/>
    <w:rsid w:val="00E771B9"/>
    <w:rsid w:val="00E87C61"/>
    <w:rsid w:val="00ED1A78"/>
    <w:rsid w:val="00EE4C70"/>
    <w:rsid w:val="00EE5B1A"/>
    <w:rsid w:val="00EF2185"/>
    <w:rsid w:val="00F02137"/>
    <w:rsid w:val="00F03868"/>
    <w:rsid w:val="00F03D56"/>
    <w:rsid w:val="00F042E8"/>
    <w:rsid w:val="00F278BC"/>
    <w:rsid w:val="00F5738E"/>
    <w:rsid w:val="00F92D6A"/>
    <w:rsid w:val="00FB3EA8"/>
    <w:rsid w:val="00FC4846"/>
    <w:rsid w:val="00FD12FD"/>
    <w:rsid w:val="00FE6B1B"/>
    <w:rsid w:val="00FF17AE"/>
    <w:rsid w:val="06C380F5"/>
    <w:rsid w:val="095C8AB7"/>
    <w:rsid w:val="0CAEFC23"/>
    <w:rsid w:val="0EBCB8B4"/>
    <w:rsid w:val="1AFD8AD6"/>
    <w:rsid w:val="28CED790"/>
    <w:rsid w:val="2A636CE1"/>
    <w:rsid w:val="3DB91EF3"/>
    <w:rsid w:val="3FE99FEE"/>
    <w:rsid w:val="47F6D3D0"/>
    <w:rsid w:val="50D66E22"/>
    <w:rsid w:val="53D130EB"/>
    <w:rsid w:val="606EC105"/>
    <w:rsid w:val="66107C87"/>
    <w:rsid w:val="7C53680C"/>
    <w:rsid w:val="7D9B8A5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7D7B325"/>
  <w15:chartTrackingRefBased/>
  <w15:docId w15:val="{F0F16392-A36C-48A7-B6A1-DF2E3C586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B3343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33432"/>
    <w:rPr>
      <w:sz w:val="20"/>
      <w:szCs w:val="20"/>
    </w:rPr>
  </w:style>
  <w:style w:type="table" w:customStyle="1" w:styleId="Tablenone1">
    <w:name w:val="Table none1"/>
    <w:basedOn w:val="TableNormal"/>
    <w:next w:val="TableGrid"/>
    <w:uiPriority w:val="39"/>
    <w:rsid w:val="00B33432"/>
    <w:pPr>
      <w:spacing w:after="0" w:line="240" w:lineRule="auto"/>
    </w:pPr>
    <w:rPr>
      <w:rFonts w:eastAsia="MS PGothic"/>
      <w:sz w:val="20"/>
      <w:szCs w:val="20"/>
      <w:lang w:val="nl-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1">
    <w:name w:val="Ref1"/>
    <w:basedOn w:val="DefaultParagraphFont"/>
    <w:link w:val="Superscript6Point"/>
    <w:uiPriority w:val="99"/>
    <w:unhideWhenUsed/>
    <w:qFormat/>
    <w:rsid w:val="00B33432"/>
    <w:rPr>
      <w:rFonts w:ascii="Arial" w:hAnsi="Arial"/>
      <w:sz w:val="16"/>
      <w:vertAlign w:val="superscript"/>
    </w:rPr>
  </w:style>
  <w:style w:type="paragraph" w:customStyle="1" w:styleId="Superscript6Point">
    <w:name w:val="Superscript 6 Point"/>
    <w:aliases w:val="Odwołanie przypisu,de nota al pie,footnote ref,2001+ Fußnotenzeichen, Exposant 3 Point,BVI fnr Знак Знак,BVI fnr Car Car Знак Знак,BVI fnr Car Знак Знак,R,16 Point,number"/>
    <w:basedOn w:val="Normal"/>
    <w:link w:val="Ref1"/>
    <w:uiPriority w:val="99"/>
    <w:rsid w:val="00B33432"/>
    <w:pPr>
      <w:spacing w:before="120" w:line="240" w:lineRule="exact"/>
    </w:pPr>
    <w:rPr>
      <w:rFonts w:ascii="Arial" w:eastAsia="MS PGothic" w:hAnsi="Arial"/>
      <w:sz w:val="16"/>
      <w:szCs w:val="20"/>
      <w:vertAlign w:val="superscript"/>
      <w:lang w:val="nl-BE"/>
    </w:rPr>
  </w:style>
  <w:style w:type="table" w:styleId="TableGrid">
    <w:name w:val="Table Grid"/>
    <w:basedOn w:val="TableNormal"/>
    <w:uiPriority w:val="39"/>
    <w:rsid w:val="00B334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semiHidden/>
    <w:unhideWhenUsed/>
    <w:rsid w:val="00B33432"/>
    <w:rPr>
      <w:vertAlign w:val="superscript"/>
    </w:rPr>
  </w:style>
  <w:style w:type="paragraph" w:styleId="Header">
    <w:name w:val="header"/>
    <w:basedOn w:val="Normal"/>
    <w:link w:val="HeaderChar"/>
    <w:uiPriority w:val="99"/>
    <w:unhideWhenUsed/>
    <w:rsid w:val="00F03D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3D56"/>
  </w:style>
  <w:style w:type="paragraph" w:styleId="Footer">
    <w:name w:val="footer"/>
    <w:basedOn w:val="Normal"/>
    <w:link w:val="FooterChar"/>
    <w:uiPriority w:val="99"/>
    <w:unhideWhenUsed/>
    <w:rsid w:val="00F03D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3D56"/>
  </w:style>
  <w:style w:type="paragraph" w:styleId="BalloonText">
    <w:name w:val="Balloon Text"/>
    <w:basedOn w:val="Normal"/>
    <w:link w:val="BalloonTextChar"/>
    <w:uiPriority w:val="99"/>
    <w:semiHidden/>
    <w:unhideWhenUsed/>
    <w:rsid w:val="002D61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6186"/>
    <w:rPr>
      <w:rFonts w:ascii="Segoe UI" w:hAnsi="Segoe UI" w:cs="Segoe UI"/>
      <w:sz w:val="18"/>
      <w:szCs w:val="18"/>
    </w:rPr>
  </w:style>
  <w:style w:type="character" w:styleId="Hyperlink">
    <w:name w:val="Hyperlink"/>
    <w:basedOn w:val="DefaultParagraphFont"/>
    <w:uiPriority w:val="99"/>
    <w:unhideWhenUsed/>
    <w:rsid w:val="00901098"/>
    <w:rPr>
      <w:color w:val="0563C1" w:themeColor="hyperlink"/>
      <w:u w:val="single"/>
    </w:rPr>
  </w:style>
  <w:style w:type="character" w:styleId="UnresolvedMention">
    <w:name w:val="Unresolved Mention"/>
    <w:basedOn w:val="DefaultParagraphFont"/>
    <w:uiPriority w:val="99"/>
    <w:semiHidden/>
    <w:unhideWhenUsed/>
    <w:rsid w:val="00901098"/>
    <w:rPr>
      <w:color w:val="605E5C"/>
      <w:shd w:val="clear" w:color="auto" w:fill="E1DFDD"/>
    </w:rPr>
  </w:style>
  <w:style w:type="character" w:styleId="FollowedHyperlink">
    <w:name w:val="FollowedHyperlink"/>
    <w:basedOn w:val="DefaultParagraphFont"/>
    <w:uiPriority w:val="99"/>
    <w:semiHidden/>
    <w:unhideWhenUsed/>
    <w:rsid w:val="0090109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esma.europa.eu/press-news/consultations/call-evidence-review-ucits-eligible-assets-directive" TargetMode="External"/><Relationship Id="rId4" Type="http://schemas.openxmlformats.org/officeDocument/2006/relationships/customXml" Target="../customXml/item4.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TaxCatchAll xmlns="d0fb0f98-34f9-4d57-9559-eb8efd17aa5e">
      <Value>6</Value>
      <Value>33</Value>
      <Value>254</Value>
      <Value>5</Value>
    </TaxCatchAll>
    <i273e4c9de95495b82bee898e1d119e4 xmlns="d0fb0f98-34f9-4d57-9559-eb8efd17aa5e">
      <Terms xmlns="http://schemas.microsoft.com/office/infopath/2007/PartnerControls">
        <TermInfo xmlns="http://schemas.microsoft.com/office/infopath/2007/PartnerControls">
          <TermName xmlns="http://schemas.microsoft.com/office/infopath/2007/PartnerControls">UCITS V</TermName>
          <TermId xmlns="http://schemas.microsoft.com/office/infopath/2007/PartnerControls">f647cd65-9fed-4943-9235-640226c8ffaf</TermId>
        </TermInfo>
      </Terms>
    </i273e4c9de95495b82bee898e1d119e4>
    <k9db3a09612944c49e649e0ff38a506b xmlns="d0fb0f98-34f9-4d57-9559-eb8efd17aa5e">
      <Terms xmlns="http://schemas.microsoft.com/office/infopath/2007/PartnerControls"/>
    </k9db3a09612944c49e649e0ff38a506b>
    <MeetingDate xmlns="d0fb0f98-34f9-4d57-9559-eb8efd17aa5e" xsi:nil="true"/>
    <Year xmlns="d0fb0f98-34f9-4d57-9559-eb8efd17aa5e">2023</Year>
    <o129a376828d47fdaef4d5f5d93fd079 xmlns="d0fb0f98-34f9-4d57-9559-eb8efd17aa5e">
      <Terms xmlns="http://schemas.microsoft.com/office/infopath/2007/PartnerControls">
        <TermInfo xmlns="http://schemas.microsoft.com/office/infopath/2007/PartnerControls">
          <TermName xmlns="http://schemas.microsoft.com/office/infopath/2007/PartnerControls">Regular</TermName>
          <TermId xmlns="http://schemas.microsoft.com/office/infopath/2007/PartnerControls">07f1e362-856b-423d-bea6-a14079762141</TermId>
        </TermInfo>
      </Terms>
    </o129a376828d47fdaef4d5f5d93fd079>
    <le43fdf786354491b6a92d49b491b10f xmlns="d0fb0f98-34f9-4d57-9559-eb8efd17aa5e">
      <Terms xmlns="http://schemas.microsoft.com/office/infopath/2007/PartnerControls">
        <TermInfo xmlns="http://schemas.microsoft.com/office/infopath/2007/PartnerControls">
          <TermName xmlns="http://schemas.microsoft.com/office/infopath/2007/PartnerControls">UCITS</TermName>
          <TermId xmlns="http://schemas.microsoft.com/office/infopath/2007/PartnerControls">a853cb80-aed9-44bd-ac2a-0e80b5a444d7</TermId>
        </TermInfo>
      </Terms>
    </le43fdf786354491b6a92d49b491b10f>
    <kdd529b9a5cb416096d62dbd0e6e5583 xmlns="d0fb0f98-34f9-4d57-9559-eb8efd17aa5e">
      <Terms xmlns="http://schemas.microsoft.com/office/infopath/2007/PartnerControls">
        <TermInfo xmlns="http://schemas.microsoft.com/office/infopath/2007/PartnerControls">
          <TermName xmlns="http://schemas.microsoft.com/office/infopath/2007/PartnerControls">Investment Management</TermName>
          <TermId xmlns="http://schemas.microsoft.com/office/infopath/2007/PartnerControls">9630b78b-e81c-4ffd-baef-5f8b4aeb7ac5</TermId>
        </TermInfo>
      </Terms>
    </kdd529b9a5cb416096d62dbd0e6e5583>
    <oa4fe03ffd8943c1880fe290404e8de7 xmlns="d0fb0f98-34f9-4d57-9559-eb8efd17aa5e">
      <Terms xmlns="http://schemas.microsoft.com/office/infopath/2007/PartnerControls"/>
    </oa4fe03ffd8943c1880fe290404e8de7>
    <_dlc_DocId xmlns="d0fb0f98-34f9-4d57-9559-eb8efd17aa5e">ESMA34-1270380148-1066</_dlc_DocId>
    <_dlc_DocIdUrl xmlns="d0fb0f98-34f9-4d57-9559-eb8efd17aa5e">
      <Url>https://securitiesandmarketsauth.sharepoint.com/sites/sherpa-ivm/_layouts/15/DocIdRedir.aspx?ID=ESMA34-1270380148-1066</Url>
      <Description>ESMA34-1270380148-1066</Description>
    </_dlc_DocIdUrl>
    <SharedWithUsers xmlns="d0fb0f98-34f9-4d57-9559-eb8efd17aa5e">
      <UserInfo>
        <DisplayName>Iris Hude</DisplayName>
        <AccountId>82</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UCITS Document" ma:contentTypeID="0x0101000ED1C6BF2ECFE74585EFFEA9E6E27962010B006EE2F6F0923B8D47B938E8456CAF7C4C" ma:contentTypeVersion="24" ma:contentTypeDescription="" ma:contentTypeScope="" ma:versionID="bb69f40d48060915a746d88e25b3ce6c">
  <xsd:schema xmlns:xsd="http://www.w3.org/2001/XMLSchema" xmlns:xs="http://www.w3.org/2001/XMLSchema" xmlns:p="http://schemas.microsoft.com/office/2006/metadata/properties" xmlns:ns2="d0fb0f98-34f9-4d57-9559-eb8efd17aa5e" xmlns:ns3="6992b194-ece9-4b26-973e-e25c2ee2cdcd" targetNamespace="http://schemas.microsoft.com/office/2006/metadata/properties" ma:root="true" ma:fieldsID="d393c18af9c87e7948f2665729661357" ns2:_="" ns3:_="">
    <xsd:import namespace="d0fb0f98-34f9-4d57-9559-eb8efd17aa5e"/>
    <xsd:import namespace="6992b194-ece9-4b26-973e-e25c2ee2cdcd"/>
    <xsd:element name="properties">
      <xsd:complexType>
        <xsd:sequence>
          <xsd:element name="documentManagement">
            <xsd:complexType>
              <xsd:all>
                <xsd:element ref="ns2:Year"/>
                <xsd:element ref="ns2:MeetingDate" minOccurs="0"/>
                <xsd:element ref="ns2:TaxCatchAll" minOccurs="0"/>
                <xsd:element ref="ns2:TaxCatchAllLabel" minOccurs="0"/>
                <xsd:element ref="ns2:kdd529b9a5cb416096d62dbd0e6e5583" minOccurs="0"/>
                <xsd:element ref="ns2:oa4fe03ffd8943c1880fe290404e8de7" minOccurs="0"/>
                <xsd:element ref="ns2:o129a376828d47fdaef4d5f5d93fd079" minOccurs="0"/>
                <xsd:element ref="ns2:k9db3a09612944c49e649e0ff38a506b" minOccurs="0"/>
                <xsd:element ref="ns2:le43fdf786354491b6a92d49b491b10f" minOccurs="0"/>
                <xsd:element ref="ns2:i273e4c9de95495b82bee898e1d119e4" minOccurs="0"/>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fb0f98-34f9-4d57-9559-eb8efd17aa5e" elementFormDefault="qualified">
    <xsd:import namespace="http://schemas.microsoft.com/office/2006/documentManagement/types"/>
    <xsd:import namespace="http://schemas.microsoft.com/office/infopath/2007/PartnerControls"/>
    <xsd:element name="Year" ma:index="6" ma:displayName="Year" ma:default="" ma:internalName="Year" ma:readOnly="false">
      <xsd:simpleType>
        <xsd:restriction base="dms:Text">
          <xsd:maxLength value="4"/>
        </xsd:restriction>
      </xsd:simpleType>
    </xsd:element>
    <xsd:element name="MeetingDate" ma:index="8" nillable="true" ma:displayName="Meeting Date" ma:format="DateOnly" ma:internalName="MeetingDate" ma:readOnly="false">
      <xsd:simpleType>
        <xsd:restriction base="dms:DateTime"/>
      </xsd:simpleType>
    </xsd:element>
    <xsd:element name="TaxCatchAll" ma:index="10" nillable="true" ma:displayName="Taxonomy Catch All Column" ma:hidden="true" ma:list="{47290a89-fb2d-4e6f-824b-be70d5d8a6c0}" ma:internalName="TaxCatchAll" ma:readOnly="false" ma:showField="CatchAllData" ma:web="d0fb0f98-34f9-4d57-9559-eb8efd17aa5e">
      <xsd:complexType>
        <xsd:complexContent>
          <xsd:extension base="dms:MultiChoiceLookup">
            <xsd:sequence>
              <xsd:element name="Value" type="dms:Lookup" maxOccurs="unbounded" minOccurs="0" nillable="true"/>
            </xsd:sequence>
          </xsd:extension>
        </xsd:complexContent>
      </xsd:complexType>
    </xsd:element>
    <xsd:element name="TaxCatchAllLabel" ma:index="17" nillable="true" ma:displayName="Taxonomy Catch All Column1" ma:hidden="true" ma:list="{47290a89-fb2d-4e6f-824b-be70d5d8a6c0}" ma:internalName="TaxCatchAllLabel" ma:readOnly="true" ma:showField="CatchAllDataLabel" ma:web="d0fb0f98-34f9-4d57-9559-eb8efd17aa5e">
      <xsd:complexType>
        <xsd:complexContent>
          <xsd:extension base="dms:MultiChoiceLookup">
            <xsd:sequence>
              <xsd:element name="Value" type="dms:Lookup" maxOccurs="unbounded" minOccurs="0" nillable="true"/>
            </xsd:sequence>
          </xsd:extension>
        </xsd:complexContent>
      </xsd:complexType>
    </xsd:element>
    <xsd:element name="kdd529b9a5cb416096d62dbd0e6e5583" ma:index="18" nillable="true" ma:taxonomy="true" ma:internalName="kdd529b9a5cb416096d62dbd0e6e5583" ma:taxonomyFieldName="TeamName" ma:displayName="Team Name" ma:readOnly="false" ma:default="-1;#Investment Management|9630b78b-e81c-4ffd-baef-5f8b4aeb7ac5" ma:fieldId="{4dd529b9-a5cb-4160-96d6-2dbd0e6e5583}" ma:sspId="d4b01e31-ead0-4f68-a8e9-2aaca35f2e62" ma:termSetId="9ab8a8dd-aa7f-4e9e-9345-c8f50d6bfad1" ma:anchorId="00000000-0000-0000-0000-000000000000" ma:open="false" ma:isKeyword="false">
      <xsd:complexType>
        <xsd:sequence>
          <xsd:element ref="pc:Terms" minOccurs="0" maxOccurs="1"/>
        </xsd:sequence>
      </xsd:complexType>
    </xsd:element>
    <xsd:element name="oa4fe03ffd8943c1880fe290404e8de7" ma:index="19" nillable="true" ma:taxonomy="true" ma:internalName="oa4fe03ffd8943c1880fe290404e8de7" ma:taxonomyFieldName="DocumentType" ma:displayName="Document Type" ma:readOnly="false" ma:fieldId="{8a4fe03f-fd89-43c1-880f-e290404e8de7}" ma:sspId="d4b01e31-ead0-4f68-a8e9-2aaca35f2e62" ma:termSetId="f83a1c9a-b23f-455b-8c9e-17fb9037db30" ma:anchorId="00000000-0000-0000-0000-000000000000" ma:open="false" ma:isKeyword="false">
      <xsd:complexType>
        <xsd:sequence>
          <xsd:element ref="pc:Terms" minOccurs="0" maxOccurs="1"/>
        </xsd:sequence>
      </xsd:complexType>
    </xsd:element>
    <xsd:element name="o129a376828d47fdaef4d5f5d93fd079" ma:index="20" nillable="true" ma:taxonomy="true" ma:internalName="o129a376828d47fdaef4d5f5d93fd079" ma:taxonomyFieldName="ConfidentialityLevel" ma:displayName="Confidentiality Level" ma:readOnly="false" ma:default="-1;#Regular|07f1e362-856b-423d-bea6-a14079762141" ma:fieldId="{8129a376-828d-47fd-aef4-d5f5d93fd079}" ma:sspId="d4b01e31-ead0-4f68-a8e9-2aaca35f2e62" ma:termSetId="63da149f-0364-4b58-9838-6f5855a402c0" ma:anchorId="00000000-0000-0000-0000-000000000000" ma:open="false" ma:isKeyword="false">
      <xsd:complexType>
        <xsd:sequence>
          <xsd:element ref="pc:Terms" minOccurs="0" maxOccurs="1"/>
        </xsd:sequence>
      </xsd:complexType>
    </xsd:element>
    <xsd:element name="k9db3a09612944c49e649e0ff38a506b" ma:index="21" nillable="true" ma:taxonomy="true" ma:internalName="k9db3a09612944c49e649e0ff38a506b" ma:taxonomyFieldName="EsmaAudience" ma:displayName="Audience" ma:readOnly="false" ma:fieldId="{49db3a09-6129-44c4-9e64-9e0ff38a506b}" ma:sspId="d4b01e31-ead0-4f68-a8e9-2aaca35f2e62" ma:termSetId="76343289-0524-4d6c-b317-76d8c2e49caa" ma:anchorId="00000000-0000-0000-0000-000000000000" ma:open="false" ma:isKeyword="false">
      <xsd:complexType>
        <xsd:sequence>
          <xsd:element ref="pc:Terms" minOccurs="0" maxOccurs="1"/>
        </xsd:sequence>
      </xsd:complexType>
    </xsd:element>
    <xsd:element name="le43fdf786354491b6a92d49b491b10f" ma:index="22" nillable="true" ma:taxonomy="true" ma:internalName="le43fdf786354491b6a92d49b491b10f" ma:taxonomyFieldName="TeamTopic" ma:displayName="Team Topic" ma:readOnly="false" ma:default="-1;#UCITS|a853cb80-aed9-44bd-ac2a-0e80b5a444d7" ma:fieldId="{5e43fdf7-8635-4491-b6a9-2d49b491b10f}" ma:taxonomyMulti="true" ma:sspId="d4b01e31-ead0-4f68-a8e9-2aaca35f2e62" ma:termSetId="659d163a-41f8-4a11-98d0-47db219aa0e4" ma:anchorId="00000000-0000-0000-0000-000000000000" ma:open="false" ma:isKeyword="false">
      <xsd:complexType>
        <xsd:sequence>
          <xsd:element ref="pc:Terms" minOccurs="0" maxOccurs="1"/>
        </xsd:sequence>
      </xsd:complexType>
    </xsd:element>
    <xsd:element name="i273e4c9de95495b82bee898e1d119e4" ma:index="23" nillable="true" ma:taxonomy="true" ma:internalName="i273e4c9de95495b82bee898e1d119e4" ma:taxonomyFieldName="Topic" ma:displayName="Topic" ma:readOnly="false" ma:fieldId="{2273e4c9-de95-495b-82be-e898e1d119e4}" ma:sspId="d4b01e31-ead0-4f68-a8e9-2aaca35f2e62" ma:termSetId="d513acc8-7dbc-449c-a6a2-9c4e1874ec8d" ma:anchorId="00000000-0000-0000-0000-000000000000" ma:open="true" ma:isKeyword="false">
      <xsd:complexType>
        <xsd:sequence>
          <xsd:element ref="pc:Terms" minOccurs="0" maxOccurs="1"/>
        </xsd:sequence>
      </xsd:complexType>
    </xsd:element>
    <xsd:element name="_dlc_DocId" ma:index="24" nillable="true" ma:displayName="Document ID Value" ma:description="The value of the document ID assigned to this item." ma:indexed="true" ma:internalName="_dlc_DocId" ma:readOnly="true">
      <xsd:simpleType>
        <xsd:restriction base="dms:Text"/>
      </xsd:simpleType>
    </xsd:element>
    <xsd:element name="_dlc_DocIdUrl" ma:index="2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6" nillable="true" ma:displayName="Persist ID" ma:description="Keep ID on add." ma:hidden="true" ma:internalName="_dlc_DocIdPersistId" ma:readOnly="true">
      <xsd:simpleType>
        <xsd:restriction base="dms:Boolean"/>
      </xsd:simpleType>
    </xsd:element>
    <xsd:element name="SharedWithUsers" ma:index="2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992b194-ece9-4b26-973e-e25c2ee2cdcd" elementFormDefault="qualified">
    <xsd:import namespace="http://schemas.microsoft.com/office/2006/documentManagement/types"/>
    <xsd:import namespace="http://schemas.microsoft.com/office/infopath/2007/PartnerControls"/>
    <xsd:element name="MediaServiceMetadata" ma:index="29" nillable="true" ma:displayName="MediaServiceMetadata" ma:hidden="true" ma:internalName="MediaServiceMetadata" ma:readOnly="true">
      <xsd:simpleType>
        <xsd:restriction base="dms:Note"/>
      </xsd:simpleType>
    </xsd:element>
    <xsd:element name="MediaServiceFastMetadata" ma:index="30" nillable="true" ma:displayName="MediaServiceFastMetadata" ma:hidden="true" ma:internalName="MediaServiceFastMetadata" ma:readOnly="true">
      <xsd:simpleType>
        <xsd:restriction base="dms:Note"/>
      </xsd:simpleType>
    </xsd:element>
    <xsd:element name="MediaServiceObjectDetectorVersions" ma:index="31" nillable="true" ma:displayName="MediaServiceObjectDetectorVersions" ma:hidden="true" ma:indexed="true" ma:internalName="MediaServiceObjectDetectorVersions"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C84FCA0-A20E-48DE-B522-B2D818717B37}">
  <ds:schemaRefs>
    <ds:schemaRef ds:uri="http://schemas.microsoft.com/sharepoint/events"/>
  </ds:schemaRefs>
</ds:datastoreItem>
</file>

<file path=customXml/itemProps2.xml><?xml version="1.0" encoding="utf-8"?>
<ds:datastoreItem xmlns:ds="http://schemas.openxmlformats.org/officeDocument/2006/customXml" ds:itemID="{04A697FA-BE24-4878-AFDB-AD64CEE0912C}">
  <ds:schemaRefs>
    <ds:schemaRef ds:uri="http://schemas.microsoft.com/office/2006/metadata/properties"/>
    <ds:schemaRef ds:uri="http://www.w3.org/XML/1998/namespace"/>
    <ds:schemaRef ds:uri="http://schemas.openxmlformats.org/package/2006/metadata/core-properties"/>
    <ds:schemaRef ds:uri="http://purl.org/dc/terms/"/>
    <ds:schemaRef ds:uri="http://purl.org/dc/elements/1.1/"/>
    <ds:schemaRef ds:uri="http://purl.org/dc/dcmitype/"/>
    <ds:schemaRef ds:uri="http://schemas.microsoft.com/office/2006/documentManagement/types"/>
    <ds:schemaRef ds:uri="http://schemas.microsoft.com/office/infopath/2007/PartnerControls"/>
    <ds:schemaRef ds:uri="6992b194-ece9-4b26-973e-e25c2ee2cdcd"/>
    <ds:schemaRef ds:uri="d0fb0f98-34f9-4d57-9559-eb8efd17aa5e"/>
  </ds:schemaRefs>
</ds:datastoreItem>
</file>

<file path=customXml/itemProps3.xml><?xml version="1.0" encoding="utf-8"?>
<ds:datastoreItem xmlns:ds="http://schemas.openxmlformats.org/officeDocument/2006/customXml" ds:itemID="{C5543A0A-BC65-43F9-A5CA-D69219D76F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fb0f98-34f9-4d57-9559-eb8efd17aa5e"/>
    <ds:schemaRef ds:uri="6992b194-ece9-4b26-973e-e25c2ee2cd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3EC7362-CE0E-45A1-9F25-BE624802C55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28</Pages>
  <Words>2638</Words>
  <Characters>15038</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Arina Costila</dc:creator>
  <cp:keywords/>
  <dc:description/>
  <cp:lastModifiedBy>Désirée Doenges</cp:lastModifiedBy>
  <cp:revision>19</cp:revision>
  <dcterms:created xsi:type="dcterms:W3CDTF">2024-08-06T14:26:00Z</dcterms:created>
  <dcterms:modified xsi:type="dcterms:W3CDTF">2024-08-06T17:18:00Z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0x0101000ED1C6BF2ECFE74585EFFEA9E6E27962010B006EE2F6F0923B8D47B938E8456CAF7C4C</vt:lpwstr>
  </property>
  <property fmtid="{D5CDD505-2E9C-101B-9397-08002B2CF9AE}" pid="3" name="TeamName">
    <vt:lpwstr>5</vt:lpwstr>
  </property>
  <property fmtid="{D5CDD505-2E9C-101B-9397-08002B2CF9AE}" pid="4" name="Topic">
    <vt:lpwstr>254</vt:lpwstr>
  </property>
  <property fmtid="{D5CDD505-2E9C-101B-9397-08002B2CF9AE}" pid="5" name="ConfidentialityLevel">
    <vt:lpwstr>6;#Regular|07f1e362-856b-423d-bea6-a14079762141</vt:lpwstr>
  </property>
  <property fmtid="{D5CDD505-2E9C-101B-9397-08002B2CF9AE}" pid="6" name="TeamTopic">
    <vt:lpwstr>33;#UCITS|a853cb80-aed9-44bd-ac2a-0e80b5a444d7</vt:lpwstr>
  </property>
  <property fmtid="{D5CDD505-2E9C-101B-9397-08002B2CF9AE}" pid="7" name="DocumentType">
    <vt:lpwstr/>
  </property>
  <property fmtid="{D5CDD505-2E9C-101B-9397-08002B2CF9AE}" pid="8" name="EsmaAudience">
    <vt:lpwstr/>
  </property>
  <property fmtid="{D5CDD505-2E9C-101B-9397-08002B2CF9AE}" pid="9" name="_dlc_DocIdItemGuid">
    <vt:lpwstr>1a846c82-0d53-46e2-86e5-7d75005f4a47</vt:lpwstr>
  </property>
</Properties>
</file>