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0F73999B"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shape w14:anchorId="3FE77E2A"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On the review of the UCITS Eligible Assets Directive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3A45AF35" w:rsidR="002533FC" w:rsidRPr="005B6B12" w:rsidRDefault="002533FC" w:rsidP="002533FC">
          <w:r w:rsidRPr="005B6B12">
            <w:t>ESMA will consider all comments received by</w:t>
          </w:r>
          <w:r w:rsidR="008334D4">
            <w:t xml:space="preserve"> </w:t>
          </w:r>
          <w:r w:rsidR="008334D4" w:rsidRPr="008334D4">
            <w:rPr>
              <w:b/>
              <w:bCs/>
            </w:rPr>
            <w:t>Wednesday</w:t>
          </w:r>
          <w:r w:rsidRPr="008334D4">
            <w:rPr>
              <w:b/>
              <w:bCs/>
            </w:rPr>
            <w:t xml:space="preserve"> </w:t>
          </w:r>
          <w:r w:rsidR="00667FF6" w:rsidRPr="008334D4">
            <w:rPr>
              <w:b/>
              <w:bCs/>
            </w:rPr>
            <w:t>7 August</w:t>
          </w:r>
          <w:r w:rsidR="00667FF6" w:rsidRPr="00667FF6">
            <w:rPr>
              <w:b/>
              <w:bCs/>
            </w:rPr>
            <w:t xml:space="preserve"> 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2E9458DC"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D07D6E">
            <w:rPr>
              <w:bCs/>
            </w:rPr>
            <w:t>EADC</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C336E6E"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86332B">
            <w:rPr>
              <w:bCs/>
            </w:rPr>
            <w:t>EADC</w:t>
          </w:r>
          <w:r w:rsidRPr="00C5469A">
            <w:rPr>
              <w:bCs/>
            </w:rPr>
            <w:t xml:space="preserve">_nameofrespondent. </w:t>
          </w:r>
        </w:p>
        <w:p w14:paraId="210BE93A" w14:textId="1C20553E"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86332B">
            <w:rPr>
              <w:bCs/>
            </w:rPr>
            <w:t>EADC</w:t>
          </w:r>
          <w:r w:rsidRPr="00C5469A">
            <w:rPr>
              <w:bCs/>
            </w:rPr>
            <w:t xml:space="preserve"> _ABCD.</w:t>
          </w:r>
        </w:p>
        <w:p w14:paraId="60FF11C9" w14:textId="121D1164" w:rsidR="00EC6066" w:rsidRPr="0026459D" w:rsidRDefault="51A403BF" w:rsidP="5788A89C">
          <w:pPr>
            <w:ind w:left="142"/>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 xml:space="preserve">submitted online at </w:t>
          </w:r>
          <w:hyperlink r:id="rId16">
            <w:r w:rsidR="4B7EB2E9" w:rsidRPr="5788A89C">
              <w:rPr>
                <w:rStyle w:val="Hyperlink"/>
                <w:szCs w:val="22"/>
              </w:rPr>
              <w:t>https://www.esma.europa.eu/press-news/consultations/call-evidence-review-ucits-eligible-assets-directive</w:t>
            </w:r>
          </w:hyperlink>
          <w:r>
            <w:t xml:space="preserve"> 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690CAFC" w14:textId="460BB8F7" w:rsidR="00EC6066" w:rsidRDefault="00C72E8C" w:rsidP="00EC6066">
      <w:r w:rsidRPr="00C72E8C">
        <w:t xml:space="preserve">This Call for Evidence is of particular interest for investors and consumer groups interested in retail investment products, management companies of Undertakings for Collective Investment in Transferable Securities (UCITS), self-managed UCITS investment companies, depositaries of UCITS and trade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5BAF88A5" w:rsidR="00635BCA" w:rsidRPr="00557BD2" w:rsidRDefault="00565821" w:rsidP="00D21C35">
                <w:r w:rsidRPr="00B30867">
                  <w:rPr>
                    <w:rFonts w:ascii="Segoe UI" w:hAnsi="Segoe UI" w:cs="Segoe UI"/>
                  </w:rPr>
                  <w:t>Association of the Luxembourg Fund Industry (ALFI)</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permStart w:id="476595074" w:edGrp="everyone" w:displacedByCustomXml="prev"/>
            <w:tc>
              <w:tcPr>
                <w:tcW w:w="4531" w:type="dxa"/>
              </w:tcPr>
              <w:p w14:paraId="4238C5E9" w14:textId="7EA5BD58" w:rsidR="00565821" w:rsidRPr="00B30867" w:rsidRDefault="00565821" w:rsidP="00565821">
                <w:pPr>
                  <w:rPr>
                    <w:rFonts w:ascii="Segoe UI" w:hAnsi="Segoe UI" w:cs="Segoe UI"/>
                  </w:rPr>
                </w:pPr>
                <w:r w:rsidRPr="00B30867">
                  <w:rPr>
                    <w:rFonts w:ascii="Segoe UI" w:hAnsi="Segoe UI" w:cs="Segoe UI"/>
                  </w:rPr>
                  <w:t xml:space="preserve">ALFI represents the face and voice of the Luxembourg asset management and investment fund community. The Association is committed to the development of the Luxembourg fund industry by striving to create new business opportunities, and through the exchange of information and knowledge. </w:t>
                </w:r>
              </w:p>
              <w:p w14:paraId="76757DA1" w14:textId="77777777" w:rsidR="00565821" w:rsidRPr="00B30867" w:rsidRDefault="00565821" w:rsidP="00565821">
                <w:pPr>
                  <w:rPr>
                    <w:rFonts w:ascii="Segoe UI" w:hAnsi="Segoe UI" w:cs="Segoe UI"/>
                  </w:rPr>
                </w:pPr>
                <w:r w:rsidRPr="00B30867">
                  <w:rPr>
                    <w:rFonts w:ascii="Segoe UI" w:hAnsi="Segoe UI" w:cs="Segoe UI"/>
                  </w:rPr>
                  <w:t>Created in 1988, the Association today represents over 1,500 Luxembourg domiciled investment funds, asset management companies and a wide range of business that serve the sector. These include depositary banks, fund administrators, transfer agents, distributors, legal firms, consultants, tax advisory firms, auditors and accountants, specialised IT and communication companies. Luxembourg is the largest fund domicile in Europe and a worldwide leader in cross-border distribution of funds. Luxembourg domiciled investment funds are distributed in more than 70 countries around the world.</w:t>
                </w:r>
              </w:p>
              <w:p w14:paraId="7403D812" w14:textId="694975CA" w:rsidR="00635BCA" w:rsidRPr="00557BD2" w:rsidRDefault="00635BCA" w:rsidP="00D21C35"/>
            </w:tc>
            <w:permEnd w:id="476595074"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63F8A0ED" w:rsidR="00635BCA" w:rsidRPr="00557BD2" w:rsidRDefault="007B0605" w:rsidP="00D21C35">
                <w:r>
                  <w:t>Luxembourg</w:t>
                </w:r>
              </w:p>
            </w:tc>
            <w:permEnd w:id="1581805691" w:displacedByCustomXml="next"/>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lastRenderedPageBreak/>
        <w:t xml:space="preserve">Questions </w:t>
      </w:r>
    </w:p>
    <w:p w14:paraId="4CBE5AC1" w14:textId="77777777" w:rsidR="00667FF6" w:rsidRDefault="00667FF6" w:rsidP="00DB686B">
      <w:pPr>
        <w:pStyle w:val="Questionstyle"/>
        <w:numPr>
          <w:ilvl w:val="0"/>
          <w:numId w:val="14"/>
        </w:numPr>
        <w:rPr>
          <w:color w:val="auto"/>
        </w:rPr>
      </w:pPr>
      <w:r>
        <w:t>In your view, what is the most pressing issue to address in the UCITS EAD with a view to improving investor protection, clarity and supervisory convergence across the EU?</w:t>
      </w:r>
    </w:p>
    <w:p w14:paraId="3DAC8524" w14:textId="77777777" w:rsidR="00667FF6" w:rsidRDefault="00667FF6" w:rsidP="00667FF6">
      <w:bookmarkStart w:id="0" w:name="_Hlk166078273"/>
      <w:r>
        <w:t>&lt;ESMA_QUESTION_EADC_1&gt;</w:t>
      </w:r>
    </w:p>
    <w:bookmarkEnd w:id="0"/>
    <w:p w14:paraId="6354A91F" w14:textId="77777777" w:rsidR="00E84B85" w:rsidRPr="00E84B85" w:rsidRDefault="00E84B85" w:rsidP="00E84B85">
      <w:pPr>
        <w:spacing w:after="0" w:line="240" w:lineRule="auto"/>
        <w:rPr>
          <w:rFonts w:ascii="Segoe UI" w:eastAsia="Calibri" w:hAnsi="Segoe UI" w:cs="Segoe UI"/>
          <w:b/>
          <w:color w:val="auto"/>
          <w:szCs w:val="22"/>
          <w:u w:val="single"/>
        </w:rPr>
      </w:pPr>
      <w:permStart w:id="1975413025" w:edGrp="everyone"/>
      <w:r w:rsidRPr="00E84B85">
        <w:rPr>
          <w:rFonts w:ascii="Segoe UI" w:eastAsia="Calibri" w:hAnsi="Segoe UI" w:cs="Segoe UI"/>
          <w:b/>
          <w:color w:val="auto"/>
          <w:szCs w:val="22"/>
          <w:u w:val="single"/>
        </w:rPr>
        <w:t>Introduction and general considerations</w:t>
      </w:r>
    </w:p>
    <w:p w14:paraId="1FF37A91" w14:textId="77777777" w:rsidR="00E84B85" w:rsidRDefault="00E84B85" w:rsidP="00DC3CC2">
      <w:pPr>
        <w:rPr>
          <w:rFonts w:ascii="Segoe UI" w:hAnsi="Segoe UI" w:cs="Segoe UI"/>
        </w:rPr>
      </w:pPr>
    </w:p>
    <w:p w14:paraId="1CB9D55C" w14:textId="41E8EDB1" w:rsidR="00DC3CC2" w:rsidRPr="00B30867" w:rsidRDefault="00DC3CC2" w:rsidP="00DC3CC2">
      <w:pPr>
        <w:rPr>
          <w:rFonts w:ascii="Segoe UI" w:hAnsi="Segoe UI" w:cs="Segoe UI"/>
        </w:rPr>
      </w:pPr>
      <w:r w:rsidRPr="00B30867">
        <w:rPr>
          <w:rFonts w:ascii="Segoe UI" w:hAnsi="Segoe UI" w:cs="Segoe UI"/>
        </w:rPr>
        <w:t>We thank the European Securities and Markets Authority for the opportunity to participate in this call for evidence on the review of the UCITS Eligible Assets Directive</w:t>
      </w:r>
      <w:r>
        <w:rPr>
          <w:rFonts w:ascii="Segoe UI" w:hAnsi="Segoe UI" w:cs="Segoe UI"/>
        </w:rPr>
        <w:t xml:space="preserve"> (EAD)</w:t>
      </w:r>
      <w:r w:rsidRPr="00B30867">
        <w:rPr>
          <w:rFonts w:ascii="Segoe UI" w:hAnsi="Segoe UI" w:cs="Segoe UI"/>
        </w:rPr>
        <w:t>.</w:t>
      </w:r>
    </w:p>
    <w:p w14:paraId="0F1D1E2F" w14:textId="77777777" w:rsidR="00DC3CC2" w:rsidRDefault="00DC3CC2" w:rsidP="00DC3CC2">
      <w:pPr>
        <w:rPr>
          <w:rFonts w:ascii="Segoe UI" w:hAnsi="Segoe UI" w:cs="Segoe UI"/>
        </w:rPr>
      </w:pPr>
      <w:r w:rsidRPr="00342705">
        <w:rPr>
          <w:rFonts w:ascii="Segoe UI" w:hAnsi="Segoe UI" w:cs="Segoe UI"/>
        </w:rPr>
        <w:t xml:space="preserve">Concerning ESMA’s mandate to develop technical advice for the European Commission </w:t>
      </w:r>
      <w:r>
        <w:rPr>
          <w:rFonts w:ascii="Segoe UI" w:hAnsi="Segoe UI" w:cs="Segoe UI"/>
        </w:rPr>
        <w:t xml:space="preserve">with regard to the </w:t>
      </w:r>
      <w:r w:rsidRPr="00F71EC4">
        <w:rPr>
          <w:rFonts w:ascii="Segoe UI" w:hAnsi="Segoe UI" w:cs="Segoe UI"/>
        </w:rPr>
        <w:t>UCITS</w:t>
      </w:r>
      <w:r>
        <w:rPr>
          <w:rFonts w:ascii="Segoe UI" w:hAnsi="Segoe UI" w:cs="Segoe UI"/>
        </w:rPr>
        <w:t xml:space="preserve"> EAD</w:t>
      </w:r>
      <w:r w:rsidRPr="00342705">
        <w:rPr>
          <w:rFonts w:ascii="Segoe UI" w:hAnsi="Segoe UI" w:cs="Segoe UI"/>
        </w:rPr>
        <w:t xml:space="preserve">, we would like to bring forward the following </w:t>
      </w:r>
      <w:r>
        <w:rPr>
          <w:rFonts w:ascii="Segoe UI" w:hAnsi="Segoe UI" w:cs="Segoe UI"/>
        </w:rPr>
        <w:t xml:space="preserve">general </w:t>
      </w:r>
      <w:r w:rsidRPr="00342705">
        <w:rPr>
          <w:rFonts w:ascii="Segoe UI" w:hAnsi="Segoe UI" w:cs="Segoe UI"/>
        </w:rPr>
        <w:t>considerations.</w:t>
      </w:r>
    </w:p>
    <w:p w14:paraId="2075D086" w14:textId="77777777" w:rsidR="00DC3CC2" w:rsidRDefault="00DC3CC2" w:rsidP="00DC3CC2">
      <w:pPr>
        <w:rPr>
          <w:rFonts w:ascii="Segoe UI" w:hAnsi="Segoe UI" w:cs="Segoe UI"/>
        </w:rPr>
      </w:pPr>
      <w:r w:rsidRPr="00F71EC4">
        <w:rPr>
          <w:rFonts w:ascii="Segoe UI" w:hAnsi="Segoe UI" w:cs="Segoe UI"/>
        </w:rPr>
        <w:t xml:space="preserve">UCITS </w:t>
      </w:r>
      <w:r>
        <w:rPr>
          <w:rFonts w:ascii="Segoe UI" w:hAnsi="Segoe UI" w:cs="Segoe UI"/>
        </w:rPr>
        <w:t>can look back on many years of a success story as a</w:t>
      </w:r>
      <w:r w:rsidRPr="00F71EC4">
        <w:rPr>
          <w:rFonts w:ascii="Segoe UI" w:hAnsi="Segoe UI" w:cs="Segoe UI"/>
        </w:rPr>
        <w:t xml:space="preserve"> </w:t>
      </w:r>
      <w:r w:rsidRPr="001A41CC">
        <w:rPr>
          <w:rFonts w:ascii="Segoe UI" w:hAnsi="Segoe UI" w:cs="Segoe UI"/>
        </w:rPr>
        <w:t>truly global fund product, offering the highest possible levels of investor protection.</w:t>
      </w:r>
      <w:r>
        <w:rPr>
          <w:rFonts w:ascii="Segoe UI" w:hAnsi="Segoe UI" w:cs="Segoe UI"/>
        </w:rPr>
        <w:t xml:space="preserve"> They are </w:t>
      </w:r>
      <w:r w:rsidRPr="00F71EC4">
        <w:rPr>
          <w:rFonts w:ascii="Segoe UI" w:hAnsi="Segoe UI" w:cs="Segoe UI"/>
        </w:rPr>
        <w:t xml:space="preserve">widely sold to both </w:t>
      </w:r>
      <w:r>
        <w:rPr>
          <w:rFonts w:ascii="Segoe UI" w:hAnsi="Segoe UI" w:cs="Segoe UI"/>
        </w:rPr>
        <w:t>retail</w:t>
      </w:r>
      <w:r w:rsidRPr="00F71EC4">
        <w:rPr>
          <w:rFonts w:ascii="Segoe UI" w:hAnsi="Segoe UI" w:cs="Segoe UI"/>
        </w:rPr>
        <w:t xml:space="preserve"> and institutional investors across the </w:t>
      </w:r>
      <w:r>
        <w:rPr>
          <w:rFonts w:ascii="Segoe UI" w:hAnsi="Segoe UI" w:cs="Segoe UI"/>
        </w:rPr>
        <w:t>world</w:t>
      </w:r>
      <w:r w:rsidRPr="00F71EC4">
        <w:rPr>
          <w:rFonts w:ascii="Segoe UI" w:hAnsi="Segoe UI" w:cs="Segoe UI"/>
        </w:rPr>
        <w:t xml:space="preserve">. Pension funds in particular rely on UCITS to diversify their portfolios with a well-regulated </w:t>
      </w:r>
      <w:r>
        <w:rPr>
          <w:rFonts w:ascii="Segoe UI" w:hAnsi="Segoe UI" w:cs="Segoe UI"/>
        </w:rPr>
        <w:t xml:space="preserve">financial </w:t>
      </w:r>
      <w:r w:rsidRPr="00F71EC4">
        <w:rPr>
          <w:rFonts w:ascii="Segoe UI" w:hAnsi="Segoe UI" w:cs="Segoe UI"/>
        </w:rPr>
        <w:t>product.</w:t>
      </w:r>
      <w:r>
        <w:rPr>
          <w:rFonts w:ascii="Segoe UI" w:hAnsi="Segoe UI" w:cs="Segoe UI"/>
        </w:rPr>
        <w:t xml:space="preserve"> One should be mindful to maintain the strong position of UCITS when elaborating changes to the current EA regime. Changes may cover potential improvements of existing requirements as well as considerations of forward-looking strategies.</w:t>
      </w:r>
    </w:p>
    <w:p w14:paraId="7D11AD4D" w14:textId="77777777" w:rsidR="00DC3CC2" w:rsidRPr="00342705" w:rsidRDefault="00DC3CC2" w:rsidP="00DC3CC2">
      <w:pPr>
        <w:rPr>
          <w:rFonts w:ascii="Segoe UI" w:hAnsi="Segoe UI" w:cs="Segoe UI"/>
        </w:rPr>
      </w:pPr>
      <w:r>
        <w:rPr>
          <w:rFonts w:ascii="Segoe UI" w:hAnsi="Segoe UI" w:cs="Segoe UI"/>
        </w:rPr>
        <w:t>In this sense, w</w:t>
      </w:r>
      <w:r w:rsidRPr="00342705">
        <w:rPr>
          <w:rFonts w:ascii="Segoe UI" w:hAnsi="Segoe UI" w:cs="Segoe UI"/>
        </w:rPr>
        <w:t>hilst it is of utmost importance to ALFI that the UCITS regime remains strong and competitive as it is considered as a very robust financial product offering the highest possible levels of investor protection, and whilst careful consideration should be given when reviewing the UCITS delegated Directive on eligible assets as not to give rise to any market disruption which would impede the competitiveness of the UCITS system, it is our view that the eligible assets rules should be revisited with a view to adjusting it to the recent market developments, aligning definitions with other legal frameworks and ensuring supervisory convergence across the EU.</w:t>
      </w:r>
    </w:p>
    <w:p w14:paraId="68085EA1" w14:textId="77777777" w:rsidR="00DC3CC2" w:rsidRDefault="00DC3CC2" w:rsidP="00DC3CC2">
      <w:pPr>
        <w:rPr>
          <w:rFonts w:ascii="Segoe UI" w:hAnsi="Segoe UI" w:cs="Segoe UI"/>
        </w:rPr>
      </w:pPr>
      <w:r w:rsidRPr="00342705">
        <w:rPr>
          <w:rFonts w:ascii="Segoe UI" w:hAnsi="Segoe UI" w:cs="Segoe UI"/>
        </w:rPr>
        <w:t>Moreover, one should be mindful not to put European investor</w:t>
      </w:r>
      <w:r w:rsidRPr="008F1A14">
        <w:rPr>
          <w:rFonts w:ascii="Segoe UI" w:hAnsi="Segoe UI" w:cs="Segoe UI"/>
        </w:rPr>
        <w:t xml:space="preserve">s and the European fund industry </w:t>
      </w:r>
      <w:r w:rsidRPr="00342705">
        <w:rPr>
          <w:rFonts w:ascii="Segoe UI" w:hAnsi="Segoe UI" w:cs="Segoe UI"/>
        </w:rPr>
        <w:t>at a disadvantage as compared to US or other retail investors.</w:t>
      </w:r>
    </w:p>
    <w:p w14:paraId="24233BFA" w14:textId="77777777" w:rsidR="00DC3CC2" w:rsidRDefault="00DC3CC2" w:rsidP="00DC3CC2">
      <w:pPr>
        <w:rPr>
          <w:rFonts w:ascii="Segoe UI" w:hAnsi="Segoe UI" w:cs="Segoe UI"/>
          <w:color w:val="FF0000"/>
        </w:rPr>
      </w:pPr>
    </w:p>
    <w:p w14:paraId="76C0B877" w14:textId="77777777" w:rsidR="00DC3CC2" w:rsidRDefault="00DC3CC2" w:rsidP="00DC3CC2">
      <w:pPr>
        <w:rPr>
          <w:rFonts w:ascii="Segoe UI" w:hAnsi="Segoe UI" w:cs="Segoe UI"/>
        </w:rPr>
      </w:pPr>
      <w:r w:rsidRPr="00342705">
        <w:rPr>
          <w:rFonts w:ascii="Segoe UI" w:hAnsi="Segoe UI" w:cs="Segoe UI"/>
        </w:rPr>
        <w:lastRenderedPageBreak/>
        <w:t xml:space="preserve">ALFI believes </w:t>
      </w:r>
      <w:r>
        <w:rPr>
          <w:rFonts w:ascii="Segoe UI" w:hAnsi="Segoe UI" w:cs="Segoe UI"/>
        </w:rPr>
        <w:t>in particular that e</w:t>
      </w:r>
      <w:r w:rsidRPr="00E622BC">
        <w:rPr>
          <w:rFonts w:ascii="Segoe UI" w:hAnsi="Segoe UI" w:cs="Segoe UI"/>
        </w:rPr>
        <w:t>nabling broader access to private assets for retail investors would be important to bring them new investment opportunities.</w:t>
      </w:r>
      <w:r>
        <w:rPr>
          <w:rFonts w:ascii="Segoe UI" w:hAnsi="Segoe UI" w:cs="Segoe UI"/>
        </w:rPr>
        <w:t xml:space="preserve"> </w:t>
      </w:r>
      <w:r w:rsidRPr="00BF52F5">
        <w:rPr>
          <w:rFonts w:ascii="Segoe UI" w:hAnsi="Segoe UI" w:cs="Segoe UI"/>
        </w:rPr>
        <w:t xml:space="preserve">More illiquid assets such as </w:t>
      </w:r>
      <w:r>
        <w:rPr>
          <w:rFonts w:ascii="Segoe UI" w:hAnsi="Segoe UI" w:cs="Segoe UI"/>
        </w:rPr>
        <w:t xml:space="preserve">private equity </w:t>
      </w:r>
      <w:r w:rsidRPr="00FE565F">
        <w:rPr>
          <w:rFonts w:ascii="Segoe UI" w:hAnsi="Segoe UI" w:cs="Segoe UI"/>
        </w:rPr>
        <w:t>and credit</w:t>
      </w:r>
      <w:r w:rsidRPr="00521D71">
        <w:rPr>
          <w:rFonts w:ascii="Segoe UI" w:hAnsi="Segoe UI" w:cs="Segoe UI"/>
        </w:rPr>
        <w:t>,</w:t>
      </w:r>
      <w:r>
        <w:rPr>
          <w:rFonts w:ascii="Segoe UI" w:hAnsi="Segoe UI" w:cs="Segoe UI"/>
        </w:rPr>
        <w:t xml:space="preserve"> as well as </w:t>
      </w:r>
      <w:r w:rsidRPr="00BF52F5">
        <w:rPr>
          <w:rFonts w:ascii="Segoe UI" w:hAnsi="Segoe UI" w:cs="Segoe UI"/>
        </w:rPr>
        <w:t>commodities and real estate can offer higher performance and thereby ensure that UCITS remain one of the most attractive investment opportunities for retail investors. Recent developments in European regulation, such as the review of the ELTIF regime, showed that retail investors can be offered alternative investments while ensuring at the same time a high level of investor protection. Investors should not be deprived of such opportunities under the UCITS regime either.</w:t>
      </w:r>
      <w:r>
        <w:rPr>
          <w:rFonts w:ascii="Segoe UI" w:hAnsi="Segoe UI" w:cs="Segoe UI"/>
        </w:rPr>
        <w:t xml:space="preserve"> </w:t>
      </w:r>
      <w:r w:rsidRPr="00FE565F">
        <w:rPr>
          <w:rFonts w:ascii="Segoe UI" w:hAnsi="Segoe UI" w:cs="Segoe UI"/>
        </w:rPr>
        <w:t>Moreover, efficient diversification among traditional and alternative assets, while on the latter there is balanced access accompanied by guardrails that ensure less volatility, and thorough due diligence processes can lead to superior long-term investment results.</w:t>
      </w:r>
    </w:p>
    <w:p w14:paraId="655FAE2D" w14:textId="5AB1C94B" w:rsidR="00DC3CC2" w:rsidRDefault="00DC3CC2" w:rsidP="00DC3CC2">
      <w:pPr>
        <w:rPr>
          <w:rFonts w:ascii="Segoe UI" w:hAnsi="Segoe UI" w:cs="Segoe UI"/>
          <w:b/>
          <w:u w:val="single"/>
        </w:rPr>
      </w:pPr>
      <w:r w:rsidRPr="00F575BC">
        <w:rPr>
          <w:rFonts w:ascii="Segoe UI" w:hAnsi="Segoe UI" w:cs="Segoe UI"/>
          <w:b/>
          <w:u w:val="single"/>
        </w:rPr>
        <w:t>Response to the Questionnaire</w:t>
      </w:r>
    </w:p>
    <w:p w14:paraId="71841A0F" w14:textId="4504C1AF" w:rsidR="00E84B85" w:rsidRPr="00E84B85" w:rsidRDefault="00E84B85" w:rsidP="00DC3CC2">
      <w:pPr>
        <w:rPr>
          <w:rFonts w:ascii="Segoe UI" w:eastAsia="Times New Roman" w:hAnsi="Segoe UI" w:cs="Segoe UI"/>
          <w:b/>
        </w:rPr>
      </w:pPr>
      <w:r w:rsidRPr="00E84B85">
        <w:rPr>
          <w:rFonts w:ascii="Segoe UI" w:eastAsia="Times New Roman" w:hAnsi="Segoe UI" w:cs="Segoe UI"/>
          <w:b/>
        </w:rPr>
        <w:t>Response to Q1</w:t>
      </w:r>
    </w:p>
    <w:p w14:paraId="1155449C" w14:textId="77777777" w:rsidR="00C65109" w:rsidRPr="00A84C96" w:rsidRDefault="00C65109" w:rsidP="00C65109">
      <w:pPr>
        <w:rPr>
          <w:rFonts w:ascii="Segoe UI" w:hAnsi="Segoe UI" w:cs="Segoe UI"/>
          <w:bCs/>
          <w:lang w:val="en-IE"/>
        </w:rPr>
      </w:pPr>
      <w:r w:rsidRPr="00A84C96">
        <w:rPr>
          <w:rFonts w:ascii="Segoe UI" w:hAnsi="Segoe UI" w:cs="Segoe UI"/>
          <w:bCs/>
          <w:lang w:val="en-IE"/>
        </w:rPr>
        <w:t xml:space="preserve">In order to ensure that UCITS can remain an attractive product beyond the European market, it is necessary to maintain a stable and reliable product. This goal can be reached in particular with sufficiently harmonized requirements across Europe, e.g. on eligibility criteria. In this way, a level-playing field would be enabled, reducing potential areas for legal uncertainty due to misaligned interpretations and approaches. </w:t>
      </w:r>
    </w:p>
    <w:p w14:paraId="62873CA0" w14:textId="77777777" w:rsidR="00E84B85" w:rsidRPr="00C65109" w:rsidRDefault="00E84B85" w:rsidP="00DC3CC2">
      <w:pPr>
        <w:rPr>
          <w:rFonts w:ascii="Segoe UI" w:eastAsia="Times New Roman" w:hAnsi="Segoe UI" w:cs="Segoe UI"/>
          <w:b/>
          <w:u w:val="single"/>
          <w:lang w:val="en-IE"/>
        </w:rPr>
      </w:pPr>
    </w:p>
    <w:permEnd w:id="1975413025"/>
    <w:p w14:paraId="2A42AC36" w14:textId="77777777" w:rsidR="00667FF6" w:rsidRDefault="00667FF6" w:rsidP="00667FF6">
      <w:r>
        <w:t>&lt;ESMA_QUESTION_EADC_1&gt;</w:t>
      </w:r>
    </w:p>
    <w:p w14:paraId="5AD5570D" w14:textId="77777777" w:rsidR="00667FF6" w:rsidRDefault="00667FF6" w:rsidP="00667FF6"/>
    <w:p w14:paraId="457979D8" w14:textId="13EE4C5A" w:rsidR="00667FF6" w:rsidRDefault="00667FF6" w:rsidP="00DB686B">
      <w:pPr>
        <w:pStyle w:val="Questionstyle"/>
        <w:numPr>
          <w:ilvl w:val="0"/>
          <w:numId w:val="14"/>
        </w:numPr>
      </w:pPr>
      <w:r>
        <w:t xml:space="preserve">Have you experienced any recurring or significant issues with the interpretation or consistent application of UCITS EAD rules with respect to financial indices? If so, please describe any recurring or significant issues that you have experienced and how you would propose to amend the UCITS EAD to improve investor protection, clarity and supervisory convergence. Where relevant, please specify what indices this relates to and what were the specific characteristics of those indices that raised doubts or concerns. Where possible, please provide data to substantiate the materiality of the issue. </w:t>
      </w:r>
    </w:p>
    <w:p w14:paraId="6044316D" w14:textId="77777777" w:rsidR="00667FF6" w:rsidRDefault="00667FF6" w:rsidP="00667FF6">
      <w:r>
        <w:t>&lt;ESMA_QUESTION_EADC_2&gt;</w:t>
      </w:r>
    </w:p>
    <w:p w14:paraId="7EF83AE6" w14:textId="77777777" w:rsidR="00452A0B" w:rsidRDefault="00452A0B" w:rsidP="00452A0B">
      <w:pPr>
        <w:rPr>
          <w:rFonts w:ascii="Segoe UI" w:hAnsi="Segoe UI" w:cs="Segoe UI"/>
          <w:bCs/>
          <w:lang w:val="en-IE"/>
        </w:rPr>
      </w:pPr>
      <w:permStart w:id="85149166" w:edGrp="everyone"/>
      <w:r w:rsidRPr="00662440">
        <w:rPr>
          <w:rFonts w:ascii="Segoe UI" w:hAnsi="Segoe UI" w:cs="Segoe UI"/>
          <w:bCs/>
          <w:lang w:val="en-IE"/>
        </w:rPr>
        <w:lastRenderedPageBreak/>
        <w:t>To our knowledge the existing ESMA Guidelines on ETFs and other UCITS issues (ESMA/2014/937) already provide appropriate requirements in regard of investor protection</w:t>
      </w:r>
      <w:r>
        <w:rPr>
          <w:rFonts w:ascii="Segoe UI" w:hAnsi="Segoe UI" w:cs="Segoe UI"/>
          <w:bCs/>
          <w:lang w:val="en-IE"/>
        </w:rPr>
        <w:t xml:space="preserve"> and their application is clear to a very high degree</w:t>
      </w:r>
      <w:r w:rsidRPr="00662440">
        <w:rPr>
          <w:rFonts w:ascii="Segoe UI" w:hAnsi="Segoe UI" w:cs="Segoe UI"/>
          <w:bCs/>
          <w:lang w:val="en-IE"/>
        </w:rPr>
        <w:t>.</w:t>
      </w:r>
      <w:r>
        <w:rPr>
          <w:rFonts w:ascii="Segoe UI" w:hAnsi="Segoe UI" w:cs="Segoe UI"/>
          <w:bCs/>
          <w:lang w:val="en-IE"/>
        </w:rPr>
        <w:t xml:space="preserve"> However, w</w:t>
      </w:r>
      <w:r w:rsidRPr="002437D9">
        <w:rPr>
          <w:rFonts w:ascii="Segoe UI" w:hAnsi="Segoe UI" w:cs="Segoe UI"/>
          <w:bCs/>
          <w:lang w:val="en-IE"/>
        </w:rPr>
        <w:t>e have been made aware of issues in the interpretation of the following criteria</w:t>
      </w:r>
      <w:r>
        <w:rPr>
          <w:rFonts w:ascii="Segoe UI" w:hAnsi="Segoe UI" w:cs="Segoe UI"/>
          <w:bCs/>
          <w:lang w:val="en-IE"/>
        </w:rPr>
        <w:t>.</w:t>
      </w:r>
    </w:p>
    <w:p w14:paraId="3DF549D0" w14:textId="77777777" w:rsidR="00452A0B" w:rsidRPr="002437D9" w:rsidRDefault="00452A0B" w:rsidP="00452A0B">
      <w:pPr>
        <w:rPr>
          <w:rFonts w:ascii="Segoe UI" w:hAnsi="Segoe UI" w:cs="Segoe UI"/>
          <w:bCs/>
          <w:lang w:val="en-IE"/>
        </w:rPr>
      </w:pPr>
      <w:r w:rsidRPr="002437D9">
        <w:rPr>
          <w:rFonts w:ascii="Segoe UI" w:hAnsi="Segoe UI" w:cs="Segoe UI"/>
          <w:bCs/>
          <w:lang w:val="en-IE"/>
        </w:rPr>
        <w:t>­</w:t>
      </w:r>
      <w:r w:rsidRPr="002437D9">
        <w:rPr>
          <w:rFonts w:ascii="Segoe UI" w:hAnsi="Segoe UI" w:cs="Segoe UI"/>
          <w:bCs/>
          <w:lang w:val="en-IE"/>
        </w:rPr>
        <w:tab/>
        <w:t>Representativeness</w:t>
      </w:r>
      <w:r>
        <w:rPr>
          <w:rFonts w:ascii="Segoe UI" w:hAnsi="Segoe UI" w:cs="Segoe UI"/>
          <w:bCs/>
          <w:lang w:val="en-IE"/>
        </w:rPr>
        <w:t xml:space="preserve"> in the following cases</w:t>
      </w:r>
      <w:r w:rsidRPr="002437D9">
        <w:rPr>
          <w:rFonts w:ascii="Segoe UI" w:hAnsi="Segoe UI" w:cs="Segoe UI"/>
          <w:bCs/>
          <w:lang w:val="en-IE"/>
        </w:rPr>
        <w:t xml:space="preserve">: </w:t>
      </w:r>
    </w:p>
    <w:p w14:paraId="061D939F" w14:textId="77777777" w:rsidR="00452A0B" w:rsidRPr="002437D9" w:rsidRDefault="00452A0B" w:rsidP="00452A0B">
      <w:pPr>
        <w:pStyle w:val="ListParagraph"/>
        <w:numPr>
          <w:ilvl w:val="0"/>
          <w:numId w:val="16"/>
        </w:numPr>
        <w:spacing w:after="0" w:line="240" w:lineRule="auto"/>
        <w:contextualSpacing/>
        <w:rPr>
          <w:rFonts w:ascii="Segoe UI" w:hAnsi="Segoe UI" w:cs="Segoe UI"/>
          <w:bCs/>
          <w:lang w:val="en-IE"/>
        </w:rPr>
      </w:pPr>
      <w:r w:rsidRPr="002437D9">
        <w:rPr>
          <w:rFonts w:ascii="Segoe UI" w:hAnsi="Segoe UI" w:cs="Segoe UI"/>
          <w:bCs/>
          <w:lang w:val="en-IE"/>
        </w:rPr>
        <w:t>Equally weighted index</w:t>
      </w:r>
    </w:p>
    <w:p w14:paraId="37B4F32F" w14:textId="77777777" w:rsidR="00452A0B" w:rsidRPr="002437D9" w:rsidRDefault="00452A0B" w:rsidP="00452A0B">
      <w:pPr>
        <w:pStyle w:val="ListParagraph"/>
        <w:numPr>
          <w:ilvl w:val="0"/>
          <w:numId w:val="16"/>
        </w:numPr>
        <w:spacing w:after="0" w:line="240" w:lineRule="auto"/>
        <w:contextualSpacing/>
        <w:rPr>
          <w:rFonts w:ascii="Segoe UI" w:hAnsi="Segoe UI" w:cs="Segoe UI"/>
          <w:bCs/>
          <w:lang w:val="en-IE"/>
        </w:rPr>
      </w:pPr>
      <w:r w:rsidRPr="002437D9">
        <w:rPr>
          <w:rFonts w:ascii="Segoe UI" w:hAnsi="Segoe UI" w:cs="Segoe UI"/>
          <w:bCs/>
          <w:lang w:val="en-IE"/>
        </w:rPr>
        <w:t>Index with overweight on one component and other components with fixed weights</w:t>
      </w:r>
    </w:p>
    <w:p w14:paraId="33E2234C" w14:textId="77777777" w:rsidR="00452A0B" w:rsidRPr="002437D9" w:rsidRDefault="00452A0B" w:rsidP="00452A0B">
      <w:pPr>
        <w:pStyle w:val="ListParagraph"/>
        <w:numPr>
          <w:ilvl w:val="0"/>
          <w:numId w:val="16"/>
        </w:numPr>
        <w:spacing w:after="0" w:line="240" w:lineRule="auto"/>
        <w:contextualSpacing/>
        <w:rPr>
          <w:rFonts w:ascii="Segoe UI" w:hAnsi="Segoe UI" w:cs="Segoe UI"/>
          <w:bCs/>
          <w:lang w:val="en-IE"/>
        </w:rPr>
      </w:pPr>
      <w:r w:rsidRPr="002437D9">
        <w:rPr>
          <w:rFonts w:ascii="Segoe UI" w:hAnsi="Segoe UI" w:cs="Segoe UI"/>
          <w:bCs/>
          <w:lang w:val="en-IE"/>
        </w:rPr>
        <w:t>Strategy index</w:t>
      </w:r>
    </w:p>
    <w:p w14:paraId="2F9275F1" w14:textId="77777777" w:rsidR="00114EAD" w:rsidRDefault="00114EAD" w:rsidP="00452A0B">
      <w:pPr>
        <w:rPr>
          <w:rFonts w:ascii="Segoe UI" w:hAnsi="Segoe UI" w:cs="Segoe UI"/>
          <w:bCs/>
          <w:lang w:val="en-IE"/>
        </w:rPr>
      </w:pPr>
    </w:p>
    <w:p w14:paraId="58C9382C" w14:textId="01B8F4C2" w:rsidR="00452A0B" w:rsidRPr="002437D9" w:rsidRDefault="00452A0B" w:rsidP="00452A0B">
      <w:pPr>
        <w:rPr>
          <w:rFonts w:ascii="Segoe UI" w:hAnsi="Segoe UI" w:cs="Segoe UI"/>
          <w:bCs/>
          <w:lang w:val="en-IE"/>
        </w:rPr>
      </w:pPr>
      <w:r w:rsidRPr="002437D9">
        <w:rPr>
          <w:rFonts w:ascii="Segoe UI" w:hAnsi="Segoe UI" w:cs="Segoe UI"/>
          <w:bCs/>
          <w:lang w:val="en-IE"/>
        </w:rPr>
        <w:t>­</w:t>
      </w:r>
      <w:r w:rsidRPr="002437D9">
        <w:rPr>
          <w:rFonts w:ascii="Segoe UI" w:hAnsi="Segoe UI" w:cs="Segoe UI"/>
          <w:bCs/>
          <w:lang w:val="en-IE"/>
        </w:rPr>
        <w:tab/>
        <w:t>Diversification:</w:t>
      </w:r>
    </w:p>
    <w:p w14:paraId="3A7CDFDA" w14:textId="77777777" w:rsidR="00452A0B" w:rsidRPr="002437D9" w:rsidRDefault="00452A0B" w:rsidP="00452A0B">
      <w:pPr>
        <w:pStyle w:val="ListParagraph"/>
        <w:numPr>
          <w:ilvl w:val="0"/>
          <w:numId w:val="16"/>
        </w:numPr>
        <w:spacing w:after="0" w:line="240" w:lineRule="auto"/>
        <w:contextualSpacing/>
        <w:rPr>
          <w:rFonts w:ascii="Segoe UI" w:hAnsi="Segoe UI" w:cs="Segoe UI"/>
          <w:bCs/>
          <w:lang w:val="en-IE"/>
        </w:rPr>
      </w:pPr>
      <w:r w:rsidRPr="002437D9">
        <w:rPr>
          <w:rFonts w:ascii="Segoe UI" w:hAnsi="Segoe UI" w:cs="Segoe UI"/>
          <w:bCs/>
          <w:lang w:val="en-IE"/>
        </w:rPr>
        <w:t xml:space="preserve">When there are long and short components </w:t>
      </w:r>
    </w:p>
    <w:p w14:paraId="63A48F4D" w14:textId="77777777" w:rsidR="00452A0B" w:rsidRPr="002437D9" w:rsidRDefault="00452A0B" w:rsidP="00452A0B">
      <w:pPr>
        <w:pStyle w:val="ListParagraph"/>
        <w:numPr>
          <w:ilvl w:val="0"/>
          <w:numId w:val="16"/>
        </w:numPr>
        <w:spacing w:after="0" w:line="240" w:lineRule="auto"/>
        <w:contextualSpacing/>
        <w:rPr>
          <w:rFonts w:ascii="Segoe UI" w:hAnsi="Segoe UI" w:cs="Segoe UI"/>
          <w:bCs/>
          <w:lang w:val="en-IE"/>
        </w:rPr>
      </w:pPr>
      <w:r w:rsidRPr="002437D9">
        <w:rPr>
          <w:rFonts w:ascii="Segoe UI" w:hAnsi="Segoe UI" w:cs="Segoe UI"/>
          <w:bCs/>
          <w:lang w:val="en-IE"/>
        </w:rPr>
        <w:t>When total weight is not 100%</w:t>
      </w:r>
    </w:p>
    <w:p w14:paraId="3B1A6666" w14:textId="77777777" w:rsidR="00452A0B" w:rsidRDefault="00452A0B" w:rsidP="00452A0B">
      <w:pPr>
        <w:rPr>
          <w:rFonts w:ascii="Segoe UI" w:hAnsi="Segoe UI" w:cs="Segoe UI"/>
          <w:bCs/>
          <w:lang w:val="en-IE"/>
        </w:rPr>
      </w:pPr>
    </w:p>
    <w:p w14:paraId="7ED72055" w14:textId="77777777" w:rsidR="00452A0B" w:rsidRPr="002437D9" w:rsidRDefault="00452A0B" w:rsidP="00452A0B">
      <w:pPr>
        <w:rPr>
          <w:rFonts w:ascii="Segoe UI" w:hAnsi="Segoe UI" w:cs="Segoe UI"/>
          <w:bCs/>
          <w:lang w:val="en-IE"/>
        </w:rPr>
      </w:pPr>
      <w:r w:rsidRPr="002437D9">
        <w:rPr>
          <w:rFonts w:ascii="Segoe UI" w:hAnsi="Segoe UI" w:cs="Segoe UI"/>
          <w:bCs/>
          <w:lang w:val="en-IE"/>
        </w:rPr>
        <w:t>­</w:t>
      </w:r>
      <w:r w:rsidRPr="002437D9">
        <w:rPr>
          <w:rFonts w:ascii="Segoe UI" w:hAnsi="Segoe UI" w:cs="Segoe UI"/>
          <w:bCs/>
          <w:lang w:val="en-IE"/>
        </w:rPr>
        <w:tab/>
        <w:t>Publication:</w:t>
      </w:r>
    </w:p>
    <w:p w14:paraId="1E004F72" w14:textId="77777777" w:rsidR="00452A0B" w:rsidRPr="00DE4BEB" w:rsidRDefault="00452A0B" w:rsidP="00452A0B">
      <w:pPr>
        <w:pStyle w:val="ListParagraph"/>
        <w:numPr>
          <w:ilvl w:val="0"/>
          <w:numId w:val="16"/>
        </w:numPr>
        <w:spacing w:after="0" w:line="240" w:lineRule="auto"/>
        <w:contextualSpacing/>
        <w:rPr>
          <w:rFonts w:ascii="Segoe UI" w:hAnsi="Segoe UI" w:cs="Segoe UI"/>
          <w:bCs/>
          <w:color w:val="FF0000"/>
          <w:lang w:val="en-IE"/>
        </w:rPr>
      </w:pPr>
      <w:r w:rsidRPr="00DE4BEB">
        <w:rPr>
          <w:rFonts w:ascii="Segoe UI" w:hAnsi="Segoe UI" w:cs="Segoe UI"/>
          <w:bCs/>
          <w:lang w:val="en-IE"/>
        </w:rPr>
        <w:t>When information is only available through a link to a website that cannot be found through internet search</w:t>
      </w:r>
    </w:p>
    <w:p w14:paraId="0CF497EB" w14:textId="77777777" w:rsidR="00452A0B" w:rsidRDefault="00452A0B" w:rsidP="00452A0B">
      <w:pPr>
        <w:rPr>
          <w:rFonts w:ascii="Segoe UI" w:hAnsi="Segoe UI" w:cs="Segoe UI"/>
          <w:bCs/>
          <w:color w:val="FF0000"/>
          <w:lang w:val="en-IE"/>
        </w:rPr>
      </w:pPr>
    </w:p>
    <w:permEnd w:id="85149166"/>
    <w:p w14:paraId="4AE132E3" w14:textId="77777777" w:rsidR="00667FF6" w:rsidRDefault="00667FF6" w:rsidP="00667FF6">
      <w:r>
        <w:t>&lt;ESMA_QUESTION_EADC_2&gt;</w:t>
      </w:r>
    </w:p>
    <w:p w14:paraId="3C6A114C" w14:textId="77777777" w:rsidR="00667FF6" w:rsidRDefault="00667FF6" w:rsidP="00667FF6"/>
    <w:p w14:paraId="4C265A7D" w14:textId="0F8533C1" w:rsidR="00667FF6" w:rsidRDefault="00667FF6" w:rsidP="00DB686B">
      <w:pPr>
        <w:pStyle w:val="Questionstyle"/>
        <w:numPr>
          <w:ilvl w:val="0"/>
          <w:numId w:val="14"/>
        </w:numPr>
      </w:pPr>
      <w:r>
        <w:t>Have you experienced any recurring or significant issues with the interpretation or consistent application of UCITS EAD rules with respect to money market instruments? If so, please describe the issues you have experienced and how you would propose to amend the UCITS EAD to improve investor protection, clarity and supervisory convergence. Where relevant, please describe the specific characteristics of the money market instruments that raised doubts or concerns.</w:t>
      </w:r>
    </w:p>
    <w:p w14:paraId="766A4AFE" w14:textId="77777777" w:rsidR="00667FF6" w:rsidRDefault="00667FF6" w:rsidP="00667FF6">
      <w:r>
        <w:t>&lt;ESMA_QUESTION_EADC_3&gt;</w:t>
      </w:r>
    </w:p>
    <w:p w14:paraId="01EDFC93" w14:textId="77777777" w:rsidR="00FD22D9" w:rsidRPr="003B7DFE" w:rsidRDefault="00FD22D9" w:rsidP="00FD22D9">
      <w:pPr>
        <w:rPr>
          <w:rFonts w:ascii="Segoe UI" w:hAnsi="Segoe UI" w:cs="Segoe UI"/>
        </w:rPr>
      </w:pPr>
      <w:permStart w:id="1981048397" w:edGrp="everyone"/>
      <w:r w:rsidRPr="003B7DFE">
        <w:rPr>
          <w:rFonts w:ascii="Segoe UI" w:hAnsi="Segoe UI" w:cs="Segoe UI"/>
        </w:rPr>
        <w:t xml:space="preserve">No particular </w:t>
      </w:r>
      <w:r>
        <w:rPr>
          <w:rFonts w:ascii="Segoe UI" w:hAnsi="Segoe UI" w:cs="Segoe UI"/>
        </w:rPr>
        <w:t xml:space="preserve">need for clarifications </w:t>
      </w:r>
      <w:r w:rsidRPr="003B7DFE">
        <w:rPr>
          <w:rFonts w:ascii="Segoe UI" w:hAnsi="Segoe UI" w:cs="Segoe UI"/>
        </w:rPr>
        <w:t>ha</w:t>
      </w:r>
      <w:r>
        <w:rPr>
          <w:rFonts w:ascii="Segoe UI" w:hAnsi="Segoe UI" w:cs="Segoe UI"/>
        </w:rPr>
        <w:t>s</w:t>
      </w:r>
      <w:r w:rsidRPr="003B7DFE">
        <w:rPr>
          <w:rFonts w:ascii="Segoe UI" w:hAnsi="Segoe UI" w:cs="Segoe UI"/>
        </w:rPr>
        <w:t xml:space="preserve"> been raised so far.</w:t>
      </w:r>
    </w:p>
    <w:p w14:paraId="66CBED74" w14:textId="24D1065E" w:rsidR="00667FF6" w:rsidRDefault="00667FF6" w:rsidP="00667FF6"/>
    <w:permEnd w:id="1981048397"/>
    <w:p w14:paraId="38616CA8" w14:textId="77777777" w:rsidR="00667FF6" w:rsidRDefault="00667FF6" w:rsidP="00667FF6">
      <w:r>
        <w:lastRenderedPageBreak/>
        <w:t>&lt;ESMA_QUESTION_EADC_3&gt;</w:t>
      </w:r>
    </w:p>
    <w:p w14:paraId="0C9249FE" w14:textId="77777777" w:rsidR="00667FF6" w:rsidRDefault="00667FF6" w:rsidP="00667FF6"/>
    <w:p w14:paraId="632D4A65" w14:textId="2A356142" w:rsidR="00667FF6" w:rsidRDefault="00667FF6" w:rsidP="00DB686B">
      <w:pPr>
        <w:pStyle w:val="Questionstyle"/>
        <w:numPr>
          <w:ilvl w:val="0"/>
          <w:numId w:val="14"/>
        </w:numPr>
      </w:pPr>
      <w:r>
        <w:t>Have you experienced any recurring or significant issues with the interpretation or consistent application of UCITS EAD provisions using the notions of « liquidity » or « liquid financial assets »? If so, please describe the issues you have experienced and how you would propose to amend the UCITS EAD to better specify these notions with a view to improving investor protection, clarity and supervisory convergence. Where relevant, please explain any differences to be made between the liquidity of different asset.</w:t>
      </w:r>
    </w:p>
    <w:p w14:paraId="5B8BFC93" w14:textId="77777777" w:rsidR="00667FF6" w:rsidRDefault="00667FF6" w:rsidP="00667FF6">
      <w:r>
        <w:t>&lt;ESMA_QUESTION_EADC_4&gt;</w:t>
      </w:r>
    </w:p>
    <w:p w14:paraId="15F4E4A2" w14:textId="77777777" w:rsidR="00110B3F" w:rsidRPr="00CA440E" w:rsidRDefault="00110B3F" w:rsidP="00110B3F">
      <w:pPr>
        <w:rPr>
          <w:rFonts w:ascii="Segoe UI" w:hAnsi="Segoe UI" w:cs="Segoe UI"/>
          <w:bCs/>
          <w:lang w:val="en-IE"/>
        </w:rPr>
      </w:pPr>
      <w:permStart w:id="1012351271" w:edGrp="everyone"/>
      <w:r w:rsidRPr="00BA7D42">
        <w:rPr>
          <w:rFonts w:ascii="Segoe UI" w:hAnsi="Segoe UI" w:cs="Segoe UI"/>
          <w:bCs/>
          <w:lang w:val="en-IE"/>
        </w:rPr>
        <w:t>We do not see a need for adaptations in this respect.</w:t>
      </w:r>
    </w:p>
    <w:p w14:paraId="24658538" w14:textId="4210B4CD" w:rsidR="00667FF6" w:rsidRPr="00110B3F" w:rsidRDefault="00667FF6" w:rsidP="00667FF6">
      <w:pPr>
        <w:rPr>
          <w:lang w:val="en-IE"/>
        </w:rPr>
      </w:pPr>
    </w:p>
    <w:permEnd w:id="1012351271"/>
    <w:p w14:paraId="65B48BCF" w14:textId="77777777" w:rsidR="00667FF6" w:rsidRDefault="00667FF6" w:rsidP="00667FF6">
      <w:r>
        <w:t>&lt;ESMA_QUESTION_EADC_4&gt;</w:t>
      </w:r>
    </w:p>
    <w:p w14:paraId="5A647590" w14:textId="77777777" w:rsidR="00667FF6" w:rsidRDefault="00667FF6" w:rsidP="00667FF6"/>
    <w:p w14:paraId="5AFF0EB2" w14:textId="77777777" w:rsidR="00667FF6" w:rsidRDefault="00667FF6" w:rsidP="00DB686B">
      <w:pPr>
        <w:pStyle w:val="Questionstyle"/>
        <w:numPr>
          <w:ilvl w:val="0"/>
          <w:numId w:val="14"/>
        </w:numPr>
      </w:pPr>
      <w:r>
        <w:t>The 2020 ESMA CSA on UCITS liquidity risk management identified issues with respect to the presumption of liquidity and negotiability set out in UCITS EAD. In light of the changed market conditions since 2007, do you consider such a presumption of liquidity and negotiability still appropriate? Where possible, please provide views, data or estimates on the possible impact of removing the presumption of liquidity and negotiability set out in the UCITS EAD.</w:t>
      </w:r>
    </w:p>
    <w:p w14:paraId="05E3A666" w14:textId="77777777" w:rsidR="00667FF6" w:rsidRDefault="00667FF6" w:rsidP="00667FF6">
      <w:r>
        <w:t>&lt;ESMA_QUESTION_EADC_5&gt;</w:t>
      </w:r>
    </w:p>
    <w:p w14:paraId="5995595F" w14:textId="77777777" w:rsidR="00671C9B" w:rsidRPr="00A21982" w:rsidRDefault="00671C9B" w:rsidP="00671C9B">
      <w:pPr>
        <w:rPr>
          <w:rFonts w:ascii="Segoe UI" w:hAnsi="Segoe UI" w:cs="Segoe UI"/>
        </w:rPr>
      </w:pPr>
      <w:permStart w:id="1300367218" w:edGrp="everyone"/>
      <w:r w:rsidRPr="00A21982">
        <w:rPr>
          <w:rFonts w:ascii="Segoe UI" w:hAnsi="Segoe UI" w:cs="Segoe UI"/>
        </w:rPr>
        <w:t>The presumption of liquidity is an important concept that is to be assessed in conjunction with other existing investor protection tools within the UCITS framework. The presumption of liquidity at the compliance level is an effective and well-functioning tool when used in conjunction with more principle-based requirements relative to liquidity management. Against this background ALFI considers that the presumption of liquidity is still appropriate and future proof.</w:t>
      </w:r>
    </w:p>
    <w:p w14:paraId="78559710" w14:textId="77777777" w:rsidR="00671C9B" w:rsidRPr="00A21982" w:rsidRDefault="00671C9B" w:rsidP="00671C9B">
      <w:pPr>
        <w:rPr>
          <w:rFonts w:ascii="Segoe UI" w:hAnsi="Segoe UI" w:cs="Segoe UI"/>
        </w:rPr>
      </w:pPr>
      <w:r w:rsidRPr="00A21982">
        <w:rPr>
          <w:rFonts w:ascii="Segoe UI" w:hAnsi="Segoe UI" w:cs="Segoe UI"/>
        </w:rPr>
        <w:t>The more principle-based requirements above mentioned refer among others to:</w:t>
      </w:r>
    </w:p>
    <w:p w14:paraId="069142BE" w14:textId="77777777" w:rsidR="00671C9B" w:rsidRPr="00A21982" w:rsidRDefault="00671C9B" w:rsidP="00671C9B">
      <w:pPr>
        <w:ind w:left="720" w:hanging="720"/>
        <w:rPr>
          <w:rFonts w:ascii="Segoe UI" w:hAnsi="Segoe UI" w:cs="Segoe UI"/>
        </w:rPr>
      </w:pPr>
      <w:r w:rsidRPr="00A21982">
        <w:rPr>
          <w:rFonts w:ascii="Segoe UI" w:hAnsi="Segoe UI" w:cs="Segoe UI"/>
        </w:rPr>
        <w:lastRenderedPageBreak/>
        <w:t>•</w:t>
      </w:r>
      <w:r w:rsidRPr="00A21982">
        <w:rPr>
          <w:rFonts w:ascii="Segoe UI" w:hAnsi="Segoe UI" w:cs="Segoe UI"/>
        </w:rPr>
        <w:tab/>
        <w:t>IOSCO - Recommendations for Liquidity Risk Management for Collective Investment Schemes - FR01/2018</w:t>
      </w:r>
    </w:p>
    <w:p w14:paraId="0DBA254E" w14:textId="77777777" w:rsidR="00671C9B" w:rsidRPr="00A21982" w:rsidRDefault="00671C9B" w:rsidP="00671C9B">
      <w:pPr>
        <w:rPr>
          <w:rFonts w:ascii="Segoe UI" w:hAnsi="Segoe UI" w:cs="Segoe UI"/>
        </w:rPr>
      </w:pPr>
      <w:r w:rsidRPr="00A21982">
        <w:rPr>
          <w:rFonts w:ascii="Segoe UI" w:hAnsi="Segoe UI" w:cs="Segoe UI"/>
        </w:rPr>
        <w:t>•</w:t>
      </w:r>
      <w:r w:rsidRPr="00A21982">
        <w:rPr>
          <w:rFonts w:ascii="Segoe UI" w:hAnsi="Segoe UI" w:cs="Segoe UI"/>
        </w:rPr>
        <w:tab/>
        <w:t>ESMA - Guidelines on liquidity stress testing in UCITS and AIF - ESMA34-39-897</w:t>
      </w:r>
    </w:p>
    <w:p w14:paraId="3935D03E" w14:textId="77777777" w:rsidR="00671C9B" w:rsidRPr="00A21982" w:rsidRDefault="00671C9B" w:rsidP="00671C9B">
      <w:pPr>
        <w:ind w:left="720" w:hanging="720"/>
        <w:rPr>
          <w:rFonts w:ascii="Segoe UI" w:hAnsi="Segoe UI" w:cs="Segoe UI"/>
        </w:rPr>
      </w:pPr>
      <w:r w:rsidRPr="00A21982">
        <w:rPr>
          <w:rFonts w:ascii="Segoe UI" w:hAnsi="Segoe UI" w:cs="Segoe UI"/>
        </w:rPr>
        <w:t>•</w:t>
      </w:r>
      <w:r w:rsidRPr="00A21982">
        <w:rPr>
          <w:rFonts w:ascii="Segoe UI" w:hAnsi="Segoe UI" w:cs="Segoe UI"/>
        </w:rPr>
        <w:tab/>
        <w:t>ESMA – Public statement presenting the results of the 2020 Common Supervisory Action (CSA) on UCITS liquidity risk management</w:t>
      </w:r>
    </w:p>
    <w:p w14:paraId="6082A91F" w14:textId="77777777" w:rsidR="00671C9B" w:rsidRPr="00A21982" w:rsidRDefault="00671C9B" w:rsidP="00671C9B">
      <w:pPr>
        <w:rPr>
          <w:rFonts w:ascii="Segoe UI" w:hAnsi="Segoe UI" w:cs="Segoe UI"/>
        </w:rPr>
      </w:pPr>
      <w:r w:rsidRPr="00A21982">
        <w:rPr>
          <w:rFonts w:ascii="Segoe UI" w:hAnsi="Segoe UI" w:cs="Segoe UI"/>
        </w:rPr>
        <w:t>•</w:t>
      </w:r>
      <w:r w:rsidRPr="00A21982">
        <w:rPr>
          <w:rFonts w:ascii="Segoe UI" w:hAnsi="Segoe UI" w:cs="Segoe UI"/>
        </w:rPr>
        <w:tab/>
        <w:t>Other National Competent Authorities guidance</w:t>
      </w:r>
      <w:r w:rsidRPr="00A21982">
        <w:rPr>
          <w:rStyle w:val="FootnoteReference"/>
          <w:rFonts w:ascii="Segoe UI" w:hAnsi="Segoe UI" w:cs="Segoe UI"/>
          <w:sz w:val="22"/>
        </w:rPr>
        <w:footnoteReference w:id="2"/>
      </w:r>
    </w:p>
    <w:p w14:paraId="60BDC74B" w14:textId="77777777" w:rsidR="00671C9B" w:rsidRPr="00A21982" w:rsidRDefault="00671C9B" w:rsidP="00671C9B">
      <w:pPr>
        <w:rPr>
          <w:rFonts w:ascii="Segoe UI" w:hAnsi="Segoe UI" w:cs="Segoe UI"/>
        </w:rPr>
      </w:pPr>
      <w:r w:rsidRPr="00A21982">
        <w:rPr>
          <w:rFonts w:ascii="Segoe UI" w:hAnsi="Segoe UI" w:cs="Segoe UI"/>
        </w:rPr>
        <w:t>For instance, the IOSCO eleventh recommendation establishes the need to consider the instrument liquidity and its effect on the undertaking for collective investments (“UCI”) “before transacting”. In this context, practices have been implemented by Management Companies to obtain reasonable assurance that the transactions are in line with the liquidity profile through an oversight of the policy (including controls) implemented by the investment manager for standard assets and individual checks on specific assets outside the scope of the mentioned policy.</w:t>
      </w:r>
    </w:p>
    <w:p w14:paraId="117CC847" w14:textId="77777777" w:rsidR="00671C9B" w:rsidRPr="00A21982" w:rsidRDefault="00671C9B" w:rsidP="00671C9B">
      <w:pPr>
        <w:rPr>
          <w:rFonts w:ascii="Segoe UI" w:hAnsi="Segoe UI" w:cs="Segoe UI"/>
        </w:rPr>
      </w:pPr>
      <w:r w:rsidRPr="00A21982">
        <w:rPr>
          <w:rFonts w:ascii="Segoe UI" w:hAnsi="Segoe UI" w:cs="Segoe UI"/>
        </w:rPr>
        <w:t>In this context, the additional safeguards brought by the evolution of the liquidity management regulatory framework, together with the response of the industry, are now providing for a robust and updated framework addressing the concerns raised. As a consequence, it is believed that, conditional on these safeguards, the presumption of liquidity is appropriate and should be maintained. Furthermore, it has been estimated that removal of the presumption of liquidity would result in additional substantial costs due to the large impact on the data feed to be updated. The associated costs would be relating to the coverage of the large population of standard (more vanilla) assets rather than with the increased scrutiny and analysis on more “interpretable” assets. For a more efficient and appropriate approach</w:t>
      </w:r>
      <w:r>
        <w:rPr>
          <w:rFonts w:ascii="Segoe UI" w:hAnsi="Segoe UI" w:cs="Segoe UI"/>
        </w:rPr>
        <w:t>,</w:t>
      </w:r>
      <w:r w:rsidRPr="00A21982">
        <w:rPr>
          <w:rFonts w:ascii="Segoe UI" w:hAnsi="Segoe UI" w:cs="Segoe UI"/>
        </w:rPr>
        <w:t xml:space="preserve"> the mix between policy oversight and specific checks on specific (or new) assets is deemed a superior solution.</w:t>
      </w:r>
    </w:p>
    <w:p w14:paraId="7D4D7E07" w14:textId="77777777" w:rsidR="00671C9B" w:rsidRPr="001012B5" w:rsidRDefault="00671C9B" w:rsidP="00671C9B">
      <w:pPr>
        <w:rPr>
          <w:rFonts w:ascii="Segoe UI" w:hAnsi="Segoe UI" w:cs="Segoe UI"/>
        </w:rPr>
      </w:pPr>
      <w:r w:rsidRPr="00A21982">
        <w:rPr>
          <w:rFonts w:ascii="Segoe UI" w:hAnsi="Segoe UI" w:cs="Segoe UI"/>
        </w:rPr>
        <w:t xml:space="preserve">In conclusion, ALFI advocates that the presumption of liquidity is a critical concept that should be maintained. The effort should rather focus on the consistent application across jurisdictions of the liquidity management principle-based requirements (IOSCO Recommendation, ESMA Guidelines, ESMA Public statement) that are to be used in conjunction </w:t>
      </w:r>
      <w:r>
        <w:rPr>
          <w:rFonts w:ascii="Segoe UI" w:hAnsi="Segoe UI" w:cs="Segoe UI"/>
        </w:rPr>
        <w:t>with</w:t>
      </w:r>
      <w:r w:rsidRPr="00A21982">
        <w:rPr>
          <w:rFonts w:ascii="Segoe UI" w:hAnsi="Segoe UI" w:cs="Segoe UI"/>
        </w:rPr>
        <w:t xml:space="preserve"> the presumption of liquidity for an investor protecting, efficient and future proof framework.</w:t>
      </w:r>
      <w:r>
        <w:rPr>
          <w:rFonts w:ascii="Segoe UI" w:hAnsi="Segoe UI" w:cs="Segoe UI"/>
        </w:rPr>
        <w:t xml:space="preserve"> </w:t>
      </w:r>
      <w:r w:rsidRPr="00BA7F99">
        <w:rPr>
          <w:rFonts w:ascii="Segoe UI" w:hAnsi="Segoe UI" w:cs="Segoe UI"/>
        </w:rPr>
        <w:t xml:space="preserve">In addition, </w:t>
      </w:r>
      <w:r>
        <w:rPr>
          <w:rFonts w:ascii="Segoe UI" w:hAnsi="Segoe UI" w:cs="Segoe UI"/>
        </w:rPr>
        <w:t xml:space="preserve">in line with the above argumentation regarding a complete removal of the presumption, </w:t>
      </w:r>
      <w:r w:rsidRPr="00BA7F99">
        <w:rPr>
          <w:rFonts w:ascii="Segoe UI" w:hAnsi="Segoe UI" w:cs="Segoe UI"/>
        </w:rPr>
        <w:t xml:space="preserve">it should be </w:t>
      </w:r>
      <w:r w:rsidRPr="00BA7F99">
        <w:rPr>
          <w:rFonts w:ascii="Segoe UI" w:hAnsi="Segoe UI" w:cs="Segoe UI"/>
        </w:rPr>
        <w:lastRenderedPageBreak/>
        <w:t xml:space="preserve">considered that </w:t>
      </w:r>
      <w:r>
        <w:rPr>
          <w:rFonts w:ascii="Segoe UI" w:hAnsi="Segoe UI" w:cs="Segoe UI"/>
        </w:rPr>
        <w:t xml:space="preserve">also </w:t>
      </w:r>
      <w:r w:rsidRPr="00BA7F99">
        <w:rPr>
          <w:rFonts w:ascii="Segoe UI" w:hAnsi="Segoe UI" w:cs="Segoe UI"/>
        </w:rPr>
        <w:t>chang</w:t>
      </w:r>
      <w:r>
        <w:rPr>
          <w:rFonts w:ascii="Segoe UI" w:hAnsi="Segoe UI" w:cs="Segoe UI"/>
        </w:rPr>
        <w:t>ing</w:t>
      </w:r>
      <w:r w:rsidRPr="00BA7F99">
        <w:rPr>
          <w:rFonts w:ascii="Segoe UI" w:hAnsi="Segoe UI" w:cs="Segoe UI"/>
        </w:rPr>
        <w:t xml:space="preserve"> the presumption of liquidity may result in significant compliance burden to be implemented for the industry</w:t>
      </w:r>
      <w:r>
        <w:rPr>
          <w:rFonts w:ascii="Segoe UI" w:hAnsi="Segoe UI" w:cs="Segoe UI"/>
        </w:rPr>
        <w:t>. This</w:t>
      </w:r>
      <w:r w:rsidRPr="00BA7F99">
        <w:rPr>
          <w:rFonts w:ascii="Segoe UI" w:hAnsi="Segoe UI" w:cs="Segoe UI"/>
        </w:rPr>
        <w:t xml:space="preserve"> may </w:t>
      </w:r>
      <w:r>
        <w:rPr>
          <w:rFonts w:ascii="Segoe UI" w:hAnsi="Segoe UI" w:cs="Segoe UI"/>
        </w:rPr>
        <w:t>lead</w:t>
      </w:r>
      <w:r w:rsidRPr="00BA7F99">
        <w:rPr>
          <w:rFonts w:ascii="Segoe UI" w:hAnsi="Segoe UI" w:cs="Segoe UI"/>
        </w:rPr>
        <w:t xml:space="preserve"> </w:t>
      </w:r>
      <w:r>
        <w:rPr>
          <w:rFonts w:ascii="Segoe UI" w:hAnsi="Segoe UI" w:cs="Segoe UI"/>
        </w:rPr>
        <w:t>to</w:t>
      </w:r>
      <w:r w:rsidRPr="00BA7F99">
        <w:rPr>
          <w:rFonts w:ascii="Segoe UI" w:hAnsi="Segoe UI" w:cs="Segoe UI"/>
        </w:rPr>
        <w:t xml:space="preserve"> higher costs that would eventually be </w:t>
      </w:r>
      <w:r>
        <w:rPr>
          <w:rFonts w:ascii="Segoe UI" w:hAnsi="Segoe UI" w:cs="Segoe UI"/>
        </w:rPr>
        <w:t xml:space="preserve">borne by </w:t>
      </w:r>
      <w:r w:rsidRPr="00BA7F99">
        <w:rPr>
          <w:rFonts w:ascii="Segoe UI" w:hAnsi="Segoe UI" w:cs="Segoe UI"/>
        </w:rPr>
        <w:t>the investor and may negatively impact the intention</w:t>
      </w:r>
      <w:r>
        <w:rPr>
          <w:rFonts w:ascii="Segoe UI" w:hAnsi="Segoe UI" w:cs="Segoe UI"/>
        </w:rPr>
        <w:t>, e.g. as articulated</w:t>
      </w:r>
      <w:r w:rsidRPr="00BA7F99">
        <w:rPr>
          <w:rFonts w:ascii="Segoe UI" w:hAnsi="Segoe UI" w:cs="Segoe UI"/>
        </w:rPr>
        <w:t xml:space="preserve"> under</w:t>
      </w:r>
      <w:r>
        <w:rPr>
          <w:rFonts w:ascii="Segoe UI" w:hAnsi="Segoe UI" w:cs="Segoe UI"/>
        </w:rPr>
        <w:t xml:space="preserve"> the</w:t>
      </w:r>
      <w:r w:rsidRPr="00BA7F99">
        <w:rPr>
          <w:rFonts w:ascii="Segoe UI" w:hAnsi="Segoe UI" w:cs="Segoe UI"/>
        </w:rPr>
        <w:t xml:space="preserve"> </w:t>
      </w:r>
      <w:r>
        <w:rPr>
          <w:rFonts w:ascii="Segoe UI" w:hAnsi="Segoe UI" w:cs="Segoe UI"/>
        </w:rPr>
        <w:t xml:space="preserve">European Commission proposal for a </w:t>
      </w:r>
      <w:r w:rsidRPr="00BA7F99">
        <w:rPr>
          <w:rFonts w:ascii="Segoe UI" w:hAnsi="Segoe UI" w:cs="Segoe UI"/>
        </w:rPr>
        <w:t>Retail Investor Strategy</w:t>
      </w:r>
      <w:r>
        <w:rPr>
          <w:rFonts w:ascii="Segoe UI" w:hAnsi="Segoe UI" w:cs="Segoe UI"/>
        </w:rPr>
        <w:t>,</w:t>
      </w:r>
      <w:r w:rsidRPr="00BA7F99">
        <w:rPr>
          <w:rFonts w:ascii="Segoe UI" w:hAnsi="Segoe UI" w:cs="Segoe UI"/>
        </w:rPr>
        <w:t xml:space="preserve"> to have greater retail investor participation.</w:t>
      </w:r>
    </w:p>
    <w:permEnd w:id="1300367218"/>
    <w:p w14:paraId="25A344BA" w14:textId="77777777" w:rsidR="00667FF6" w:rsidRDefault="00667FF6" w:rsidP="00667FF6">
      <w:r>
        <w:t>&lt;ESMA_QUESTION_EADC_5&gt;</w:t>
      </w:r>
    </w:p>
    <w:p w14:paraId="03906CE4" w14:textId="77777777" w:rsidR="00667FF6" w:rsidRDefault="00667FF6" w:rsidP="00667FF6"/>
    <w:p w14:paraId="56AE07B8" w14:textId="3C764772" w:rsidR="00667FF6" w:rsidRDefault="00667FF6" w:rsidP="00DB686B">
      <w:pPr>
        <w:pStyle w:val="Questionstyle"/>
        <w:numPr>
          <w:ilvl w:val="0"/>
          <w:numId w:val="14"/>
        </w:numPr>
      </w:pPr>
      <w:r>
        <w:t>Please explain your understanding of the notion of ancillary liquid assets and any recurring or significant issues that you might have experienced in this context. Please clarify if these are held as bank deposits at sight and what else is used as ancillary liquid assets. Where relevant, please distinguish between ancillary liquid assets denominated in (1) the base currency of the fund and (2) foreign currencies.</w:t>
      </w:r>
    </w:p>
    <w:p w14:paraId="6D6B1414" w14:textId="77777777" w:rsidR="00667FF6" w:rsidRDefault="00667FF6" w:rsidP="00667FF6">
      <w:r>
        <w:t>&lt;ESMA_QUESTION_EADC_6&gt;</w:t>
      </w:r>
    </w:p>
    <w:p w14:paraId="534D68D2" w14:textId="77777777" w:rsidR="008B3F24" w:rsidRPr="00A46BA9" w:rsidRDefault="008B3F24" w:rsidP="008B3F24">
      <w:pPr>
        <w:rPr>
          <w:rFonts w:ascii="Segoe UI" w:hAnsi="Segoe UI" w:cs="Segoe UI"/>
        </w:rPr>
      </w:pPr>
      <w:permStart w:id="974730357" w:edGrp="everyone"/>
      <w:r w:rsidRPr="00A46BA9">
        <w:rPr>
          <w:rFonts w:ascii="Segoe UI" w:hAnsi="Segoe UI" w:cs="Segoe UI"/>
        </w:rPr>
        <w:t xml:space="preserve">There are different interpretations of the term “ancillary liquid assets” among the EU Member States, which can lead to difficulties for Asset Managers on a cross-border basis, especially regarding the question whether cash current accounts fall under the definition and the resulting rules applicable to cash accounts. For example, we understand that certain NCAs do not qualify treasury assets as ancillary liquid assets and that others apply a limit of up to 30% of the NAV. Moreover, in some countries a distinction is made between liquid assets and bank deposits, and diversification rules applicable to bank deposits under UCITS rules or article 17 of the Money Market Fund Regulation (MMFR), do not apply to liquid assets, leading to easier monitoring of daily cash movements. </w:t>
      </w:r>
      <w:r>
        <w:rPr>
          <w:rFonts w:ascii="Segoe UI" w:hAnsi="Segoe UI" w:cs="Segoe UI"/>
        </w:rPr>
        <w:t>Furthermore, t</w:t>
      </w:r>
      <w:r w:rsidRPr="00485843">
        <w:rPr>
          <w:rFonts w:ascii="Segoe UI" w:hAnsi="Segoe UI" w:cs="Segoe UI"/>
        </w:rPr>
        <w:t>here still seem to be some questions / different interpretations observed across the industry as to whether or not overnight Term Deposits should be included in the 20% ancillary liquid asset</w:t>
      </w:r>
      <w:r>
        <w:rPr>
          <w:rFonts w:ascii="Segoe UI" w:hAnsi="Segoe UI" w:cs="Segoe UI"/>
        </w:rPr>
        <w:t>s</w:t>
      </w:r>
      <w:r w:rsidRPr="00485843">
        <w:rPr>
          <w:rFonts w:ascii="Segoe UI" w:hAnsi="Segoe UI" w:cs="Segoe UI"/>
        </w:rPr>
        <w:t xml:space="preserve"> – this may need to be clarified</w:t>
      </w:r>
      <w:r>
        <w:rPr>
          <w:rFonts w:ascii="Segoe UI" w:hAnsi="Segoe UI" w:cs="Segoe UI"/>
        </w:rPr>
        <w:t>.</w:t>
      </w:r>
    </w:p>
    <w:p w14:paraId="5BBB1D20" w14:textId="77777777" w:rsidR="008B3F24" w:rsidRPr="00A46BA9" w:rsidRDefault="008B3F24" w:rsidP="008B3F24">
      <w:pPr>
        <w:rPr>
          <w:rFonts w:ascii="Segoe UI" w:hAnsi="Segoe UI" w:cs="Segoe UI"/>
        </w:rPr>
      </w:pPr>
      <w:r w:rsidRPr="00A46BA9">
        <w:rPr>
          <w:rFonts w:ascii="Segoe UI" w:hAnsi="Segoe UI" w:cs="Segoe UI"/>
        </w:rPr>
        <w:t xml:space="preserve">The application of different limitations requires that international asset managers with funds in different countries establish different compliance systems for each country, which creates high costs and administrative burden. </w:t>
      </w:r>
    </w:p>
    <w:p w14:paraId="3459307D" w14:textId="77777777" w:rsidR="008B3F24" w:rsidRPr="00A46BA9" w:rsidRDefault="008B3F24" w:rsidP="008B3F24">
      <w:pPr>
        <w:rPr>
          <w:rFonts w:ascii="Segoe UI" w:hAnsi="Segoe UI" w:cs="Segoe UI"/>
        </w:rPr>
      </w:pPr>
      <w:r w:rsidRPr="00A46BA9">
        <w:rPr>
          <w:rFonts w:ascii="Segoe UI" w:hAnsi="Segoe UI" w:cs="Segoe UI"/>
        </w:rPr>
        <w:t xml:space="preserve">Therefore, in order to avoid such costs and administrative burden, a harmonized approach on EU level </w:t>
      </w:r>
      <w:r>
        <w:rPr>
          <w:rFonts w:ascii="Segoe UI" w:hAnsi="Segoe UI" w:cs="Segoe UI"/>
        </w:rPr>
        <w:t xml:space="preserve">and an alignment of NCAs’ practices </w:t>
      </w:r>
      <w:r w:rsidRPr="00A46BA9">
        <w:rPr>
          <w:rFonts w:ascii="Segoe UI" w:hAnsi="Segoe UI" w:cs="Segoe UI"/>
        </w:rPr>
        <w:t xml:space="preserve">would be welcomed, not only in the interest of </w:t>
      </w:r>
      <w:r w:rsidRPr="00A46BA9">
        <w:rPr>
          <w:rFonts w:ascii="Segoe UI" w:hAnsi="Segoe UI" w:cs="Segoe UI"/>
        </w:rPr>
        <w:lastRenderedPageBreak/>
        <w:t xml:space="preserve">asset managers, but also in the interest of investors towards whom in our view only a European-wide approach would ensure transparency and comparability. </w:t>
      </w:r>
    </w:p>
    <w:permEnd w:id="974730357"/>
    <w:p w14:paraId="307CFCEA" w14:textId="77777777" w:rsidR="00667FF6" w:rsidRDefault="00667FF6" w:rsidP="00667FF6">
      <w:r>
        <w:t>&lt;ESMA_QUESTION_EADC_6&gt;</w:t>
      </w:r>
    </w:p>
    <w:p w14:paraId="45FF66BD" w14:textId="77777777" w:rsidR="00667FF6" w:rsidRDefault="00667FF6" w:rsidP="00667FF6"/>
    <w:p w14:paraId="7215304E" w14:textId="40D71168" w:rsidR="00667FF6" w:rsidRDefault="00667FF6" w:rsidP="00DB686B">
      <w:pPr>
        <w:pStyle w:val="Questionstyle"/>
        <w:numPr>
          <w:ilvl w:val="0"/>
          <w:numId w:val="14"/>
        </w:numPr>
      </w:pPr>
      <w:r>
        <w:t>Beyond holding currency for liquidity purposes, do you think UCITS should be permitted to acquire or hold foreign currency also for investment purposes, taking into account the high volatility and devaluation/depreciation of some currencies? Where relevant, please distinguish between direct and indirect investments.</w:t>
      </w:r>
    </w:p>
    <w:p w14:paraId="31EB23C3" w14:textId="77777777" w:rsidR="00667FF6" w:rsidRDefault="00667FF6" w:rsidP="00667FF6">
      <w:r>
        <w:t>&lt;ESMA_QUESTION_EADC_7&gt;</w:t>
      </w:r>
    </w:p>
    <w:p w14:paraId="14F41AE7" w14:textId="77777777" w:rsidR="00B5314C" w:rsidRPr="00C80CFB" w:rsidRDefault="00B5314C" w:rsidP="00B5314C">
      <w:pPr>
        <w:rPr>
          <w:rFonts w:ascii="Segoe UI" w:eastAsia="Calibri" w:hAnsi="Segoe UI" w:cs="Segoe UI"/>
        </w:rPr>
      </w:pPr>
      <w:permStart w:id="12191390" w:edGrp="everyone"/>
      <w:r w:rsidRPr="00C80CFB">
        <w:rPr>
          <w:rFonts w:ascii="Segoe UI" w:eastAsia="Calibri" w:hAnsi="Segoe UI" w:cs="Segoe UI"/>
        </w:rPr>
        <w:t>The possibility to invest in currency for investment purposes should be assessed and evaluated in accordance with the same principles as other assets. In this respect, the contemplated currency would be assessed in light of its capacity to meet the relevant liquidity requirements</w:t>
      </w:r>
      <w:r>
        <w:rPr>
          <w:rStyle w:val="FootnoteReference"/>
          <w:rFonts w:ascii="Segoe UI" w:eastAsia="Calibri" w:hAnsi="Segoe UI" w:cs="Segoe UI"/>
          <w:sz w:val="22"/>
        </w:rPr>
        <w:footnoteReference w:id="3"/>
      </w:r>
      <w:r w:rsidRPr="00C80CFB">
        <w:rPr>
          <w:rFonts w:ascii="Segoe UI" w:eastAsia="Calibri" w:hAnsi="Segoe UI" w:cs="Segoe UI"/>
        </w:rPr>
        <w:t>.</w:t>
      </w:r>
    </w:p>
    <w:p w14:paraId="13775C7E" w14:textId="77777777" w:rsidR="00B5314C" w:rsidRPr="00C80CFB" w:rsidRDefault="00B5314C" w:rsidP="00B5314C">
      <w:pPr>
        <w:rPr>
          <w:rFonts w:ascii="Segoe UI" w:eastAsia="Calibri" w:hAnsi="Segoe UI" w:cs="Segoe UI"/>
        </w:rPr>
      </w:pPr>
      <w:r w:rsidRPr="00C80CFB">
        <w:rPr>
          <w:rFonts w:ascii="Segoe UI" w:eastAsia="Calibri" w:hAnsi="Segoe UI" w:cs="Segoe UI"/>
        </w:rPr>
        <w:t>The FX market is the largest financial market in the world (</w:t>
      </w:r>
      <w:proofErr w:type="spellStart"/>
      <w:r w:rsidRPr="00C80CFB">
        <w:rPr>
          <w:rFonts w:ascii="Segoe UI" w:eastAsia="Calibri" w:hAnsi="Segoe UI" w:cs="Segoe UI"/>
        </w:rPr>
        <w:t>Ranaldo</w:t>
      </w:r>
      <w:proofErr w:type="spellEnd"/>
      <w:r w:rsidRPr="00C80CFB">
        <w:rPr>
          <w:rFonts w:ascii="Segoe UI" w:eastAsia="Calibri" w:hAnsi="Segoe UI" w:cs="Segoe UI"/>
        </w:rPr>
        <w:t xml:space="preserve"> and De </w:t>
      </w:r>
      <w:proofErr w:type="spellStart"/>
      <w:r w:rsidRPr="00C80CFB">
        <w:rPr>
          <w:rFonts w:ascii="Segoe UI" w:eastAsia="Calibri" w:hAnsi="Segoe UI" w:cs="Segoe UI"/>
        </w:rPr>
        <w:t>Magistris</w:t>
      </w:r>
      <w:proofErr w:type="spellEnd"/>
      <w:r w:rsidRPr="00C80CFB">
        <w:rPr>
          <w:rFonts w:ascii="Segoe UI" w:eastAsia="Calibri" w:hAnsi="Segoe UI" w:cs="Segoe UI"/>
        </w:rPr>
        <w:t>, 2022) and therefore represents a significant portion of the investment opportunity set for investors. Some funds are dedicated to offer investors access to this investment opportunity by providing exposure to FX factors as per the investment objectives. Accordingly, as long as it is in line with the disclosed investment objectives, formalised in the prospectus, and captured by the risk profile of the fund, holding currency for investment purposes should be a possibility option for UCITS in order to allow investors to access a large and liquid market as well as the diversification benefits</w:t>
      </w:r>
      <w:r>
        <w:rPr>
          <w:rFonts w:ascii="Segoe UI" w:eastAsia="Calibri" w:hAnsi="Segoe UI" w:cs="Segoe UI"/>
        </w:rPr>
        <w:t xml:space="preserve"> and investment features</w:t>
      </w:r>
      <w:r w:rsidRPr="00C80CFB">
        <w:rPr>
          <w:rFonts w:ascii="Segoe UI" w:eastAsia="Calibri" w:hAnsi="Segoe UI" w:cs="Segoe UI"/>
        </w:rPr>
        <w:t xml:space="preserve"> it may offer.</w:t>
      </w:r>
    </w:p>
    <w:p w14:paraId="24C7BA65" w14:textId="1D5D0777" w:rsidR="00667FF6" w:rsidRDefault="00667FF6" w:rsidP="00667FF6"/>
    <w:permEnd w:id="12191390"/>
    <w:p w14:paraId="1D468445" w14:textId="77777777" w:rsidR="00667FF6" w:rsidRDefault="00667FF6" w:rsidP="00667FF6">
      <w:r>
        <w:t>&lt;ESMA_QUESTION_EADC_7&gt;</w:t>
      </w:r>
    </w:p>
    <w:p w14:paraId="354CFACC" w14:textId="77777777" w:rsidR="00667FF6" w:rsidRDefault="00667FF6" w:rsidP="00667FF6"/>
    <w:p w14:paraId="653E32A2" w14:textId="77777777" w:rsidR="00667FF6" w:rsidRDefault="00667FF6" w:rsidP="00DB686B">
      <w:pPr>
        <w:pStyle w:val="Questionstyle"/>
        <w:numPr>
          <w:ilvl w:val="0"/>
          <w:numId w:val="14"/>
        </w:numPr>
      </w:pPr>
      <w:r>
        <w:t xml:space="preserve">Have you observed any recurring or significant issues with the interpretation or consistent application of the 10% limit set out in the UCITS Directive for </w:t>
      </w:r>
      <w:r>
        <w:lastRenderedPageBreak/>
        <w:t>investments in transferable securities and money market instruments other than those referred to in Article 50(1) of the UCITS Directive? If so, please explain the issues and how you would propose to address them in the UCITS EAD with a view to improving investor protection, clarity and supervisory convergence.</w:t>
      </w:r>
    </w:p>
    <w:p w14:paraId="1E29587B" w14:textId="77777777" w:rsidR="00667FF6" w:rsidRDefault="00667FF6" w:rsidP="00667FF6">
      <w:r>
        <w:t>&lt;ESMA_QUESTION_EADC_8&gt;</w:t>
      </w:r>
    </w:p>
    <w:p w14:paraId="266A0CFC" w14:textId="77777777" w:rsidR="00B5314C" w:rsidRPr="00C2688B" w:rsidRDefault="00B5314C" w:rsidP="00B5314C">
      <w:pPr>
        <w:rPr>
          <w:rFonts w:ascii="Segoe UI" w:eastAsia="Calibri" w:hAnsi="Segoe UI" w:cs="Segoe UI"/>
        </w:rPr>
      </w:pPr>
      <w:permStart w:id="1602386857" w:edGrp="everyone"/>
      <w:r w:rsidRPr="00C2688B">
        <w:rPr>
          <w:rFonts w:ascii="Segoe UI" w:eastAsia="Calibri" w:hAnsi="Segoe UI" w:cs="Segoe UI"/>
        </w:rPr>
        <w:t>We would like to provide similar considerations in this context of the 10% limit as in our response to Q5 regarding the presumption of liquidity. Also, here, we believe that the additional safeguards brought by the evolution of the liquidity management regulatory framework, together with the response of the industry, are now providing for a robust and updated framework addressing potential concerns with regard to the interpretation / use of the flexibility provided within the 10% limit. In this context, flexibility should be allowed when it comes to fixed income instruments that trade OTC (and therefore are considered in the 10%), but that otherwise are very much like other fixed income instruments that are considered fully eligible.</w:t>
      </w:r>
    </w:p>
    <w:permEnd w:id="1602386857"/>
    <w:p w14:paraId="720FFABA" w14:textId="77777777" w:rsidR="00667FF6" w:rsidRDefault="00667FF6" w:rsidP="00667FF6">
      <w:r>
        <w:t>&lt;ESMA_QUESTION_EADC_8&gt;</w:t>
      </w:r>
    </w:p>
    <w:p w14:paraId="6A129E5D" w14:textId="77777777" w:rsidR="00667FF6" w:rsidRDefault="00667FF6" w:rsidP="00667FF6"/>
    <w:p w14:paraId="67524C18" w14:textId="0AFAC158" w:rsidR="00667FF6" w:rsidRDefault="00667FF6" w:rsidP="00DB686B">
      <w:pPr>
        <w:pStyle w:val="Questionstyle"/>
        <w:numPr>
          <w:ilvl w:val="0"/>
          <w:numId w:val="14"/>
        </w:numPr>
      </w:pPr>
      <w:r>
        <w:t>Are the ‘transferable security’ criteria set out in the UCITS EAD adequate and clear enough? If not, please describe any recurring or significant issues that you have observed and how you would propose to amend the UCITS EAD to improve investor protection, clarity and supervisory convergence.</w:t>
      </w:r>
    </w:p>
    <w:p w14:paraId="5B3E2DA7" w14:textId="77777777" w:rsidR="00667FF6" w:rsidRDefault="00667FF6" w:rsidP="00667FF6">
      <w:r>
        <w:t>&lt;ESMA_QUESTION_EADC_9&gt;</w:t>
      </w:r>
    </w:p>
    <w:p w14:paraId="363B0343" w14:textId="77777777" w:rsidR="00BE114A" w:rsidRPr="006F4C5E" w:rsidRDefault="00BE114A" w:rsidP="00BE114A">
      <w:pPr>
        <w:rPr>
          <w:rFonts w:ascii="Segoe UI" w:hAnsi="Segoe UI" w:cs="Segoe UI"/>
          <w:lang w:val="en-IE"/>
        </w:rPr>
      </w:pPr>
      <w:permStart w:id="1226657538" w:edGrp="everyone"/>
      <w:r w:rsidRPr="006F4C5E">
        <w:rPr>
          <w:rFonts w:ascii="Segoe UI" w:hAnsi="Segoe UI" w:cs="Segoe UI"/>
          <w:lang w:val="en-IE"/>
        </w:rPr>
        <w:t xml:space="preserve">The existing ‘transferable security’ criteria set out in the UCITS EAD are functioning well and </w:t>
      </w:r>
      <w:r>
        <w:rPr>
          <w:rFonts w:ascii="Segoe UI" w:hAnsi="Segoe UI" w:cs="Segoe UI"/>
          <w:lang w:val="en-IE"/>
        </w:rPr>
        <w:t xml:space="preserve">are </w:t>
      </w:r>
      <w:r w:rsidRPr="006F4C5E">
        <w:rPr>
          <w:rFonts w:ascii="Segoe UI" w:hAnsi="Segoe UI" w:cs="Segoe UI"/>
          <w:lang w:val="en-IE"/>
        </w:rPr>
        <w:t>sufficient. We are not aware of any significant difficulties in respect of the interpretation or consistent application of the eligibility rules for transferable securities</w:t>
      </w:r>
      <w:r>
        <w:rPr>
          <w:rFonts w:ascii="Segoe UI" w:hAnsi="Segoe UI" w:cs="Segoe UI"/>
          <w:lang w:val="en-IE"/>
        </w:rPr>
        <w:t>.</w:t>
      </w:r>
    </w:p>
    <w:permEnd w:id="1226657538"/>
    <w:p w14:paraId="362436C7" w14:textId="77777777" w:rsidR="00667FF6" w:rsidRDefault="00667FF6" w:rsidP="00667FF6">
      <w:r>
        <w:t>&lt;ESMA_QUESTION_EADC_9&gt;</w:t>
      </w:r>
    </w:p>
    <w:p w14:paraId="2656408B" w14:textId="77777777" w:rsidR="00667FF6" w:rsidRDefault="00667FF6" w:rsidP="00667FF6"/>
    <w:p w14:paraId="55F6DC93" w14:textId="75E394F8" w:rsidR="00667FF6" w:rsidRDefault="00667FF6" w:rsidP="00DB686B">
      <w:pPr>
        <w:pStyle w:val="Questionstyle"/>
        <w:numPr>
          <w:ilvl w:val="0"/>
          <w:numId w:val="14"/>
        </w:numPr>
      </w:pPr>
      <w:r>
        <w:t xml:space="preserve">How are the valuation and risk management-related criteria set out in the UCITS EAD interpreted and applied in practice, in particular the need for (1) risks to be “adequately captured” by the risk management process and (2) having “reliable” valuation/prices. Please describe any recurring or significant issues </w:t>
      </w:r>
      <w:r>
        <w:lastRenderedPageBreak/>
        <w:t>that you have observed with the interpretation or consistent application of these criteria and how you would propose to amend the UCITS EAD to improve investor protection, clarity and supervisory convergence.</w:t>
      </w:r>
    </w:p>
    <w:p w14:paraId="7A78E990" w14:textId="77777777" w:rsidR="00667FF6" w:rsidRDefault="00667FF6" w:rsidP="00667FF6">
      <w:r>
        <w:t>&lt;ESMA_QUESTION_EADC_10&gt;</w:t>
      </w:r>
    </w:p>
    <w:p w14:paraId="64895301" w14:textId="77777777" w:rsidR="007B1494" w:rsidRPr="00D47A44" w:rsidRDefault="007B1494" w:rsidP="007B1494">
      <w:pPr>
        <w:rPr>
          <w:rFonts w:ascii="Segoe UI" w:hAnsi="Segoe UI" w:cs="Segoe UI"/>
          <w:bCs/>
        </w:rPr>
      </w:pPr>
      <w:permStart w:id="1286214635" w:edGrp="everyone"/>
      <w:r w:rsidRPr="00D47A44">
        <w:rPr>
          <w:rFonts w:ascii="Segoe UI" w:hAnsi="Segoe UI" w:cs="Segoe UI"/>
          <w:bCs/>
        </w:rPr>
        <w:t xml:space="preserve">Management Companies have implemented for many years processes related to the acceptance and onboarding of </w:t>
      </w:r>
      <w:r>
        <w:rPr>
          <w:rFonts w:ascii="Segoe UI" w:hAnsi="Segoe UI" w:cs="Segoe UI"/>
          <w:bCs/>
        </w:rPr>
        <w:t xml:space="preserve">a </w:t>
      </w:r>
      <w:r w:rsidRPr="00D47A44">
        <w:rPr>
          <w:rFonts w:ascii="Segoe UI" w:hAnsi="Segoe UI" w:cs="Segoe UI"/>
          <w:bCs/>
        </w:rPr>
        <w:t>“new instrument” or “new strategy”. The semantic diverges across firms (e.g. “new product committee”) but the overarching principles are generally aligned and evolve around the following concepts:</w:t>
      </w:r>
    </w:p>
    <w:p w14:paraId="1DC6D1F8" w14:textId="77777777" w:rsidR="007B1494" w:rsidRPr="00D47A44" w:rsidRDefault="007B1494" w:rsidP="007B1494">
      <w:pPr>
        <w:numPr>
          <w:ilvl w:val="0"/>
          <w:numId w:val="17"/>
        </w:numPr>
        <w:spacing w:after="0" w:line="240" w:lineRule="auto"/>
        <w:rPr>
          <w:rFonts w:ascii="Segoe UI" w:hAnsi="Segoe UI" w:cs="Segoe UI"/>
          <w:b/>
          <w:bCs/>
          <w:lang w:val="en-US"/>
        </w:rPr>
      </w:pPr>
      <w:r w:rsidRPr="00D47A44">
        <w:rPr>
          <w:rFonts w:ascii="Segoe UI" w:hAnsi="Segoe UI" w:cs="Segoe UI"/>
          <w:b/>
          <w:bCs/>
          <w:lang w:val="en-US"/>
        </w:rPr>
        <w:t>Standard instruments</w:t>
      </w:r>
    </w:p>
    <w:p w14:paraId="6F71CC71" w14:textId="77777777" w:rsidR="007B1494" w:rsidRPr="00D47A44" w:rsidRDefault="007B1494" w:rsidP="007B1494">
      <w:pPr>
        <w:numPr>
          <w:ilvl w:val="0"/>
          <w:numId w:val="18"/>
        </w:numPr>
        <w:spacing w:after="0" w:line="240" w:lineRule="auto"/>
        <w:rPr>
          <w:rFonts w:ascii="Segoe UI" w:hAnsi="Segoe UI" w:cs="Segoe UI"/>
          <w:bCs/>
          <w:lang w:val="en-US"/>
        </w:rPr>
      </w:pPr>
      <w:r w:rsidRPr="00D47A44">
        <w:rPr>
          <w:rFonts w:ascii="Segoe UI" w:hAnsi="Segoe UI" w:cs="Segoe UI"/>
          <w:bCs/>
          <w:lang w:val="en-US"/>
        </w:rPr>
        <w:t>Standard instruments are covered by the risk management process and valuation policies.</w:t>
      </w:r>
    </w:p>
    <w:p w14:paraId="7BBD087A" w14:textId="77777777" w:rsidR="007B1494" w:rsidRPr="00D47A44" w:rsidRDefault="007B1494" w:rsidP="007B1494">
      <w:pPr>
        <w:numPr>
          <w:ilvl w:val="0"/>
          <w:numId w:val="18"/>
        </w:numPr>
        <w:spacing w:after="0" w:line="240" w:lineRule="auto"/>
        <w:rPr>
          <w:rFonts w:ascii="Segoe UI" w:hAnsi="Segoe UI" w:cs="Segoe UI"/>
          <w:bCs/>
          <w:lang w:val="en-US"/>
        </w:rPr>
      </w:pPr>
      <w:r w:rsidRPr="00D47A44">
        <w:rPr>
          <w:rFonts w:ascii="Segoe UI" w:hAnsi="Segoe UI" w:cs="Segoe UI"/>
          <w:bCs/>
          <w:lang w:val="en-US"/>
        </w:rPr>
        <w:t>The effectiveness of the risk management process and valuation policies is periodically assessed and amended as needed.</w:t>
      </w:r>
    </w:p>
    <w:p w14:paraId="1DFB3339" w14:textId="77777777" w:rsidR="007B1494" w:rsidRPr="00D47A44" w:rsidRDefault="007B1494" w:rsidP="007B1494">
      <w:pPr>
        <w:rPr>
          <w:rFonts w:ascii="Segoe UI" w:hAnsi="Segoe UI" w:cs="Segoe UI"/>
          <w:bCs/>
        </w:rPr>
      </w:pPr>
    </w:p>
    <w:p w14:paraId="48E8D1C5" w14:textId="77777777" w:rsidR="007B1494" w:rsidRPr="00D47A44" w:rsidRDefault="007B1494" w:rsidP="007B1494">
      <w:pPr>
        <w:numPr>
          <w:ilvl w:val="0"/>
          <w:numId w:val="17"/>
        </w:numPr>
        <w:spacing w:after="0" w:line="240" w:lineRule="auto"/>
        <w:rPr>
          <w:rFonts w:ascii="Segoe UI" w:hAnsi="Segoe UI" w:cs="Segoe UI"/>
          <w:b/>
          <w:bCs/>
          <w:lang w:val="en-US"/>
        </w:rPr>
      </w:pPr>
      <w:r w:rsidRPr="00D47A44">
        <w:rPr>
          <w:rFonts w:ascii="Segoe UI" w:hAnsi="Segoe UI" w:cs="Segoe UI"/>
          <w:b/>
          <w:bCs/>
          <w:lang w:val="en-US"/>
        </w:rPr>
        <w:t>New instruments</w:t>
      </w:r>
    </w:p>
    <w:p w14:paraId="26C45805" w14:textId="77777777" w:rsidR="007B1494" w:rsidRPr="00D47A44" w:rsidRDefault="007B1494" w:rsidP="007B1494">
      <w:pPr>
        <w:numPr>
          <w:ilvl w:val="0"/>
          <w:numId w:val="19"/>
        </w:numPr>
        <w:spacing w:after="0" w:line="240" w:lineRule="auto"/>
        <w:rPr>
          <w:rFonts w:ascii="Segoe UI" w:hAnsi="Segoe UI" w:cs="Segoe UI"/>
          <w:bCs/>
          <w:lang w:val="en-US"/>
        </w:rPr>
      </w:pPr>
      <w:r w:rsidRPr="00D47A44">
        <w:rPr>
          <w:rFonts w:ascii="Segoe UI" w:hAnsi="Segoe UI" w:cs="Segoe UI"/>
          <w:bCs/>
          <w:lang w:val="en-US"/>
        </w:rPr>
        <w:t xml:space="preserve">New instruments are subject to a dedicated risk and valuation assessment also in view of the coverage by existing processes of the investment manager.  </w:t>
      </w:r>
    </w:p>
    <w:p w14:paraId="55718F68" w14:textId="77777777" w:rsidR="007B1494" w:rsidRPr="00D47A44" w:rsidRDefault="007B1494" w:rsidP="007B1494">
      <w:pPr>
        <w:numPr>
          <w:ilvl w:val="0"/>
          <w:numId w:val="19"/>
        </w:numPr>
        <w:spacing w:after="0" w:line="240" w:lineRule="auto"/>
        <w:rPr>
          <w:rFonts w:ascii="Segoe UI" w:hAnsi="Segoe UI" w:cs="Segoe UI"/>
          <w:bCs/>
          <w:lang w:val="en-US"/>
        </w:rPr>
      </w:pPr>
      <w:r w:rsidRPr="00D47A44">
        <w:rPr>
          <w:rFonts w:ascii="Segoe UI" w:hAnsi="Segoe UI" w:cs="Segoe UI"/>
          <w:bCs/>
          <w:lang w:val="en-US"/>
        </w:rPr>
        <w:t>The product is not integrated into the portfolio unless the risk and valuation process can adequately capture the instrument.</w:t>
      </w:r>
    </w:p>
    <w:p w14:paraId="00976F96" w14:textId="77777777" w:rsidR="007B1494" w:rsidRPr="00D47A44" w:rsidRDefault="007B1494" w:rsidP="007B1494">
      <w:pPr>
        <w:rPr>
          <w:rFonts w:ascii="Segoe UI" w:hAnsi="Segoe UI" w:cs="Segoe UI"/>
          <w:bCs/>
        </w:rPr>
      </w:pPr>
    </w:p>
    <w:p w14:paraId="4CA0890F" w14:textId="77777777" w:rsidR="007B1494" w:rsidRPr="00D47A44" w:rsidRDefault="007B1494" w:rsidP="007B1494">
      <w:pPr>
        <w:rPr>
          <w:rFonts w:ascii="Segoe UI" w:hAnsi="Segoe UI" w:cs="Segoe UI"/>
          <w:bCs/>
        </w:rPr>
      </w:pPr>
      <w:r w:rsidRPr="00D47A44">
        <w:rPr>
          <w:rFonts w:ascii="Segoe UI" w:hAnsi="Segoe UI" w:cs="Segoe UI"/>
          <w:bCs/>
        </w:rPr>
        <w:t>The process of identifying and onboarding new instruments, which goes beyond asset eligibility, is well established in terms of industry practice and regulatory requirements (such as in the Risk Management Circular in Luxembourg – Circular CSSF 11/512). The execution of this documented process allows to substantiate the criteria (risk and valuation) to be complied with for eligibility. Consistency should be ensured already at the stage of overarching risk and valuation requirements instead of specific EAD requirements.</w:t>
      </w:r>
    </w:p>
    <w:p w14:paraId="15CD9F40" w14:textId="77777777" w:rsidR="007B1494" w:rsidRPr="00D47A44" w:rsidRDefault="007B1494" w:rsidP="007B1494">
      <w:pPr>
        <w:rPr>
          <w:rFonts w:ascii="Segoe UI" w:hAnsi="Segoe UI" w:cs="Segoe UI"/>
          <w:bCs/>
        </w:rPr>
      </w:pPr>
      <w:r w:rsidRPr="00D47A44">
        <w:rPr>
          <w:rFonts w:ascii="Segoe UI" w:hAnsi="Segoe UI" w:cs="Segoe UI"/>
          <w:bCs/>
        </w:rPr>
        <w:t>Furthermore, when it comes to investor protection and in particular with respect to risk and valuation, while room for improvement exists</w:t>
      </w:r>
      <w:r>
        <w:rPr>
          <w:rFonts w:ascii="Segoe UI" w:hAnsi="Segoe UI" w:cs="Segoe UI"/>
          <w:bCs/>
        </w:rPr>
        <w:t>,</w:t>
      </w:r>
      <w:r w:rsidRPr="00D47A44">
        <w:rPr>
          <w:rFonts w:ascii="Segoe UI" w:hAnsi="Segoe UI" w:cs="Segoe UI"/>
          <w:bCs/>
        </w:rPr>
        <w:t xml:space="preserve"> it is relevant to highlight that concerns remain moderate as no significant and recurring issues were observed. The following quotation from the ESMA Final report on the 2022 CSA on Valuation (ESMA34-45-1802) illustrates this general assessment.</w:t>
      </w:r>
    </w:p>
    <w:p w14:paraId="0C63228F" w14:textId="77777777" w:rsidR="007B1494" w:rsidRPr="00D47A44" w:rsidRDefault="007B1494" w:rsidP="007B1494">
      <w:pPr>
        <w:rPr>
          <w:rFonts w:ascii="Segoe UI" w:hAnsi="Segoe UI" w:cs="Segoe UI"/>
          <w:bCs/>
        </w:rPr>
      </w:pPr>
      <w:r w:rsidRPr="00D47A44">
        <w:rPr>
          <w:rFonts w:ascii="Segoe UI" w:hAnsi="Segoe UI" w:cs="Segoe UI"/>
          <w:bCs/>
        </w:rPr>
        <w:lastRenderedPageBreak/>
        <w:t>“</w:t>
      </w:r>
      <w:r w:rsidRPr="00D47A44">
        <w:rPr>
          <w:rFonts w:ascii="Segoe UI" w:hAnsi="Segoe UI" w:cs="Segoe UI"/>
          <w:bCs/>
          <w:i/>
        </w:rPr>
        <w:t>Most NCAs considered that there is an overall satisfactory level of compliance of supervised entities with the applicable regulatory requirements, and did not identify any severe regulatory breaches, but rather a number of shortcomings and vulnerabilities.</w:t>
      </w:r>
      <w:r w:rsidRPr="00D47A44">
        <w:rPr>
          <w:rFonts w:ascii="Segoe UI" w:hAnsi="Segoe UI" w:cs="Segoe UI"/>
          <w:bCs/>
        </w:rPr>
        <w:t>”</w:t>
      </w:r>
    </w:p>
    <w:p w14:paraId="5231864A" w14:textId="77777777" w:rsidR="007B1494" w:rsidRPr="00D47A44" w:rsidRDefault="007B1494" w:rsidP="007B1494">
      <w:pPr>
        <w:rPr>
          <w:rFonts w:ascii="Segoe UI" w:hAnsi="Segoe UI" w:cs="Segoe UI"/>
          <w:bCs/>
        </w:rPr>
      </w:pPr>
      <w:r w:rsidRPr="00D47A44">
        <w:rPr>
          <w:rFonts w:ascii="Segoe UI" w:hAnsi="Segoe UI" w:cs="Segoe UI"/>
          <w:bCs/>
        </w:rPr>
        <w:t>Against this background, an evolution rather than a revolution would be favoured.</w:t>
      </w:r>
    </w:p>
    <w:p w14:paraId="1402E89B" w14:textId="77777777" w:rsidR="007B1494" w:rsidRPr="006F4C5E" w:rsidRDefault="007B1494" w:rsidP="007B1494">
      <w:pPr>
        <w:rPr>
          <w:rFonts w:ascii="Segoe UI" w:hAnsi="Segoe UI" w:cs="Segoe UI"/>
          <w:bCs/>
        </w:rPr>
      </w:pPr>
      <w:r w:rsidRPr="006F4C5E">
        <w:rPr>
          <w:rFonts w:ascii="Segoe UI" w:hAnsi="Segoe UI" w:cs="Segoe UI"/>
          <w:bCs/>
        </w:rPr>
        <w:t>One aspect that could be mentioned in terms of possible improvements is that some further standards / clarifications at EU level would be welcomed in relation to the valuation and risk management-related requirements in respect of the definition / interpretation of “reliable” valuation/prices which may be deemed not clear enough.</w:t>
      </w:r>
    </w:p>
    <w:p w14:paraId="0BA52450" w14:textId="4DDAF8D8" w:rsidR="00667FF6" w:rsidRDefault="00667FF6" w:rsidP="00667FF6"/>
    <w:permEnd w:id="1286214635"/>
    <w:p w14:paraId="596ED339" w14:textId="77777777" w:rsidR="00667FF6" w:rsidRDefault="00667FF6" w:rsidP="00667FF6">
      <w:r>
        <w:t>&lt;ESMA_QUESTION_EADC_10&gt;</w:t>
      </w:r>
    </w:p>
    <w:p w14:paraId="0BAA1A76" w14:textId="77777777" w:rsidR="00667FF6" w:rsidRDefault="00667FF6" w:rsidP="00667FF6"/>
    <w:p w14:paraId="17C5D1CC" w14:textId="6F44228F" w:rsidR="00667FF6" w:rsidRDefault="00667FF6" w:rsidP="00DB686B">
      <w:pPr>
        <w:pStyle w:val="Questionstyle"/>
        <w:numPr>
          <w:ilvl w:val="0"/>
          <w:numId w:val="14"/>
        </w:numPr>
      </w:pPr>
      <w:r>
        <w:t>Are the UCITS EAD provisions on investments in financial instruments backed by, or linked to the performance of assets other than those listed in Article 50(1) of the UCITS Directive adequate and clear enough? Please describe any recurring or significant issues that you have observed in this respect and how you would propose to amend the UCITS EAD to improve investor protection, clarity and supervisory convergence.</w:t>
      </w:r>
    </w:p>
    <w:p w14:paraId="1B0E4A0A" w14:textId="77777777" w:rsidR="00667FF6" w:rsidRDefault="00667FF6" w:rsidP="00667FF6">
      <w:r>
        <w:t>&lt;ESMA_QUESTION_EADC_11&gt;</w:t>
      </w:r>
    </w:p>
    <w:p w14:paraId="37C94AB2" w14:textId="77777777" w:rsidR="007D72E3" w:rsidRPr="00F16FB3" w:rsidRDefault="007D72E3" w:rsidP="007D72E3">
      <w:pPr>
        <w:rPr>
          <w:rFonts w:ascii="Segoe UI" w:hAnsi="Segoe UI" w:cs="Segoe UI"/>
          <w:lang w:val="en-IE"/>
        </w:rPr>
      </w:pPr>
      <w:permStart w:id="704664972" w:edGrp="everyone"/>
      <w:r w:rsidRPr="00F16FB3">
        <w:rPr>
          <w:rFonts w:ascii="Segoe UI" w:hAnsi="Segoe UI" w:cs="Segoe UI"/>
          <w:lang w:val="en-IE"/>
        </w:rPr>
        <w:t>The existing criteria have proven suitable.</w:t>
      </w:r>
    </w:p>
    <w:p w14:paraId="0E3B2DB0" w14:textId="16362F82" w:rsidR="00667FF6" w:rsidRPr="007D72E3" w:rsidRDefault="00667FF6" w:rsidP="00667FF6">
      <w:pPr>
        <w:rPr>
          <w:lang w:val="en-IE"/>
        </w:rPr>
      </w:pPr>
    </w:p>
    <w:permEnd w:id="704664972"/>
    <w:p w14:paraId="0F547A6E" w14:textId="77777777" w:rsidR="00667FF6" w:rsidRDefault="00667FF6" w:rsidP="00667FF6">
      <w:r>
        <w:t>&lt;ESMA_QUESTION_EADC_11&gt;</w:t>
      </w:r>
    </w:p>
    <w:p w14:paraId="36E977FF" w14:textId="77777777" w:rsidR="00667FF6" w:rsidRDefault="00667FF6" w:rsidP="00667FF6"/>
    <w:p w14:paraId="35AD47A8" w14:textId="19BAFAEA" w:rsidR="00667FF6" w:rsidRDefault="00667FF6" w:rsidP="00DB686B">
      <w:pPr>
        <w:pStyle w:val="Questionstyle"/>
        <w:numPr>
          <w:ilvl w:val="0"/>
          <w:numId w:val="14"/>
        </w:numPr>
      </w:pPr>
      <w:r>
        <w:t>Is the concept of « embedded » derivatives set out in the UCITS EAD adequate and clear enough? Please describe any recurring or significant issues that you have observed with the interpretation or consistent application of this concept and how you would propose to amend UCITS EAD to improve investor protection, clarity and supervisory convergence.</w:t>
      </w:r>
    </w:p>
    <w:p w14:paraId="53A2BF96" w14:textId="77777777" w:rsidR="00667FF6" w:rsidRDefault="00667FF6" w:rsidP="00667FF6">
      <w:r>
        <w:t>&lt;ESMA_QUESTION_EADC_12&gt;</w:t>
      </w:r>
    </w:p>
    <w:p w14:paraId="622CAE5D" w14:textId="77777777" w:rsidR="00356819" w:rsidRPr="005968F4" w:rsidRDefault="00356819" w:rsidP="00356819">
      <w:pPr>
        <w:rPr>
          <w:rFonts w:ascii="Segoe UI" w:hAnsi="Segoe UI" w:cs="Segoe UI"/>
          <w:lang w:val="en-IE"/>
        </w:rPr>
      </w:pPr>
      <w:permStart w:id="624035433" w:edGrp="everyone"/>
      <w:r w:rsidRPr="005968F4">
        <w:rPr>
          <w:rFonts w:ascii="Segoe UI" w:hAnsi="Segoe UI" w:cs="Segoe UI"/>
          <w:lang w:val="en-IE"/>
        </w:rPr>
        <w:lastRenderedPageBreak/>
        <w:t>We think that Article 10 in connection with Article 2 (3) of the UCITS EAD are clear regarding the concept.</w:t>
      </w:r>
    </w:p>
    <w:permEnd w:id="624035433"/>
    <w:p w14:paraId="0AE10AA5" w14:textId="77777777" w:rsidR="00667FF6" w:rsidRDefault="00667FF6" w:rsidP="00667FF6">
      <w:r>
        <w:t>&lt;ESMA_QUESTION_EADC_12&gt;</w:t>
      </w:r>
    </w:p>
    <w:p w14:paraId="76621B7A" w14:textId="77777777" w:rsidR="00667FF6" w:rsidRDefault="00667FF6" w:rsidP="00667FF6"/>
    <w:p w14:paraId="2CC518B9" w14:textId="77777777" w:rsidR="00667FF6" w:rsidRDefault="00667FF6" w:rsidP="00DB686B">
      <w:pPr>
        <w:pStyle w:val="Questionstyle"/>
        <w:numPr>
          <w:ilvl w:val="0"/>
          <w:numId w:val="14"/>
        </w:numPr>
      </w:pPr>
      <w:r>
        <w:t>Linked to Q11 and Q12, ESMA is aware of diverging interpretations on the treatment of delta-one instruments under the EAD, taking into account that they might provide UCITS with exposures to asset classes that are not eligible for direct investment (see also Section 3.2). How would you propose to amend the UCITS EAD to improve investor protection, clarity and supervisory convergence? Please provide details on the assessment of the eligibility of different types of delta-one instruments, identify the issues per product and provide data to support the reasoning.</w:t>
      </w:r>
    </w:p>
    <w:p w14:paraId="20523F5C" w14:textId="77777777" w:rsidR="00667FF6" w:rsidRDefault="00667FF6" w:rsidP="00667FF6">
      <w:r>
        <w:t>&lt;ESMA_QUESTION_EADC_13&gt;</w:t>
      </w:r>
    </w:p>
    <w:p w14:paraId="3E8B5C49" w14:textId="77777777" w:rsidR="00E02842" w:rsidRPr="00B30867" w:rsidRDefault="00E02842" w:rsidP="00E02842">
      <w:pPr>
        <w:rPr>
          <w:rFonts w:ascii="Segoe UI" w:hAnsi="Segoe UI" w:cs="Segoe UI"/>
          <w:bCs/>
          <w:highlight w:val="yellow"/>
          <w:lang w:val="en-IE"/>
        </w:rPr>
      </w:pPr>
      <w:permStart w:id="1487874619" w:edGrp="everyone"/>
    </w:p>
    <w:p w14:paraId="036020DC" w14:textId="77777777" w:rsidR="00E02842" w:rsidRPr="00B30867" w:rsidRDefault="00E02842" w:rsidP="00E02842">
      <w:pPr>
        <w:numPr>
          <w:ilvl w:val="1"/>
          <w:numId w:val="20"/>
        </w:numPr>
        <w:spacing w:after="0" w:line="240" w:lineRule="auto"/>
        <w:ind w:left="426" w:hanging="426"/>
        <w:rPr>
          <w:rFonts w:ascii="Segoe UI" w:hAnsi="Segoe UI" w:cs="Segoe UI"/>
          <w:bCs/>
          <w:lang w:val="en-US"/>
        </w:rPr>
      </w:pPr>
      <w:r w:rsidRPr="00B30867">
        <w:rPr>
          <w:rFonts w:ascii="Segoe UI" w:hAnsi="Segoe UI" w:cs="Segoe UI"/>
          <w:bCs/>
          <w:lang w:val="en-US"/>
        </w:rPr>
        <w:t>Many UCITS market participants and regulators have agreed that a UCITS may acquire transferable securities that provide delta</w:t>
      </w:r>
      <w:r>
        <w:rPr>
          <w:rFonts w:ascii="Segoe UI" w:hAnsi="Segoe UI" w:cs="Segoe UI"/>
          <w:bCs/>
          <w:lang w:val="en-US"/>
        </w:rPr>
        <w:t>-one</w:t>
      </w:r>
      <w:r w:rsidRPr="00B30867">
        <w:rPr>
          <w:rFonts w:ascii="Segoe UI" w:hAnsi="Segoe UI" w:cs="Segoe UI"/>
          <w:bCs/>
          <w:lang w:val="en-US"/>
        </w:rPr>
        <w:t xml:space="preserve"> exposure to alternative exposures like commodities (e.g. ETCs), on the basis that such instruments do not embed a derivative and therefore, do not require the look through approach to the underlying asset.</w:t>
      </w:r>
    </w:p>
    <w:p w14:paraId="19D93E37" w14:textId="77777777" w:rsidR="00E02842" w:rsidRPr="00B30867" w:rsidRDefault="00E02842" w:rsidP="00E02842">
      <w:pPr>
        <w:ind w:left="426"/>
        <w:rPr>
          <w:rFonts w:ascii="Segoe UI" w:hAnsi="Segoe UI" w:cs="Segoe UI"/>
          <w:bCs/>
          <w:lang w:val="en-US"/>
        </w:rPr>
      </w:pPr>
      <w:r w:rsidRPr="00B30867">
        <w:rPr>
          <w:rFonts w:ascii="Segoe UI" w:hAnsi="Segoe UI" w:cs="Segoe UI"/>
          <w:bCs/>
          <w:lang w:val="en-US"/>
        </w:rPr>
        <w:t xml:space="preserve">This </w:t>
      </w:r>
      <w:r>
        <w:rPr>
          <w:rFonts w:ascii="Segoe UI" w:hAnsi="Segoe UI" w:cs="Segoe UI"/>
          <w:bCs/>
          <w:lang w:val="en-US"/>
        </w:rPr>
        <w:t>d</w:t>
      </w:r>
      <w:r w:rsidRPr="00B30867">
        <w:rPr>
          <w:rFonts w:ascii="Segoe UI" w:hAnsi="Segoe UI" w:cs="Segoe UI"/>
          <w:bCs/>
          <w:lang w:val="en-US"/>
        </w:rPr>
        <w:t>elta</w:t>
      </w:r>
      <w:r>
        <w:rPr>
          <w:rFonts w:ascii="Segoe UI" w:hAnsi="Segoe UI" w:cs="Segoe UI"/>
          <w:bCs/>
          <w:lang w:val="en-US"/>
        </w:rPr>
        <w:t>-one</w:t>
      </w:r>
      <w:r w:rsidRPr="00B30867">
        <w:rPr>
          <w:rFonts w:ascii="Segoe UI" w:hAnsi="Segoe UI" w:cs="Segoe UI"/>
          <w:bCs/>
          <w:lang w:val="en-US"/>
        </w:rPr>
        <w:t xml:space="preserve"> interpretation was first introduced by CESR in 2006.</w:t>
      </w:r>
    </w:p>
    <w:p w14:paraId="3E34707D" w14:textId="77777777" w:rsidR="00E02842" w:rsidRPr="00B30867" w:rsidRDefault="00E02842" w:rsidP="00E02842">
      <w:pPr>
        <w:ind w:left="426"/>
        <w:rPr>
          <w:rFonts w:ascii="Segoe UI" w:hAnsi="Segoe UI" w:cs="Segoe UI"/>
          <w:bCs/>
          <w:lang w:val="en-US"/>
        </w:rPr>
      </w:pPr>
      <w:r w:rsidRPr="00B30867">
        <w:rPr>
          <w:rFonts w:ascii="Segoe UI" w:hAnsi="Segoe UI" w:cs="Segoe UI"/>
          <w:bCs/>
          <w:lang w:val="en-US"/>
        </w:rPr>
        <w:t xml:space="preserve">The German regulator </w:t>
      </w:r>
      <w:proofErr w:type="spellStart"/>
      <w:r w:rsidRPr="00B30867">
        <w:rPr>
          <w:rFonts w:ascii="Segoe UI" w:hAnsi="Segoe UI" w:cs="Segoe UI"/>
          <w:bCs/>
          <w:lang w:val="en-US"/>
        </w:rPr>
        <w:t>BaFin</w:t>
      </w:r>
      <w:proofErr w:type="spellEnd"/>
      <w:r w:rsidRPr="00B30867">
        <w:rPr>
          <w:rFonts w:ascii="Segoe UI" w:hAnsi="Segoe UI" w:cs="Segoe UI"/>
          <w:bCs/>
          <w:lang w:val="en-US"/>
        </w:rPr>
        <w:t xml:space="preserve"> then codified this so-called </w:t>
      </w:r>
      <w:r>
        <w:rPr>
          <w:rFonts w:ascii="Segoe UI" w:hAnsi="Segoe UI" w:cs="Segoe UI"/>
          <w:bCs/>
          <w:lang w:val="en-US"/>
        </w:rPr>
        <w:t>d</w:t>
      </w:r>
      <w:r w:rsidRPr="00B30867">
        <w:rPr>
          <w:rFonts w:ascii="Segoe UI" w:hAnsi="Segoe UI" w:cs="Segoe UI"/>
          <w:bCs/>
          <w:lang w:val="en-US"/>
        </w:rPr>
        <w:t>elta</w:t>
      </w:r>
      <w:r>
        <w:rPr>
          <w:rFonts w:ascii="Segoe UI" w:hAnsi="Segoe UI" w:cs="Segoe UI"/>
          <w:bCs/>
          <w:lang w:val="en-US"/>
        </w:rPr>
        <w:t>-one</w:t>
      </w:r>
      <w:r w:rsidRPr="00B30867">
        <w:rPr>
          <w:rFonts w:ascii="Segoe UI" w:hAnsi="Segoe UI" w:cs="Segoe UI"/>
          <w:bCs/>
          <w:lang w:val="en-US"/>
        </w:rPr>
        <w:t xml:space="preserve"> approach in its FAQs on The Commission Directive 2007/16/EC. Since then, this interpretation has become accepted within the UCITS investment and regulatory communities, with one main exception by an EU jurisdiction.</w:t>
      </w:r>
      <w:r>
        <w:rPr>
          <w:rFonts w:ascii="Segoe UI" w:hAnsi="Segoe UI" w:cs="Segoe UI"/>
          <w:bCs/>
          <w:lang w:val="en-US"/>
        </w:rPr>
        <w:t xml:space="preserve"> We would suggest to apply this interpretation across all Member states.</w:t>
      </w:r>
    </w:p>
    <w:p w14:paraId="42EE40E8" w14:textId="77777777" w:rsidR="00E02842" w:rsidRPr="00B30867" w:rsidRDefault="00E02842" w:rsidP="00E02842">
      <w:pPr>
        <w:numPr>
          <w:ilvl w:val="1"/>
          <w:numId w:val="20"/>
        </w:numPr>
        <w:spacing w:after="0" w:line="240" w:lineRule="auto"/>
        <w:ind w:left="426" w:hanging="426"/>
        <w:rPr>
          <w:rFonts w:ascii="Segoe UI" w:hAnsi="Segoe UI" w:cs="Segoe UI"/>
          <w:bCs/>
          <w:lang w:val="en-US"/>
        </w:rPr>
      </w:pPr>
      <w:r w:rsidRPr="00B30867">
        <w:rPr>
          <w:rFonts w:ascii="Segoe UI" w:hAnsi="Segoe UI" w:cs="Segoe UI"/>
          <w:bCs/>
          <w:lang w:val="en-US"/>
        </w:rPr>
        <w:t>Delta</w:t>
      </w:r>
      <w:r>
        <w:rPr>
          <w:rFonts w:ascii="Segoe UI" w:hAnsi="Segoe UI" w:cs="Segoe UI"/>
          <w:bCs/>
          <w:lang w:val="en-US"/>
        </w:rPr>
        <w:t>-</w:t>
      </w:r>
      <w:r w:rsidRPr="00B30867">
        <w:rPr>
          <w:rFonts w:ascii="Segoe UI" w:hAnsi="Segoe UI" w:cs="Segoe UI"/>
          <w:bCs/>
          <w:lang w:val="en-US"/>
        </w:rPr>
        <w:t xml:space="preserve">one notes offer UCITS a means to access assets that offer diversification advantages beyond the applicable UCITS guidelines. Generally speaking, delta-one instruments allow for </w:t>
      </w:r>
      <w:r>
        <w:rPr>
          <w:rFonts w:ascii="Segoe UI" w:hAnsi="Segoe UI" w:cs="Segoe UI"/>
          <w:bCs/>
          <w:lang w:val="en-US"/>
        </w:rPr>
        <w:t xml:space="preserve">a </w:t>
      </w:r>
      <w:r w:rsidRPr="00B30867">
        <w:rPr>
          <w:rFonts w:ascii="Segoe UI" w:hAnsi="Segoe UI" w:cs="Segoe UI"/>
          <w:bCs/>
          <w:lang w:val="en-US"/>
        </w:rPr>
        <w:t xml:space="preserve">cost-efficient way to get exposure to an underlying asset/market/basket etc. They allow UCITS to build additional diversification and complement traditional asset classes. </w:t>
      </w:r>
    </w:p>
    <w:p w14:paraId="493CD607" w14:textId="77777777" w:rsidR="00E02842" w:rsidRPr="00B30867" w:rsidRDefault="00E02842" w:rsidP="00E02842">
      <w:pPr>
        <w:ind w:left="426"/>
        <w:rPr>
          <w:rFonts w:ascii="Segoe UI" w:hAnsi="Segoe UI" w:cs="Segoe UI"/>
          <w:bCs/>
          <w:lang w:val="en-US"/>
        </w:rPr>
      </w:pPr>
    </w:p>
    <w:p w14:paraId="3DEBAAE7" w14:textId="77777777" w:rsidR="00E02842" w:rsidRPr="00B30867" w:rsidRDefault="00E02842" w:rsidP="00E02842">
      <w:pPr>
        <w:numPr>
          <w:ilvl w:val="1"/>
          <w:numId w:val="20"/>
        </w:numPr>
        <w:spacing w:after="0" w:line="240" w:lineRule="auto"/>
        <w:ind w:left="426" w:hanging="426"/>
        <w:rPr>
          <w:rFonts w:ascii="Segoe UI" w:hAnsi="Segoe UI" w:cs="Segoe UI"/>
          <w:bCs/>
          <w:lang w:val="en-US"/>
        </w:rPr>
      </w:pPr>
      <w:r w:rsidRPr="00B30867">
        <w:rPr>
          <w:rFonts w:ascii="Segoe UI" w:hAnsi="Segoe UI" w:cs="Segoe UI"/>
          <w:bCs/>
          <w:lang w:val="en-US"/>
        </w:rPr>
        <w:t>In practical terms, delta</w:t>
      </w:r>
      <w:r>
        <w:rPr>
          <w:rFonts w:ascii="Segoe UI" w:hAnsi="Segoe UI" w:cs="Segoe UI"/>
          <w:bCs/>
          <w:lang w:val="en-US"/>
        </w:rPr>
        <w:t>-</w:t>
      </w:r>
      <w:r w:rsidRPr="00B30867">
        <w:rPr>
          <w:rFonts w:ascii="Segoe UI" w:hAnsi="Segoe UI" w:cs="Segoe UI"/>
          <w:bCs/>
          <w:lang w:val="en-US"/>
        </w:rPr>
        <w:t xml:space="preserve">one notes typically represent a portion of a UCITS portfolio, with these assets featuring return profiles that complement the rest of the investment portfolio. </w:t>
      </w:r>
      <w:r w:rsidRPr="00B30867">
        <w:rPr>
          <w:rFonts w:ascii="Segoe UI" w:hAnsi="Segoe UI" w:cs="Segoe UI"/>
          <w:bCs/>
          <w:lang w:val="en-US"/>
        </w:rPr>
        <w:lastRenderedPageBreak/>
        <w:t>In such instances, the design of these delta</w:t>
      </w:r>
      <w:r>
        <w:rPr>
          <w:rFonts w:ascii="Segoe UI" w:hAnsi="Segoe UI" w:cs="Segoe UI"/>
          <w:bCs/>
          <w:lang w:val="en-US"/>
        </w:rPr>
        <w:t>-</w:t>
      </w:r>
      <w:r w:rsidRPr="00B30867">
        <w:rPr>
          <w:rFonts w:ascii="Segoe UI" w:hAnsi="Segoe UI" w:cs="Segoe UI"/>
          <w:bCs/>
          <w:lang w:val="en-US"/>
        </w:rPr>
        <w:t>one securities incorporates sufficient transparency of the underlying positions, effectively mitigating associated risks. This approach extends beyond just delta</w:t>
      </w:r>
      <w:r>
        <w:rPr>
          <w:rFonts w:ascii="Segoe UI" w:hAnsi="Segoe UI" w:cs="Segoe UI"/>
          <w:bCs/>
          <w:lang w:val="en-US"/>
        </w:rPr>
        <w:t>-</w:t>
      </w:r>
      <w:r w:rsidRPr="00B30867">
        <w:rPr>
          <w:rFonts w:ascii="Segoe UI" w:hAnsi="Segoe UI" w:cs="Segoe UI"/>
          <w:bCs/>
          <w:lang w:val="en-US"/>
        </w:rPr>
        <w:t>one notes and encompasses various instruments with similar characteristics.</w:t>
      </w:r>
    </w:p>
    <w:p w14:paraId="15082A06" w14:textId="77777777" w:rsidR="00E02842" w:rsidRPr="00B30867" w:rsidRDefault="00E02842" w:rsidP="00E02842">
      <w:pPr>
        <w:ind w:left="426"/>
        <w:rPr>
          <w:rFonts w:ascii="Segoe UI" w:hAnsi="Segoe UI" w:cs="Segoe UI"/>
          <w:bCs/>
          <w:lang w:val="en-US"/>
        </w:rPr>
      </w:pPr>
    </w:p>
    <w:p w14:paraId="7540F44E" w14:textId="77777777" w:rsidR="00E02842" w:rsidRPr="00B30867" w:rsidRDefault="00E02842" w:rsidP="00E02842">
      <w:pPr>
        <w:numPr>
          <w:ilvl w:val="2"/>
          <w:numId w:val="20"/>
        </w:numPr>
        <w:spacing w:after="0" w:line="240" w:lineRule="auto"/>
        <w:ind w:left="851" w:hanging="425"/>
        <w:rPr>
          <w:rFonts w:ascii="Segoe UI" w:hAnsi="Segoe UI" w:cs="Segoe UI"/>
          <w:bCs/>
          <w:lang w:val="en-US"/>
        </w:rPr>
      </w:pPr>
      <w:r w:rsidRPr="00B30867">
        <w:rPr>
          <w:rFonts w:ascii="Segoe UI" w:hAnsi="Segoe UI" w:cs="Segoe UI"/>
          <w:b/>
          <w:bCs/>
          <w:lang w:val="en-US"/>
        </w:rPr>
        <w:t>Illustrative example 1:</w:t>
      </w:r>
      <w:r w:rsidRPr="00B30867">
        <w:rPr>
          <w:rFonts w:ascii="Segoe UI" w:hAnsi="Segoe UI" w:cs="Segoe UI"/>
          <w:bCs/>
          <w:lang w:val="en-US"/>
        </w:rPr>
        <w:t xml:space="preserve"> A UCITS which holds delta</w:t>
      </w:r>
      <w:r>
        <w:rPr>
          <w:rFonts w:ascii="Segoe UI" w:hAnsi="Segoe UI" w:cs="Segoe UI"/>
          <w:bCs/>
          <w:lang w:val="en-US"/>
        </w:rPr>
        <w:t>-</w:t>
      </w:r>
      <w:r w:rsidRPr="00B30867">
        <w:rPr>
          <w:rFonts w:ascii="Segoe UI" w:hAnsi="Segoe UI" w:cs="Segoe UI"/>
          <w:bCs/>
          <w:lang w:val="en-US"/>
        </w:rPr>
        <w:t>one notes written on deliverable commodity futures, which cannot be purchased by UCITS funds directly due to delivery-related limitations.</w:t>
      </w:r>
    </w:p>
    <w:p w14:paraId="0FC4C3FF" w14:textId="77777777" w:rsidR="002872AC" w:rsidRDefault="002872AC" w:rsidP="00E02842">
      <w:pPr>
        <w:ind w:left="851"/>
        <w:rPr>
          <w:rFonts w:ascii="Segoe UI" w:hAnsi="Segoe UI" w:cs="Segoe UI"/>
          <w:bCs/>
          <w:lang w:val="en-US"/>
        </w:rPr>
      </w:pPr>
    </w:p>
    <w:p w14:paraId="2AC221E3" w14:textId="052FA475" w:rsidR="00E02842" w:rsidRPr="00B30867" w:rsidRDefault="00E02842" w:rsidP="00E02842">
      <w:pPr>
        <w:ind w:left="851"/>
        <w:rPr>
          <w:rFonts w:ascii="Segoe UI" w:hAnsi="Segoe UI" w:cs="Segoe UI"/>
          <w:bCs/>
          <w:lang w:val="en-US"/>
        </w:rPr>
      </w:pPr>
      <w:r w:rsidRPr="00B30867">
        <w:rPr>
          <w:rFonts w:ascii="Segoe UI" w:hAnsi="Segoe UI" w:cs="Segoe UI"/>
          <w:bCs/>
          <w:lang w:val="en-US"/>
        </w:rPr>
        <w:t>The delta one note allows the UCITS to benefit from the return and diversification characteristics of the future position whilst being ring-fenced from the delivery at expiry. This feature contributes largely to the relevant UCITS investment strategy.</w:t>
      </w:r>
    </w:p>
    <w:p w14:paraId="6EA36D24" w14:textId="77777777" w:rsidR="00E02842" w:rsidRPr="00B30867" w:rsidRDefault="00E02842" w:rsidP="00E02842">
      <w:pPr>
        <w:ind w:left="851"/>
        <w:rPr>
          <w:rFonts w:ascii="Segoe UI" w:hAnsi="Segoe UI" w:cs="Segoe UI"/>
          <w:bCs/>
          <w:lang w:val="en-US"/>
        </w:rPr>
      </w:pPr>
      <w:r w:rsidRPr="00B30867">
        <w:rPr>
          <w:rFonts w:ascii="Segoe UI" w:hAnsi="Segoe UI" w:cs="Segoe UI"/>
          <w:bCs/>
          <w:lang w:val="en-US"/>
        </w:rPr>
        <w:t>This feature allows liquid alternative strategies on the relevant platform to invest in a diverse universe of investments.</w:t>
      </w:r>
    </w:p>
    <w:p w14:paraId="343B01FA" w14:textId="77777777" w:rsidR="00C17D13" w:rsidRDefault="00C17D13" w:rsidP="00C17D13">
      <w:pPr>
        <w:spacing w:after="0" w:line="240" w:lineRule="auto"/>
        <w:ind w:left="426"/>
        <w:rPr>
          <w:rFonts w:ascii="Segoe UI" w:hAnsi="Segoe UI" w:cs="Segoe UI"/>
          <w:bCs/>
          <w:lang w:val="en-US"/>
        </w:rPr>
      </w:pPr>
    </w:p>
    <w:p w14:paraId="0437A5C9" w14:textId="15ECB07A" w:rsidR="00E02842" w:rsidRPr="00B30867" w:rsidRDefault="00E02842" w:rsidP="00E02842">
      <w:pPr>
        <w:numPr>
          <w:ilvl w:val="1"/>
          <w:numId w:val="20"/>
        </w:numPr>
        <w:spacing w:after="0" w:line="240" w:lineRule="auto"/>
        <w:ind w:left="426" w:hanging="426"/>
        <w:rPr>
          <w:rFonts w:ascii="Segoe UI" w:hAnsi="Segoe UI" w:cs="Segoe UI"/>
          <w:bCs/>
          <w:lang w:val="en-US"/>
        </w:rPr>
      </w:pPr>
      <w:r w:rsidRPr="00B30867">
        <w:rPr>
          <w:rFonts w:ascii="Segoe UI" w:hAnsi="Segoe UI" w:cs="Segoe UI"/>
          <w:bCs/>
          <w:lang w:val="en-US"/>
        </w:rPr>
        <w:t>In addition, delta one notes allow UCITS to be managed more efficiently and reduce costs which are passed through to clients, to their advantage.</w:t>
      </w:r>
    </w:p>
    <w:p w14:paraId="65DFD28E" w14:textId="77777777" w:rsidR="00E02842" w:rsidRPr="00B30867" w:rsidRDefault="00E02842" w:rsidP="00E02842">
      <w:pPr>
        <w:ind w:left="426"/>
        <w:rPr>
          <w:rFonts w:ascii="Segoe UI" w:hAnsi="Segoe UI" w:cs="Segoe UI"/>
          <w:bCs/>
          <w:lang w:val="en-US"/>
        </w:rPr>
      </w:pPr>
    </w:p>
    <w:p w14:paraId="569D76D0" w14:textId="77777777" w:rsidR="00E02842" w:rsidRPr="00B30867" w:rsidRDefault="00E02842" w:rsidP="00E02842">
      <w:pPr>
        <w:numPr>
          <w:ilvl w:val="2"/>
          <w:numId w:val="20"/>
        </w:numPr>
        <w:spacing w:after="0" w:line="240" w:lineRule="auto"/>
        <w:ind w:left="851" w:hanging="425"/>
        <w:rPr>
          <w:rFonts w:ascii="Segoe UI" w:hAnsi="Segoe UI" w:cs="Segoe UI"/>
          <w:bCs/>
          <w:lang w:val="en-US"/>
        </w:rPr>
      </w:pPr>
      <w:r w:rsidRPr="00B30867">
        <w:rPr>
          <w:rFonts w:ascii="Segoe UI" w:hAnsi="Segoe UI" w:cs="Segoe UI"/>
          <w:b/>
          <w:bCs/>
          <w:lang w:val="en-US"/>
        </w:rPr>
        <w:t>Illustrative example 2:</w:t>
      </w:r>
      <w:r w:rsidRPr="00B30867">
        <w:rPr>
          <w:rFonts w:ascii="Segoe UI" w:hAnsi="Segoe UI" w:cs="Segoe UI"/>
          <w:bCs/>
          <w:lang w:val="en-US"/>
        </w:rPr>
        <w:t xml:space="preserve"> A UCITS for which the entire portfolio is implemented via a portfolio swap using a delta</w:t>
      </w:r>
      <w:r>
        <w:rPr>
          <w:rFonts w:ascii="Segoe UI" w:hAnsi="Segoe UI" w:cs="Segoe UI"/>
          <w:bCs/>
          <w:lang w:val="en-US"/>
        </w:rPr>
        <w:t>-</w:t>
      </w:r>
      <w:r w:rsidRPr="00B30867">
        <w:rPr>
          <w:rFonts w:ascii="Segoe UI" w:hAnsi="Segoe UI" w:cs="Segoe UI"/>
          <w:bCs/>
          <w:lang w:val="en-US"/>
        </w:rPr>
        <w:t>one note. In this case, the UCITS has exposure to a portfolio of UCITS eligible assets without actually holding them in its portfolio, meaning that the counterparty holding the portfolio can benefit from economies of scale on their trading.</w:t>
      </w:r>
    </w:p>
    <w:p w14:paraId="73696A0A" w14:textId="77777777" w:rsidR="00E02842" w:rsidRDefault="00E02842" w:rsidP="00E02842">
      <w:pPr>
        <w:ind w:left="851"/>
        <w:rPr>
          <w:rFonts w:ascii="Segoe UI" w:hAnsi="Segoe UI" w:cs="Segoe UI"/>
          <w:bCs/>
          <w:lang w:val="en-US"/>
        </w:rPr>
      </w:pPr>
    </w:p>
    <w:p w14:paraId="50DF3DD6" w14:textId="4C7303E6" w:rsidR="00E02842" w:rsidRPr="00B30867" w:rsidRDefault="00E02842" w:rsidP="00E02842">
      <w:pPr>
        <w:ind w:left="851"/>
        <w:rPr>
          <w:rFonts w:ascii="Segoe UI" w:hAnsi="Segoe UI" w:cs="Segoe UI"/>
          <w:bCs/>
          <w:lang w:val="en-US"/>
        </w:rPr>
      </w:pPr>
      <w:r w:rsidRPr="00B30867">
        <w:rPr>
          <w:rFonts w:ascii="Segoe UI" w:hAnsi="Segoe UI" w:cs="Segoe UI"/>
          <w:bCs/>
          <w:lang w:val="en-US"/>
        </w:rPr>
        <w:t>In the case of this UCITS, 70bps per annum is saved due to this and the ability to trade on intra-day prices rather than at “close of business” prices as the UCITS’ portfolio manager may trade in volumes, which gives them a position on the relevant futures exchanges. These cost savings are passed on to the UCITS’ investors.</w:t>
      </w:r>
    </w:p>
    <w:p w14:paraId="78B49DA4" w14:textId="77777777" w:rsidR="00E02842" w:rsidRPr="00B30867" w:rsidRDefault="00E02842" w:rsidP="00E02842">
      <w:pPr>
        <w:numPr>
          <w:ilvl w:val="1"/>
          <w:numId w:val="20"/>
        </w:numPr>
        <w:spacing w:after="0" w:line="240" w:lineRule="auto"/>
        <w:ind w:left="426" w:hanging="426"/>
        <w:rPr>
          <w:rFonts w:ascii="Segoe UI" w:hAnsi="Segoe UI" w:cs="Segoe UI"/>
          <w:bCs/>
          <w:lang w:val="en-US"/>
        </w:rPr>
      </w:pPr>
      <w:r w:rsidRPr="00B30867">
        <w:rPr>
          <w:rFonts w:ascii="Segoe UI" w:hAnsi="Segoe UI" w:cs="Segoe UI"/>
          <w:bCs/>
          <w:lang w:val="en-US"/>
        </w:rPr>
        <w:t>Finally, counterparty risk from delta</w:t>
      </w:r>
      <w:r>
        <w:rPr>
          <w:rFonts w:ascii="Segoe UI" w:hAnsi="Segoe UI" w:cs="Segoe UI"/>
          <w:bCs/>
          <w:lang w:val="en-US"/>
        </w:rPr>
        <w:t>-</w:t>
      </w:r>
      <w:r w:rsidRPr="00B30867">
        <w:rPr>
          <w:rFonts w:ascii="Segoe UI" w:hAnsi="Segoe UI" w:cs="Segoe UI"/>
          <w:bCs/>
          <w:lang w:val="en-US"/>
        </w:rPr>
        <w:t>one certificates is limited. Those are generally issued by bankruptcy remote SPV entities, rather than by banks/brokers directly; delta-</w:t>
      </w:r>
      <w:r>
        <w:rPr>
          <w:rFonts w:ascii="Segoe UI" w:hAnsi="Segoe UI" w:cs="Segoe UI"/>
          <w:bCs/>
          <w:lang w:val="en-US"/>
        </w:rPr>
        <w:t>one</w:t>
      </w:r>
      <w:r w:rsidRPr="00B30867">
        <w:rPr>
          <w:rFonts w:ascii="Segoe UI" w:hAnsi="Segoe UI" w:cs="Segoe UI"/>
          <w:bCs/>
          <w:lang w:val="en-US"/>
        </w:rPr>
        <w:t xml:space="preserve"> certificate issuance can be conducted on a secured basis, whereby security is taken by a security trustee over substantially all of the assets of the issuing entity, with the certificate </w:t>
      </w:r>
      <w:r w:rsidRPr="00B30867">
        <w:rPr>
          <w:rFonts w:ascii="Segoe UI" w:hAnsi="Segoe UI" w:cs="Segoe UI"/>
          <w:bCs/>
          <w:lang w:val="en-US"/>
        </w:rPr>
        <w:lastRenderedPageBreak/>
        <w:t>holder as the beneficiary of such security. Market standard provisions exist regarding the mechanism for enforcement, and events triggering enforcement of the security package.</w:t>
      </w:r>
    </w:p>
    <w:permEnd w:id="1487874619"/>
    <w:p w14:paraId="7EE4CE59" w14:textId="77777777" w:rsidR="00667FF6" w:rsidRDefault="00667FF6" w:rsidP="00667FF6">
      <w:r>
        <w:t>&lt;ESMA_QUESTION_EADC_13&gt;</w:t>
      </w:r>
    </w:p>
    <w:p w14:paraId="2ACD3334" w14:textId="77777777" w:rsidR="00667FF6" w:rsidRDefault="00667FF6" w:rsidP="00667FF6"/>
    <w:p w14:paraId="1D3229EF" w14:textId="5B55D227" w:rsidR="00667FF6" w:rsidRDefault="00667FF6" w:rsidP="00DB686B">
      <w:pPr>
        <w:pStyle w:val="Questionstyle"/>
        <w:numPr>
          <w:ilvl w:val="0"/>
          <w:numId w:val="14"/>
        </w:numPr>
      </w:pPr>
      <w:r>
        <w:t>Have you observed any recurring or significant issues with the interpretation or consistent application of the rules on UCITS investments in other UCITS and alternative investment funds (AIFs)? In this context, have you observed any issues in terms of the clarity, interaction and logical consistency between (1) the rules on investments in UCITS and other open-ended funds set out in the UCITS Directive and (2) the provisions on UCITS investments in closed ended funds set out in the UCITS EAD? Please describe any recurring or significant issues that you have observed in this respect and how you would propose to amend the relevant rules to improve investor protection, clarity and supervisory convergence. Where relevant, please distinguish between different types of AIFs (e.g. closed-ended, open-ended), investment strategies (real estate, hedge fund, private equity, venture capital etc.) and location (e.g. EU, non-EU, specific countries). In this context, please also share views on whether there is a need to update the legal wording used in the UCITS EAD and UCITS Directive given the fact that e.g. they refer to ‘open-ended’ and ‘closed ended funds’, whereas it might seem preferable to use the notion of ‘AIFs’ by now given the subsequent introduction of the AIFMD in 2011.</w:t>
      </w:r>
    </w:p>
    <w:p w14:paraId="287F79B6" w14:textId="77777777" w:rsidR="00667FF6" w:rsidRDefault="00667FF6" w:rsidP="00667FF6">
      <w:r>
        <w:t>&lt;ESMA_QUESTION_EADC_14&gt;</w:t>
      </w:r>
    </w:p>
    <w:p w14:paraId="5F1F8F53" w14:textId="77777777" w:rsidR="00F60623" w:rsidRPr="005C139B" w:rsidRDefault="00F60623" w:rsidP="00F60623">
      <w:pPr>
        <w:rPr>
          <w:rFonts w:ascii="Segoe UI" w:hAnsi="Segoe UI" w:cs="Segoe UI"/>
          <w:bCs/>
          <w:lang w:val="en-US"/>
        </w:rPr>
      </w:pPr>
      <w:permStart w:id="1362129429" w:edGrp="everyone"/>
      <w:r w:rsidRPr="005C139B">
        <w:rPr>
          <w:rFonts w:ascii="Segoe UI" w:hAnsi="Segoe UI" w:cs="Segoe UI"/>
          <w:bCs/>
          <w:lang w:val="en-US"/>
        </w:rPr>
        <w:t>The definition of closed-end fund vs open-end fund is not clear when it comes to funds with redemption possibilities.</w:t>
      </w:r>
      <w:r>
        <w:rPr>
          <w:rFonts w:ascii="Segoe UI" w:hAnsi="Segoe UI" w:cs="Segoe UI"/>
          <w:bCs/>
          <w:lang w:val="en-US"/>
        </w:rPr>
        <w:t xml:space="preserve"> </w:t>
      </w:r>
      <w:r w:rsidRPr="00352C9D">
        <w:rPr>
          <w:rFonts w:ascii="Segoe UI" w:hAnsi="Segoe UI" w:cs="Segoe UI"/>
          <w:bCs/>
          <w:lang w:val="en-US"/>
        </w:rPr>
        <w:t xml:space="preserve">For example, in the case of certain Canadian REITs, where offering documentation describes the possibility of a redemption facility.  These REITS are set up as “open-end mutual fund trust” which is a tax definition, however, the fund regulation in Canada prohibits mutual funds to invest in real estate which means that these REITS can thus not be qualified as mutual funds.  </w:t>
      </w:r>
    </w:p>
    <w:p w14:paraId="3D6D0453" w14:textId="07CD0403" w:rsidR="00667FF6" w:rsidRPr="00F60623" w:rsidRDefault="00667FF6" w:rsidP="00667FF6">
      <w:pPr>
        <w:rPr>
          <w:lang w:val="en-US"/>
        </w:rPr>
      </w:pPr>
    </w:p>
    <w:permEnd w:id="1362129429"/>
    <w:p w14:paraId="1A4BA964" w14:textId="77777777" w:rsidR="00667FF6" w:rsidRDefault="00667FF6" w:rsidP="00667FF6">
      <w:r>
        <w:t>&lt;ESMA_QUESTION_EADC_14&gt;</w:t>
      </w:r>
    </w:p>
    <w:p w14:paraId="63AE0E82" w14:textId="77777777" w:rsidR="00667FF6" w:rsidRDefault="00667FF6" w:rsidP="00667FF6"/>
    <w:p w14:paraId="276F7F5F" w14:textId="77777777" w:rsidR="00667FF6" w:rsidRDefault="00667FF6" w:rsidP="00DB686B">
      <w:pPr>
        <w:pStyle w:val="Questionstyle"/>
        <w:numPr>
          <w:ilvl w:val="0"/>
          <w:numId w:val="14"/>
        </w:numPr>
      </w:pPr>
      <w:r>
        <w:t xml:space="preserve">More specifically, have you observed any recurring or significant issues with the interpretation or consistent application of the rules on UCITS </w:t>
      </w:r>
      <w:r>
        <w:lastRenderedPageBreak/>
        <w:t>investments in (1) EU ETFs and (2) non-EU ETFs? Please describe any issues that you have observed in this respect and how you would propose to amend the relevant rules to improve investor protection, clarity and supervisory convergence.</w:t>
      </w:r>
    </w:p>
    <w:p w14:paraId="7B7639CC" w14:textId="77777777" w:rsidR="00667FF6" w:rsidRDefault="00667FF6" w:rsidP="00667FF6">
      <w:r>
        <w:t>&lt;ESMA_QUESTION_EADC_15&gt;</w:t>
      </w:r>
    </w:p>
    <w:p w14:paraId="55560C55" w14:textId="77777777" w:rsidR="00C35EAA" w:rsidRDefault="00C35EAA" w:rsidP="00C35EAA">
      <w:pPr>
        <w:rPr>
          <w:rFonts w:ascii="Segoe UI" w:hAnsi="Segoe UI" w:cs="Segoe UI"/>
          <w:lang w:val="en-IE"/>
        </w:rPr>
      </w:pPr>
      <w:permStart w:id="493775816" w:edGrp="everyone"/>
      <w:r w:rsidRPr="00EC5F78">
        <w:rPr>
          <w:rFonts w:ascii="Segoe UI" w:hAnsi="Segoe UI" w:cs="Segoe UI"/>
          <w:lang w:val="en-IE"/>
        </w:rPr>
        <w:t>With regard to non-EU ETF</w:t>
      </w:r>
      <w:r>
        <w:rPr>
          <w:rFonts w:ascii="Segoe UI" w:hAnsi="Segoe UI" w:cs="Segoe UI"/>
          <w:lang w:val="en-IE"/>
        </w:rPr>
        <w:t>s</w:t>
      </w:r>
      <w:r w:rsidRPr="00EC5F78">
        <w:rPr>
          <w:rFonts w:ascii="Segoe UI" w:hAnsi="Segoe UI" w:cs="Segoe UI"/>
          <w:lang w:val="en-IE"/>
        </w:rPr>
        <w:t>, it has been brought to our attention that</w:t>
      </w:r>
      <w:r>
        <w:rPr>
          <w:rFonts w:ascii="Segoe UI" w:hAnsi="Segoe UI" w:cs="Segoe UI"/>
          <w:lang w:val="en-IE"/>
        </w:rPr>
        <w:t xml:space="preserve"> there are cases in which</w:t>
      </w:r>
      <w:r w:rsidRPr="00EC5F78">
        <w:rPr>
          <w:rFonts w:ascii="Segoe UI" w:hAnsi="Segoe UI" w:cs="Segoe UI"/>
          <w:lang w:val="en-IE"/>
        </w:rPr>
        <w:t xml:space="preserve"> they may not be eligible investments for UCITS, e.g. because of slightly different</w:t>
      </w:r>
      <w:r>
        <w:rPr>
          <w:rFonts w:ascii="Segoe UI" w:hAnsi="Segoe UI" w:cs="Segoe UI"/>
          <w:lang w:val="en-IE"/>
        </w:rPr>
        <w:t xml:space="preserve"> borrowing restrictions.</w:t>
      </w:r>
    </w:p>
    <w:p w14:paraId="6124017A" w14:textId="77777777" w:rsidR="00C35EAA" w:rsidRDefault="00C35EAA" w:rsidP="00C35EAA">
      <w:pPr>
        <w:rPr>
          <w:rFonts w:ascii="Segoe UI" w:hAnsi="Segoe UI" w:cs="Segoe UI"/>
          <w:lang w:val="en-IE"/>
        </w:rPr>
      </w:pPr>
      <w:r>
        <w:rPr>
          <w:rFonts w:ascii="Segoe UI" w:hAnsi="Segoe UI" w:cs="Segoe UI"/>
          <w:lang w:val="en-IE"/>
        </w:rPr>
        <w:t>I</w:t>
      </w:r>
      <w:r w:rsidRPr="008D6739">
        <w:rPr>
          <w:rFonts w:ascii="Segoe UI" w:hAnsi="Segoe UI" w:cs="Segoe UI"/>
          <w:lang w:val="en-IE"/>
        </w:rPr>
        <w:t>n 2013, changes were made to the prospectuses for many US ETFs to make them UCITS equivalent e.g. aligning the borrowing rule, short selling rule etc. However, due to the requirement for max 10% in other UCI to include both direct and indirect investment (e.g. through re-investment of cash collateral) many US ETFs would not qualify as eligible owing to their enrolment in securities lending programmes where cash collateral is mandated to be invested in US 2-a7 Money Market funds, which under SEC rules do not qualify as “CIS” for the purpose of their own max 10% in CIS rule but are open end funds and therefore subject to the UCITS max 10% in UCI requirement.  This disparity between US and EU definition of max 10% in UCI plus the requirement to include indirect exposure, are the main reasons why non-EU ETF’s are not eligible.</w:t>
      </w:r>
    </w:p>
    <w:p w14:paraId="3D59950A" w14:textId="77777777" w:rsidR="00C35EAA" w:rsidRPr="00EC5F78" w:rsidRDefault="00C35EAA" w:rsidP="00C35EAA">
      <w:pPr>
        <w:rPr>
          <w:rFonts w:ascii="Segoe UI" w:hAnsi="Segoe UI" w:cs="Segoe UI"/>
          <w:lang w:val="en-IE"/>
        </w:rPr>
      </w:pPr>
      <w:r>
        <w:rPr>
          <w:rFonts w:ascii="Segoe UI" w:hAnsi="Segoe UI" w:cs="Segoe UI"/>
          <w:lang w:val="en-IE"/>
        </w:rPr>
        <w:t>Our view is that US ETFs should qualify as eligible assets.</w:t>
      </w:r>
    </w:p>
    <w:permEnd w:id="493775816"/>
    <w:p w14:paraId="2FCB81E2" w14:textId="77777777" w:rsidR="00667FF6" w:rsidRDefault="00667FF6" w:rsidP="00667FF6">
      <w:r>
        <w:t>&lt;ESMA_QUESTION_EADC_15&gt;</w:t>
      </w:r>
    </w:p>
    <w:p w14:paraId="2D428B94" w14:textId="77777777" w:rsidR="00667FF6" w:rsidRDefault="00667FF6" w:rsidP="00667FF6"/>
    <w:p w14:paraId="6CF16EE3" w14:textId="09BA8660" w:rsidR="00667FF6" w:rsidRDefault="00667FF6" w:rsidP="00DB686B">
      <w:pPr>
        <w:pStyle w:val="Questionstyle"/>
        <w:numPr>
          <w:ilvl w:val="0"/>
          <w:numId w:val="14"/>
        </w:numPr>
      </w:pPr>
      <w:r>
        <w:t>How would you propose to amend the UCITS EAD to improve investor protection, clarity and supervisory convergence with respect to the Efficient Portfolio Management (EPM)-related issues identified in the following ESMA reports: (1) Peer Review on the ESMA Guidelines on ETFs and other UCITS issues; (2) Follow-up Peer Review on the ETF Guidelines; and (3) CSA on costs and fees. In this context, ESMA is interested in also gathering evidence and views on how to best address the uneven market practices with respect to securities lending fees described in the aforementioned ESMA reports with a view to better protect investors from being overcharged.</w:t>
      </w:r>
    </w:p>
    <w:p w14:paraId="0537F2EA" w14:textId="77777777" w:rsidR="00667FF6" w:rsidRDefault="00667FF6" w:rsidP="00667FF6">
      <w:r>
        <w:t>&lt;ESMA_QUESTION_EADC_16&gt;</w:t>
      </w:r>
    </w:p>
    <w:p w14:paraId="0AB712B0" w14:textId="77777777" w:rsidR="001A00DC" w:rsidRDefault="001A00DC" w:rsidP="001A00DC">
      <w:pPr>
        <w:rPr>
          <w:rFonts w:ascii="Segoe UI" w:hAnsi="Segoe UI" w:cs="Segoe UI"/>
          <w:lang w:val="en-IE"/>
        </w:rPr>
      </w:pPr>
      <w:permStart w:id="1032210024" w:edGrp="everyone"/>
      <w:r>
        <w:rPr>
          <w:rFonts w:ascii="Segoe UI" w:hAnsi="Segoe UI" w:cs="Segoe UI"/>
          <w:lang w:val="en-IE"/>
        </w:rPr>
        <w:lastRenderedPageBreak/>
        <w:t>Regarding</w:t>
      </w:r>
      <w:r w:rsidRPr="00686336">
        <w:rPr>
          <w:rFonts w:ascii="Segoe UI" w:hAnsi="Segoe UI" w:cs="Segoe UI"/>
          <w:lang w:val="en-IE"/>
        </w:rPr>
        <w:t xml:space="preserve"> EPM</w:t>
      </w:r>
      <w:r>
        <w:rPr>
          <w:rFonts w:ascii="Segoe UI" w:hAnsi="Segoe UI" w:cs="Segoe UI"/>
          <w:lang w:val="en-IE"/>
        </w:rPr>
        <w:t>, in particular the use of s</w:t>
      </w:r>
      <w:r w:rsidRPr="00686336">
        <w:rPr>
          <w:rFonts w:ascii="Segoe UI" w:hAnsi="Segoe UI" w:cs="Segoe UI"/>
          <w:lang w:val="en-IE"/>
        </w:rPr>
        <w:t xml:space="preserve">ecurity lending, </w:t>
      </w:r>
      <w:r>
        <w:rPr>
          <w:rFonts w:ascii="Segoe UI" w:hAnsi="Segoe UI" w:cs="Segoe UI"/>
          <w:lang w:val="en-IE"/>
        </w:rPr>
        <w:t>r</w:t>
      </w:r>
      <w:r w:rsidRPr="00686336">
        <w:rPr>
          <w:rFonts w:ascii="Segoe UI" w:hAnsi="Segoe UI" w:cs="Segoe UI"/>
          <w:lang w:val="en-IE"/>
        </w:rPr>
        <w:t xml:space="preserve">epos and </w:t>
      </w:r>
      <w:r>
        <w:rPr>
          <w:rFonts w:ascii="Segoe UI" w:hAnsi="Segoe UI" w:cs="Segoe UI"/>
          <w:lang w:val="en-IE"/>
        </w:rPr>
        <w:t>r</w:t>
      </w:r>
      <w:r w:rsidRPr="00686336">
        <w:rPr>
          <w:rFonts w:ascii="Segoe UI" w:hAnsi="Segoe UI" w:cs="Segoe UI"/>
          <w:lang w:val="en-IE"/>
        </w:rPr>
        <w:t>everse Repos</w:t>
      </w:r>
      <w:r>
        <w:rPr>
          <w:rFonts w:ascii="Segoe UI" w:hAnsi="Segoe UI" w:cs="Segoe UI"/>
          <w:lang w:val="en-IE"/>
        </w:rPr>
        <w:t>, t</w:t>
      </w:r>
      <w:r w:rsidRPr="00686336">
        <w:rPr>
          <w:rFonts w:ascii="Segoe UI" w:hAnsi="Segoe UI" w:cs="Segoe UI"/>
          <w:lang w:val="en-IE"/>
        </w:rPr>
        <w:t xml:space="preserve">he UCITS regulations are very detailed in relation to EPM treatment and disclosures in </w:t>
      </w:r>
      <w:r>
        <w:rPr>
          <w:rFonts w:ascii="Segoe UI" w:hAnsi="Segoe UI" w:cs="Segoe UI"/>
          <w:lang w:val="en-IE"/>
        </w:rPr>
        <w:t>f</w:t>
      </w:r>
      <w:r w:rsidRPr="00686336">
        <w:rPr>
          <w:rFonts w:ascii="Segoe UI" w:hAnsi="Segoe UI" w:cs="Segoe UI"/>
          <w:lang w:val="en-IE"/>
        </w:rPr>
        <w:t>unds</w:t>
      </w:r>
      <w:r>
        <w:rPr>
          <w:rFonts w:ascii="Segoe UI" w:hAnsi="Segoe UI" w:cs="Segoe UI"/>
          <w:lang w:val="en-IE"/>
        </w:rPr>
        <w:t>’</w:t>
      </w:r>
      <w:r w:rsidRPr="00686336">
        <w:rPr>
          <w:rFonts w:ascii="Segoe UI" w:hAnsi="Segoe UI" w:cs="Segoe UI"/>
          <w:lang w:val="en-IE"/>
        </w:rPr>
        <w:t xml:space="preserve"> documentation.  We are of the opinion that </w:t>
      </w:r>
      <w:r>
        <w:rPr>
          <w:rFonts w:ascii="Segoe UI" w:hAnsi="Segoe UI" w:cs="Segoe UI"/>
          <w:lang w:val="en-IE"/>
        </w:rPr>
        <w:t xml:space="preserve">overall, </w:t>
      </w:r>
      <w:r w:rsidRPr="00686336">
        <w:rPr>
          <w:rFonts w:ascii="Segoe UI" w:hAnsi="Segoe UI" w:cs="Segoe UI"/>
          <w:lang w:val="en-IE"/>
        </w:rPr>
        <w:t>no additional rules are needed, because the actual regulation provide</w:t>
      </w:r>
      <w:r>
        <w:rPr>
          <w:rFonts w:ascii="Segoe UI" w:hAnsi="Segoe UI" w:cs="Segoe UI"/>
          <w:lang w:val="en-IE"/>
        </w:rPr>
        <w:t>s</w:t>
      </w:r>
      <w:r w:rsidRPr="00686336">
        <w:rPr>
          <w:rFonts w:ascii="Segoe UI" w:hAnsi="Segoe UI" w:cs="Segoe UI"/>
          <w:lang w:val="en-IE"/>
        </w:rPr>
        <w:t xml:space="preserve"> enough clarity and protection to the investors</w:t>
      </w:r>
      <w:r>
        <w:rPr>
          <w:rFonts w:ascii="Segoe UI" w:hAnsi="Segoe UI" w:cs="Segoe UI"/>
          <w:lang w:val="en-IE"/>
        </w:rPr>
        <w:t>.</w:t>
      </w:r>
    </w:p>
    <w:p w14:paraId="4877B707" w14:textId="77777777" w:rsidR="001A00DC" w:rsidRDefault="001A00DC" w:rsidP="001A00DC">
      <w:pPr>
        <w:rPr>
          <w:rFonts w:ascii="Segoe UI" w:hAnsi="Segoe UI" w:cs="Segoe UI"/>
          <w:lang w:val="en-IE"/>
        </w:rPr>
      </w:pPr>
      <w:r>
        <w:rPr>
          <w:rFonts w:ascii="Segoe UI" w:hAnsi="Segoe UI" w:cs="Segoe UI"/>
          <w:lang w:val="en-IE"/>
        </w:rPr>
        <w:t xml:space="preserve">However, we have been made aware by Members that the ESMA Guidelines on ETFs and other UCITS issues seem to be not clear with regard to the </w:t>
      </w:r>
      <w:r w:rsidRPr="007D123B">
        <w:rPr>
          <w:rFonts w:ascii="Segoe UI" w:hAnsi="Segoe UI" w:cs="Segoe UI"/>
          <w:lang w:val="en-IE"/>
        </w:rPr>
        <w:t>possibility for a UCITS</w:t>
      </w:r>
      <w:r w:rsidRPr="00017FA5">
        <w:rPr>
          <w:rFonts w:ascii="Segoe UI" w:hAnsi="Segoe UI" w:cs="Segoe UI"/>
          <w:lang w:val="en-IE"/>
        </w:rPr>
        <w:t xml:space="preserve"> being able to engage in securities lending transactions under collateral arrangements without transfer of title (i.e. with instead a pledge of collateral assets in favour of the lender)</w:t>
      </w:r>
      <w:r>
        <w:rPr>
          <w:rFonts w:ascii="Segoe UI" w:hAnsi="Segoe UI" w:cs="Segoe UI"/>
          <w:lang w:val="en-IE"/>
        </w:rPr>
        <w:t>.</w:t>
      </w:r>
    </w:p>
    <w:p w14:paraId="33B56CD9" w14:textId="77777777" w:rsidR="001A00DC" w:rsidRDefault="001A00DC" w:rsidP="001A00DC">
      <w:pPr>
        <w:rPr>
          <w:rFonts w:ascii="Segoe UI" w:hAnsi="Segoe UI" w:cs="Segoe UI"/>
          <w:lang w:val="en-IE"/>
        </w:rPr>
      </w:pPr>
      <w:r>
        <w:rPr>
          <w:rFonts w:ascii="Segoe UI" w:hAnsi="Segoe UI" w:cs="Segoe UI"/>
          <w:lang w:val="en-IE"/>
        </w:rPr>
        <w:t>W</w:t>
      </w:r>
      <w:r w:rsidRPr="007D031B">
        <w:rPr>
          <w:rFonts w:ascii="Segoe UI" w:hAnsi="Segoe UI" w:cs="Segoe UI"/>
          <w:lang w:val="en-IE"/>
        </w:rPr>
        <w:t>hile</w:t>
      </w:r>
      <w:r>
        <w:rPr>
          <w:rFonts w:ascii="Segoe UI" w:hAnsi="Segoe UI" w:cs="Segoe UI"/>
          <w:lang w:val="en-IE"/>
        </w:rPr>
        <w:t xml:space="preserve"> </w:t>
      </w:r>
      <w:r w:rsidRPr="007D031B">
        <w:rPr>
          <w:rFonts w:ascii="Segoe UI" w:hAnsi="Segoe UI" w:cs="Segoe UI"/>
          <w:lang w:val="en-IE"/>
        </w:rPr>
        <w:t>ESMA highlighted in their peer review report of July 2018 that NCAs such as CSSF interpreted the Guidelines in such a way that only title transfer arrangements are permissible, we also note that item 43.g) of the ESMA Guidelines on ETFs and other UCITS issues clearly refers to “Where there is a title transfer” and “For other types of collateral arrangement”, which may potentially indicate that collateral arrangement without title transfer would also be accepted.</w:t>
      </w:r>
    </w:p>
    <w:p w14:paraId="521D8A7C" w14:textId="77777777" w:rsidR="001A00DC" w:rsidRDefault="001A00DC" w:rsidP="001A00DC">
      <w:pPr>
        <w:rPr>
          <w:rFonts w:ascii="Segoe UI" w:hAnsi="Segoe UI" w:cs="Segoe UI"/>
          <w:lang w:val="en-IE"/>
        </w:rPr>
      </w:pPr>
      <w:r w:rsidRPr="007228CF">
        <w:rPr>
          <w:rFonts w:ascii="Segoe UI" w:hAnsi="Segoe UI" w:cs="Segoe UI"/>
          <w:lang w:val="en-IE"/>
        </w:rPr>
        <w:t>It</w:t>
      </w:r>
      <w:r>
        <w:rPr>
          <w:rFonts w:ascii="Segoe UI" w:hAnsi="Segoe UI" w:cs="Segoe UI"/>
          <w:lang w:val="en-IE"/>
        </w:rPr>
        <w:t xml:space="preserve"> can be noted that such an arrangement</w:t>
      </w:r>
      <w:r w:rsidRPr="007228CF">
        <w:rPr>
          <w:rFonts w:ascii="Segoe UI" w:hAnsi="Segoe UI" w:cs="Segoe UI"/>
          <w:lang w:val="en-IE"/>
        </w:rPr>
        <w:t xml:space="preserve"> provides a way for lending funds to benefit from the premium pricing currently available for such transactions without materially increasing risk to investors, subject to appropriate eligibility checks performed in relation to the relevant pledged assets.</w:t>
      </w:r>
    </w:p>
    <w:p w14:paraId="5256A617" w14:textId="77777777" w:rsidR="001A00DC" w:rsidRDefault="001A00DC" w:rsidP="001A00DC">
      <w:pPr>
        <w:rPr>
          <w:rFonts w:ascii="Segoe UI" w:hAnsi="Segoe UI" w:cs="Segoe UI"/>
          <w:lang w:val="en-IE"/>
        </w:rPr>
      </w:pPr>
      <w:r>
        <w:rPr>
          <w:rFonts w:ascii="Segoe UI" w:hAnsi="Segoe UI" w:cs="Segoe UI"/>
          <w:lang w:val="en-IE"/>
        </w:rPr>
        <w:t>Consequently, the treatment concerning these collateral arrangements could be clarified. We would be pleased to provide further details to ESMA as needed.</w:t>
      </w:r>
    </w:p>
    <w:permEnd w:id="1032210024"/>
    <w:p w14:paraId="09F73C64" w14:textId="77777777" w:rsidR="00667FF6" w:rsidRDefault="00667FF6" w:rsidP="00667FF6">
      <w:r>
        <w:t>&lt;ESMA_QUESTION_EADC_16&gt;</w:t>
      </w:r>
    </w:p>
    <w:p w14:paraId="6CD480E6" w14:textId="77777777" w:rsidR="00667FF6" w:rsidRDefault="00667FF6" w:rsidP="00667FF6"/>
    <w:p w14:paraId="2F61D6B7" w14:textId="43620DB9" w:rsidR="00667FF6" w:rsidRDefault="00667FF6" w:rsidP="00DB686B">
      <w:pPr>
        <w:pStyle w:val="Questionstyle"/>
        <w:numPr>
          <w:ilvl w:val="0"/>
          <w:numId w:val="14"/>
        </w:numPr>
      </w:pPr>
      <w:r>
        <w:t>Would you see merit in linking or replacing the notion of EPM techniques set out in the UCITS Directive and UCITS EAD with the notion of securities financing transaction (SFT) set out in the SFTR? Beyond the notions of EPM and SFT, are there any other notions or issues raising concerns in terms of transversal consistency between the UCITS and SFTR frameworks?</w:t>
      </w:r>
    </w:p>
    <w:p w14:paraId="5776F854" w14:textId="77777777" w:rsidR="00667FF6" w:rsidRDefault="00667FF6" w:rsidP="00667FF6">
      <w:r>
        <w:t>&lt;ESMA_QUESTION_EADC_17&gt;</w:t>
      </w:r>
    </w:p>
    <w:p w14:paraId="0B5873FA" w14:textId="77777777" w:rsidR="003C45DE" w:rsidRPr="006F4C5E" w:rsidRDefault="003C45DE" w:rsidP="003C45DE">
      <w:pPr>
        <w:rPr>
          <w:rFonts w:ascii="Segoe UI" w:hAnsi="Segoe UI" w:cs="Segoe UI"/>
          <w:bCs/>
          <w:lang w:val="en-IE"/>
        </w:rPr>
      </w:pPr>
      <w:permStart w:id="589041498" w:edGrp="everyone"/>
      <w:r>
        <w:rPr>
          <w:rFonts w:ascii="Segoe UI" w:hAnsi="Segoe UI" w:cs="Segoe UI"/>
          <w:bCs/>
          <w:lang w:val="en-IE"/>
        </w:rPr>
        <w:t>We do not see a need to amend the rules on this aspect.</w:t>
      </w:r>
    </w:p>
    <w:permEnd w:id="589041498"/>
    <w:p w14:paraId="47A34CC0" w14:textId="77777777" w:rsidR="00667FF6" w:rsidRDefault="00667FF6" w:rsidP="00667FF6">
      <w:r>
        <w:lastRenderedPageBreak/>
        <w:t>&lt;ESMA_QUESTION_EADC_17&gt;</w:t>
      </w:r>
    </w:p>
    <w:p w14:paraId="5EC440C2" w14:textId="77777777" w:rsidR="00667FF6" w:rsidRDefault="00667FF6" w:rsidP="00667FF6"/>
    <w:p w14:paraId="29F5389B" w14:textId="7E9A699E" w:rsidR="00667FF6" w:rsidRDefault="00667FF6" w:rsidP="00DB686B">
      <w:pPr>
        <w:pStyle w:val="Questionstyle"/>
        <w:numPr>
          <w:ilvl w:val="0"/>
          <w:numId w:val="14"/>
        </w:numPr>
      </w:pPr>
      <w:r>
        <w:t>Apart from the definitions and concepts covered above, are there any other definitions, notions or concepts used in the UCITS EAD that may require updates, further clarification or better consistency with definitions and concepts used in other pieces of EU financial legislation, e.g. MiFID II, EMIR, Benchmark Regulation and MMFR? If so, please provide details on the issues you have observed and how you would propose to clarify or link the relevant definitions or concepts.</w:t>
      </w:r>
    </w:p>
    <w:p w14:paraId="3F895BE3" w14:textId="77777777" w:rsidR="00667FF6" w:rsidRDefault="00667FF6" w:rsidP="00667FF6">
      <w:r>
        <w:t>&lt;ESMA_QUESTION_EADC_18&gt;</w:t>
      </w:r>
    </w:p>
    <w:p w14:paraId="2C34F18C" w14:textId="77777777" w:rsidR="00F33E74" w:rsidRPr="00D53F86" w:rsidRDefault="00F33E74" w:rsidP="00F33E74">
      <w:pPr>
        <w:rPr>
          <w:rFonts w:ascii="Segoe UI" w:hAnsi="Segoe UI" w:cs="Segoe UI"/>
          <w:lang w:val="en-IE"/>
        </w:rPr>
      </w:pPr>
      <w:permStart w:id="1158356501" w:edGrp="everyone"/>
      <w:r w:rsidRPr="00FE565F">
        <w:rPr>
          <w:rFonts w:ascii="Segoe UI" w:hAnsi="Segoe UI" w:cs="Segoe UI"/>
          <w:lang w:val="en-IE"/>
        </w:rPr>
        <w:t>The EU Securitisation Regulation requires the completion of a detailed questionnaire for non-EU issuers, which creates an important hurdle to UCITS access to this asset class, as many US issuers are not seeking to comply with the Regulation. This is particularly problematic in the CMBS sector and non-agency residential space. We understand that the securitisation regime overall, including the reporting templates, are to be reviewed and we consider a balanced approach should be taken allowing UCITS to participate in the full investable universe</w:t>
      </w:r>
      <w:r>
        <w:rPr>
          <w:rFonts w:ascii="Segoe UI" w:hAnsi="Segoe UI" w:cs="Segoe UI"/>
          <w:lang w:val="en-IE"/>
        </w:rPr>
        <w:t xml:space="preserve"> and in particular to invest in securitisations from US issuers</w:t>
      </w:r>
      <w:r w:rsidRPr="00FE565F">
        <w:rPr>
          <w:rFonts w:ascii="Segoe UI" w:hAnsi="Segoe UI" w:cs="Segoe UI"/>
          <w:lang w:val="en-IE"/>
        </w:rPr>
        <w:t>.</w:t>
      </w:r>
    </w:p>
    <w:permEnd w:id="1158356501"/>
    <w:p w14:paraId="223CC270" w14:textId="77777777" w:rsidR="00667FF6" w:rsidRDefault="00667FF6" w:rsidP="00667FF6">
      <w:r>
        <w:t>&lt;ESMA_QUESTION_EADC_18&gt;</w:t>
      </w:r>
    </w:p>
    <w:p w14:paraId="0FFC0C58" w14:textId="77777777" w:rsidR="00667FF6" w:rsidRDefault="00667FF6" w:rsidP="00667FF6"/>
    <w:p w14:paraId="537254A6" w14:textId="77777777" w:rsidR="00667FF6" w:rsidRDefault="00667FF6" w:rsidP="00DB686B">
      <w:pPr>
        <w:pStyle w:val="Questionstyle"/>
        <w:numPr>
          <w:ilvl w:val="0"/>
          <w:numId w:val="14"/>
        </w:numPr>
      </w:pPr>
      <w:r>
        <w:t>Are there any national rules, guidance, definitions or concepts in national regulatory frameworks that go beyond (‘gold-plating’), diverge or are more detailed than what is set out in the UCITS EAD? If so, please elaborate whether these are causing any recurring or significant practical issues or challenges.</w:t>
      </w:r>
    </w:p>
    <w:p w14:paraId="6426457C" w14:textId="77777777" w:rsidR="00667FF6" w:rsidRDefault="00667FF6" w:rsidP="00667FF6">
      <w:r>
        <w:t>&lt;ESMA_QUESTION_EADC_19&gt;</w:t>
      </w:r>
    </w:p>
    <w:p w14:paraId="0BE5D8CD" w14:textId="77777777" w:rsidR="006673F2" w:rsidRPr="006146FA" w:rsidRDefault="006673F2" w:rsidP="006011E5">
      <w:pPr>
        <w:rPr>
          <w:rFonts w:ascii="Segoe UI" w:hAnsi="Segoe UI" w:cs="Segoe UI"/>
          <w:lang w:val="en-IE"/>
        </w:rPr>
      </w:pPr>
      <w:permStart w:id="784558918" w:edGrp="everyone"/>
      <w:r w:rsidRPr="006146FA">
        <w:rPr>
          <w:rFonts w:ascii="Segoe UI" w:hAnsi="Segoe UI" w:cs="Segoe UI"/>
          <w:lang w:val="en-IE"/>
        </w:rPr>
        <w:t>We would like to underline the importance of harmonizing the interpretation of existing rules across the EU in order to avoid any gold plating, to provide legal certainty, also in the best interest of investors, and to remove obstacles for cross-border distribution.</w:t>
      </w:r>
    </w:p>
    <w:p w14:paraId="0BBADC29" w14:textId="77777777" w:rsidR="006673F2" w:rsidRDefault="006673F2" w:rsidP="006011E5">
      <w:pPr>
        <w:rPr>
          <w:rFonts w:ascii="Segoe UI" w:hAnsi="Segoe UI" w:cs="Segoe UI"/>
          <w:lang w:val="en-IE"/>
        </w:rPr>
      </w:pPr>
    </w:p>
    <w:p w14:paraId="014C3237" w14:textId="1A9CC067" w:rsidR="00667FF6" w:rsidRDefault="006673F2" w:rsidP="00667FF6">
      <w:r w:rsidRPr="006146FA">
        <w:rPr>
          <w:rFonts w:ascii="Segoe UI" w:hAnsi="Segoe UI" w:cs="Segoe UI"/>
          <w:lang w:val="en-IE"/>
        </w:rPr>
        <w:lastRenderedPageBreak/>
        <w:t xml:space="preserve">One example to draw attention to is the treatment of loans, where we see a divergent approach among national </w:t>
      </w:r>
      <w:proofErr w:type="gramStart"/>
      <w:r w:rsidRPr="006146FA">
        <w:rPr>
          <w:rFonts w:ascii="Segoe UI" w:hAnsi="Segoe UI" w:cs="Segoe UI"/>
          <w:lang w:val="en-IE"/>
        </w:rPr>
        <w:t>authorities.</w:t>
      </w:r>
      <w:permEnd w:id="784558918"/>
      <w:r w:rsidR="00667FF6">
        <w:t>&lt;</w:t>
      </w:r>
      <w:proofErr w:type="gramEnd"/>
      <w:r w:rsidR="00667FF6">
        <w:t>ESMA_QUESTION_EADC_19&gt;</w:t>
      </w:r>
    </w:p>
    <w:p w14:paraId="632F0E31" w14:textId="77777777" w:rsidR="00667FF6" w:rsidRDefault="00667FF6" w:rsidP="00667FF6"/>
    <w:p w14:paraId="1F406012" w14:textId="53EE10DD" w:rsidR="00DE0869" w:rsidRPr="00DE0869" w:rsidRDefault="00667FF6" w:rsidP="00DB686B">
      <w:pPr>
        <w:pStyle w:val="Questionstyle"/>
        <w:numPr>
          <w:ilvl w:val="0"/>
          <w:numId w:val="14"/>
        </w:numPr>
      </w:pPr>
      <w:r>
        <w:t xml:space="preserve">Please fill in the table </w:t>
      </w:r>
      <w:r w:rsidR="005A6012">
        <w:t xml:space="preserve">in </w:t>
      </w:r>
      <w:r w:rsidR="00A258F7">
        <w:t xml:space="preserve">the </w:t>
      </w:r>
      <w:r w:rsidR="005A6012">
        <w:t xml:space="preserve">Annex </w:t>
      </w:r>
      <w:r w:rsidR="00336C52">
        <w:t>to</w:t>
      </w:r>
      <w:r w:rsidR="001F768F">
        <w:t xml:space="preserve"> this</w:t>
      </w:r>
      <w:r w:rsidR="00DB686B">
        <w:t xml:space="preserve"> document </w:t>
      </w:r>
      <w:r>
        <w:t>on the merits of allowing direct or indirect UCITS exposures to the asset classes listed therein, taking into account the instructions provided in</w:t>
      </w:r>
      <w:r w:rsidR="00DB686B">
        <w:t xml:space="preserve"> </w:t>
      </w:r>
      <w:r w:rsidR="00A258F7">
        <w:t xml:space="preserve">the </w:t>
      </w:r>
      <w:r w:rsidR="00B1309C">
        <w:t xml:space="preserve">same </w:t>
      </w:r>
      <w:r w:rsidR="008B5F45">
        <w:t>Annex</w:t>
      </w:r>
      <w:r>
        <w:t>. Please assess and provide evidence on the merits of such exposures in light of their risks and benefits taking into account the characteristics of the underlying markets (e.g. availability of reliable valuation information, liquidity, safekeeping). To substantiate your position, please fill the table with any available data and evidence (e.g. on liquidity or valuation of the relevant asset classes and underlying markets). ESMA acknowledges that the availability of data on direct/indirect exposures to some of the asset classes listed in this table is limited and would welcome receiving any available data (whether on individual market participants and products or market-wide) and even rough estimates that help to understand the practical relevance of the relevant asset class for UCITS and the possible impact of any future policy measures.</w:t>
      </w:r>
    </w:p>
    <w:p w14:paraId="03B2518F" w14:textId="77777777" w:rsidR="00667FF6" w:rsidRDefault="00667FF6" w:rsidP="00667FF6">
      <w:r>
        <w:t>&lt;ESMA_QUESTION_EADC_20&gt;</w:t>
      </w:r>
    </w:p>
    <w:p w14:paraId="6AEF8535" w14:textId="46B79E9B" w:rsidR="00667FF6" w:rsidRDefault="001A1745" w:rsidP="00667FF6">
      <w:permStart w:id="1828006997" w:edGrp="everyone"/>
      <w:r>
        <w:t xml:space="preserve">We would like to refer to our </w:t>
      </w:r>
      <w:r w:rsidR="00F468DE">
        <w:t>responses included in the table of the Annex to this document.</w:t>
      </w:r>
    </w:p>
    <w:permEnd w:id="1828006997"/>
    <w:p w14:paraId="01D62D2E" w14:textId="77777777" w:rsidR="00667FF6" w:rsidRDefault="00667FF6" w:rsidP="00667FF6">
      <w:r>
        <w:t>&lt;ESMA_QUESTION_EADC_20&gt;</w:t>
      </w:r>
    </w:p>
    <w:p w14:paraId="108FF8FC" w14:textId="77777777" w:rsidR="00667FF6" w:rsidRDefault="00667FF6" w:rsidP="00667FF6"/>
    <w:p w14:paraId="7E4F82A9" w14:textId="77777777" w:rsidR="00667FF6" w:rsidRDefault="00667FF6" w:rsidP="00DB686B">
      <w:pPr>
        <w:pStyle w:val="Questionstyle"/>
        <w:numPr>
          <w:ilvl w:val="0"/>
          <w:numId w:val="14"/>
        </w:numPr>
      </w:pPr>
      <w:r>
        <w:t>Please elaborate and provide evidence on how indirect exposures to the aforementioned asset classes (e.g. through delta-one instruments, ETNs, derivatives) increase or decrease costs and/or risks borne by UCITS and their investors compared to direct investments.</w:t>
      </w:r>
    </w:p>
    <w:p w14:paraId="4B547731" w14:textId="77777777" w:rsidR="00667FF6" w:rsidRDefault="00667FF6" w:rsidP="00667FF6">
      <w:r>
        <w:t>&lt;ESMA_QUESTION_EADC_21&gt;</w:t>
      </w:r>
    </w:p>
    <w:p w14:paraId="353F4BE8" w14:textId="77777777" w:rsidR="006715F5" w:rsidRDefault="006715F5" w:rsidP="006715F5">
      <w:pPr>
        <w:rPr>
          <w:rFonts w:ascii="Segoe UI" w:hAnsi="Segoe UI" w:cs="Segoe UI"/>
          <w:bCs/>
          <w:lang w:val="en-IE"/>
        </w:rPr>
      </w:pPr>
      <w:permStart w:id="199050040" w:edGrp="everyone"/>
      <w:r>
        <w:rPr>
          <w:rFonts w:ascii="Segoe UI" w:hAnsi="Segoe UI" w:cs="Segoe UI"/>
          <w:bCs/>
          <w:lang w:val="en-IE"/>
        </w:rPr>
        <w:t xml:space="preserve">We would like to refer to our </w:t>
      </w:r>
      <w:r w:rsidRPr="001B452D">
        <w:rPr>
          <w:rFonts w:ascii="Segoe UI" w:hAnsi="Segoe UI" w:cs="Segoe UI"/>
          <w:bCs/>
          <w:lang w:val="en-IE"/>
        </w:rPr>
        <w:t>comments above.</w:t>
      </w:r>
    </w:p>
    <w:p w14:paraId="63241211" w14:textId="14ED9C33" w:rsidR="005F2A66" w:rsidRDefault="005F2A66" w:rsidP="005F2A66">
      <w:r>
        <w:t>In addition, we would like to highlight the following advantages: operational ease, regulatory security, cost as well as risk reduction borne by UCITS investors. This is based on the following considerations.</w:t>
      </w:r>
      <w:bookmarkStart w:id="1" w:name="_GoBack"/>
      <w:bookmarkEnd w:id="1"/>
    </w:p>
    <w:p w14:paraId="026D7EED" w14:textId="79D5F003" w:rsidR="00667FF6" w:rsidRDefault="005F2A66" w:rsidP="005F2A66">
      <w:r>
        <w:lastRenderedPageBreak/>
        <w:t>UCITS asset managers may not have the necessary expertise to operationally enabling direct investments and or doing so would require many resources (e.g., setting up custody for carbon allowances (union registry account), crypto assets (crypto asset custody account), precious metals) or access the liquidity venues for these assets. UCITS asset managers must of course perform detailed due diligence on the indirect access vehicles they invest in and confirm adequateness of the product setup (e.g., custody), which however is much easier than direct investment. Regarding ETCs in particular, it can be noted that they are a regulated, well-established transparent security form typically held within a regulated Central Securities Depository. ETCs are traded on regulated exchanges throughout the day and offer increased liquidity over the physical market.</w:t>
      </w:r>
    </w:p>
    <w:permEnd w:id="199050040"/>
    <w:p w14:paraId="3DAB01B2" w14:textId="77777777" w:rsidR="00667FF6" w:rsidRDefault="00667FF6" w:rsidP="00667FF6">
      <w:r>
        <w:t>&lt;ESMA_QUESTION_EADC_21&gt;</w:t>
      </w:r>
    </w:p>
    <w:p w14:paraId="646CDAF6" w14:textId="77777777" w:rsidR="00667FF6" w:rsidRDefault="00667FF6" w:rsidP="00667FF6"/>
    <w:p w14:paraId="3F190348" w14:textId="002D0356" w:rsidR="00667FF6" w:rsidRDefault="00667FF6" w:rsidP="00DB686B">
      <w:pPr>
        <w:pStyle w:val="Questionstyle"/>
        <w:numPr>
          <w:ilvl w:val="0"/>
          <w:numId w:val="14"/>
        </w:numPr>
      </w:pPr>
      <w:r>
        <w:t>Under the EAD, should a look-through approach be required to determine the eligibility of assets? Please explain your position taking into account the aforementioned risks and benefits of UCITS gaining exposures to asset classes that are not directly investible as well as the increased/decreased costs associated with such indirect investments. A look-through approach would aim to ensure that the list of eligible asset classes set out in the UCITS Level 1 Directive would be deemed exhaustive and reduce risk of circumvention by gaining indirect exposures to ineligible asset classes via instruments such as delta-one instruments, exchange-traded products or derivatives. Where possible, please provide views, data or estimates on the possible impact of such a possible policy measure.</w:t>
      </w:r>
    </w:p>
    <w:p w14:paraId="3D9FBAEC" w14:textId="77777777" w:rsidR="00667FF6" w:rsidRDefault="00667FF6" w:rsidP="00667FF6">
      <w:r>
        <w:t>&lt;ESMA_QUESTION_EADC_22&gt;</w:t>
      </w:r>
    </w:p>
    <w:p w14:paraId="7476DF8A" w14:textId="77777777" w:rsidR="00FD540F" w:rsidRDefault="00FD540F" w:rsidP="00FD540F">
      <w:permStart w:id="1004748421" w:edGrp="everyone"/>
      <w:r>
        <w:t>We believe that there would be more merit to ensuring consistency of specific definitions and principles across Member States than requiring a look-through on each and every underlying investment. When assessing liquidity, focus should lie on the wrapper of the asset rather than on the underlying security, e.g. an index. In addition, risk management and adequate redemption frequencies play a key role and provide means to ensure a high level of investor protection.</w:t>
      </w:r>
    </w:p>
    <w:p w14:paraId="36473833" w14:textId="0C109755" w:rsidR="00667FF6" w:rsidRDefault="00FD540F" w:rsidP="00667FF6">
      <w:r>
        <w:t xml:space="preserve">Allowing UCITS to gain exposure to asset classes that are not directly investable while ensuring essential safeguards for liquidity and risk management would boost </w:t>
      </w:r>
      <w:proofErr w:type="gramStart"/>
      <w:r>
        <w:t>performance.</w:t>
      </w:r>
      <w:permEnd w:id="1004748421"/>
      <w:r w:rsidR="00667FF6">
        <w:t>&lt;</w:t>
      </w:r>
      <w:proofErr w:type="gramEnd"/>
      <w:r w:rsidR="00667FF6">
        <w:t>ESMA_QUESTION_EADC_22&gt;</w:t>
      </w:r>
    </w:p>
    <w:p w14:paraId="6543CA60" w14:textId="77777777" w:rsidR="00667FF6" w:rsidRDefault="00667FF6" w:rsidP="00667FF6"/>
    <w:p w14:paraId="74B7BA82" w14:textId="77777777" w:rsidR="00667FF6" w:rsidRDefault="00667FF6" w:rsidP="00DB686B">
      <w:pPr>
        <w:pStyle w:val="Questionstyle"/>
        <w:numPr>
          <w:ilvl w:val="0"/>
          <w:numId w:val="14"/>
        </w:numPr>
      </w:pPr>
      <w:r>
        <w:lastRenderedPageBreak/>
        <w:t>What are the risks and benefits of UCITS investments in securities issued by securitisation vehicles? Please share evidence and experiences on current market practices and views on a possible need for legislative clarifications or amendments.</w:t>
      </w:r>
    </w:p>
    <w:p w14:paraId="477B142C" w14:textId="77777777" w:rsidR="00667FF6" w:rsidRDefault="00667FF6" w:rsidP="00667FF6">
      <w:r>
        <w:t>&lt;ESMA_QUESTION_EADC_23&gt;</w:t>
      </w:r>
    </w:p>
    <w:p w14:paraId="3E326846" w14:textId="5D54D265" w:rsidR="00667FF6" w:rsidRDefault="00CE4AF4" w:rsidP="00667FF6">
      <w:permStart w:id="1208368603" w:edGrp="everyone"/>
      <w:r w:rsidRPr="00CE4AF4">
        <w:t xml:space="preserve">See our response to Q 18 </w:t>
      </w:r>
      <w:proofErr w:type="gramStart"/>
      <w:r w:rsidRPr="00CE4AF4">
        <w:t>above.</w:t>
      </w:r>
      <w:permEnd w:id="1208368603"/>
      <w:r w:rsidR="00667FF6">
        <w:t>&lt;</w:t>
      </w:r>
      <w:proofErr w:type="gramEnd"/>
      <w:r w:rsidR="00667FF6">
        <w:t>ESMA_QUESTION_EADC_23&gt;</w:t>
      </w:r>
    </w:p>
    <w:p w14:paraId="2ED70AE4" w14:textId="77777777" w:rsidR="00667FF6" w:rsidRDefault="00667FF6" w:rsidP="00667FF6"/>
    <w:p w14:paraId="0AC98EEB" w14:textId="77777777" w:rsidR="00667FF6" w:rsidRDefault="00667FF6" w:rsidP="00DB686B">
      <w:pPr>
        <w:pStyle w:val="Questionstyle"/>
        <w:numPr>
          <w:ilvl w:val="0"/>
          <w:numId w:val="14"/>
        </w:numPr>
      </w:pPr>
      <w:r>
        <w:t>What are the risks and benefits of permitting UCITS to build up short positions through the use of (embedded) derivatives, delta-one instruments or other instruments/tools? Please share evidence and experiences on current market practice and views on a possible need for legislative clarifications or amendments.</w:t>
      </w:r>
    </w:p>
    <w:p w14:paraId="717C88C9" w14:textId="77777777" w:rsidR="00667FF6" w:rsidRDefault="00667FF6" w:rsidP="00667FF6">
      <w:r>
        <w:t>&lt;ESMA_QUESTION_EADC_24&gt;</w:t>
      </w:r>
    </w:p>
    <w:p w14:paraId="519888CB" w14:textId="7EDC4C48" w:rsidR="00667FF6" w:rsidRDefault="00044460" w:rsidP="00667FF6">
      <w:permStart w:id="160252285" w:edGrp="everyone"/>
      <w:r w:rsidRPr="00044460">
        <w:t>We refer to our answer under Q20, point 19.</w:t>
      </w:r>
    </w:p>
    <w:permEnd w:id="160252285"/>
    <w:p w14:paraId="63C4C4A9" w14:textId="77777777" w:rsidR="00667FF6" w:rsidRDefault="00667FF6" w:rsidP="00667FF6">
      <w:r>
        <w:t>&lt;ESMA_QUESTION_EADC_24&gt;</w:t>
      </w:r>
    </w:p>
    <w:p w14:paraId="0EB97D56" w14:textId="77777777" w:rsidR="00667FF6" w:rsidRDefault="00667FF6" w:rsidP="00667FF6"/>
    <w:p w14:paraId="7D09FBF8" w14:textId="77777777" w:rsidR="00667FF6" w:rsidRDefault="00667FF6" w:rsidP="00DB686B">
      <w:pPr>
        <w:pStyle w:val="Questionstyle"/>
        <w:numPr>
          <w:ilvl w:val="0"/>
          <w:numId w:val="14"/>
        </w:numPr>
      </w:pPr>
      <w:r>
        <w:t>Apart from the topics covered in the above sections, have you observed any other issues with respect to the interpretation or consistent application of the UCITS EAD? If so, please describe the issues and how you would propose to revise the UCITS EAD or UCITS Directive with a view to improve investor protection, clarity and supervisory convergence.</w:t>
      </w:r>
    </w:p>
    <w:p w14:paraId="03144DFC" w14:textId="77777777" w:rsidR="00667FF6" w:rsidRDefault="00667FF6" w:rsidP="00667FF6">
      <w:r>
        <w:t>&lt;ESMA_QUESTION_EADC_25&gt;</w:t>
      </w:r>
    </w:p>
    <w:p w14:paraId="3D007DCF" w14:textId="77777777" w:rsidR="00667FF6" w:rsidRDefault="00667FF6" w:rsidP="00667FF6">
      <w:permStart w:id="478484191" w:edGrp="everyone"/>
      <w:r>
        <w:t>TYPE YOUR TEXT HERE</w:t>
      </w:r>
    </w:p>
    <w:permEnd w:id="478484191"/>
    <w:p w14:paraId="56E7500F" w14:textId="77777777" w:rsidR="00667FF6" w:rsidRDefault="00667FF6" w:rsidP="00667FF6">
      <w:r>
        <w:t>&lt;ESMA_QUESTION_EADC_25&gt;</w:t>
      </w:r>
    </w:p>
    <w:p w14:paraId="02F72279" w14:textId="77777777" w:rsidR="00667FF6" w:rsidRDefault="00667FF6" w:rsidP="00667FF6"/>
    <w:p w14:paraId="5DF23952" w14:textId="77777777" w:rsidR="00667FF6" w:rsidRDefault="00667FF6" w:rsidP="00667FF6"/>
    <w:p w14:paraId="30524E68" w14:textId="77777777" w:rsidR="00667FF6" w:rsidRPr="00667FF6" w:rsidRDefault="00667FF6" w:rsidP="00667FF6">
      <w:pPr>
        <w:rPr>
          <w:lang w:val="fr-BE"/>
        </w:rPr>
      </w:pPr>
    </w:p>
    <w:p w14:paraId="04595985" w14:textId="3EBFBF7B" w:rsidR="00B15C0B" w:rsidRPr="00C5469A" w:rsidRDefault="00B15C0B" w:rsidP="00B15C0B"/>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8729C" w14:textId="77777777" w:rsidR="00462824" w:rsidRDefault="00462824" w:rsidP="007E7997">
      <w:pPr>
        <w:spacing w:line="240" w:lineRule="auto"/>
      </w:pPr>
      <w:r>
        <w:separator/>
      </w:r>
    </w:p>
  </w:endnote>
  <w:endnote w:type="continuationSeparator" w:id="0">
    <w:p w14:paraId="71848F05" w14:textId="77777777" w:rsidR="00462824" w:rsidRDefault="00462824" w:rsidP="007E7997">
      <w:pPr>
        <w:spacing w:line="240" w:lineRule="auto"/>
      </w:pPr>
      <w:r>
        <w:continuationSeparator/>
      </w:r>
    </w:p>
  </w:endnote>
  <w:endnote w:type="continuationNotice" w:id="1">
    <w:p w14:paraId="25F1FE12" w14:textId="77777777" w:rsidR="00462824" w:rsidRDefault="00462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DF5A9" w14:textId="77777777" w:rsidR="00462824" w:rsidRDefault="00462824" w:rsidP="007E7997">
      <w:pPr>
        <w:spacing w:line="240" w:lineRule="auto"/>
      </w:pPr>
      <w:r>
        <w:separator/>
      </w:r>
    </w:p>
  </w:footnote>
  <w:footnote w:type="continuationSeparator" w:id="0">
    <w:p w14:paraId="61C0E917" w14:textId="77777777" w:rsidR="00462824" w:rsidRDefault="00462824" w:rsidP="007E7997">
      <w:pPr>
        <w:spacing w:line="240" w:lineRule="auto"/>
      </w:pPr>
      <w:r>
        <w:continuationSeparator/>
      </w:r>
    </w:p>
  </w:footnote>
  <w:footnote w:type="continuationNotice" w:id="1">
    <w:p w14:paraId="61DA64BC" w14:textId="77777777" w:rsidR="00462824" w:rsidRDefault="00462824">
      <w:pPr>
        <w:spacing w:after="0" w:line="240" w:lineRule="auto"/>
      </w:pPr>
    </w:p>
  </w:footnote>
  <w:footnote w:id="2">
    <w:p w14:paraId="20E8C376" w14:textId="77777777" w:rsidR="00671C9B" w:rsidRPr="00FF7149" w:rsidRDefault="00671C9B" w:rsidP="00671C9B">
      <w:pPr>
        <w:pStyle w:val="FootnoteText"/>
        <w:rPr>
          <w:rFonts w:ascii="Segoe UI" w:hAnsi="Segoe UI" w:cs="Segoe UI"/>
        </w:rPr>
      </w:pPr>
      <w:r w:rsidRPr="00FF7149">
        <w:rPr>
          <w:rStyle w:val="FootnoteReference"/>
          <w:rFonts w:ascii="Segoe UI" w:hAnsi="Segoe UI" w:cs="Segoe UI"/>
        </w:rPr>
        <w:footnoteRef/>
      </w:r>
      <w:r w:rsidRPr="00FF7149">
        <w:rPr>
          <w:rFonts w:ascii="Segoe UI" w:hAnsi="Segoe UI" w:cs="Segoe UI"/>
        </w:rPr>
        <w:t xml:space="preserve"> 1 Such as the CSSF Fee</w:t>
      </w:r>
      <w:r>
        <w:rPr>
          <w:rFonts w:ascii="Segoe UI" w:hAnsi="Segoe UI" w:cs="Segoe UI"/>
        </w:rPr>
        <w:t>d</w:t>
      </w:r>
      <w:r w:rsidRPr="00FF7149">
        <w:rPr>
          <w:rFonts w:ascii="Segoe UI" w:hAnsi="Segoe UI" w:cs="Segoe UI"/>
        </w:rPr>
        <w:t>back Report on ESMA Common Supervisory Action on UCITS</w:t>
      </w:r>
      <w:r>
        <w:rPr>
          <w:rFonts w:ascii="Segoe UI" w:hAnsi="Segoe UI" w:cs="Segoe UI"/>
        </w:rPr>
        <w:t>.</w:t>
      </w:r>
    </w:p>
  </w:footnote>
  <w:footnote w:id="3">
    <w:p w14:paraId="652419AD" w14:textId="77777777" w:rsidR="00B5314C" w:rsidRPr="00C80CFB" w:rsidRDefault="00B5314C" w:rsidP="00B5314C">
      <w:pPr>
        <w:pStyle w:val="FootnoteText"/>
        <w:rPr>
          <w:rFonts w:ascii="Segoe UI" w:hAnsi="Segoe UI" w:cs="Segoe UI"/>
        </w:rPr>
      </w:pPr>
      <w:r>
        <w:rPr>
          <w:rStyle w:val="FootnoteReference"/>
        </w:rPr>
        <w:footnoteRef/>
      </w:r>
      <w:r>
        <w:t xml:space="preserve"> </w:t>
      </w:r>
      <w:r w:rsidRPr="00C80CFB">
        <w:rPr>
          <w:rFonts w:ascii="Segoe UI" w:hAnsi="Segoe UI" w:cs="Segoe UI"/>
        </w:rPr>
        <w:t>For a review of the liquidity on the FX</w:t>
      </w:r>
      <w:r w:rsidRPr="00C80CFB">
        <w:rPr>
          <w:rFonts w:ascii="Segoe UI" w:hAnsi="Segoe UI" w:cs="Segoe UI"/>
          <w:vertAlign w:val="superscript"/>
        </w:rPr>
        <w:t xml:space="preserve"> </w:t>
      </w:r>
      <w:r w:rsidRPr="00C80CFB">
        <w:rPr>
          <w:rFonts w:ascii="Segoe UI" w:hAnsi="Segoe UI" w:cs="Segoe UI"/>
        </w:rPr>
        <w:t xml:space="preserve">market see </w:t>
      </w:r>
      <w:proofErr w:type="spellStart"/>
      <w:r w:rsidRPr="00C80CFB">
        <w:rPr>
          <w:rFonts w:ascii="Segoe UI" w:hAnsi="Segoe UI" w:cs="Segoe UI"/>
        </w:rPr>
        <w:t>Ranaldo</w:t>
      </w:r>
      <w:proofErr w:type="spellEnd"/>
      <w:r w:rsidRPr="00C80CFB">
        <w:rPr>
          <w:rFonts w:ascii="Segoe UI" w:hAnsi="Segoe UI" w:cs="Segoe UI"/>
        </w:rPr>
        <w:t xml:space="preserve">, A., &amp; de </w:t>
      </w:r>
      <w:proofErr w:type="spellStart"/>
      <w:r w:rsidRPr="00C80CFB">
        <w:rPr>
          <w:rFonts w:ascii="Segoe UI" w:hAnsi="Segoe UI" w:cs="Segoe UI"/>
        </w:rPr>
        <w:t>Magistris</w:t>
      </w:r>
      <w:proofErr w:type="spellEnd"/>
      <w:r w:rsidRPr="00C80CFB">
        <w:rPr>
          <w:rFonts w:ascii="Segoe UI" w:hAnsi="Segoe UI" w:cs="Segoe UI"/>
        </w:rPr>
        <w:t xml:space="preserve">, P. S. (2022). Liquidity in the global currency market. </w:t>
      </w:r>
      <w:r w:rsidRPr="00C80CFB">
        <w:rPr>
          <w:rFonts w:ascii="Segoe UI" w:hAnsi="Segoe UI" w:cs="Segoe UI"/>
          <w:i/>
        </w:rPr>
        <w:t>Journal of Financial Economics</w:t>
      </w:r>
      <w:r w:rsidRPr="00C80CFB">
        <w:rPr>
          <w:rFonts w:ascii="Segoe UI" w:hAnsi="Segoe UI" w:cs="Segoe UI"/>
        </w:rPr>
        <w:t>, 146(3), 859-883.</w:t>
      </w:r>
    </w:p>
    <w:p w14:paraId="34F9DBC3" w14:textId="77777777" w:rsidR="00B5314C" w:rsidRPr="00C80CFB" w:rsidRDefault="00B5314C" w:rsidP="00B5314C">
      <w:pPr>
        <w:pStyle w:val="FootnoteText"/>
        <w:rPr>
          <w:rFonts w:ascii="Segoe UI" w:hAnsi="Segoe UI" w:cs="Segoe U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2034" w14:textId="0E930342"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67FF6">
      <w:t xml:space="preserve">7 May </w:t>
    </w:r>
    <w:r w:rsidR="00282901">
      <w:t>202</w:t>
    </w:r>
    <w:r w:rsidR="00667FF6">
      <w:t>4</w:t>
    </w:r>
  </w:p>
  <w:p w14:paraId="471D4524" w14:textId="24711CA4" w:rsidR="004E5FF8" w:rsidRDefault="00B03969" w:rsidP="00BD20AC">
    <w:pPr>
      <w:pStyle w:val="Header"/>
    </w:pPr>
    <w:r w:rsidRPr="00B03969">
      <w:t>ESMA</w:t>
    </w:r>
    <w:r w:rsidR="00667FF6">
      <w:t xml:space="preserve"> </w:t>
    </w:r>
    <w:r w:rsidR="00667FF6" w:rsidRPr="00667FF6">
      <w:t>34-1270380148-103</w:t>
    </w:r>
    <w:r w:rsidR="00BD20AC">
      <w:t>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9B2264"/>
    <w:multiLevelType w:val="hybridMultilevel"/>
    <w:tmpl w:val="1756869C"/>
    <w:lvl w:ilvl="0" w:tplc="07B87A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02651"/>
    <w:multiLevelType w:val="hybridMultilevel"/>
    <w:tmpl w:val="7F84619C"/>
    <w:lvl w:ilvl="0" w:tplc="B00A1A28">
      <w:numFmt w:val="bullet"/>
      <w:lvlText w:val="-"/>
      <w:lvlJc w:val="left"/>
      <w:pPr>
        <w:ind w:left="475" w:hanging="360"/>
      </w:pPr>
      <w:rPr>
        <w:rFonts w:ascii="Arial" w:eastAsia="Arial" w:hAnsi="Arial" w:cs="Arial" w:hint="default"/>
        <w:w w:val="100"/>
        <w:sz w:val="22"/>
        <w:szCs w:val="22"/>
      </w:rPr>
    </w:lvl>
    <w:lvl w:ilvl="1" w:tplc="D3C00432">
      <w:start w:val="1"/>
      <w:numFmt w:val="bullet"/>
      <w:lvlText w:val="­"/>
      <w:lvlJc w:val="left"/>
      <w:pPr>
        <w:ind w:left="1195" w:hanging="360"/>
      </w:pPr>
      <w:rPr>
        <w:rFonts w:ascii="Courier New" w:hAnsi="Courier New" w:hint="default"/>
        <w:spacing w:val="-1"/>
        <w:w w:val="100"/>
        <w:sz w:val="22"/>
        <w:szCs w:val="22"/>
      </w:rPr>
    </w:lvl>
    <w:lvl w:ilvl="2" w:tplc="18090003">
      <w:start w:val="1"/>
      <w:numFmt w:val="bullet"/>
      <w:lvlText w:val="o"/>
      <w:lvlJc w:val="left"/>
      <w:pPr>
        <w:ind w:left="2116" w:hanging="360"/>
      </w:pPr>
      <w:rPr>
        <w:rFonts w:ascii="Courier New" w:hAnsi="Courier New" w:cs="Courier New" w:hint="default"/>
      </w:rPr>
    </w:lvl>
    <w:lvl w:ilvl="3" w:tplc="E6083E54">
      <w:numFmt w:val="bullet"/>
      <w:lvlText w:val="•"/>
      <w:lvlJc w:val="left"/>
      <w:pPr>
        <w:ind w:left="3032" w:hanging="360"/>
      </w:pPr>
      <w:rPr>
        <w:rFonts w:hint="default"/>
      </w:rPr>
    </w:lvl>
    <w:lvl w:ilvl="4" w:tplc="AD96C946">
      <w:numFmt w:val="bullet"/>
      <w:lvlText w:val="•"/>
      <w:lvlJc w:val="left"/>
      <w:pPr>
        <w:ind w:left="3948" w:hanging="360"/>
      </w:pPr>
      <w:rPr>
        <w:rFonts w:hint="default"/>
      </w:rPr>
    </w:lvl>
    <w:lvl w:ilvl="5" w:tplc="3A3ECAC8">
      <w:numFmt w:val="bullet"/>
      <w:lvlText w:val="•"/>
      <w:lvlJc w:val="left"/>
      <w:pPr>
        <w:ind w:left="4865" w:hanging="360"/>
      </w:pPr>
      <w:rPr>
        <w:rFonts w:hint="default"/>
      </w:rPr>
    </w:lvl>
    <w:lvl w:ilvl="6" w:tplc="FC1AFD5E">
      <w:numFmt w:val="bullet"/>
      <w:lvlText w:val="•"/>
      <w:lvlJc w:val="left"/>
      <w:pPr>
        <w:ind w:left="5781" w:hanging="360"/>
      </w:pPr>
      <w:rPr>
        <w:rFonts w:hint="default"/>
      </w:rPr>
    </w:lvl>
    <w:lvl w:ilvl="7" w:tplc="8278B404">
      <w:numFmt w:val="bullet"/>
      <w:lvlText w:val="•"/>
      <w:lvlJc w:val="left"/>
      <w:pPr>
        <w:ind w:left="6697" w:hanging="360"/>
      </w:pPr>
      <w:rPr>
        <w:rFonts w:hint="default"/>
      </w:rPr>
    </w:lvl>
    <w:lvl w:ilvl="8" w:tplc="9354A086">
      <w:numFmt w:val="bullet"/>
      <w:lvlText w:val="•"/>
      <w:lvlJc w:val="left"/>
      <w:pPr>
        <w:ind w:left="7613" w:hanging="360"/>
      </w:pPr>
      <w:rPr>
        <w:rFonts w:hint="default"/>
      </w:rPr>
    </w:lvl>
  </w:abstractNum>
  <w:abstractNum w:abstractNumId="5" w15:restartNumberingAfterBreak="0">
    <w:nsid w:val="16032199"/>
    <w:multiLevelType w:val="hybridMultilevel"/>
    <w:tmpl w:val="1FA0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04590"/>
    <w:multiLevelType w:val="hybridMultilevel"/>
    <w:tmpl w:val="E59A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505A2"/>
    <w:multiLevelType w:val="hybridMultilevel"/>
    <w:tmpl w:val="FB4EA72A"/>
    <w:lvl w:ilvl="0" w:tplc="1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3"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8"/>
  </w:num>
  <w:num w:numId="5">
    <w:abstractNumId w:val="0"/>
  </w:num>
  <w:num w:numId="6">
    <w:abstractNumId w:val="10"/>
  </w:num>
  <w:num w:numId="7">
    <w:abstractNumId w:val="17"/>
  </w:num>
  <w:num w:numId="8">
    <w:abstractNumId w:val="3"/>
  </w:num>
  <w:num w:numId="9">
    <w:abstractNumId w:val="15"/>
  </w:num>
  <w:num w:numId="10">
    <w:abstractNumId w:val="13"/>
  </w:num>
  <w:num w:numId="11">
    <w:abstractNumId w:val="12"/>
  </w:num>
  <w:num w:numId="12">
    <w:abstractNumId w:val="12"/>
    <w:lvlOverride w:ilvl="0">
      <w:startOverride w:val="1"/>
    </w:lvlOverride>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5"/>
  </w:num>
  <w:num w:numId="19">
    <w:abstractNumId w:val="6"/>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nnydkVRpkIDi1nG0yBaAOhsWlc5Ozk2cfGgI0xzGgw9B+9mjrsPky3NRq+3MmQN6fUOXcIDSYF4yl3c8YJZA==" w:salt="XLRoLlSEie4cU7yFeSZJS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705"/>
    <w:rsid w:val="00022A26"/>
    <w:rsid w:val="00022CCD"/>
    <w:rsid w:val="00022EE9"/>
    <w:rsid w:val="000230FF"/>
    <w:rsid w:val="0002321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460"/>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3F"/>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AD"/>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0DC"/>
    <w:rsid w:val="001A0632"/>
    <w:rsid w:val="001A069D"/>
    <w:rsid w:val="001A0C53"/>
    <w:rsid w:val="001A0C90"/>
    <w:rsid w:val="001A0E8D"/>
    <w:rsid w:val="001A1117"/>
    <w:rsid w:val="001A16BF"/>
    <w:rsid w:val="001A1745"/>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2AC"/>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7C7"/>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819"/>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5B65"/>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5DE"/>
    <w:rsid w:val="003C484E"/>
    <w:rsid w:val="003C4EB5"/>
    <w:rsid w:val="003C5050"/>
    <w:rsid w:val="003C50CE"/>
    <w:rsid w:val="003C5288"/>
    <w:rsid w:val="003C537A"/>
    <w:rsid w:val="003C5D75"/>
    <w:rsid w:val="003C66E8"/>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2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5821"/>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2A66"/>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3F2"/>
    <w:rsid w:val="0066774F"/>
    <w:rsid w:val="00667827"/>
    <w:rsid w:val="00667FF6"/>
    <w:rsid w:val="006709B7"/>
    <w:rsid w:val="00671363"/>
    <w:rsid w:val="006715F5"/>
    <w:rsid w:val="006719CC"/>
    <w:rsid w:val="00671C9B"/>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605"/>
    <w:rsid w:val="007B0A46"/>
    <w:rsid w:val="007B1037"/>
    <w:rsid w:val="007B1175"/>
    <w:rsid w:val="007B1494"/>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2E3"/>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24"/>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B6A"/>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61C"/>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314C"/>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14A"/>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17D1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5EAA"/>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109"/>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4AF4"/>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3CC2"/>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842"/>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4B85"/>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3E74"/>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8DE"/>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623"/>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375"/>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2D9"/>
    <w:rsid w:val="00FD241D"/>
    <w:rsid w:val="00FD2720"/>
    <w:rsid w:val="00FD2F8E"/>
    <w:rsid w:val="00FD2FE9"/>
    <w:rsid w:val="00FD3547"/>
    <w:rsid w:val="00FD38D8"/>
    <w:rsid w:val="00FD414B"/>
    <w:rsid w:val="00FD4910"/>
    <w:rsid w:val="00FD4E39"/>
    <w:rsid w:val="00FD5262"/>
    <w:rsid w:val="00FD52E8"/>
    <w:rsid w:val="00FD540F"/>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all-evidence-review-ucits-eligible-assets-directi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71343"/>
    <w:rsid w:val="002826FB"/>
    <w:rsid w:val="002F71C9"/>
    <w:rsid w:val="003C3A27"/>
    <w:rsid w:val="003E2607"/>
    <w:rsid w:val="004E4CF9"/>
    <w:rsid w:val="00747575"/>
    <w:rsid w:val="00813189"/>
    <w:rsid w:val="008222A0"/>
    <w:rsid w:val="00836D47"/>
    <w:rsid w:val="0087748B"/>
    <w:rsid w:val="00967557"/>
    <w:rsid w:val="00993561"/>
    <w:rsid w:val="009B6B9C"/>
    <w:rsid w:val="009C794D"/>
    <w:rsid w:val="00A408D7"/>
    <w:rsid w:val="00AC6273"/>
    <w:rsid w:val="00B22006"/>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254</Value>
      <Value>5</Value>
      <Value>33</Value>
      <Value>6</Value>
      <Value>345</Value>
      <Value>54</Value>
    </TaxCatchAll>
    <_dlc_DocId xmlns="d0fb0f98-34f9-4d57-9559-eb8efd17aa5e">ESMA34-1270380148-1033</_dlc_DocId>
    <_dlc_DocIdUrl xmlns="d0fb0f98-34f9-4d57-9559-eb8efd17aa5e">
      <Url>https://securitiesandmarketsauth.sharepoint.com/sites/sherpa-ivm/_layouts/15/DocIdRedir.aspx?ID=ESMA34-1270380148-1033</Url>
      <Description>ESMA34-1270380148-1033</Description>
    </_dlc_DocIdUrl>
    <_dlc_DocIdPersistId xmlns="d0fb0f98-34f9-4d57-9559-eb8efd17aa5e" xsi:nil="true"/>
    <MeetingDate xmlns="d0fb0f98-34f9-4d57-9559-eb8efd17aa5e" xsi:nil="true"/>
    <Year xmlns="d0fb0f98-34f9-4d57-9559-eb8efd17aa5e">2023</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8F54A-A86B-41B6-A72A-7F928FC2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6992b194-ece9-4b26-973e-e25c2ee2cdcd"/>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d0fb0f98-34f9-4d57-9559-eb8efd17aa5e"/>
    <ds:schemaRef ds:uri="http://www.w3.org/XML/1998/namespace"/>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E0D2404C-B28F-40E7-BBE6-980D96BB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6091</Words>
  <Characters>34724</Characters>
  <Application>Microsoft Office Word</Application>
  <DocSecurity>8</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Désirée Doenges</cp:lastModifiedBy>
  <cp:revision>35</cp:revision>
  <cp:lastPrinted>2023-09-09T09:53:00Z</cp:lastPrinted>
  <dcterms:created xsi:type="dcterms:W3CDTF">2024-08-06T13:04:00Z</dcterms:created>
  <dcterms:modified xsi:type="dcterms:W3CDTF">2024-08-06T17:01:00Z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8f87ab28-9cc0-4a5f-bef3-0462a96fe99e</vt:lpwstr>
  </property>
  <property fmtid="{D5CDD505-2E9C-101B-9397-08002B2CF9AE}" pid="8" name="EsmaAudience">
    <vt:lpwstr>345;#Post-Trading Standing Committee|b4466ad1-2610-4bb4-b77e-13cd08e75663</vt:lpwstr>
  </property>
  <property fmtid="{D5CDD505-2E9C-101B-9397-08002B2CF9AE}" pid="9" name="Topic">
    <vt:lpwstr>254</vt:lpwstr>
  </property>
  <property fmtid="{D5CDD505-2E9C-101B-9397-08002B2CF9AE}" pid="10" name="ConfidentialityLevel">
    <vt:lpwstr>6;#Regular|07f1e362-856b-423d-bea6-a14079762141</vt:lpwstr>
  </property>
  <property fmtid="{D5CDD505-2E9C-101B-9397-08002B2CF9AE}" pid="11" name="DocumentType">
    <vt:lpwstr>54;#Call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5</vt:lpwstr>
  </property>
  <property fmtid="{D5CDD505-2E9C-101B-9397-08002B2CF9AE}" pid="15" name="SubTopic">
    <vt:lpwstr>323;#CSDR General - T + 1|a5a376d4-84eb-4354-ab81-b0766b380093</vt:lpwstr>
  </property>
  <property fmtid="{D5CDD505-2E9C-101B-9397-08002B2CF9AE}" pid="16" name="TeamTopic">
    <vt:lpwstr>33;#UCITS|a853cb80-aed9-44bd-ac2a-0e80b5a444d7</vt:lpwstr>
  </property>
</Properties>
</file>