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1"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1752"/>
        <w:gridCol w:w="1884"/>
        <w:gridCol w:w="2115"/>
        <w:gridCol w:w="1841"/>
        <w:gridCol w:w="1728"/>
      </w:tblGrid>
      <w:tr w:rsidR="00B33432" w:rsidRPr="0063477B" w14:paraId="42644C63" w14:textId="77777777" w:rsidTr="0063477B">
        <w:tc>
          <w:tcPr>
            <w:tcW w:w="1888" w:type="dxa"/>
          </w:tcPr>
          <w:p w14:paraId="0268D242" w14:textId="77777777" w:rsidR="00B33432" w:rsidRPr="0063477B" w:rsidRDefault="00B33432" w:rsidP="0063477B">
            <w:pPr>
              <w:spacing w:line="288" w:lineRule="auto"/>
              <w:jc w:val="center"/>
              <w:rPr>
                <w:rFonts w:ascii="Arial" w:hAnsi="Arial" w:cs="Arial"/>
                <w:b/>
                <w:bCs/>
                <w:color w:val="181818"/>
              </w:rPr>
            </w:pPr>
            <w:r w:rsidRPr="0063477B">
              <w:rPr>
                <w:rFonts w:ascii="Arial" w:hAnsi="Arial" w:cs="Arial"/>
                <w:b/>
                <w:bCs/>
                <w:color w:val="181818"/>
              </w:rPr>
              <w:t>Asset class</w:t>
            </w:r>
            <w:r w:rsidRPr="0063477B">
              <w:rPr>
                <w:rFonts w:ascii="Arial" w:hAnsi="Arial" w:cs="Arial"/>
                <w:b/>
                <w:bCs/>
                <w:color w:val="181818"/>
                <w:vertAlign w:val="superscript"/>
              </w:rPr>
              <w:footnoteReference w:id="2"/>
            </w:r>
          </w:p>
        </w:tc>
        <w:tc>
          <w:tcPr>
            <w:tcW w:w="1695" w:type="dxa"/>
          </w:tcPr>
          <w:p w14:paraId="60F87FED" w14:textId="77777777" w:rsidR="00B33432" w:rsidRPr="0063477B" w:rsidRDefault="00B33432" w:rsidP="0063477B">
            <w:pPr>
              <w:spacing w:line="288" w:lineRule="auto"/>
              <w:jc w:val="center"/>
              <w:rPr>
                <w:rFonts w:ascii="Arial" w:hAnsi="Arial" w:cs="Arial"/>
                <w:b/>
                <w:bCs/>
                <w:color w:val="181818"/>
              </w:rPr>
            </w:pPr>
            <w:r w:rsidRPr="0063477B">
              <w:rPr>
                <w:rFonts w:ascii="Arial" w:hAnsi="Arial" w:cs="Arial"/>
                <w:b/>
                <w:bCs/>
                <w:color w:val="181818"/>
              </w:rPr>
              <w:t>Merits of allowing direct UCITS exposures</w:t>
            </w:r>
          </w:p>
        </w:tc>
        <w:tc>
          <w:tcPr>
            <w:tcW w:w="2115" w:type="dxa"/>
          </w:tcPr>
          <w:p w14:paraId="49FEA0C2" w14:textId="77777777" w:rsidR="00B33432" w:rsidRPr="0063477B" w:rsidRDefault="00B33432" w:rsidP="0063477B">
            <w:pPr>
              <w:spacing w:line="288" w:lineRule="auto"/>
              <w:jc w:val="center"/>
              <w:rPr>
                <w:rFonts w:ascii="Arial" w:hAnsi="Arial" w:cs="Arial"/>
                <w:b/>
                <w:bCs/>
                <w:color w:val="181818"/>
              </w:rPr>
            </w:pPr>
            <w:r w:rsidRPr="0063477B">
              <w:rPr>
                <w:rFonts w:ascii="Arial" w:hAnsi="Arial" w:cs="Arial"/>
                <w:b/>
                <w:bCs/>
                <w:color w:val="181818"/>
              </w:rPr>
              <w:t xml:space="preserve">Merits of allowing </w:t>
            </w:r>
            <w:r w:rsidRPr="0063477B">
              <w:rPr>
                <w:rFonts w:ascii="Arial" w:hAnsi="Arial" w:cs="Arial"/>
                <w:b/>
                <w:i/>
                <w:color w:val="181818"/>
              </w:rPr>
              <w:t>indirect</w:t>
            </w:r>
            <w:r w:rsidRPr="0063477B">
              <w:rPr>
                <w:rFonts w:ascii="Arial" w:hAnsi="Arial" w:cs="Arial"/>
                <w:b/>
                <w:bCs/>
                <w:color w:val="181818"/>
              </w:rPr>
              <w:t xml:space="preserve"> UCITS exposures</w:t>
            </w:r>
            <w:r w:rsidRPr="0063477B">
              <w:rPr>
                <w:rFonts w:ascii="Arial" w:hAnsi="Arial" w:cs="Arial"/>
                <w:b/>
                <w:bCs/>
                <w:color w:val="181818"/>
                <w:vertAlign w:val="superscript"/>
              </w:rPr>
              <w:footnoteReference w:id="3"/>
            </w:r>
          </w:p>
        </w:tc>
        <w:tc>
          <w:tcPr>
            <w:tcW w:w="1927" w:type="dxa"/>
          </w:tcPr>
          <w:p w14:paraId="5668F975" w14:textId="77777777" w:rsidR="00B33432" w:rsidRPr="0063477B" w:rsidRDefault="00B33432" w:rsidP="0063477B">
            <w:pPr>
              <w:spacing w:line="288" w:lineRule="auto"/>
              <w:jc w:val="center"/>
              <w:rPr>
                <w:rFonts w:ascii="Arial" w:hAnsi="Arial" w:cs="Arial"/>
                <w:b/>
                <w:bCs/>
                <w:color w:val="181818"/>
              </w:rPr>
            </w:pPr>
            <w:r w:rsidRPr="0063477B">
              <w:rPr>
                <w:rFonts w:ascii="Arial" w:hAnsi="Arial" w:cs="Arial"/>
                <w:b/>
                <w:bCs/>
                <w:color w:val="181818"/>
              </w:rPr>
              <w:t>Extent/amount of existing UCITS exposures</w:t>
            </w:r>
            <w:r w:rsidRPr="0063477B">
              <w:rPr>
                <w:rFonts w:ascii="Arial" w:hAnsi="Arial" w:cs="Arial"/>
                <w:b/>
                <w:bCs/>
                <w:color w:val="181818"/>
                <w:vertAlign w:val="superscript"/>
              </w:rPr>
              <w:footnoteReference w:id="4"/>
            </w:r>
            <w:r w:rsidRPr="0063477B">
              <w:rPr>
                <w:rFonts w:ascii="Arial" w:hAnsi="Arial" w:cs="Arial"/>
                <w:b/>
                <w:bCs/>
                <w:color w:val="181818"/>
              </w:rPr>
              <w:t xml:space="preserve"> </w:t>
            </w:r>
          </w:p>
        </w:tc>
        <w:tc>
          <w:tcPr>
            <w:tcW w:w="1695" w:type="dxa"/>
          </w:tcPr>
          <w:p w14:paraId="50147042" w14:textId="77777777" w:rsidR="00B33432" w:rsidRPr="0063477B" w:rsidRDefault="00B33432" w:rsidP="0063477B">
            <w:pPr>
              <w:spacing w:line="288" w:lineRule="auto"/>
              <w:jc w:val="center"/>
              <w:rPr>
                <w:rFonts w:ascii="Arial" w:hAnsi="Arial" w:cs="Arial"/>
                <w:b/>
                <w:bCs/>
                <w:color w:val="181818"/>
              </w:rPr>
            </w:pPr>
            <w:r w:rsidRPr="0063477B">
              <w:rPr>
                <w:rFonts w:ascii="Arial" w:hAnsi="Arial" w:cs="Arial"/>
                <w:b/>
                <w:bCs/>
                <w:color w:val="181818"/>
              </w:rPr>
              <w:t>Additional comments</w:t>
            </w:r>
            <w:r w:rsidRPr="0063477B">
              <w:rPr>
                <w:rFonts w:ascii="Arial" w:hAnsi="Arial" w:cs="Arial"/>
                <w:b/>
                <w:bCs/>
                <w:vertAlign w:val="superscript"/>
              </w:rPr>
              <w:footnoteReference w:id="5"/>
            </w:r>
          </w:p>
        </w:tc>
      </w:tr>
      <w:tr w:rsidR="0063477B" w:rsidRPr="0063477B" w14:paraId="52801425" w14:textId="77777777" w:rsidTr="0063477B">
        <w:tc>
          <w:tcPr>
            <w:tcW w:w="1888" w:type="dxa"/>
          </w:tcPr>
          <w:p w14:paraId="06FDDDF6" w14:textId="77777777" w:rsidR="00324B1C" w:rsidRPr="0063477B" w:rsidRDefault="00324B1C" w:rsidP="0063477B">
            <w:pPr>
              <w:spacing w:line="288" w:lineRule="auto"/>
              <w:rPr>
                <w:rFonts w:ascii="Arial" w:hAnsi="Arial" w:cs="Arial"/>
                <w:color w:val="181818"/>
              </w:rPr>
            </w:pPr>
            <w:r w:rsidRPr="0063477B">
              <w:rPr>
                <w:rFonts w:ascii="Arial" w:hAnsi="Arial" w:cs="Arial"/>
              </w:rPr>
              <w:t>1. Loans</w:t>
            </w:r>
            <w:r w:rsidRPr="0063477B">
              <w:rPr>
                <w:rFonts w:ascii="Arial" w:hAnsi="Arial" w:cs="Arial"/>
                <w:vertAlign w:val="superscript"/>
              </w:rPr>
              <w:footnoteReference w:id="6"/>
            </w:r>
          </w:p>
        </w:tc>
        <w:tc>
          <w:tcPr>
            <w:tcW w:w="1695" w:type="dxa"/>
          </w:tcPr>
          <w:p w14:paraId="0EB24D92" w14:textId="77777777" w:rsidR="00324B1C" w:rsidRPr="0063477B" w:rsidRDefault="00324B1C" w:rsidP="0063477B">
            <w:pPr>
              <w:pStyle w:val="TableParagraph"/>
              <w:spacing w:line="288" w:lineRule="auto"/>
              <w:jc w:val="center"/>
            </w:pPr>
            <w:r w:rsidRPr="0063477B">
              <w:rPr>
                <w:color w:val="000000" w:themeColor="text1"/>
              </w:rPr>
              <w:t xml:space="preserve">Diversification of issuer types versus standard bonds, offering a complement to traditional credit exposure. Accessing an established market, in line with US 40-Act rules for </w:t>
            </w:r>
            <w:proofErr w:type="spellStart"/>
            <w:r w:rsidRPr="0063477B">
              <w:rPr>
                <w:color w:val="000000" w:themeColor="text1"/>
              </w:rPr>
              <w:t>standardised</w:t>
            </w:r>
            <w:proofErr w:type="spellEnd"/>
            <w:r w:rsidRPr="0063477B">
              <w:rPr>
                <w:color w:val="000000" w:themeColor="text1"/>
              </w:rPr>
              <w:t xml:space="preserve"> loans especially senior/leveraged loans</w:t>
            </w:r>
            <w:r w:rsidRPr="0063477B">
              <w:t>.</w:t>
            </w:r>
          </w:p>
          <w:p w14:paraId="69568EC9" w14:textId="77777777" w:rsidR="00324B1C" w:rsidRPr="0063477B" w:rsidRDefault="00324B1C" w:rsidP="0063477B">
            <w:pPr>
              <w:pStyle w:val="TableParagraph"/>
              <w:spacing w:line="288" w:lineRule="auto"/>
              <w:jc w:val="center"/>
            </w:pPr>
          </w:p>
          <w:p w14:paraId="38B0B06D" w14:textId="77777777" w:rsidR="00324B1C" w:rsidRPr="0063477B" w:rsidRDefault="00324B1C" w:rsidP="0063477B">
            <w:pPr>
              <w:pStyle w:val="TableParagraph"/>
              <w:spacing w:line="288" w:lineRule="auto"/>
              <w:jc w:val="center"/>
            </w:pPr>
            <w:r w:rsidRPr="0063477B">
              <w:t xml:space="preserve">Diversification of different types of credit exposure, </w:t>
            </w:r>
            <w:r w:rsidRPr="0063477B">
              <w:lastRenderedPageBreak/>
              <w:t>e.g. senior secured.</w:t>
            </w:r>
          </w:p>
          <w:p w14:paraId="6D6D25A7" w14:textId="77777777" w:rsidR="00324B1C" w:rsidRPr="0063477B" w:rsidRDefault="00324B1C" w:rsidP="0063477B">
            <w:pPr>
              <w:pStyle w:val="TableParagraph"/>
              <w:spacing w:line="288" w:lineRule="auto"/>
              <w:jc w:val="center"/>
            </w:pPr>
          </w:p>
          <w:p w14:paraId="672A6659" w14:textId="0F4A72A1" w:rsidR="00324B1C" w:rsidRPr="0063477B" w:rsidRDefault="00324B1C" w:rsidP="0063477B">
            <w:pPr>
              <w:spacing w:line="288" w:lineRule="auto"/>
              <w:jc w:val="both"/>
              <w:rPr>
                <w:rFonts w:ascii="Arial" w:hAnsi="Arial" w:cs="Arial"/>
                <w:color w:val="181818"/>
              </w:rPr>
            </w:pPr>
            <w:r w:rsidRPr="0063477B">
              <w:rPr>
                <w:rFonts w:ascii="Arial" w:hAnsi="Arial" w:cs="Arial"/>
              </w:rPr>
              <w:t>Investing in large floating rate market (1,400 bn USD-market, 300 bn EUR-market)</w:t>
            </w:r>
          </w:p>
        </w:tc>
        <w:tc>
          <w:tcPr>
            <w:tcW w:w="2115" w:type="dxa"/>
          </w:tcPr>
          <w:p w14:paraId="2258841F" w14:textId="77777777" w:rsidR="00324B1C" w:rsidRPr="0063477B" w:rsidRDefault="00324B1C" w:rsidP="0063477B">
            <w:pPr>
              <w:pStyle w:val="TableParagraph"/>
              <w:spacing w:line="288" w:lineRule="auto"/>
              <w:jc w:val="center"/>
            </w:pPr>
            <w:r w:rsidRPr="0063477B">
              <w:lastRenderedPageBreak/>
              <w:t>ABS, e.g. CLOs</w:t>
            </w:r>
          </w:p>
          <w:p w14:paraId="38D157FA" w14:textId="77777777" w:rsidR="00324B1C" w:rsidRPr="0063477B" w:rsidRDefault="00324B1C" w:rsidP="0063477B">
            <w:pPr>
              <w:pStyle w:val="TableParagraph"/>
              <w:spacing w:line="288" w:lineRule="auto"/>
              <w:jc w:val="center"/>
            </w:pPr>
          </w:p>
          <w:p w14:paraId="5228ECEF" w14:textId="77777777" w:rsidR="00324B1C" w:rsidRPr="0063477B" w:rsidRDefault="00324B1C" w:rsidP="0063477B">
            <w:pPr>
              <w:pStyle w:val="TableParagraph"/>
              <w:spacing w:line="288" w:lineRule="auto"/>
              <w:jc w:val="center"/>
            </w:pPr>
            <w:r w:rsidRPr="0063477B">
              <w:t>Regulatory Support:</w:t>
            </w:r>
          </w:p>
          <w:p w14:paraId="071661DF" w14:textId="77777777" w:rsidR="00324B1C" w:rsidRPr="0063477B" w:rsidRDefault="00324B1C" w:rsidP="0063477B">
            <w:pPr>
              <w:pStyle w:val="TableParagraph"/>
              <w:spacing w:line="288" w:lineRule="auto"/>
              <w:jc w:val="center"/>
            </w:pPr>
          </w:p>
          <w:p w14:paraId="00B561B6" w14:textId="77777777" w:rsidR="00324B1C" w:rsidRPr="0063477B" w:rsidRDefault="00324B1C" w:rsidP="0063477B">
            <w:pPr>
              <w:pStyle w:val="TableParagraph"/>
              <w:spacing w:line="288" w:lineRule="auto"/>
              <w:jc w:val="center"/>
            </w:pPr>
            <w:r w:rsidRPr="0063477B">
              <w:t>There is a high regulatory protection standard: AIFMD Level 2 and Regulation (EU) 2017/2402 contain a 5% risk retention requirement and risk transparency requirements.</w:t>
            </w:r>
          </w:p>
          <w:p w14:paraId="49723159" w14:textId="77777777" w:rsidR="00324B1C" w:rsidRPr="0063477B" w:rsidRDefault="00324B1C" w:rsidP="0063477B">
            <w:pPr>
              <w:pStyle w:val="TableParagraph"/>
              <w:spacing w:line="288" w:lineRule="auto"/>
              <w:jc w:val="center"/>
            </w:pPr>
          </w:p>
          <w:p w14:paraId="3CDBFFF2" w14:textId="77777777" w:rsidR="00324B1C" w:rsidRPr="0063477B" w:rsidRDefault="00324B1C" w:rsidP="0063477B">
            <w:pPr>
              <w:pStyle w:val="TableParagraph"/>
              <w:spacing w:line="288" w:lineRule="auto"/>
              <w:jc w:val="center"/>
            </w:pPr>
            <w:r w:rsidRPr="0063477B">
              <w:t>Diversification:</w:t>
            </w:r>
          </w:p>
          <w:p w14:paraId="5EF6B955" w14:textId="77777777" w:rsidR="00324B1C" w:rsidRPr="0063477B" w:rsidRDefault="00324B1C" w:rsidP="0063477B">
            <w:pPr>
              <w:pStyle w:val="TableParagraph"/>
              <w:spacing w:line="288" w:lineRule="auto"/>
              <w:jc w:val="center"/>
            </w:pPr>
          </w:p>
          <w:p w14:paraId="3A30EA97" w14:textId="77777777" w:rsidR="00324B1C" w:rsidRPr="0063477B" w:rsidRDefault="00324B1C" w:rsidP="0063477B">
            <w:pPr>
              <w:pStyle w:val="TableParagraph"/>
              <w:spacing w:line="288" w:lineRule="auto"/>
              <w:jc w:val="center"/>
            </w:pPr>
            <w:r w:rsidRPr="0063477B">
              <w:t xml:space="preserve">CLOs invest in a broad range of loans </w:t>
            </w:r>
            <w:r w:rsidRPr="0063477B">
              <w:lastRenderedPageBreak/>
              <w:t>(100-400) across various industries and geographies. Adding CLOs to a fund's investment universe expands its exposure to non-traditional credits, sectors, and regions, helping to reduce concentration risk and potentially enhance risk-adjusted returns.</w:t>
            </w:r>
          </w:p>
          <w:p w14:paraId="01A46E3D" w14:textId="77777777" w:rsidR="00324B1C" w:rsidRPr="0063477B" w:rsidRDefault="00324B1C" w:rsidP="0063477B">
            <w:pPr>
              <w:pStyle w:val="TableParagraph"/>
              <w:spacing w:line="288" w:lineRule="auto"/>
              <w:jc w:val="center"/>
            </w:pPr>
          </w:p>
          <w:p w14:paraId="1C25C34C" w14:textId="77777777" w:rsidR="00324B1C" w:rsidRPr="0063477B" w:rsidRDefault="00324B1C" w:rsidP="0063477B">
            <w:pPr>
              <w:pStyle w:val="TableParagraph"/>
              <w:spacing w:line="288" w:lineRule="auto"/>
              <w:jc w:val="center"/>
            </w:pPr>
            <w:proofErr w:type="spellStart"/>
            <w:r w:rsidRPr="0063477B">
              <w:t>Tranching</w:t>
            </w:r>
            <w:proofErr w:type="spellEnd"/>
            <w:r w:rsidRPr="0063477B">
              <w:t>:</w:t>
            </w:r>
          </w:p>
          <w:p w14:paraId="6FC209BB" w14:textId="77777777" w:rsidR="00324B1C" w:rsidRPr="0063477B" w:rsidRDefault="00324B1C" w:rsidP="0063477B">
            <w:pPr>
              <w:pStyle w:val="TableParagraph"/>
              <w:spacing w:line="288" w:lineRule="auto"/>
              <w:jc w:val="center"/>
            </w:pPr>
            <w:r w:rsidRPr="0063477B">
              <w:t xml:space="preserve">CLOs are structured with different tranches of varying risk profiles. These tranches allow investors to choose their preferred level of risk exposure. UCITS can invest in tranches that align with their risk appetite, allowing for better risk management and the potential to </w:t>
            </w:r>
            <w:proofErr w:type="spellStart"/>
            <w:r w:rsidRPr="0063477B">
              <w:t>optimise</w:t>
            </w:r>
            <w:proofErr w:type="spellEnd"/>
            <w:r w:rsidRPr="0063477B">
              <w:t xml:space="preserve"> the risk-reward tradeoff within the portfolio.</w:t>
            </w:r>
          </w:p>
          <w:p w14:paraId="01FC4F73" w14:textId="77777777" w:rsidR="00324B1C" w:rsidRPr="0063477B" w:rsidRDefault="00324B1C" w:rsidP="0063477B">
            <w:pPr>
              <w:pStyle w:val="TableParagraph"/>
              <w:spacing w:line="288" w:lineRule="auto"/>
              <w:jc w:val="center"/>
            </w:pPr>
          </w:p>
          <w:p w14:paraId="47809810" w14:textId="77777777" w:rsidR="00324B1C" w:rsidRPr="0063477B" w:rsidRDefault="00324B1C" w:rsidP="0063477B">
            <w:pPr>
              <w:pStyle w:val="TableParagraph"/>
              <w:spacing w:line="288" w:lineRule="auto"/>
              <w:jc w:val="center"/>
            </w:pPr>
            <w:r w:rsidRPr="0063477B">
              <w:t>Enhanced Liquidity:</w:t>
            </w:r>
          </w:p>
          <w:p w14:paraId="2B567AE1" w14:textId="77777777" w:rsidR="00324B1C" w:rsidRPr="0063477B" w:rsidRDefault="00324B1C" w:rsidP="0063477B">
            <w:pPr>
              <w:pStyle w:val="TableParagraph"/>
              <w:spacing w:line="288" w:lineRule="auto"/>
              <w:jc w:val="center"/>
            </w:pPr>
            <w:r w:rsidRPr="0063477B">
              <w:t>CLOs can offer a degree of liquidity comparable to corporate bonds with corresponding rating.</w:t>
            </w:r>
          </w:p>
          <w:p w14:paraId="2FB4C4C8" w14:textId="77777777" w:rsidR="00324B1C" w:rsidRPr="0063477B" w:rsidRDefault="00324B1C" w:rsidP="0063477B">
            <w:pPr>
              <w:pStyle w:val="TableParagraph"/>
              <w:spacing w:line="288" w:lineRule="auto"/>
              <w:jc w:val="center"/>
            </w:pPr>
          </w:p>
          <w:p w14:paraId="44EE0B97" w14:textId="77777777" w:rsidR="00324B1C" w:rsidRPr="0063477B" w:rsidRDefault="00324B1C" w:rsidP="0063477B">
            <w:pPr>
              <w:pStyle w:val="TableParagraph"/>
              <w:spacing w:line="288" w:lineRule="auto"/>
              <w:jc w:val="center"/>
            </w:pPr>
            <w:r w:rsidRPr="0063477B">
              <w:t>Past Performance:</w:t>
            </w:r>
          </w:p>
          <w:p w14:paraId="7B3F7F03" w14:textId="77777777" w:rsidR="00324B1C" w:rsidRPr="0063477B" w:rsidRDefault="00324B1C" w:rsidP="0063477B">
            <w:pPr>
              <w:pStyle w:val="TableParagraph"/>
              <w:spacing w:line="288" w:lineRule="auto"/>
              <w:jc w:val="center"/>
            </w:pPr>
            <w:r w:rsidRPr="0063477B">
              <w:t xml:space="preserve">ABS/CLO have a much lower default rates than corporate </w:t>
            </w:r>
            <w:r w:rsidRPr="0063477B">
              <w:lastRenderedPageBreak/>
              <w:t xml:space="preserve">bonds with comparable ratings over the last 25 years. Reasons are additional credit support through </w:t>
            </w:r>
            <w:proofErr w:type="spellStart"/>
            <w:r w:rsidRPr="0063477B">
              <w:t>tranching</w:t>
            </w:r>
            <w:proofErr w:type="spellEnd"/>
            <w:r w:rsidRPr="0063477B">
              <w:t xml:space="preserve"> and secured nature of loans.</w:t>
            </w:r>
          </w:p>
          <w:p w14:paraId="4DF88A27" w14:textId="77777777" w:rsidR="00324B1C" w:rsidRPr="0063477B" w:rsidRDefault="00324B1C" w:rsidP="0063477B">
            <w:pPr>
              <w:pStyle w:val="TableParagraph"/>
              <w:spacing w:line="288" w:lineRule="auto"/>
              <w:jc w:val="center"/>
            </w:pPr>
          </w:p>
          <w:p w14:paraId="0A37501D" w14:textId="52D8E1F1" w:rsidR="00324B1C" w:rsidRPr="0063477B" w:rsidRDefault="00324B1C" w:rsidP="0063477B">
            <w:pPr>
              <w:spacing w:line="288" w:lineRule="auto"/>
              <w:jc w:val="both"/>
              <w:rPr>
                <w:rFonts w:ascii="Arial" w:hAnsi="Arial" w:cs="Arial"/>
                <w:color w:val="181818"/>
              </w:rPr>
            </w:pPr>
            <w:r w:rsidRPr="0063477B">
              <w:rPr>
                <w:rFonts w:ascii="Arial" w:hAnsi="Arial" w:cs="Arial"/>
              </w:rPr>
              <w:t>Merits are also valid for funds, derivatives and indices investing in CLO/ABS</w:t>
            </w:r>
          </w:p>
        </w:tc>
        <w:tc>
          <w:tcPr>
            <w:tcW w:w="1927" w:type="dxa"/>
          </w:tcPr>
          <w:p w14:paraId="5DAB6C7B" w14:textId="77777777" w:rsidR="00324B1C" w:rsidRPr="0063477B" w:rsidRDefault="00324B1C" w:rsidP="0063477B">
            <w:pPr>
              <w:spacing w:line="288" w:lineRule="auto"/>
              <w:jc w:val="both"/>
              <w:rPr>
                <w:rFonts w:ascii="Arial" w:hAnsi="Arial" w:cs="Arial"/>
                <w:color w:val="181818"/>
              </w:rPr>
            </w:pPr>
          </w:p>
        </w:tc>
        <w:tc>
          <w:tcPr>
            <w:tcW w:w="1695" w:type="dxa"/>
          </w:tcPr>
          <w:p w14:paraId="32FB21C2" w14:textId="77777777" w:rsidR="00324B1C" w:rsidRPr="0063477B" w:rsidRDefault="00324B1C" w:rsidP="0063477B">
            <w:pPr>
              <w:pStyle w:val="TableParagraph"/>
              <w:spacing w:line="288" w:lineRule="auto"/>
              <w:jc w:val="center"/>
              <w:rPr>
                <w:color w:val="000000" w:themeColor="text1"/>
              </w:rPr>
            </w:pPr>
            <w:r w:rsidRPr="0063477B">
              <w:rPr>
                <w:color w:val="000000" w:themeColor="text1"/>
              </w:rPr>
              <w:t xml:space="preserve">Traditionally, as loans are not </w:t>
            </w:r>
            <w:r w:rsidRPr="0063477B">
              <w:rPr>
                <w:i/>
                <w:iCs/>
                <w:color w:val="000000" w:themeColor="text1"/>
              </w:rPr>
              <w:t>stricto sensu</w:t>
            </w:r>
            <w:r w:rsidRPr="0063477B">
              <w:rPr>
                <w:color w:val="000000" w:themeColor="text1"/>
              </w:rPr>
              <w:t xml:space="preserve"> “transferable securities”, the fit to UCITS was technically limited. It is however possible to revert the </w:t>
            </w:r>
            <w:r w:rsidRPr="0063477B">
              <w:rPr>
                <w:i/>
                <w:iCs/>
                <w:color w:val="000000" w:themeColor="text1"/>
              </w:rPr>
              <w:t>status quo</w:t>
            </w:r>
            <w:r w:rsidRPr="0063477B">
              <w:rPr>
                <w:color w:val="000000" w:themeColor="text1"/>
              </w:rPr>
              <w:t xml:space="preserve">, as e.g., deposits with financial institutions, which are not transferable securities, are allowed, loans </w:t>
            </w:r>
            <w:r w:rsidRPr="0063477B">
              <w:rPr>
                <w:color w:val="000000" w:themeColor="text1"/>
              </w:rPr>
              <w:lastRenderedPageBreak/>
              <w:t>not yet.</w:t>
            </w:r>
          </w:p>
          <w:p w14:paraId="674ADA67" w14:textId="77777777" w:rsidR="00324B1C" w:rsidRPr="0063477B" w:rsidRDefault="00324B1C" w:rsidP="0063477B">
            <w:pPr>
              <w:pStyle w:val="TableParagraph"/>
              <w:spacing w:line="288" w:lineRule="auto"/>
              <w:jc w:val="center"/>
              <w:rPr>
                <w:color w:val="000000" w:themeColor="text1"/>
              </w:rPr>
            </w:pPr>
          </w:p>
          <w:p w14:paraId="02EB378F" w14:textId="3DA993D5" w:rsidR="00324B1C" w:rsidRPr="0063477B" w:rsidRDefault="00324B1C" w:rsidP="0063477B">
            <w:pPr>
              <w:spacing w:line="288" w:lineRule="auto"/>
              <w:jc w:val="center"/>
              <w:rPr>
                <w:rFonts w:ascii="Arial" w:hAnsi="Arial" w:cs="Arial"/>
                <w:color w:val="181818"/>
              </w:rPr>
            </w:pPr>
            <w:r w:rsidRPr="0063477B">
              <w:rPr>
                <w:rFonts w:ascii="Arial" w:hAnsi="Arial" w:cs="Arial"/>
                <w:color w:val="000000" w:themeColor="text1"/>
              </w:rPr>
              <w:t>Asset managers should be in a position to develop market understanding and risk assessment approaches (incl. transferability and liquidity) regarding the selection of loans.</w:t>
            </w:r>
          </w:p>
        </w:tc>
      </w:tr>
      <w:tr w:rsidR="0063477B" w:rsidRPr="0063477B" w14:paraId="131FC414" w14:textId="77777777" w:rsidTr="0063477B">
        <w:tc>
          <w:tcPr>
            <w:tcW w:w="1888" w:type="dxa"/>
          </w:tcPr>
          <w:p w14:paraId="55346258" w14:textId="77777777" w:rsidR="00324B1C" w:rsidRPr="0063477B" w:rsidRDefault="00324B1C" w:rsidP="0063477B">
            <w:pPr>
              <w:spacing w:line="288" w:lineRule="auto"/>
              <w:rPr>
                <w:rFonts w:ascii="Arial" w:hAnsi="Arial" w:cs="Arial"/>
              </w:rPr>
            </w:pPr>
            <w:r w:rsidRPr="0063477B">
              <w:rPr>
                <w:rFonts w:ascii="Arial" w:hAnsi="Arial" w:cs="Arial"/>
              </w:rPr>
              <w:lastRenderedPageBreak/>
              <w:t>2. Catastrophe bonds (‘Cat bonds’)</w:t>
            </w:r>
          </w:p>
        </w:tc>
        <w:tc>
          <w:tcPr>
            <w:tcW w:w="1695" w:type="dxa"/>
          </w:tcPr>
          <w:p w14:paraId="5C94D0D9" w14:textId="77777777" w:rsidR="00324B1C" w:rsidRPr="0063477B" w:rsidRDefault="00867478" w:rsidP="0063477B">
            <w:pPr>
              <w:spacing w:line="288" w:lineRule="auto"/>
              <w:jc w:val="center"/>
              <w:rPr>
                <w:rFonts w:ascii="Arial" w:hAnsi="Arial" w:cs="Arial"/>
                <w:color w:val="181818"/>
              </w:rPr>
            </w:pPr>
            <w:r w:rsidRPr="0063477B">
              <w:rPr>
                <w:rFonts w:ascii="Arial" w:hAnsi="Arial" w:cs="Arial"/>
                <w:color w:val="181818"/>
              </w:rPr>
              <w:t>Natural disasters and the resulting damage are on the rise worldwide, leading to higher costs for traditional insurance solutions and creating insurance gaps. Cat bonds are an instrument that can address this problem. From an investor's perspective, Cat bonds offer a comparatively high return and at the same time diversification advantages, as the risks of Cat bonds have only a low correlation with traditional asset classes such as stocks or corporate bonds.</w:t>
            </w:r>
          </w:p>
          <w:p w14:paraId="3E28F447" w14:textId="77777777" w:rsidR="00867478" w:rsidRPr="0063477B" w:rsidRDefault="00867478" w:rsidP="0063477B">
            <w:pPr>
              <w:spacing w:after="0" w:line="288" w:lineRule="auto"/>
              <w:rPr>
                <w:rFonts w:ascii="Arial" w:eastAsia="MS PGothic" w:hAnsi="Arial" w:cs="Arial"/>
                <w:color w:val="181818"/>
                <w:sz w:val="20"/>
                <w:szCs w:val="20"/>
                <w:lang w:val="nl-BE"/>
              </w:rPr>
            </w:pPr>
            <w:r w:rsidRPr="0063477B">
              <w:rPr>
                <w:rFonts w:ascii="Arial" w:eastAsia="MS PGothic" w:hAnsi="Arial" w:cs="Arial"/>
                <w:color w:val="181818"/>
                <w:sz w:val="20"/>
                <w:szCs w:val="20"/>
                <w:lang w:val="nl-BE"/>
              </w:rPr>
              <w:t>The Cat bonds market is liquid and transparent.</w:t>
            </w:r>
          </w:p>
          <w:p w14:paraId="762AE093" w14:textId="77777777" w:rsidR="00867478" w:rsidRPr="0063477B" w:rsidRDefault="00867478" w:rsidP="0063477B">
            <w:pPr>
              <w:spacing w:line="288" w:lineRule="auto"/>
              <w:jc w:val="center"/>
              <w:rPr>
                <w:rFonts w:ascii="Arial" w:hAnsi="Arial" w:cs="Arial"/>
                <w:color w:val="181818"/>
              </w:rPr>
            </w:pPr>
          </w:p>
          <w:p w14:paraId="05C092F1" w14:textId="756256A9" w:rsidR="00867478" w:rsidRPr="0063477B" w:rsidRDefault="00867478" w:rsidP="0063477B">
            <w:pPr>
              <w:spacing w:line="288" w:lineRule="auto"/>
              <w:jc w:val="center"/>
              <w:rPr>
                <w:rFonts w:ascii="Arial" w:hAnsi="Arial" w:cs="Arial"/>
                <w:color w:val="181818"/>
              </w:rPr>
            </w:pPr>
            <w:r w:rsidRPr="0063477B">
              <w:rPr>
                <w:rFonts w:ascii="Arial" w:hAnsi="Arial" w:cs="Arial"/>
                <w:color w:val="181818"/>
              </w:rPr>
              <w:t>In addition, ESG investment strategies can also be pursued using Cat bonds.</w:t>
            </w:r>
          </w:p>
          <w:p w14:paraId="12BFB2D1" w14:textId="77777777" w:rsidR="00867478" w:rsidRPr="0063477B" w:rsidRDefault="00867478" w:rsidP="0063477B">
            <w:pPr>
              <w:spacing w:line="288" w:lineRule="auto"/>
              <w:jc w:val="center"/>
              <w:rPr>
                <w:rFonts w:ascii="Arial" w:hAnsi="Arial" w:cs="Arial"/>
                <w:color w:val="181818"/>
              </w:rPr>
            </w:pPr>
          </w:p>
          <w:p w14:paraId="475EFF30" w14:textId="77777777" w:rsidR="00867478" w:rsidRPr="0063477B" w:rsidRDefault="00867478" w:rsidP="0063477B">
            <w:pPr>
              <w:spacing w:after="0" w:line="288" w:lineRule="auto"/>
              <w:jc w:val="center"/>
              <w:rPr>
                <w:rFonts w:ascii="Arial" w:eastAsia="MS PGothic" w:hAnsi="Arial" w:cs="Arial"/>
                <w:color w:val="181818"/>
                <w:sz w:val="20"/>
                <w:szCs w:val="20"/>
                <w:lang w:val="nl-BE"/>
              </w:rPr>
            </w:pPr>
            <w:r w:rsidRPr="0063477B">
              <w:rPr>
                <w:rFonts w:ascii="Arial" w:eastAsia="MS PGothic" w:hAnsi="Arial" w:cs="Arial"/>
                <w:color w:val="181818"/>
                <w:sz w:val="20"/>
                <w:szCs w:val="20"/>
                <w:lang w:val="nl-BE"/>
              </w:rPr>
              <w:t>Social impact:</w:t>
            </w:r>
          </w:p>
          <w:p w14:paraId="2270AB82" w14:textId="77777777" w:rsidR="00867478" w:rsidRPr="0063477B" w:rsidRDefault="00867478" w:rsidP="0063477B">
            <w:pPr>
              <w:spacing w:after="0" w:line="288" w:lineRule="auto"/>
              <w:jc w:val="center"/>
              <w:rPr>
                <w:rFonts w:ascii="Arial" w:eastAsia="MS PGothic" w:hAnsi="Arial" w:cs="Arial"/>
                <w:color w:val="181818"/>
                <w:sz w:val="20"/>
                <w:szCs w:val="20"/>
                <w:lang w:val="nl-BE"/>
              </w:rPr>
            </w:pPr>
          </w:p>
          <w:p w14:paraId="113D6327" w14:textId="57705040" w:rsidR="00867478" w:rsidRPr="0063477B" w:rsidRDefault="00867478" w:rsidP="0063477B">
            <w:pPr>
              <w:spacing w:line="288" w:lineRule="auto"/>
              <w:jc w:val="center"/>
              <w:rPr>
                <w:rFonts w:ascii="Arial" w:hAnsi="Arial" w:cs="Arial"/>
                <w:color w:val="181818"/>
              </w:rPr>
            </w:pPr>
            <w:r w:rsidRPr="0063477B">
              <w:rPr>
                <w:rFonts w:ascii="Arial" w:hAnsi="Arial" w:cs="Arial"/>
                <w:color w:val="181818"/>
              </w:rPr>
              <w:t>Even the European Central Bank (ECB) together with the European Insurance and Occupational Pensions Authority (Eiopa) have recently pointed out the added value of Cat Bonds in relation social impact:</w:t>
            </w:r>
          </w:p>
          <w:p w14:paraId="65F2BAA8" w14:textId="072DD8F3" w:rsidR="00867478" w:rsidRPr="0063477B" w:rsidRDefault="00867478" w:rsidP="0063477B">
            <w:pPr>
              <w:spacing w:after="0" w:line="288" w:lineRule="auto"/>
              <w:jc w:val="center"/>
              <w:rPr>
                <w:rStyle w:val="Hyperlink"/>
                <w:rFonts w:ascii="Arial" w:eastAsia="MS PGothic" w:hAnsi="Arial" w:cs="Arial"/>
                <w:sz w:val="20"/>
                <w:szCs w:val="20"/>
                <w:lang w:val="nl-BE"/>
              </w:rPr>
            </w:pPr>
            <w:r w:rsidRPr="0063477B">
              <w:rPr>
                <w:rFonts w:ascii="Arial" w:eastAsia="MS PGothic" w:hAnsi="Arial" w:cs="Arial"/>
                <w:color w:val="181818"/>
                <w:sz w:val="20"/>
                <w:szCs w:val="20"/>
                <w:lang w:val="nl-BE"/>
              </w:rPr>
              <w:fldChar w:fldCharType="begin"/>
            </w:r>
            <w:r w:rsidRPr="0063477B">
              <w:rPr>
                <w:rFonts w:ascii="Arial" w:eastAsia="MS PGothic" w:hAnsi="Arial" w:cs="Arial"/>
                <w:color w:val="181818"/>
                <w:sz w:val="20"/>
                <w:szCs w:val="20"/>
                <w:lang w:val="nl-BE"/>
              </w:rPr>
              <w:instrText>HYPERLINK "https://www.ecb.europa.eu/pub/pdf/other/ecb.policyoptions_EIOPA~c0adae58b7.en.pdf"</w:instrText>
            </w:r>
            <w:r w:rsidRPr="0063477B">
              <w:rPr>
                <w:rFonts w:ascii="Arial" w:eastAsia="MS PGothic" w:hAnsi="Arial" w:cs="Arial"/>
                <w:color w:val="181818"/>
                <w:sz w:val="20"/>
                <w:szCs w:val="20"/>
                <w:lang w:val="nl-BE"/>
              </w:rPr>
            </w:r>
            <w:r w:rsidRPr="0063477B">
              <w:rPr>
                <w:rFonts w:ascii="Arial" w:eastAsia="MS PGothic" w:hAnsi="Arial" w:cs="Arial"/>
                <w:color w:val="181818"/>
                <w:sz w:val="20"/>
                <w:szCs w:val="20"/>
                <w:lang w:val="nl-BE"/>
              </w:rPr>
              <w:fldChar w:fldCharType="separate"/>
            </w:r>
            <w:r w:rsidRPr="0063477B">
              <w:rPr>
                <w:rStyle w:val="Hyperlink"/>
                <w:rFonts w:ascii="Arial" w:eastAsia="MS PGothic" w:hAnsi="Arial" w:cs="Arial"/>
                <w:sz w:val="20"/>
                <w:szCs w:val="20"/>
                <w:lang w:val="nl-BE"/>
              </w:rPr>
              <w:t>Policy options to reduce</w:t>
            </w:r>
            <w:r w:rsidRPr="0063477B">
              <w:rPr>
                <w:rStyle w:val="Hyperlink"/>
                <w:rFonts w:ascii="Arial" w:eastAsia="MS PGothic" w:hAnsi="Arial" w:cs="Arial"/>
                <w:sz w:val="20"/>
                <w:szCs w:val="20"/>
                <w:lang w:val="nl-BE"/>
              </w:rPr>
              <w:t xml:space="preserve"> </w:t>
            </w:r>
            <w:r w:rsidRPr="0063477B">
              <w:rPr>
                <w:rStyle w:val="Hyperlink"/>
                <w:rFonts w:ascii="Arial" w:eastAsia="MS PGothic" w:hAnsi="Arial" w:cs="Arial"/>
                <w:sz w:val="20"/>
                <w:szCs w:val="20"/>
                <w:lang w:val="nl-BE"/>
              </w:rPr>
              <w:t>the climate insurance</w:t>
            </w:r>
            <w:r w:rsidRPr="0063477B">
              <w:rPr>
                <w:rStyle w:val="Hyperlink"/>
                <w:rFonts w:ascii="Arial" w:eastAsia="MS PGothic" w:hAnsi="Arial" w:cs="Arial"/>
                <w:sz w:val="20"/>
                <w:szCs w:val="20"/>
                <w:lang w:val="nl-BE"/>
              </w:rPr>
              <w:t xml:space="preserve"> </w:t>
            </w:r>
            <w:r w:rsidRPr="0063477B">
              <w:rPr>
                <w:rStyle w:val="Hyperlink"/>
                <w:rFonts w:ascii="Arial" w:eastAsia="MS PGothic" w:hAnsi="Arial" w:cs="Arial"/>
                <w:sz w:val="20"/>
                <w:szCs w:val="20"/>
                <w:lang w:val="nl-BE"/>
              </w:rPr>
              <w:t>protection gap</w:t>
            </w:r>
          </w:p>
          <w:p w14:paraId="6A05A809" w14:textId="1FAD9018" w:rsidR="00867478" w:rsidRPr="0063477B" w:rsidRDefault="00867478" w:rsidP="0063477B">
            <w:pPr>
              <w:spacing w:line="288" w:lineRule="auto"/>
              <w:jc w:val="center"/>
              <w:rPr>
                <w:rFonts w:ascii="Arial" w:hAnsi="Arial" w:cs="Arial"/>
                <w:color w:val="181818"/>
              </w:rPr>
            </w:pPr>
            <w:r w:rsidRPr="0063477B">
              <w:rPr>
                <w:rStyle w:val="Hyperlink"/>
                <w:rFonts w:ascii="Arial" w:hAnsi="Arial" w:cs="Arial"/>
              </w:rPr>
              <w:t>Discussion Paper</w:t>
            </w:r>
            <w:r w:rsidRPr="0063477B">
              <w:rPr>
                <w:rFonts w:ascii="Arial" w:hAnsi="Arial" w:cs="Arial"/>
                <w:color w:val="181818"/>
              </w:rPr>
              <w:fldChar w:fldCharType="end"/>
            </w:r>
          </w:p>
        </w:tc>
        <w:tc>
          <w:tcPr>
            <w:tcW w:w="2115" w:type="dxa"/>
          </w:tcPr>
          <w:p w14:paraId="5A39BBE3" w14:textId="0F6CD74F" w:rsidR="00324B1C" w:rsidRPr="0063477B" w:rsidRDefault="00324B1C" w:rsidP="0063477B">
            <w:pPr>
              <w:spacing w:line="288" w:lineRule="auto"/>
              <w:jc w:val="both"/>
              <w:rPr>
                <w:rFonts w:ascii="Arial" w:hAnsi="Arial" w:cs="Arial"/>
                <w:color w:val="181818"/>
              </w:rPr>
            </w:pPr>
            <w:r w:rsidRPr="0063477B">
              <w:rPr>
                <w:rFonts w:ascii="Arial" w:hAnsi="Arial" w:cs="Arial"/>
              </w:rPr>
              <w:lastRenderedPageBreak/>
              <w:t>See left column</w:t>
            </w:r>
          </w:p>
        </w:tc>
        <w:tc>
          <w:tcPr>
            <w:tcW w:w="1927" w:type="dxa"/>
          </w:tcPr>
          <w:p w14:paraId="41C8F396" w14:textId="77777777" w:rsidR="00324B1C" w:rsidRPr="0063477B" w:rsidRDefault="00324B1C" w:rsidP="0063477B">
            <w:pPr>
              <w:spacing w:line="288" w:lineRule="auto"/>
              <w:jc w:val="both"/>
              <w:rPr>
                <w:rFonts w:ascii="Arial" w:hAnsi="Arial" w:cs="Arial"/>
                <w:color w:val="181818"/>
              </w:rPr>
            </w:pPr>
          </w:p>
        </w:tc>
        <w:tc>
          <w:tcPr>
            <w:tcW w:w="1695" w:type="dxa"/>
          </w:tcPr>
          <w:p w14:paraId="60DF2D5A" w14:textId="77777777" w:rsidR="00324B1C" w:rsidRPr="0063477B" w:rsidRDefault="00324B1C" w:rsidP="0063477B">
            <w:pPr>
              <w:pStyle w:val="TableParagraph"/>
              <w:spacing w:line="288" w:lineRule="auto"/>
              <w:jc w:val="center"/>
              <w:rPr>
                <w:color w:val="000000" w:themeColor="text1"/>
              </w:rPr>
            </w:pPr>
            <w:r w:rsidRPr="0063477B">
              <w:t xml:space="preserve">Cat bonds </w:t>
            </w:r>
            <w:r w:rsidRPr="0063477B">
              <w:rPr>
                <w:color w:val="000000" w:themeColor="text1"/>
              </w:rPr>
              <w:t>provide insurance and support especially for developing countries or regions in need in dealing with natural disasters and reconstruction.</w:t>
            </w:r>
          </w:p>
          <w:p w14:paraId="6CDBBB39" w14:textId="77777777" w:rsidR="00324B1C" w:rsidRPr="0063477B" w:rsidRDefault="00324B1C" w:rsidP="0063477B">
            <w:pPr>
              <w:pStyle w:val="TableParagraph"/>
              <w:spacing w:line="288" w:lineRule="auto"/>
              <w:jc w:val="center"/>
              <w:rPr>
                <w:color w:val="000000" w:themeColor="text1"/>
              </w:rPr>
            </w:pPr>
          </w:p>
          <w:p w14:paraId="44AA5844" w14:textId="77777777" w:rsidR="00324B1C" w:rsidRPr="0063477B" w:rsidRDefault="00324B1C" w:rsidP="0063477B">
            <w:pPr>
              <w:pStyle w:val="TableParagraph"/>
              <w:spacing w:line="288" w:lineRule="auto"/>
              <w:jc w:val="center"/>
            </w:pPr>
            <w:r w:rsidRPr="0063477B">
              <w:t>In Germany UCITS are not allowed to invest in Cat bonds (No. 15 BaFin FAQ Eligible Assets), whereas in Luxembourg Cat bonds are eligible for UCITS.</w:t>
            </w:r>
          </w:p>
          <w:p w14:paraId="72A3D3EC" w14:textId="77777777" w:rsidR="00324B1C" w:rsidRPr="0063477B" w:rsidRDefault="00324B1C" w:rsidP="0063477B">
            <w:pPr>
              <w:spacing w:line="288" w:lineRule="auto"/>
              <w:jc w:val="both"/>
              <w:rPr>
                <w:rFonts w:ascii="Arial" w:hAnsi="Arial" w:cs="Arial"/>
                <w:color w:val="181818"/>
              </w:rPr>
            </w:pPr>
          </w:p>
        </w:tc>
      </w:tr>
      <w:tr w:rsidR="0063477B" w:rsidRPr="0063477B" w14:paraId="756B6A0E" w14:textId="77777777" w:rsidTr="0063477B">
        <w:tc>
          <w:tcPr>
            <w:tcW w:w="1888" w:type="dxa"/>
          </w:tcPr>
          <w:p w14:paraId="2C56CC88" w14:textId="77777777" w:rsidR="00324B1C" w:rsidRPr="0063477B" w:rsidRDefault="00324B1C" w:rsidP="0063477B">
            <w:pPr>
              <w:spacing w:line="288" w:lineRule="auto"/>
              <w:rPr>
                <w:rFonts w:ascii="Arial" w:hAnsi="Arial" w:cs="Arial"/>
                <w:color w:val="181818"/>
              </w:rPr>
            </w:pPr>
            <w:r w:rsidRPr="0063477B">
              <w:rPr>
                <w:rFonts w:ascii="Arial" w:hAnsi="Arial" w:cs="Arial"/>
              </w:rPr>
              <w:lastRenderedPageBreak/>
              <w:t>3. Contingent Convertible bonds (‘CoCo bonds’)</w:t>
            </w:r>
          </w:p>
        </w:tc>
        <w:tc>
          <w:tcPr>
            <w:tcW w:w="1695" w:type="dxa"/>
          </w:tcPr>
          <w:p w14:paraId="0D0B940D" w14:textId="35D9E88C" w:rsidR="00324B1C" w:rsidRPr="0063477B" w:rsidRDefault="00867478" w:rsidP="0063477B">
            <w:pPr>
              <w:spacing w:line="288" w:lineRule="auto"/>
              <w:jc w:val="both"/>
              <w:rPr>
                <w:rFonts w:ascii="Arial" w:hAnsi="Arial" w:cs="Arial"/>
                <w:color w:val="181818"/>
              </w:rPr>
            </w:pPr>
            <w:r w:rsidRPr="0063477B">
              <w:rPr>
                <w:rFonts w:ascii="Arial" w:hAnsi="Arial" w:cs="Arial"/>
                <w:color w:val="000000" w:themeColor="text1"/>
              </w:rPr>
              <w:t>Diversifying seniority exposures, very liquid, attractive relative value along the capital structure. While a disclosure seems to be appropriate, CoCo investments can be very beneficial and as such in the best interest of investors.</w:t>
            </w:r>
          </w:p>
        </w:tc>
        <w:tc>
          <w:tcPr>
            <w:tcW w:w="2115" w:type="dxa"/>
          </w:tcPr>
          <w:p w14:paraId="0E27B00A" w14:textId="796815D9" w:rsidR="00324B1C" w:rsidRPr="0063477B" w:rsidRDefault="00867478" w:rsidP="0063477B">
            <w:pPr>
              <w:spacing w:line="288" w:lineRule="auto"/>
              <w:jc w:val="both"/>
              <w:rPr>
                <w:rFonts w:ascii="Arial" w:hAnsi="Arial" w:cs="Arial"/>
                <w:color w:val="181818"/>
              </w:rPr>
            </w:pPr>
            <w:r w:rsidRPr="0063477B">
              <w:rPr>
                <w:rFonts w:ascii="Arial" w:hAnsi="Arial" w:cs="Arial"/>
              </w:rPr>
              <w:t>Provides access to a broadly diversified universe and selection expertise if not provided internally. CoCos are a “</w:t>
            </w:r>
            <w:r w:rsidRPr="0063477B">
              <w:rPr>
                <w:rFonts w:ascii="Arial" w:hAnsi="Arial" w:cs="Arial"/>
                <w:i/>
                <w:iCs/>
              </w:rPr>
              <w:t>different type of financial instrument</w:t>
            </w:r>
            <w:r w:rsidRPr="0063477B">
              <w:rPr>
                <w:rFonts w:ascii="Arial" w:hAnsi="Arial" w:cs="Arial"/>
              </w:rPr>
              <w:t>” and require multi factor analysis to properly analyse and value associated risk.</w:t>
            </w:r>
          </w:p>
        </w:tc>
        <w:tc>
          <w:tcPr>
            <w:tcW w:w="1927" w:type="dxa"/>
          </w:tcPr>
          <w:p w14:paraId="60061E4C" w14:textId="77777777" w:rsidR="00324B1C" w:rsidRPr="0063477B" w:rsidRDefault="00324B1C" w:rsidP="0063477B">
            <w:pPr>
              <w:spacing w:line="288" w:lineRule="auto"/>
              <w:jc w:val="both"/>
              <w:rPr>
                <w:rFonts w:ascii="Arial" w:hAnsi="Arial" w:cs="Arial"/>
                <w:color w:val="181818"/>
              </w:rPr>
            </w:pPr>
          </w:p>
        </w:tc>
        <w:tc>
          <w:tcPr>
            <w:tcW w:w="1695" w:type="dxa"/>
          </w:tcPr>
          <w:p w14:paraId="44EAFD9C" w14:textId="19C4D5EE" w:rsidR="00324B1C" w:rsidRPr="0063477B" w:rsidRDefault="00867478" w:rsidP="0063477B">
            <w:pPr>
              <w:spacing w:line="288" w:lineRule="auto"/>
              <w:jc w:val="both"/>
              <w:rPr>
                <w:rFonts w:ascii="Arial" w:hAnsi="Arial" w:cs="Arial"/>
                <w:color w:val="181818"/>
              </w:rPr>
            </w:pPr>
            <w:r w:rsidRPr="0063477B">
              <w:rPr>
                <w:rFonts w:ascii="Arial" w:hAnsi="Arial" w:cs="Arial"/>
                <w:color w:val="181818"/>
              </w:rPr>
              <w:t>I</w:t>
            </w:r>
            <w:r w:rsidRPr="0063477B">
              <w:rPr>
                <w:rFonts w:ascii="Arial" w:hAnsi="Arial" w:cs="Arial"/>
                <w:color w:val="000000" w:themeColor="text1"/>
              </w:rPr>
              <w:t xml:space="preserve">n our view, a 100% allocation to a diversified portfolio of Cocos should be permissible without investor restriction in our view. As there are already UCITS ETFs tracking Coco indices, a level playing field should be established. Different discretionary </w:t>
            </w:r>
            <w:r w:rsidRPr="0063477B">
              <w:rPr>
                <w:rFonts w:ascii="Arial" w:hAnsi="Arial" w:cs="Arial"/>
                <w:color w:val="000000" w:themeColor="text1"/>
              </w:rPr>
              <w:lastRenderedPageBreak/>
              <w:t>conversion/write-down rights are now common practice for domestic and foreign bonds. A common definition of CoCo would bring more clarification</w:t>
            </w:r>
          </w:p>
        </w:tc>
      </w:tr>
      <w:tr w:rsidR="0063477B" w:rsidRPr="0063477B" w14:paraId="02325B0B" w14:textId="77777777" w:rsidTr="0063477B">
        <w:tc>
          <w:tcPr>
            <w:tcW w:w="1888" w:type="dxa"/>
          </w:tcPr>
          <w:p w14:paraId="4EA5968E" w14:textId="77777777" w:rsidR="00324B1C" w:rsidRPr="0063477B" w:rsidRDefault="00324B1C" w:rsidP="0063477B">
            <w:pPr>
              <w:spacing w:line="288" w:lineRule="auto"/>
              <w:rPr>
                <w:rFonts w:ascii="Arial" w:hAnsi="Arial" w:cs="Arial"/>
                <w:color w:val="181818"/>
              </w:rPr>
            </w:pPr>
            <w:r w:rsidRPr="0063477B">
              <w:rPr>
                <w:rFonts w:ascii="Arial" w:hAnsi="Arial" w:cs="Arial"/>
              </w:rPr>
              <w:lastRenderedPageBreak/>
              <w:t>4. Unrated bonds</w:t>
            </w:r>
          </w:p>
        </w:tc>
        <w:tc>
          <w:tcPr>
            <w:tcW w:w="1695" w:type="dxa"/>
          </w:tcPr>
          <w:p w14:paraId="542FEF86" w14:textId="77777777" w:rsidR="00867478" w:rsidRPr="0063477B" w:rsidRDefault="00867478" w:rsidP="0063477B">
            <w:pPr>
              <w:pStyle w:val="TableParagraph"/>
              <w:spacing w:line="288" w:lineRule="auto"/>
              <w:jc w:val="center"/>
            </w:pPr>
            <w:r w:rsidRPr="0063477B">
              <w:t>Risk diversification and additional source of performance. Access to undervalued investment opportunities:</w:t>
            </w:r>
          </w:p>
          <w:p w14:paraId="4E04D18E" w14:textId="77777777" w:rsidR="00867478" w:rsidRPr="0063477B" w:rsidRDefault="00867478" w:rsidP="0063477B">
            <w:pPr>
              <w:pStyle w:val="TableParagraph"/>
              <w:spacing w:line="288" w:lineRule="auto"/>
              <w:jc w:val="center"/>
            </w:pPr>
          </w:p>
          <w:p w14:paraId="29E80150" w14:textId="77777777" w:rsidR="00867478" w:rsidRPr="0063477B" w:rsidRDefault="00867478" w:rsidP="0063477B">
            <w:pPr>
              <w:pStyle w:val="TableParagraph"/>
              <w:spacing w:line="288" w:lineRule="auto"/>
              <w:jc w:val="center"/>
            </w:pPr>
            <w:r w:rsidRPr="0063477B">
              <w:t>Unrated bonds can provide UCITS with access to investment opportunities that may be overlooked by traditional investors due to the absence of a credit rating.</w:t>
            </w:r>
          </w:p>
          <w:p w14:paraId="448733E7" w14:textId="77777777" w:rsidR="00867478" w:rsidRPr="0063477B" w:rsidRDefault="00867478" w:rsidP="0063477B">
            <w:pPr>
              <w:pStyle w:val="TableParagraph"/>
              <w:spacing w:line="288" w:lineRule="auto"/>
              <w:jc w:val="center"/>
            </w:pPr>
          </w:p>
          <w:p w14:paraId="11DEF698" w14:textId="77777777" w:rsidR="00867478" w:rsidRPr="0063477B" w:rsidRDefault="00867478" w:rsidP="0063477B">
            <w:pPr>
              <w:pStyle w:val="TableParagraph"/>
              <w:spacing w:line="288" w:lineRule="auto"/>
              <w:jc w:val="center"/>
            </w:pPr>
            <w:r w:rsidRPr="0063477B">
              <w:t>Diversification:</w:t>
            </w:r>
          </w:p>
          <w:p w14:paraId="31A6D83F" w14:textId="77777777" w:rsidR="00867478" w:rsidRPr="0063477B" w:rsidRDefault="00867478" w:rsidP="0063477B">
            <w:pPr>
              <w:pStyle w:val="TableParagraph"/>
              <w:spacing w:line="288" w:lineRule="auto"/>
              <w:jc w:val="center"/>
            </w:pPr>
          </w:p>
          <w:p w14:paraId="68C2B71C" w14:textId="77777777" w:rsidR="00867478" w:rsidRPr="0063477B" w:rsidRDefault="00867478" w:rsidP="0063477B">
            <w:pPr>
              <w:pStyle w:val="TableParagraph"/>
              <w:spacing w:line="288" w:lineRule="auto"/>
              <w:jc w:val="center"/>
            </w:pPr>
            <w:r w:rsidRPr="0063477B">
              <w:t>Unrated bonds often represent a different risk profile and credit exposure compared to rated bonds.</w:t>
            </w:r>
          </w:p>
          <w:p w14:paraId="10F79F4A" w14:textId="77777777" w:rsidR="00867478" w:rsidRPr="0063477B" w:rsidRDefault="00867478" w:rsidP="0063477B">
            <w:pPr>
              <w:pStyle w:val="TableParagraph"/>
              <w:spacing w:line="288" w:lineRule="auto"/>
              <w:jc w:val="center"/>
            </w:pPr>
          </w:p>
          <w:p w14:paraId="4B94D5A5" w14:textId="06A6A5DD" w:rsidR="00324B1C" w:rsidRPr="0063477B" w:rsidRDefault="00867478" w:rsidP="0063477B">
            <w:pPr>
              <w:spacing w:line="288" w:lineRule="auto"/>
              <w:jc w:val="both"/>
              <w:rPr>
                <w:rFonts w:ascii="Arial" w:hAnsi="Arial" w:cs="Arial"/>
                <w:color w:val="181818"/>
              </w:rPr>
            </w:pPr>
            <w:r w:rsidRPr="0063477B">
              <w:rPr>
                <w:rFonts w:ascii="Arial" w:hAnsi="Arial" w:cs="Arial"/>
              </w:rPr>
              <w:t xml:space="preserve">Lower reliance on rating agencies: The inclusion of </w:t>
            </w:r>
            <w:r w:rsidRPr="0063477B">
              <w:rPr>
                <w:rFonts w:ascii="Arial" w:hAnsi="Arial" w:cs="Arial"/>
              </w:rPr>
              <w:lastRenderedPageBreak/>
              <w:t>unrated bonds in UCITS reduces the reliance on credit rating agencies as the sole source of credit analysis. UCITS managers can conduct their own thorough due diligence and credit assessment to evaluate the creditworthiness of issuers. This allows for a more independent and nuanced evaluation of credit risks, potentially reducing reliance on external rating agencies.</w:t>
            </w:r>
          </w:p>
        </w:tc>
        <w:tc>
          <w:tcPr>
            <w:tcW w:w="2115" w:type="dxa"/>
          </w:tcPr>
          <w:p w14:paraId="3DEEC669" w14:textId="163F22D0" w:rsidR="00324B1C" w:rsidRPr="0063477B" w:rsidRDefault="00867478" w:rsidP="0063477B">
            <w:pPr>
              <w:spacing w:line="288" w:lineRule="auto"/>
              <w:jc w:val="both"/>
              <w:rPr>
                <w:rFonts w:ascii="Arial" w:hAnsi="Arial" w:cs="Arial"/>
                <w:color w:val="181818"/>
              </w:rPr>
            </w:pPr>
            <w:r w:rsidRPr="0063477B">
              <w:rPr>
                <w:rFonts w:ascii="Arial" w:hAnsi="Arial" w:cs="Arial"/>
              </w:rPr>
              <w:lastRenderedPageBreak/>
              <w:t>See left column</w:t>
            </w:r>
          </w:p>
        </w:tc>
        <w:tc>
          <w:tcPr>
            <w:tcW w:w="1927" w:type="dxa"/>
          </w:tcPr>
          <w:p w14:paraId="3656B9AB" w14:textId="77777777" w:rsidR="00324B1C" w:rsidRPr="0063477B" w:rsidRDefault="00324B1C" w:rsidP="0063477B">
            <w:pPr>
              <w:spacing w:line="288" w:lineRule="auto"/>
              <w:jc w:val="both"/>
              <w:rPr>
                <w:rFonts w:ascii="Arial" w:hAnsi="Arial" w:cs="Arial"/>
                <w:color w:val="181818"/>
              </w:rPr>
            </w:pPr>
          </w:p>
        </w:tc>
        <w:tc>
          <w:tcPr>
            <w:tcW w:w="1695" w:type="dxa"/>
          </w:tcPr>
          <w:p w14:paraId="45FB0818" w14:textId="77777777" w:rsidR="00324B1C" w:rsidRPr="0063477B" w:rsidRDefault="00324B1C" w:rsidP="0063477B">
            <w:pPr>
              <w:spacing w:line="288" w:lineRule="auto"/>
              <w:jc w:val="both"/>
              <w:rPr>
                <w:rFonts w:ascii="Arial" w:hAnsi="Arial" w:cs="Arial"/>
                <w:color w:val="181818"/>
              </w:rPr>
            </w:pPr>
          </w:p>
        </w:tc>
      </w:tr>
      <w:tr w:rsidR="0063477B" w:rsidRPr="0063477B" w14:paraId="68D99D9D" w14:textId="77777777" w:rsidTr="0063477B">
        <w:tc>
          <w:tcPr>
            <w:tcW w:w="1888" w:type="dxa"/>
          </w:tcPr>
          <w:p w14:paraId="17D8B71D" w14:textId="77777777" w:rsidR="00324B1C" w:rsidRPr="0063477B" w:rsidRDefault="00324B1C" w:rsidP="0063477B">
            <w:pPr>
              <w:spacing w:line="288" w:lineRule="auto"/>
              <w:rPr>
                <w:rFonts w:ascii="Arial" w:hAnsi="Arial" w:cs="Arial"/>
                <w:color w:val="181818"/>
              </w:rPr>
            </w:pPr>
            <w:r w:rsidRPr="0063477B">
              <w:rPr>
                <w:rFonts w:ascii="Arial" w:hAnsi="Arial" w:cs="Arial"/>
              </w:rPr>
              <w:t>5. Distressed securities</w:t>
            </w:r>
          </w:p>
        </w:tc>
        <w:tc>
          <w:tcPr>
            <w:tcW w:w="1695" w:type="dxa"/>
          </w:tcPr>
          <w:p w14:paraId="049F31CB" w14:textId="3C1EBA82" w:rsidR="00324B1C" w:rsidRPr="0063477B" w:rsidRDefault="00867478" w:rsidP="0063477B">
            <w:pPr>
              <w:spacing w:line="288" w:lineRule="auto"/>
              <w:jc w:val="both"/>
              <w:rPr>
                <w:rFonts w:ascii="Arial" w:hAnsi="Arial" w:cs="Arial"/>
                <w:color w:val="181818"/>
              </w:rPr>
            </w:pPr>
            <w:r w:rsidRPr="0063477B">
              <w:rPr>
                <w:rFonts w:ascii="Arial" w:hAnsi="Arial" w:cs="Arial"/>
                <w:color w:val="000000" w:themeColor="text1"/>
              </w:rPr>
              <w:t xml:space="preserve">Frequently equity like risk/return profile with limited downside and significant upside if company and bondholder find a proper restructuring solution. Also, if company or bond surprisingly gets into distress, only keeping those assets (selectively) will allow for a partial recovery. Lastly, as there is no official definition of distressed investments, normal High Yield </w:t>
            </w:r>
            <w:r w:rsidRPr="0063477B">
              <w:rPr>
                <w:rFonts w:ascii="Arial" w:hAnsi="Arial" w:cs="Arial"/>
                <w:color w:val="000000" w:themeColor="text1"/>
              </w:rPr>
              <w:lastRenderedPageBreak/>
              <w:t>benchmarks and ETFs do have exposure to distressed names (defined as rated below CCC-). As such, UCITS have to have distressed investments simply by benchmark universes.</w:t>
            </w:r>
          </w:p>
        </w:tc>
        <w:tc>
          <w:tcPr>
            <w:tcW w:w="2115" w:type="dxa"/>
          </w:tcPr>
          <w:p w14:paraId="53128261" w14:textId="541082B3" w:rsidR="00324B1C" w:rsidRPr="0063477B" w:rsidRDefault="00867478" w:rsidP="0063477B">
            <w:pPr>
              <w:spacing w:line="288" w:lineRule="auto"/>
              <w:jc w:val="both"/>
              <w:rPr>
                <w:rFonts w:ascii="Arial" w:hAnsi="Arial" w:cs="Arial"/>
                <w:color w:val="181818"/>
              </w:rPr>
            </w:pPr>
            <w:r w:rsidRPr="0063477B">
              <w:rPr>
                <w:rFonts w:ascii="Arial" w:hAnsi="Arial" w:cs="Arial"/>
                <w:color w:val="000000" w:themeColor="text1"/>
              </w:rPr>
              <w:lastRenderedPageBreak/>
              <w:t>see left column (potentially unavoidable if other UCITS funds have little distressed exposure).</w:t>
            </w:r>
          </w:p>
        </w:tc>
        <w:tc>
          <w:tcPr>
            <w:tcW w:w="1927" w:type="dxa"/>
          </w:tcPr>
          <w:p w14:paraId="62486C05" w14:textId="77777777" w:rsidR="00324B1C" w:rsidRPr="0063477B" w:rsidRDefault="00324B1C" w:rsidP="0063477B">
            <w:pPr>
              <w:spacing w:line="288" w:lineRule="auto"/>
              <w:jc w:val="both"/>
              <w:rPr>
                <w:rFonts w:ascii="Arial" w:hAnsi="Arial" w:cs="Arial"/>
                <w:color w:val="181818"/>
              </w:rPr>
            </w:pPr>
          </w:p>
        </w:tc>
        <w:tc>
          <w:tcPr>
            <w:tcW w:w="1695" w:type="dxa"/>
          </w:tcPr>
          <w:p w14:paraId="233236EC"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Distressed securities defined by rating are not necessarily trading illiquid or at distressed prices. Main problem is that distress per se is not a bad thing for investors and return potential can be significantly positive.</w:t>
            </w:r>
          </w:p>
          <w:p w14:paraId="5871C8FC" w14:textId="77777777" w:rsidR="00810C85" w:rsidRPr="0063477B" w:rsidRDefault="00810C85" w:rsidP="0063477B">
            <w:pPr>
              <w:pStyle w:val="TableParagraph"/>
              <w:spacing w:line="288" w:lineRule="auto"/>
              <w:jc w:val="center"/>
              <w:rPr>
                <w:color w:val="000000" w:themeColor="text1"/>
              </w:rPr>
            </w:pPr>
          </w:p>
          <w:p w14:paraId="4101652C" w14:textId="20384FCE" w:rsidR="00324B1C"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We are not aware of any legal definition of “distressed”</w:t>
            </w:r>
          </w:p>
        </w:tc>
      </w:tr>
      <w:tr w:rsidR="0063477B" w:rsidRPr="0063477B" w14:paraId="2B493676" w14:textId="77777777" w:rsidTr="0063477B">
        <w:tc>
          <w:tcPr>
            <w:tcW w:w="1888" w:type="dxa"/>
          </w:tcPr>
          <w:p w14:paraId="45E99430" w14:textId="77777777" w:rsidR="00324B1C" w:rsidRPr="0063477B" w:rsidRDefault="00324B1C" w:rsidP="0063477B">
            <w:pPr>
              <w:spacing w:line="288" w:lineRule="auto"/>
              <w:rPr>
                <w:rFonts w:ascii="Arial" w:hAnsi="Arial" w:cs="Arial"/>
              </w:rPr>
            </w:pPr>
            <w:r w:rsidRPr="0063477B">
              <w:rPr>
                <w:rFonts w:ascii="Arial" w:hAnsi="Arial" w:cs="Arial"/>
              </w:rPr>
              <w:lastRenderedPageBreak/>
              <w:t>6. Unlisted equities</w:t>
            </w:r>
            <w:r w:rsidRPr="0063477B">
              <w:rPr>
                <w:rFonts w:ascii="Arial" w:hAnsi="Arial" w:cs="Arial"/>
                <w:vertAlign w:val="superscript"/>
              </w:rPr>
              <w:footnoteReference w:id="7"/>
            </w:r>
          </w:p>
        </w:tc>
        <w:tc>
          <w:tcPr>
            <w:tcW w:w="1695" w:type="dxa"/>
          </w:tcPr>
          <w:p w14:paraId="0DDE1A11"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 xml:space="preserve">Exposure to unlisted equity can created passively through a corporate debt restructuring involving debt-for-equity swaps. As this will always provide positive optionality, there is a potential strong incentive to keep those assets in the best interest of the </w:t>
            </w:r>
            <w:proofErr w:type="gramStart"/>
            <w:r w:rsidRPr="0063477B">
              <w:rPr>
                <w:color w:val="000000" w:themeColor="text1"/>
              </w:rPr>
              <w:t>investors</w:t>
            </w:r>
            <w:proofErr w:type="gramEnd"/>
          </w:p>
          <w:p w14:paraId="1C9AC270" w14:textId="77777777" w:rsidR="00810C85" w:rsidRPr="0063477B" w:rsidRDefault="00810C85" w:rsidP="0063477B">
            <w:pPr>
              <w:pStyle w:val="TableParagraph"/>
              <w:spacing w:line="288" w:lineRule="auto"/>
              <w:jc w:val="center"/>
              <w:rPr>
                <w:color w:val="000000" w:themeColor="text1"/>
              </w:rPr>
            </w:pPr>
          </w:p>
          <w:p w14:paraId="7822085E" w14:textId="77777777" w:rsidR="00810C85" w:rsidRPr="0063477B" w:rsidRDefault="00810C85" w:rsidP="0063477B">
            <w:pPr>
              <w:pStyle w:val="TableParagraph"/>
              <w:spacing w:line="288" w:lineRule="auto"/>
              <w:jc w:val="center"/>
            </w:pPr>
            <w:r w:rsidRPr="0063477B">
              <w:t>Unlisted equities allow an investment before listing.</w:t>
            </w:r>
          </w:p>
          <w:p w14:paraId="4CA7FB81" w14:textId="77777777" w:rsidR="00810C85" w:rsidRPr="0063477B" w:rsidRDefault="00810C85" w:rsidP="0063477B">
            <w:pPr>
              <w:pStyle w:val="TableParagraph"/>
              <w:spacing w:line="288" w:lineRule="auto"/>
              <w:jc w:val="center"/>
            </w:pPr>
          </w:p>
          <w:p w14:paraId="6368595B" w14:textId="77777777" w:rsidR="00810C85" w:rsidRPr="0063477B" w:rsidRDefault="00810C85" w:rsidP="0063477B">
            <w:pPr>
              <w:pStyle w:val="TableParagraph"/>
              <w:spacing w:line="288" w:lineRule="auto"/>
              <w:jc w:val="center"/>
            </w:pPr>
            <w:r w:rsidRPr="0063477B">
              <w:t>Potential for higher return:</w:t>
            </w:r>
          </w:p>
          <w:p w14:paraId="3538DB90" w14:textId="77777777" w:rsidR="00810C85" w:rsidRPr="0063477B" w:rsidRDefault="00810C85" w:rsidP="0063477B">
            <w:pPr>
              <w:pStyle w:val="TableParagraph"/>
              <w:spacing w:line="288" w:lineRule="auto"/>
              <w:jc w:val="center"/>
            </w:pPr>
          </w:p>
          <w:p w14:paraId="614C058B" w14:textId="77777777" w:rsidR="00810C85" w:rsidRPr="0063477B" w:rsidRDefault="00810C85" w:rsidP="0063477B">
            <w:pPr>
              <w:pStyle w:val="TableParagraph"/>
              <w:spacing w:line="288" w:lineRule="auto"/>
              <w:jc w:val="center"/>
            </w:pPr>
            <w:r w:rsidRPr="0063477B">
              <w:t xml:space="preserve">These investments can allow UCITS to access private companies at an early stage of development, </w:t>
            </w:r>
            <w:r w:rsidRPr="0063477B">
              <w:lastRenderedPageBreak/>
              <w:t>where the potential for growth and higher returns can be significant.</w:t>
            </w:r>
          </w:p>
          <w:p w14:paraId="3C7D845B" w14:textId="77777777" w:rsidR="00810C85" w:rsidRPr="0063477B" w:rsidRDefault="00810C85" w:rsidP="0063477B">
            <w:pPr>
              <w:pStyle w:val="TableParagraph"/>
              <w:spacing w:line="288" w:lineRule="auto"/>
              <w:jc w:val="center"/>
            </w:pPr>
          </w:p>
          <w:p w14:paraId="4B99056E" w14:textId="364B6F40" w:rsidR="00324B1C" w:rsidRPr="0063477B" w:rsidRDefault="00810C85" w:rsidP="0063477B">
            <w:pPr>
              <w:spacing w:line="288" w:lineRule="auto"/>
              <w:jc w:val="both"/>
              <w:rPr>
                <w:rFonts w:ascii="Arial" w:hAnsi="Arial" w:cs="Arial"/>
                <w:color w:val="181818"/>
              </w:rPr>
            </w:pPr>
            <w:r w:rsidRPr="0063477B">
              <w:rPr>
                <w:rFonts w:ascii="Arial" w:hAnsi="Arial" w:cs="Arial"/>
              </w:rPr>
              <w:t>Diversification: Unlisted equities can provide diversification to a UCITS portfolio, as they often have different risk and return characteristics compared to listed equities</w:t>
            </w:r>
          </w:p>
        </w:tc>
        <w:tc>
          <w:tcPr>
            <w:tcW w:w="2115" w:type="dxa"/>
          </w:tcPr>
          <w:p w14:paraId="1299C43A" w14:textId="6B9E8E0A" w:rsidR="00324B1C" w:rsidRPr="0063477B" w:rsidRDefault="00810C85" w:rsidP="0063477B">
            <w:pPr>
              <w:spacing w:line="288" w:lineRule="auto"/>
              <w:jc w:val="both"/>
              <w:rPr>
                <w:rFonts w:ascii="Arial" w:hAnsi="Arial" w:cs="Arial"/>
                <w:color w:val="181818"/>
              </w:rPr>
            </w:pPr>
            <w:r w:rsidRPr="0063477B">
              <w:rPr>
                <w:rFonts w:ascii="Arial" w:hAnsi="Arial" w:cs="Arial"/>
              </w:rPr>
              <w:lastRenderedPageBreak/>
              <w:t>See left column</w:t>
            </w:r>
          </w:p>
        </w:tc>
        <w:tc>
          <w:tcPr>
            <w:tcW w:w="1927" w:type="dxa"/>
          </w:tcPr>
          <w:p w14:paraId="4DDBEF00" w14:textId="77777777" w:rsidR="00324B1C" w:rsidRPr="0063477B" w:rsidRDefault="00324B1C" w:rsidP="0063477B">
            <w:pPr>
              <w:spacing w:line="288" w:lineRule="auto"/>
              <w:jc w:val="both"/>
              <w:rPr>
                <w:rFonts w:ascii="Arial" w:hAnsi="Arial" w:cs="Arial"/>
                <w:color w:val="181818"/>
              </w:rPr>
            </w:pPr>
          </w:p>
        </w:tc>
        <w:tc>
          <w:tcPr>
            <w:tcW w:w="1695" w:type="dxa"/>
          </w:tcPr>
          <w:p w14:paraId="3461D779" w14:textId="68F79609" w:rsidR="00324B1C" w:rsidRPr="0063477B" w:rsidRDefault="00810C85" w:rsidP="0063477B">
            <w:pPr>
              <w:spacing w:line="288" w:lineRule="auto"/>
              <w:jc w:val="both"/>
              <w:rPr>
                <w:rFonts w:ascii="Arial" w:hAnsi="Arial" w:cs="Arial"/>
                <w:color w:val="181818"/>
              </w:rPr>
            </w:pPr>
            <w:r w:rsidRPr="0063477B">
              <w:rPr>
                <w:rFonts w:ascii="Arial" w:hAnsi="Arial" w:cs="Arial"/>
              </w:rPr>
              <w:t>Especially pre-IPO investments are crucial.</w:t>
            </w:r>
          </w:p>
        </w:tc>
      </w:tr>
      <w:tr w:rsidR="0063477B" w:rsidRPr="0063477B" w14:paraId="5539B04B" w14:textId="77777777" w:rsidTr="0063477B">
        <w:tc>
          <w:tcPr>
            <w:tcW w:w="1888" w:type="dxa"/>
          </w:tcPr>
          <w:p w14:paraId="378D969D" w14:textId="77777777" w:rsidR="00324B1C" w:rsidRPr="0063477B" w:rsidRDefault="00324B1C" w:rsidP="0063477B">
            <w:pPr>
              <w:spacing w:line="288" w:lineRule="auto"/>
              <w:rPr>
                <w:rFonts w:ascii="Arial" w:hAnsi="Arial" w:cs="Arial"/>
              </w:rPr>
            </w:pPr>
            <w:r w:rsidRPr="0063477B">
              <w:rPr>
                <w:rFonts w:ascii="Arial" w:hAnsi="Arial" w:cs="Arial"/>
              </w:rPr>
              <w:t>7. Crypto assets</w:t>
            </w:r>
            <w:r w:rsidRPr="0063477B">
              <w:rPr>
                <w:rFonts w:ascii="Arial" w:hAnsi="Arial" w:cs="Arial"/>
                <w:vertAlign w:val="superscript"/>
              </w:rPr>
              <w:footnoteReference w:id="8"/>
            </w:r>
          </w:p>
        </w:tc>
        <w:tc>
          <w:tcPr>
            <w:tcW w:w="1695" w:type="dxa"/>
          </w:tcPr>
          <w:p w14:paraId="353D2723" w14:textId="77777777" w:rsidR="00810C85" w:rsidRPr="0063477B" w:rsidRDefault="00810C85" w:rsidP="0063477B">
            <w:pPr>
              <w:pStyle w:val="TableParagraph"/>
              <w:spacing w:line="288" w:lineRule="auto"/>
              <w:jc w:val="center"/>
            </w:pPr>
            <w:r w:rsidRPr="0063477B">
              <w:t>Diversification: Including crypto assets in a UCITS fund can offer a new asset class that is has low correlation with traditional financial markets.</w:t>
            </w:r>
          </w:p>
          <w:p w14:paraId="06133D0A" w14:textId="77777777" w:rsidR="00810C85" w:rsidRPr="0063477B" w:rsidRDefault="00810C85" w:rsidP="0063477B">
            <w:pPr>
              <w:pStyle w:val="TableParagraph"/>
              <w:spacing w:line="288" w:lineRule="auto"/>
              <w:jc w:val="center"/>
            </w:pPr>
          </w:p>
          <w:p w14:paraId="2B195B83" w14:textId="77777777" w:rsidR="00810C85" w:rsidRPr="0063477B" w:rsidRDefault="00810C85" w:rsidP="0063477B">
            <w:pPr>
              <w:pStyle w:val="TableParagraph"/>
              <w:spacing w:line="288" w:lineRule="auto"/>
              <w:jc w:val="center"/>
            </w:pPr>
            <w:r w:rsidRPr="0063477B">
              <w:t xml:space="preserve">Innovation and access to new markets: Crypto assets represent an innovation in </w:t>
            </w:r>
            <w:proofErr w:type="gramStart"/>
            <w:r w:rsidRPr="0063477B">
              <w:t>finance, and</w:t>
            </w:r>
            <w:proofErr w:type="gramEnd"/>
            <w:r w:rsidRPr="0063477B">
              <w:t xml:space="preserve"> including them in UCITS funds could enable investors to participate in the growth and development of this emerging sector. It allows for </w:t>
            </w:r>
            <w:r w:rsidRPr="0063477B">
              <w:lastRenderedPageBreak/>
              <w:t>the inclusion of innovative technologies and access to new investment opportunities.</w:t>
            </w:r>
          </w:p>
          <w:p w14:paraId="06D870E2" w14:textId="77777777" w:rsidR="00810C85" w:rsidRPr="0063477B" w:rsidRDefault="00810C85" w:rsidP="0063477B">
            <w:pPr>
              <w:pStyle w:val="TableParagraph"/>
              <w:spacing w:line="288" w:lineRule="auto"/>
              <w:jc w:val="center"/>
            </w:pPr>
          </w:p>
          <w:p w14:paraId="386F3BBC" w14:textId="77777777" w:rsidR="00810C85" w:rsidRPr="0063477B" w:rsidRDefault="00810C85" w:rsidP="0063477B">
            <w:pPr>
              <w:pStyle w:val="TableParagraph"/>
              <w:spacing w:line="288" w:lineRule="auto"/>
              <w:jc w:val="center"/>
            </w:pPr>
            <w:r w:rsidRPr="0063477B">
              <w:t>Increased investor diversity: The inclusion of crypto assets in UCITS funds could attract a new segment of investors who are interested in this asset class.</w:t>
            </w:r>
          </w:p>
          <w:p w14:paraId="1E536687" w14:textId="77777777" w:rsidR="00810C85" w:rsidRPr="0063477B" w:rsidRDefault="00810C85" w:rsidP="0063477B">
            <w:pPr>
              <w:pStyle w:val="TableParagraph"/>
              <w:spacing w:line="288" w:lineRule="auto"/>
              <w:jc w:val="center"/>
            </w:pPr>
          </w:p>
          <w:p w14:paraId="00910A9C" w14:textId="77777777" w:rsidR="00810C85" w:rsidRPr="0063477B" w:rsidRDefault="00810C85" w:rsidP="0063477B">
            <w:pPr>
              <w:widowControl w:val="0"/>
              <w:spacing w:line="288" w:lineRule="auto"/>
              <w:ind w:left="44"/>
              <w:jc w:val="center"/>
              <w:rPr>
                <w:rFonts w:ascii="Arial" w:eastAsia="Arial" w:hAnsi="Arial" w:cs="Arial"/>
                <w:lang w:val="en-US"/>
              </w:rPr>
            </w:pPr>
            <w:r w:rsidRPr="0063477B">
              <w:rPr>
                <w:rFonts w:ascii="Arial" w:eastAsia="Arial" w:hAnsi="Arial" w:cs="Arial"/>
                <w:lang w:val="en-US"/>
              </w:rPr>
              <w:t xml:space="preserve">Direct exposure to crypto assets via on-chain investing is the most secure, least expensive and transparent way to gain crypto </w:t>
            </w:r>
            <w:proofErr w:type="gramStart"/>
            <w:r w:rsidRPr="0063477B">
              <w:rPr>
                <w:rFonts w:ascii="Arial" w:eastAsia="Arial" w:hAnsi="Arial" w:cs="Arial"/>
                <w:lang w:val="en-US"/>
              </w:rPr>
              <w:t>exposure</w:t>
            </w:r>
            <w:proofErr w:type="gramEnd"/>
          </w:p>
          <w:p w14:paraId="5750B3AD" w14:textId="77777777" w:rsidR="00810C85" w:rsidRPr="0063477B" w:rsidRDefault="00810C85" w:rsidP="0063477B">
            <w:pPr>
              <w:widowControl w:val="0"/>
              <w:spacing w:line="288" w:lineRule="auto"/>
              <w:ind w:left="44"/>
              <w:jc w:val="center"/>
              <w:rPr>
                <w:rFonts w:ascii="Arial" w:eastAsia="Arial" w:hAnsi="Arial" w:cs="Arial"/>
                <w:lang w:val="en-US"/>
              </w:rPr>
            </w:pPr>
          </w:p>
          <w:p w14:paraId="4E09C5BF" w14:textId="77777777" w:rsidR="00810C85" w:rsidRPr="0063477B" w:rsidRDefault="00810C85" w:rsidP="0063477B">
            <w:pPr>
              <w:widowControl w:val="0"/>
              <w:spacing w:line="288" w:lineRule="auto"/>
              <w:ind w:left="44"/>
              <w:jc w:val="center"/>
              <w:rPr>
                <w:rFonts w:ascii="Arial" w:eastAsia="Arial" w:hAnsi="Arial" w:cs="Arial"/>
                <w:lang w:val="en-US"/>
              </w:rPr>
            </w:pPr>
            <w:r w:rsidRPr="0063477B">
              <w:rPr>
                <w:rFonts w:ascii="Arial" w:eastAsia="Arial" w:hAnsi="Arial" w:cs="Arial"/>
                <w:lang w:val="en-US"/>
              </w:rPr>
              <w:t xml:space="preserve">Is the most technological advanced </w:t>
            </w:r>
            <w:proofErr w:type="gramStart"/>
            <w:r w:rsidRPr="0063477B">
              <w:rPr>
                <w:rFonts w:ascii="Arial" w:eastAsia="Arial" w:hAnsi="Arial" w:cs="Arial"/>
                <w:lang w:val="en-US"/>
              </w:rPr>
              <w:t>solution</w:t>
            </w:r>
            <w:proofErr w:type="gramEnd"/>
          </w:p>
          <w:p w14:paraId="67F403C8" w14:textId="77777777" w:rsidR="00810C85" w:rsidRPr="0063477B" w:rsidRDefault="00810C85" w:rsidP="0063477B">
            <w:pPr>
              <w:widowControl w:val="0"/>
              <w:spacing w:line="288" w:lineRule="auto"/>
              <w:ind w:left="44"/>
              <w:jc w:val="center"/>
              <w:rPr>
                <w:rFonts w:ascii="Arial" w:eastAsia="Arial" w:hAnsi="Arial" w:cs="Arial"/>
                <w:lang w:val="en-US"/>
              </w:rPr>
            </w:pPr>
          </w:p>
          <w:p w14:paraId="1741EFDE" w14:textId="77777777" w:rsidR="00810C85" w:rsidRPr="0063477B" w:rsidRDefault="00810C85" w:rsidP="0063477B">
            <w:pPr>
              <w:widowControl w:val="0"/>
              <w:spacing w:line="288" w:lineRule="auto"/>
              <w:ind w:left="44"/>
              <w:jc w:val="center"/>
              <w:rPr>
                <w:rFonts w:ascii="Arial" w:eastAsia="Arial" w:hAnsi="Arial" w:cs="Arial"/>
                <w:lang w:val="en-US"/>
              </w:rPr>
            </w:pPr>
            <w:r w:rsidRPr="0063477B">
              <w:rPr>
                <w:rFonts w:ascii="Arial" w:eastAsia="Arial" w:hAnsi="Arial" w:cs="Arial"/>
                <w:lang w:val="en-US"/>
              </w:rPr>
              <w:t xml:space="preserve">Gives future on-chain opportunities such as staking, trading, lending and borrowing on </w:t>
            </w:r>
            <w:proofErr w:type="spellStart"/>
            <w:r w:rsidRPr="0063477B">
              <w:rPr>
                <w:rFonts w:ascii="Arial" w:eastAsia="Arial" w:hAnsi="Arial" w:cs="Arial"/>
                <w:lang w:val="en-US"/>
              </w:rPr>
              <w:t>decentralised</w:t>
            </w:r>
            <w:proofErr w:type="spellEnd"/>
            <w:r w:rsidRPr="0063477B">
              <w:rPr>
                <w:rFonts w:ascii="Arial" w:eastAsia="Arial" w:hAnsi="Arial" w:cs="Arial"/>
                <w:lang w:val="en-US"/>
              </w:rPr>
              <w:t xml:space="preserve"> </w:t>
            </w:r>
            <w:proofErr w:type="gramStart"/>
            <w:r w:rsidRPr="0063477B">
              <w:rPr>
                <w:rFonts w:ascii="Arial" w:eastAsia="Arial" w:hAnsi="Arial" w:cs="Arial"/>
                <w:lang w:val="en-US"/>
              </w:rPr>
              <w:t>market places</w:t>
            </w:r>
            <w:proofErr w:type="gramEnd"/>
            <w:r w:rsidRPr="0063477B">
              <w:rPr>
                <w:rFonts w:ascii="Arial" w:eastAsia="Arial" w:hAnsi="Arial" w:cs="Arial"/>
                <w:lang w:val="en-US"/>
              </w:rPr>
              <w:t xml:space="preserve"> (if regulatory approved)</w:t>
            </w:r>
          </w:p>
          <w:p w14:paraId="579BD3D1" w14:textId="77777777" w:rsidR="00810C85" w:rsidRPr="0063477B" w:rsidRDefault="00810C85" w:rsidP="0063477B">
            <w:pPr>
              <w:widowControl w:val="0"/>
              <w:spacing w:line="288" w:lineRule="auto"/>
              <w:ind w:left="44"/>
              <w:jc w:val="center"/>
              <w:rPr>
                <w:rFonts w:ascii="Arial" w:eastAsia="Arial" w:hAnsi="Arial" w:cs="Arial"/>
                <w:lang w:val="en-US"/>
              </w:rPr>
            </w:pPr>
          </w:p>
          <w:p w14:paraId="3CF2D8B6" w14:textId="1019CD4C" w:rsidR="00324B1C" w:rsidRPr="0063477B" w:rsidRDefault="00810C85" w:rsidP="0063477B">
            <w:pPr>
              <w:spacing w:line="288" w:lineRule="auto"/>
              <w:jc w:val="both"/>
              <w:rPr>
                <w:rFonts w:ascii="Arial" w:hAnsi="Arial" w:cs="Arial"/>
                <w:color w:val="181818"/>
              </w:rPr>
            </w:pPr>
            <w:r w:rsidRPr="0063477B">
              <w:rPr>
                <w:rFonts w:ascii="Arial" w:eastAsia="Arial" w:hAnsi="Arial" w:cs="Arial"/>
                <w:lang w:val="en-US"/>
              </w:rPr>
              <w:t>tracks and monitors risk and return in real-time</w:t>
            </w:r>
          </w:p>
        </w:tc>
        <w:tc>
          <w:tcPr>
            <w:tcW w:w="2115" w:type="dxa"/>
          </w:tcPr>
          <w:p w14:paraId="6B9D4FAD"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lastRenderedPageBreak/>
              <w:t xml:space="preserve">See questions 13 and 21. Indirect crypto asset exposure enables UCITS managers to conveniently gain exposure via traditional wrappers while abstracting certain challenges of direct investments, such as </w:t>
            </w:r>
            <w:proofErr w:type="spellStart"/>
            <w:r w:rsidRPr="0063477B">
              <w:rPr>
                <w:color w:val="000000" w:themeColor="text1"/>
                <w:u w:val="single"/>
              </w:rPr>
              <w:t>specialised</w:t>
            </w:r>
            <w:proofErr w:type="spellEnd"/>
            <w:r w:rsidRPr="0063477B">
              <w:rPr>
                <w:color w:val="000000" w:themeColor="text1"/>
                <w:u w:val="single"/>
              </w:rPr>
              <w:t xml:space="preserve"> crypto asset custody setup</w:t>
            </w:r>
            <w:r w:rsidRPr="0063477B">
              <w:rPr>
                <w:color w:val="000000" w:themeColor="text1"/>
              </w:rPr>
              <w:t xml:space="preserve"> and a</w:t>
            </w:r>
            <w:r w:rsidRPr="0063477B">
              <w:rPr>
                <w:color w:val="000000" w:themeColor="text1"/>
                <w:u w:val="single"/>
              </w:rPr>
              <w:t>ccess to crypto asset-specific liquidity venues</w:t>
            </w:r>
            <w:r w:rsidRPr="0063477B">
              <w:rPr>
                <w:color w:val="000000" w:themeColor="text1"/>
              </w:rPr>
              <w:t>:</w:t>
            </w:r>
          </w:p>
          <w:p w14:paraId="0D067EC9" w14:textId="77777777" w:rsidR="00810C85" w:rsidRPr="0063477B" w:rsidRDefault="00810C85" w:rsidP="0063477B">
            <w:pPr>
              <w:pStyle w:val="TableParagraph"/>
              <w:spacing w:line="288" w:lineRule="auto"/>
              <w:jc w:val="center"/>
              <w:rPr>
                <w:color w:val="000000" w:themeColor="text1"/>
              </w:rPr>
            </w:pPr>
          </w:p>
          <w:p w14:paraId="0FB78278" w14:textId="4D3A9DE4" w:rsidR="00324B1C" w:rsidRPr="0063477B" w:rsidRDefault="00810C85" w:rsidP="0063477B">
            <w:pPr>
              <w:spacing w:line="288" w:lineRule="auto"/>
              <w:jc w:val="both"/>
              <w:rPr>
                <w:rFonts w:ascii="Arial" w:hAnsi="Arial" w:cs="Arial"/>
                <w:color w:val="181818"/>
              </w:rPr>
            </w:pPr>
            <w:r w:rsidRPr="0063477B">
              <w:rPr>
                <w:rFonts w:ascii="Arial" w:hAnsi="Arial" w:cs="Arial"/>
              </w:rPr>
              <w:t xml:space="preserve">Derivatives with cash settlement on single crypto assets should be allowed as well. This would be in the interest of investors because it would be more cost efficient </w:t>
            </w:r>
            <w:r w:rsidRPr="0063477B">
              <w:rPr>
                <w:rFonts w:ascii="Arial" w:hAnsi="Arial" w:cs="Arial"/>
              </w:rPr>
              <w:lastRenderedPageBreak/>
              <w:t>than the current repackaging into investable instruments via an investment bank. Furthermore, it would give the possibility to hedge exposure in highly liquid instruments.</w:t>
            </w:r>
          </w:p>
        </w:tc>
        <w:tc>
          <w:tcPr>
            <w:tcW w:w="1927" w:type="dxa"/>
          </w:tcPr>
          <w:p w14:paraId="1FC39945" w14:textId="77777777" w:rsidR="00324B1C" w:rsidRPr="0063477B" w:rsidRDefault="00324B1C" w:rsidP="0063477B">
            <w:pPr>
              <w:spacing w:line="288" w:lineRule="auto"/>
              <w:jc w:val="both"/>
              <w:rPr>
                <w:rFonts w:ascii="Arial" w:hAnsi="Arial" w:cs="Arial"/>
                <w:color w:val="181818"/>
              </w:rPr>
            </w:pPr>
          </w:p>
        </w:tc>
        <w:tc>
          <w:tcPr>
            <w:tcW w:w="1695" w:type="dxa"/>
          </w:tcPr>
          <w:p w14:paraId="2F97AFF5" w14:textId="77777777" w:rsidR="00810C85" w:rsidRPr="0063477B" w:rsidRDefault="00810C85" w:rsidP="0063477B">
            <w:pPr>
              <w:pStyle w:val="TableParagraph"/>
              <w:spacing w:line="288" w:lineRule="auto"/>
              <w:jc w:val="center"/>
            </w:pPr>
            <w:r w:rsidRPr="0063477B">
              <w:t>A new asset class with growing importance. Especially indirect investments are becoming more and more popular.</w:t>
            </w:r>
          </w:p>
          <w:p w14:paraId="69461ED2" w14:textId="77777777" w:rsidR="00810C85" w:rsidRPr="0063477B" w:rsidRDefault="00810C85" w:rsidP="0063477B">
            <w:pPr>
              <w:pStyle w:val="TableParagraph"/>
              <w:spacing w:line="288" w:lineRule="auto"/>
              <w:jc w:val="center"/>
              <w:rPr>
                <w:color w:val="000000" w:themeColor="text1"/>
              </w:rPr>
            </w:pPr>
          </w:p>
          <w:p w14:paraId="0562CB0E" w14:textId="42194FCE" w:rsidR="00324B1C"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It is important to differentiate between MiCAR crypto assets and tokenised traditional instruments (“MiFID crypto assets”). Regarding the latter category please also see our comment to Q25 below.</w:t>
            </w:r>
          </w:p>
        </w:tc>
      </w:tr>
      <w:tr w:rsidR="0063477B" w:rsidRPr="0063477B" w14:paraId="6582FE19" w14:textId="77777777" w:rsidTr="0063477B">
        <w:tc>
          <w:tcPr>
            <w:tcW w:w="1888" w:type="dxa"/>
          </w:tcPr>
          <w:p w14:paraId="73AF3CD4" w14:textId="77777777" w:rsidR="00324B1C" w:rsidRPr="0063477B" w:rsidRDefault="00324B1C" w:rsidP="0063477B">
            <w:pPr>
              <w:spacing w:line="288" w:lineRule="auto"/>
              <w:rPr>
                <w:rFonts w:ascii="Arial" w:hAnsi="Arial" w:cs="Arial"/>
              </w:rPr>
            </w:pPr>
            <w:r w:rsidRPr="0063477B">
              <w:rPr>
                <w:rFonts w:ascii="Arial" w:hAnsi="Arial" w:cs="Arial"/>
              </w:rPr>
              <w:lastRenderedPageBreak/>
              <w:t>8. Commodities and precious metals</w:t>
            </w:r>
            <w:r w:rsidRPr="0063477B">
              <w:rPr>
                <w:rFonts w:ascii="Arial" w:hAnsi="Arial" w:cs="Arial"/>
                <w:vertAlign w:val="superscript"/>
              </w:rPr>
              <w:footnoteReference w:id="9"/>
            </w:r>
          </w:p>
        </w:tc>
        <w:tc>
          <w:tcPr>
            <w:tcW w:w="1695" w:type="dxa"/>
          </w:tcPr>
          <w:p w14:paraId="7172DCD7" w14:textId="77777777" w:rsidR="00810C85" w:rsidRPr="0063477B" w:rsidRDefault="00810C85" w:rsidP="0063477B">
            <w:pPr>
              <w:pStyle w:val="TableParagraph"/>
              <w:spacing w:line="288" w:lineRule="auto"/>
              <w:jc w:val="center"/>
            </w:pPr>
            <w:r w:rsidRPr="0063477B">
              <w:t>Diversification:</w:t>
            </w:r>
          </w:p>
          <w:p w14:paraId="5E8F2967" w14:textId="77777777" w:rsidR="00810C85" w:rsidRPr="0063477B" w:rsidRDefault="00810C85" w:rsidP="0063477B">
            <w:pPr>
              <w:pStyle w:val="TableParagraph"/>
              <w:spacing w:line="288" w:lineRule="auto"/>
              <w:jc w:val="center"/>
            </w:pPr>
            <w:r w:rsidRPr="0063477B">
              <w:t>Commodity investments can provide liquid diversification benefits to a UCITS portfolio. Commodities tend to have low correlation with traditional asset classes like stocks and bonds, which can help reduce overall portfolio volatility and enhance diversification.</w:t>
            </w:r>
          </w:p>
          <w:p w14:paraId="353433A7" w14:textId="77777777" w:rsidR="00810C85" w:rsidRPr="0063477B" w:rsidRDefault="00810C85" w:rsidP="0063477B">
            <w:pPr>
              <w:pStyle w:val="TableParagraph"/>
              <w:spacing w:line="288" w:lineRule="auto"/>
              <w:jc w:val="center"/>
            </w:pPr>
          </w:p>
          <w:p w14:paraId="2EAE6257" w14:textId="77777777" w:rsidR="00810C85" w:rsidRPr="0063477B" w:rsidRDefault="00810C85" w:rsidP="0063477B">
            <w:pPr>
              <w:pStyle w:val="TableParagraph"/>
              <w:spacing w:line="288" w:lineRule="auto"/>
              <w:jc w:val="center"/>
            </w:pPr>
            <w:r w:rsidRPr="0063477B">
              <w:t>Inflation hedge:</w:t>
            </w:r>
          </w:p>
          <w:p w14:paraId="72FF60D2" w14:textId="77777777" w:rsidR="00810C85" w:rsidRPr="0063477B" w:rsidRDefault="00810C85" w:rsidP="0063477B">
            <w:pPr>
              <w:pStyle w:val="TableParagraph"/>
              <w:spacing w:line="288" w:lineRule="auto"/>
              <w:jc w:val="center"/>
            </w:pPr>
            <w:r w:rsidRPr="0063477B">
              <w:t>Commodities, such as precious metals, have historically acted as an inflation hedge. As commodity prices tend to rise with inflation, including them in a UCITS fund can help protect against the erosion of purchasing power during inflationary periods.</w:t>
            </w:r>
          </w:p>
          <w:p w14:paraId="4A32417D" w14:textId="77777777" w:rsidR="00810C85" w:rsidRPr="0063477B" w:rsidRDefault="00810C85" w:rsidP="0063477B">
            <w:pPr>
              <w:pStyle w:val="TableParagraph"/>
              <w:spacing w:line="288" w:lineRule="auto"/>
              <w:jc w:val="center"/>
            </w:pPr>
          </w:p>
          <w:p w14:paraId="05073327" w14:textId="77777777" w:rsidR="00810C85" w:rsidRPr="0063477B" w:rsidRDefault="00810C85" w:rsidP="0063477B">
            <w:pPr>
              <w:pStyle w:val="TableParagraph"/>
              <w:spacing w:line="288" w:lineRule="auto"/>
              <w:jc w:val="center"/>
            </w:pPr>
          </w:p>
          <w:p w14:paraId="34CE0A41" w14:textId="00421160" w:rsidR="00324B1C" w:rsidRPr="0063477B" w:rsidRDefault="00810C85" w:rsidP="0063477B">
            <w:pPr>
              <w:spacing w:line="288" w:lineRule="auto"/>
              <w:jc w:val="both"/>
              <w:rPr>
                <w:rFonts w:ascii="Arial" w:hAnsi="Arial" w:cs="Arial"/>
                <w:color w:val="181818"/>
              </w:rPr>
            </w:pPr>
            <w:r w:rsidRPr="0063477B">
              <w:rPr>
                <w:rFonts w:ascii="Arial" w:hAnsi="Arial" w:cs="Arial"/>
              </w:rPr>
              <w:t xml:space="preserve">However, UCITS, as the name already suggests, are intended to invest in securities, </w:t>
            </w:r>
            <w:r w:rsidRPr="0063477B">
              <w:rPr>
                <w:rFonts w:ascii="Arial" w:hAnsi="Arial" w:cs="Arial"/>
              </w:rPr>
              <w:lastRenderedPageBreak/>
              <w:t>which distinguishes them from AIFs, which is why we do not consider an extension to include direct exposure to be necessary.</w:t>
            </w:r>
          </w:p>
        </w:tc>
        <w:tc>
          <w:tcPr>
            <w:tcW w:w="2115" w:type="dxa"/>
          </w:tcPr>
          <w:p w14:paraId="6DF7141D" w14:textId="77777777" w:rsidR="00324B1C" w:rsidRPr="0063477B" w:rsidRDefault="00810C85" w:rsidP="0063477B">
            <w:pPr>
              <w:spacing w:line="288" w:lineRule="auto"/>
              <w:jc w:val="both"/>
              <w:rPr>
                <w:rFonts w:ascii="Arial" w:hAnsi="Arial" w:cs="Arial"/>
                <w:color w:val="181818"/>
              </w:rPr>
            </w:pPr>
            <w:r w:rsidRPr="0063477B">
              <w:rPr>
                <w:rFonts w:ascii="Arial" w:hAnsi="Arial" w:cs="Arial"/>
                <w:color w:val="181818"/>
              </w:rPr>
              <w:lastRenderedPageBreak/>
              <w:t>Risk diversification and additional source of performance</w:t>
            </w:r>
          </w:p>
          <w:p w14:paraId="2C497E73" w14:textId="77777777" w:rsidR="00810C85" w:rsidRPr="0063477B" w:rsidRDefault="00810C85" w:rsidP="0063477B">
            <w:pPr>
              <w:spacing w:line="288" w:lineRule="auto"/>
              <w:jc w:val="both"/>
              <w:rPr>
                <w:rFonts w:ascii="Arial" w:hAnsi="Arial" w:cs="Arial"/>
                <w:color w:val="181818"/>
              </w:rPr>
            </w:pPr>
          </w:p>
          <w:p w14:paraId="49130128"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rPr>
              <w:t>Commodities and precious metals</w:t>
            </w:r>
            <w:r w:rsidRPr="0063477B">
              <w:rPr>
                <w:rFonts w:ascii="Arial" w:hAnsi="Arial" w:cs="Arial"/>
                <w:color w:val="181818"/>
              </w:rPr>
              <w:t>, as an underlying, have low or no correlation with traditional asset classes, diversifying the portfolio and reducing risk, while also providing a good hedge against inflation.</w:t>
            </w:r>
          </w:p>
          <w:p w14:paraId="792049E6" w14:textId="77777777" w:rsidR="00810C85" w:rsidRPr="0063477B" w:rsidRDefault="00810C85" w:rsidP="0063477B">
            <w:pPr>
              <w:widowControl w:val="0"/>
              <w:spacing w:line="288" w:lineRule="auto"/>
              <w:jc w:val="center"/>
              <w:rPr>
                <w:rFonts w:ascii="Arial" w:hAnsi="Arial" w:cs="Arial"/>
                <w:color w:val="181818"/>
              </w:rPr>
            </w:pPr>
          </w:p>
          <w:p w14:paraId="66BFEBBF" w14:textId="77777777" w:rsidR="00810C85" w:rsidRPr="0063477B" w:rsidRDefault="00810C85" w:rsidP="0063477B">
            <w:pPr>
              <w:pStyle w:val="TableParagraph"/>
              <w:spacing w:line="288" w:lineRule="auto"/>
              <w:jc w:val="center"/>
              <w:rPr>
                <w:color w:val="181818"/>
              </w:rPr>
            </w:pPr>
            <w:r w:rsidRPr="0063477B">
              <w:rPr>
                <w:color w:val="181818"/>
              </w:rPr>
              <w:t xml:space="preserve">Indirect exposures may be achieved </w:t>
            </w:r>
            <w:proofErr w:type="gramStart"/>
            <w:r w:rsidRPr="0063477B">
              <w:rPr>
                <w:color w:val="181818"/>
              </w:rPr>
              <w:t>through</w:t>
            </w:r>
            <w:proofErr w:type="gramEnd"/>
          </w:p>
          <w:p w14:paraId="6BC3ED81" w14:textId="77777777" w:rsidR="00810C85" w:rsidRPr="0063477B" w:rsidRDefault="00810C85" w:rsidP="0063477B">
            <w:pPr>
              <w:pStyle w:val="TableParagraph"/>
              <w:spacing w:line="288" w:lineRule="auto"/>
              <w:jc w:val="center"/>
              <w:rPr>
                <w:color w:val="181818"/>
              </w:rPr>
            </w:pPr>
          </w:p>
          <w:p w14:paraId="567B5603" w14:textId="77777777" w:rsidR="00810C85" w:rsidRPr="0063477B" w:rsidRDefault="00810C85" w:rsidP="0063477B">
            <w:pPr>
              <w:pStyle w:val="TableParagraph"/>
              <w:numPr>
                <w:ilvl w:val="0"/>
                <w:numId w:val="1"/>
              </w:numPr>
              <w:spacing w:line="288" w:lineRule="auto"/>
              <w:jc w:val="center"/>
              <w:rPr>
                <w:color w:val="181818"/>
              </w:rPr>
            </w:pPr>
            <w:r w:rsidRPr="0063477B">
              <w:rPr>
                <w:color w:val="181818"/>
              </w:rPr>
              <w:t xml:space="preserve">derivatives, such as ETCs and commodity-linked derivatives like futures, options, swaps linked to the performance of commodities or commodity </w:t>
            </w:r>
            <w:proofErr w:type="gramStart"/>
            <w:r w:rsidRPr="0063477B">
              <w:rPr>
                <w:color w:val="181818"/>
              </w:rPr>
              <w:t>indices;</w:t>
            </w:r>
            <w:proofErr w:type="gramEnd"/>
          </w:p>
          <w:p w14:paraId="549F9D83" w14:textId="77777777" w:rsidR="00810C85" w:rsidRPr="0063477B" w:rsidRDefault="00810C85" w:rsidP="0063477B">
            <w:pPr>
              <w:pStyle w:val="TableParagraph"/>
              <w:spacing w:line="288" w:lineRule="auto"/>
              <w:ind w:left="1080"/>
              <w:jc w:val="center"/>
              <w:rPr>
                <w:color w:val="181818"/>
              </w:rPr>
            </w:pPr>
          </w:p>
          <w:p w14:paraId="0A6A7E10" w14:textId="77777777" w:rsidR="00810C85" w:rsidRPr="0063477B" w:rsidRDefault="00810C85" w:rsidP="0063477B">
            <w:pPr>
              <w:widowControl w:val="0"/>
              <w:spacing w:line="288" w:lineRule="auto"/>
              <w:ind w:left="709"/>
              <w:jc w:val="center"/>
              <w:rPr>
                <w:rFonts w:ascii="Arial" w:hAnsi="Arial" w:cs="Arial"/>
              </w:rPr>
            </w:pPr>
            <w:r w:rsidRPr="0063477B">
              <w:rPr>
                <w:rFonts w:ascii="Arial" w:hAnsi="Arial" w:cs="Arial"/>
              </w:rPr>
              <w:t>D</w:t>
            </w:r>
            <w:proofErr w:type="spellStart"/>
            <w:r w:rsidRPr="0063477B">
              <w:rPr>
                <w:rFonts w:ascii="Arial" w:hAnsi="Arial" w:cs="Arial"/>
                <w:lang w:val="en-US"/>
              </w:rPr>
              <w:t>elta</w:t>
            </w:r>
            <w:proofErr w:type="spellEnd"/>
            <w:r w:rsidRPr="0063477B">
              <w:rPr>
                <w:rFonts w:ascii="Arial" w:hAnsi="Arial" w:cs="Arial"/>
                <w:lang w:val="en-US"/>
              </w:rPr>
              <w:t xml:space="preserve">-one instruments are necessary to invest into commodity </w:t>
            </w:r>
            <w:r w:rsidRPr="0063477B">
              <w:rPr>
                <w:rFonts w:ascii="Arial" w:hAnsi="Arial" w:cs="Arial"/>
                <w:lang w:val="en-US"/>
              </w:rPr>
              <w:lastRenderedPageBreak/>
              <w:t>benchmarks or indices</w:t>
            </w:r>
            <w:r w:rsidRPr="0063477B">
              <w:rPr>
                <w:rFonts w:ascii="Arial" w:hAnsi="Arial" w:cs="Arial"/>
              </w:rPr>
              <w:t xml:space="preserve"> Derivatives with cash settlement on single commodities should be allowed as well. This would be in the interest of investors because it would be more cost efficient than the current repackaging into investable instruments via an investment bank</w:t>
            </w:r>
          </w:p>
          <w:p w14:paraId="3272ECA0" w14:textId="77777777" w:rsidR="00810C85" w:rsidRPr="0063477B" w:rsidRDefault="00810C85" w:rsidP="0063477B">
            <w:pPr>
              <w:pStyle w:val="TableParagraph"/>
              <w:spacing w:line="288" w:lineRule="auto"/>
              <w:jc w:val="center"/>
              <w:rPr>
                <w:color w:val="181818"/>
              </w:rPr>
            </w:pPr>
          </w:p>
          <w:p w14:paraId="7DEC9488" w14:textId="77777777" w:rsidR="00810C85" w:rsidRPr="0063477B" w:rsidRDefault="00810C85" w:rsidP="0063477B">
            <w:pPr>
              <w:pStyle w:val="TableParagraph"/>
              <w:numPr>
                <w:ilvl w:val="0"/>
                <w:numId w:val="1"/>
              </w:numPr>
              <w:spacing w:line="288" w:lineRule="auto"/>
              <w:jc w:val="center"/>
              <w:rPr>
                <w:color w:val="181818"/>
              </w:rPr>
            </w:pPr>
            <w:r w:rsidRPr="0063477B">
              <w:rPr>
                <w:color w:val="181818"/>
              </w:rPr>
              <w:t xml:space="preserve">equities related to commodities, such as shares in mining companies or ETFs which hold such shares or which trade commodity </w:t>
            </w:r>
            <w:proofErr w:type="gramStart"/>
            <w:r w:rsidRPr="0063477B">
              <w:rPr>
                <w:color w:val="181818"/>
              </w:rPr>
              <w:t>indices;</w:t>
            </w:r>
            <w:proofErr w:type="gramEnd"/>
          </w:p>
          <w:p w14:paraId="780B2083" w14:textId="77777777" w:rsidR="00810C85" w:rsidRPr="0063477B" w:rsidRDefault="00810C85" w:rsidP="0063477B">
            <w:pPr>
              <w:pStyle w:val="TableParagraph"/>
              <w:numPr>
                <w:ilvl w:val="0"/>
                <w:numId w:val="1"/>
              </w:numPr>
              <w:spacing w:line="288" w:lineRule="auto"/>
              <w:jc w:val="center"/>
              <w:rPr>
                <w:color w:val="181818"/>
              </w:rPr>
            </w:pPr>
            <w:r w:rsidRPr="0063477B">
              <w:rPr>
                <w:color w:val="181818"/>
              </w:rPr>
              <w:t>structured products, such as commodity-linked notes.</w:t>
            </w:r>
          </w:p>
          <w:p w14:paraId="5DEB2C36" w14:textId="77777777" w:rsidR="00810C85" w:rsidRPr="0063477B" w:rsidRDefault="00810C85" w:rsidP="0063477B">
            <w:pPr>
              <w:pStyle w:val="TableParagraph"/>
              <w:spacing w:line="288" w:lineRule="auto"/>
              <w:ind w:left="360"/>
              <w:jc w:val="center"/>
              <w:rPr>
                <w:color w:val="181818"/>
              </w:rPr>
            </w:pPr>
          </w:p>
          <w:p w14:paraId="62EBF3C5" w14:textId="220BFFBE" w:rsidR="00810C85" w:rsidRPr="0063477B" w:rsidRDefault="00810C85" w:rsidP="0063477B">
            <w:pPr>
              <w:spacing w:line="288" w:lineRule="auto"/>
              <w:jc w:val="both"/>
              <w:rPr>
                <w:rFonts w:ascii="Arial" w:hAnsi="Arial" w:cs="Arial"/>
                <w:color w:val="181818"/>
              </w:rPr>
            </w:pPr>
            <w:r w:rsidRPr="0063477B">
              <w:rPr>
                <w:rFonts w:ascii="Arial" w:hAnsi="Arial" w:cs="Arial"/>
                <w:color w:val="181818"/>
              </w:rPr>
              <w:lastRenderedPageBreak/>
              <w:t>Generally, good to high liquidity.</w:t>
            </w:r>
          </w:p>
        </w:tc>
        <w:tc>
          <w:tcPr>
            <w:tcW w:w="1927" w:type="dxa"/>
          </w:tcPr>
          <w:p w14:paraId="6D98A12B" w14:textId="77777777" w:rsidR="00324B1C" w:rsidRPr="0063477B" w:rsidRDefault="00324B1C" w:rsidP="0063477B">
            <w:pPr>
              <w:spacing w:line="288" w:lineRule="auto"/>
              <w:jc w:val="both"/>
              <w:rPr>
                <w:rFonts w:ascii="Arial" w:hAnsi="Arial" w:cs="Arial"/>
                <w:color w:val="181818"/>
              </w:rPr>
            </w:pPr>
          </w:p>
        </w:tc>
        <w:tc>
          <w:tcPr>
            <w:tcW w:w="1695" w:type="dxa"/>
          </w:tcPr>
          <w:p w14:paraId="2946DB82" w14:textId="77777777" w:rsidR="00324B1C" w:rsidRPr="0063477B" w:rsidRDefault="00324B1C" w:rsidP="0063477B">
            <w:pPr>
              <w:spacing w:line="288" w:lineRule="auto"/>
              <w:jc w:val="both"/>
              <w:rPr>
                <w:rFonts w:ascii="Arial" w:hAnsi="Arial" w:cs="Arial"/>
                <w:color w:val="181818"/>
              </w:rPr>
            </w:pPr>
          </w:p>
        </w:tc>
      </w:tr>
      <w:tr w:rsidR="0063477B" w:rsidRPr="0063477B" w14:paraId="1D06A7CA" w14:textId="77777777" w:rsidTr="0063477B">
        <w:tc>
          <w:tcPr>
            <w:tcW w:w="1888" w:type="dxa"/>
          </w:tcPr>
          <w:p w14:paraId="695108F8" w14:textId="77777777" w:rsidR="00324B1C" w:rsidRPr="0063477B" w:rsidRDefault="00324B1C" w:rsidP="0063477B">
            <w:pPr>
              <w:spacing w:line="288" w:lineRule="auto"/>
              <w:rPr>
                <w:rFonts w:ascii="Arial" w:hAnsi="Arial" w:cs="Arial"/>
              </w:rPr>
            </w:pPr>
            <w:r w:rsidRPr="0063477B">
              <w:rPr>
                <w:rFonts w:ascii="Arial" w:hAnsi="Arial" w:cs="Arial"/>
              </w:rPr>
              <w:lastRenderedPageBreak/>
              <w:t>9. Exchange-traded commodities (‘ETCs’)</w:t>
            </w:r>
          </w:p>
        </w:tc>
        <w:tc>
          <w:tcPr>
            <w:tcW w:w="1695" w:type="dxa"/>
          </w:tcPr>
          <w:p w14:paraId="4501B00F"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 xml:space="preserve">Risk diversification and additional source of </w:t>
            </w:r>
            <w:proofErr w:type="gramStart"/>
            <w:r w:rsidRPr="0063477B">
              <w:rPr>
                <w:rFonts w:ascii="Arial" w:hAnsi="Arial" w:cs="Arial"/>
                <w:lang w:val="en-US"/>
              </w:rPr>
              <w:t>performance</w:t>
            </w:r>
            <w:proofErr w:type="gramEnd"/>
          </w:p>
          <w:p w14:paraId="6CCC10B4" w14:textId="77777777" w:rsidR="00810C85" w:rsidRPr="0063477B" w:rsidRDefault="00810C85" w:rsidP="0063477B">
            <w:pPr>
              <w:widowControl w:val="0"/>
              <w:spacing w:line="288" w:lineRule="auto"/>
              <w:jc w:val="center"/>
              <w:rPr>
                <w:rFonts w:ascii="Arial" w:hAnsi="Arial" w:cs="Arial"/>
                <w:lang w:val="en-US"/>
              </w:rPr>
            </w:pPr>
          </w:p>
          <w:p w14:paraId="6BA9C0C0"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Description: ETCs are financial instruments which are traded on a stock exchange and which track the price of a commodity or commodity indices. ETCs can be physically backed or synthetic.</w:t>
            </w:r>
          </w:p>
          <w:p w14:paraId="6A546D39"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(1) Commodities have low or no correlation to traditional securities, diversifying the portfolio and reducing risk, while also providing a good hedge against inflation.</w:t>
            </w:r>
          </w:p>
          <w:p w14:paraId="43EF1E11" w14:textId="77777777" w:rsidR="00810C85" w:rsidRPr="0063477B" w:rsidRDefault="00810C85" w:rsidP="0063477B">
            <w:pPr>
              <w:widowControl w:val="0"/>
              <w:spacing w:line="288" w:lineRule="auto"/>
              <w:jc w:val="center"/>
              <w:rPr>
                <w:rFonts w:ascii="Arial" w:hAnsi="Arial" w:cs="Arial"/>
                <w:color w:val="181818"/>
              </w:rPr>
            </w:pPr>
          </w:p>
          <w:p w14:paraId="47613D67" w14:textId="77777777" w:rsidR="00810C85" w:rsidRPr="0063477B" w:rsidRDefault="00810C85" w:rsidP="0063477B">
            <w:pPr>
              <w:pStyle w:val="TableParagraph"/>
              <w:spacing w:line="288" w:lineRule="auto"/>
              <w:jc w:val="center"/>
              <w:rPr>
                <w:color w:val="181818"/>
              </w:rPr>
            </w:pPr>
            <w:r w:rsidRPr="0063477B">
              <w:rPr>
                <w:color w:val="181818"/>
              </w:rPr>
              <w:t>(2) ETCs permit indirect exposure to the performance of commodities without direct physical ownership.</w:t>
            </w:r>
          </w:p>
          <w:p w14:paraId="787D8057" w14:textId="77777777" w:rsidR="00810C85" w:rsidRPr="0063477B" w:rsidRDefault="00810C85" w:rsidP="0063477B">
            <w:pPr>
              <w:pStyle w:val="TableParagraph"/>
              <w:spacing w:line="288" w:lineRule="auto"/>
              <w:jc w:val="center"/>
              <w:rPr>
                <w:color w:val="181818"/>
              </w:rPr>
            </w:pPr>
          </w:p>
          <w:p w14:paraId="01B18757"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 xml:space="preserve">ETCs are standard instruments for commodity </w:t>
            </w:r>
            <w:r w:rsidRPr="0063477B">
              <w:rPr>
                <w:rFonts w:ascii="Arial" w:hAnsi="Arial" w:cs="Arial"/>
                <w:lang w:val="en-US"/>
              </w:rPr>
              <w:lastRenderedPageBreak/>
              <w:t xml:space="preserve">investments (see answer to no. 8 re </w:t>
            </w:r>
            <w:r w:rsidRPr="0063477B">
              <w:rPr>
                <w:rFonts w:ascii="Arial" w:hAnsi="Arial" w:cs="Arial"/>
              </w:rPr>
              <w:t>commodities and precious metals</w:t>
            </w:r>
            <w:r w:rsidRPr="0063477B">
              <w:rPr>
                <w:rFonts w:ascii="Arial" w:hAnsi="Arial" w:cs="Arial"/>
                <w:lang w:val="en-US"/>
              </w:rPr>
              <w:t>).</w:t>
            </w:r>
          </w:p>
          <w:p w14:paraId="5997CC1D" w14:textId="77777777" w:rsidR="00324B1C" w:rsidRPr="0063477B" w:rsidRDefault="00324B1C" w:rsidP="0063477B">
            <w:pPr>
              <w:spacing w:line="288" w:lineRule="auto"/>
              <w:jc w:val="both"/>
              <w:rPr>
                <w:rFonts w:ascii="Arial" w:hAnsi="Arial" w:cs="Arial"/>
                <w:color w:val="181818"/>
              </w:rPr>
            </w:pPr>
          </w:p>
        </w:tc>
        <w:tc>
          <w:tcPr>
            <w:tcW w:w="2115" w:type="dxa"/>
          </w:tcPr>
          <w:p w14:paraId="4CF23D72" w14:textId="77777777" w:rsidR="00810C85" w:rsidRPr="0063477B" w:rsidRDefault="00810C85" w:rsidP="0063477B">
            <w:pPr>
              <w:pStyle w:val="TableParagraph"/>
              <w:spacing w:line="288" w:lineRule="auto"/>
              <w:jc w:val="center"/>
              <w:rPr>
                <w:rFonts w:eastAsia="Times New Roman"/>
                <w:lang w:eastAsia="de-DE"/>
              </w:rPr>
            </w:pPr>
            <w:r w:rsidRPr="0063477B">
              <w:rPr>
                <w:rFonts w:eastAsia="Times New Roman"/>
                <w:lang w:eastAsia="de-DE"/>
              </w:rPr>
              <w:lastRenderedPageBreak/>
              <w:t xml:space="preserve">Risk diversification and additional source of </w:t>
            </w:r>
            <w:proofErr w:type="gramStart"/>
            <w:r w:rsidRPr="0063477B">
              <w:rPr>
                <w:rFonts w:eastAsia="Times New Roman"/>
                <w:lang w:eastAsia="de-DE"/>
              </w:rPr>
              <w:t>performance</w:t>
            </w:r>
            <w:proofErr w:type="gramEnd"/>
          </w:p>
          <w:p w14:paraId="042C27D8" w14:textId="77777777" w:rsidR="00810C85" w:rsidRPr="0063477B" w:rsidRDefault="00810C85" w:rsidP="0063477B">
            <w:pPr>
              <w:pStyle w:val="TableParagraph"/>
              <w:spacing w:line="288" w:lineRule="auto"/>
              <w:jc w:val="center"/>
              <w:rPr>
                <w:rFonts w:eastAsia="Times New Roman"/>
                <w:lang w:eastAsia="de-DE"/>
              </w:rPr>
            </w:pPr>
          </w:p>
          <w:p w14:paraId="2D012C63"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 xml:space="preserve">ETCs are standard instruments for commodity investments (see answer to no. 8 re </w:t>
            </w:r>
            <w:r w:rsidRPr="0063477B">
              <w:rPr>
                <w:rFonts w:ascii="Arial" w:hAnsi="Arial" w:cs="Arial"/>
              </w:rPr>
              <w:t>commodities and precious metals</w:t>
            </w:r>
            <w:r w:rsidRPr="0063477B">
              <w:rPr>
                <w:rFonts w:ascii="Arial" w:hAnsi="Arial" w:cs="Arial"/>
                <w:lang w:val="en-US"/>
              </w:rPr>
              <w:t>).</w:t>
            </w:r>
          </w:p>
          <w:p w14:paraId="110FFD37" w14:textId="77777777" w:rsidR="00324B1C" w:rsidRPr="0063477B" w:rsidRDefault="00324B1C" w:rsidP="0063477B">
            <w:pPr>
              <w:spacing w:line="288" w:lineRule="auto"/>
              <w:jc w:val="both"/>
              <w:rPr>
                <w:rFonts w:ascii="Arial" w:hAnsi="Arial" w:cs="Arial"/>
                <w:color w:val="181818"/>
              </w:rPr>
            </w:pPr>
          </w:p>
        </w:tc>
        <w:tc>
          <w:tcPr>
            <w:tcW w:w="1927" w:type="dxa"/>
          </w:tcPr>
          <w:p w14:paraId="6B699379" w14:textId="77777777" w:rsidR="00324B1C" w:rsidRPr="0063477B" w:rsidRDefault="00324B1C" w:rsidP="0063477B">
            <w:pPr>
              <w:spacing w:line="288" w:lineRule="auto"/>
              <w:jc w:val="both"/>
              <w:rPr>
                <w:rFonts w:ascii="Arial" w:hAnsi="Arial" w:cs="Arial"/>
                <w:color w:val="181818"/>
              </w:rPr>
            </w:pPr>
          </w:p>
        </w:tc>
        <w:tc>
          <w:tcPr>
            <w:tcW w:w="1695" w:type="dxa"/>
          </w:tcPr>
          <w:p w14:paraId="057C2B84"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b/>
                <w:bCs/>
                <w:color w:val="181818"/>
              </w:rPr>
              <w:t>Liquidity</w:t>
            </w:r>
            <w:r w:rsidRPr="0063477B">
              <w:rPr>
                <w:rFonts w:ascii="Arial" w:hAnsi="Arial" w:cs="Arial"/>
                <w:color w:val="181818"/>
              </w:rPr>
              <w:t>: as ETCs are listed on major stock exchanges, they are highly liquid in nature.</w:t>
            </w:r>
          </w:p>
          <w:p w14:paraId="079E2718" w14:textId="77777777" w:rsidR="00810C85" w:rsidRPr="0063477B" w:rsidRDefault="00810C85" w:rsidP="0063477B">
            <w:pPr>
              <w:widowControl w:val="0"/>
              <w:spacing w:line="288" w:lineRule="auto"/>
              <w:jc w:val="center"/>
              <w:rPr>
                <w:rFonts w:ascii="Arial" w:hAnsi="Arial" w:cs="Arial"/>
                <w:color w:val="181818"/>
              </w:rPr>
            </w:pPr>
          </w:p>
          <w:p w14:paraId="3FE9F23F" w14:textId="594E89C7" w:rsidR="00324B1C" w:rsidRPr="0063477B" w:rsidRDefault="00810C85" w:rsidP="0063477B">
            <w:pPr>
              <w:spacing w:line="288" w:lineRule="auto"/>
              <w:jc w:val="both"/>
              <w:rPr>
                <w:rFonts w:ascii="Arial" w:hAnsi="Arial" w:cs="Arial"/>
                <w:color w:val="181818"/>
              </w:rPr>
            </w:pPr>
            <w:r w:rsidRPr="0063477B">
              <w:rPr>
                <w:rFonts w:ascii="Arial" w:hAnsi="Arial" w:cs="Arial"/>
                <w:b/>
                <w:bCs/>
                <w:color w:val="181818"/>
              </w:rPr>
              <w:t>Reliable Valuation</w:t>
            </w:r>
            <w:r w:rsidRPr="0063477B">
              <w:rPr>
                <w:rFonts w:ascii="Arial" w:hAnsi="Arial" w:cs="Arial"/>
                <w:color w:val="181818"/>
              </w:rPr>
              <w:t>: valuation of ETCs is typically based on its market price, which is readily available. The fund manage obtains the latest available close price of the instrument on the exchange which is the primary market for the instrument or that on which the trade occurred.</w:t>
            </w:r>
          </w:p>
        </w:tc>
      </w:tr>
      <w:tr w:rsidR="0063477B" w:rsidRPr="0063477B" w14:paraId="241FBBEE" w14:textId="77777777" w:rsidTr="0063477B">
        <w:tc>
          <w:tcPr>
            <w:tcW w:w="1888" w:type="dxa"/>
          </w:tcPr>
          <w:p w14:paraId="168EC9A2" w14:textId="77777777" w:rsidR="00324B1C" w:rsidRPr="0063477B" w:rsidRDefault="00324B1C" w:rsidP="0063477B">
            <w:pPr>
              <w:spacing w:line="288" w:lineRule="auto"/>
              <w:rPr>
                <w:rFonts w:ascii="Arial" w:hAnsi="Arial" w:cs="Arial"/>
              </w:rPr>
            </w:pPr>
            <w:r w:rsidRPr="0063477B">
              <w:rPr>
                <w:rFonts w:ascii="Arial" w:hAnsi="Arial" w:cs="Arial"/>
              </w:rPr>
              <w:t>10. Real estate</w:t>
            </w:r>
          </w:p>
        </w:tc>
        <w:tc>
          <w:tcPr>
            <w:tcW w:w="1695" w:type="dxa"/>
          </w:tcPr>
          <w:p w14:paraId="1F72F646" w14:textId="77777777" w:rsidR="00324B1C" w:rsidRPr="0063477B" w:rsidRDefault="00324B1C" w:rsidP="0063477B">
            <w:pPr>
              <w:spacing w:line="288" w:lineRule="auto"/>
              <w:jc w:val="both"/>
              <w:rPr>
                <w:rFonts w:ascii="Arial" w:hAnsi="Arial" w:cs="Arial"/>
                <w:color w:val="181818"/>
              </w:rPr>
            </w:pPr>
          </w:p>
        </w:tc>
        <w:tc>
          <w:tcPr>
            <w:tcW w:w="2115" w:type="dxa"/>
          </w:tcPr>
          <w:p w14:paraId="08CE6F91" w14:textId="77777777" w:rsidR="00324B1C" w:rsidRPr="0063477B" w:rsidRDefault="00324B1C" w:rsidP="0063477B">
            <w:pPr>
              <w:spacing w:line="288" w:lineRule="auto"/>
              <w:jc w:val="both"/>
              <w:rPr>
                <w:rFonts w:ascii="Arial" w:hAnsi="Arial" w:cs="Arial"/>
                <w:color w:val="181818"/>
              </w:rPr>
            </w:pPr>
          </w:p>
        </w:tc>
        <w:tc>
          <w:tcPr>
            <w:tcW w:w="1927" w:type="dxa"/>
          </w:tcPr>
          <w:p w14:paraId="61CDCEAD" w14:textId="77777777" w:rsidR="00324B1C" w:rsidRPr="0063477B" w:rsidRDefault="00324B1C" w:rsidP="0063477B">
            <w:pPr>
              <w:spacing w:line="288" w:lineRule="auto"/>
              <w:jc w:val="both"/>
              <w:rPr>
                <w:rFonts w:ascii="Arial" w:hAnsi="Arial" w:cs="Arial"/>
                <w:color w:val="181818"/>
              </w:rPr>
            </w:pPr>
          </w:p>
        </w:tc>
        <w:tc>
          <w:tcPr>
            <w:tcW w:w="1695" w:type="dxa"/>
          </w:tcPr>
          <w:p w14:paraId="6BB9E253" w14:textId="16A06A43" w:rsidR="00324B1C"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Indirect exposure via e.g. liquid German, Austrian or French real estate funds would give multi asset funds more diversification and attractive risk/return Profiles</w:t>
            </w:r>
          </w:p>
        </w:tc>
      </w:tr>
      <w:tr w:rsidR="0063477B" w:rsidRPr="0063477B" w14:paraId="7FD6362C" w14:textId="77777777" w:rsidTr="0063477B">
        <w:tc>
          <w:tcPr>
            <w:tcW w:w="1888" w:type="dxa"/>
          </w:tcPr>
          <w:p w14:paraId="146B0B65" w14:textId="77777777" w:rsidR="00324B1C" w:rsidRPr="0063477B" w:rsidRDefault="00324B1C" w:rsidP="0063477B">
            <w:pPr>
              <w:spacing w:line="288" w:lineRule="auto"/>
              <w:rPr>
                <w:rFonts w:ascii="Arial" w:hAnsi="Arial" w:cs="Arial"/>
              </w:rPr>
            </w:pPr>
            <w:r w:rsidRPr="0063477B">
              <w:rPr>
                <w:rFonts w:ascii="Arial" w:hAnsi="Arial" w:cs="Arial"/>
              </w:rPr>
              <w:t>11. Real Estate Investment Trusts (‘REITs’)</w:t>
            </w:r>
          </w:p>
        </w:tc>
        <w:tc>
          <w:tcPr>
            <w:tcW w:w="1695" w:type="dxa"/>
          </w:tcPr>
          <w:p w14:paraId="1E7C571E"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 xml:space="preserve">Risk diversification and additional source of </w:t>
            </w:r>
            <w:proofErr w:type="gramStart"/>
            <w:r w:rsidRPr="0063477B">
              <w:rPr>
                <w:color w:val="000000" w:themeColor="text1"/>
              </w:rPr>
              <w:t>performance</w:t>
            </w:r>
            <w:proofErr w:type="gramEnd"/>
          </w:p>
          <w:p w14:paraId="2326E5A7" w14:textId="77777777" w:rsidR="00810C85" w:rsidRPr="0063477B" w:rsidRDefault="00810C85" w:rsidP="0063477B">
            <w:pPr>
              <w:pStyle w:val="TableParagraph"/>
              <w:spacing w:line="288" w:lineRule="auto"/>
              <w:jc w:val="center"/>
              <w:rPr>
                <w:color w:val="000000" w:themeColor="text1"/>
              </w:rPr>
            </w:pPr>
          </w:p>
          <w:p w14:paraId="23DE523C" w14:textId="264503A6" w:rsidR="00324B1C" w:rsidRPr="0063477B" w:rsidRDefault="00810C85" w:rsidP="0063477B">
            <w:pPr>
              <w:spacing w:line="288" w:lineRule="auto"/>
              <w:jc w:val="both"/>
              <w:rPr>
                <w:rFonts w:ascii="Arial" w:hAnsi="Arial" w:cs="Arial"/>
                <w:color w:val="181818"/>
              </w:rPr>
            </w:pPr>
            <w:r w:rsidRPr="0063477B">
              <w:rPr>
                <w:rFonts w:ascii="Arial" w:hAnsi="Arial" w:cs="Arial"/>
                <w:color w:val="181818"/>
              </w:rPr>
              <w:t xml:space="preserve">REITs provide the possibility of receiving a stream of income through dividends paid out by the REIT, with the income being generated through rent. They also allow for risk mitigation through diversification across different sectors and locations of real estate via a tax transparent vehicle, without requiring a direct ownership of the underlying real estate. The REIT structure exists in a number of EU </w:t>
            </w:r>
            <w:r w:rsidRPr="0063477B">
              <w:rPr>
                <w:rFonts w:ascii="Arial" w:hAnsi="Arial" w:cs="Arial"/>
                <w:color w:val="181818"/>
              </w:rPr>
              <w:lastRenderedPageBreak/>
              <w:t>and third country jurisdictions, and the regulation applicable to them provides safeguards for investor protection which is consistent with requirements for UCITS investing in transferable securities.</w:t>
            </w:r>
          </w:p>
        </w:tc>
        <w:tc>
          <w:tcPr>
            <w:tcW w:w="2115" w:type="dxa"/>
          </w:tcPr>
          <w:p w14:paraId="52E56223" w14:textId="77777777" w:rsidR="00324B1C" w:rsidRPr="0063477B" w:rsidRDefault="00324B1C" w:rsidP="0063477B">
            <w:pPr>
              <w:spacing w:line="288" w:lineRule="auto"/>
              <w:jc w:val="both"/>
              <w:rPr>
                <w:rFonts w:ascii="Arial" w:hAnsi="Arial" w:cs="Arial"/>
                <w:color w:val="181818"/>
              </w:rPr>
            </w:pPr>
          </w:p>
        </w:tc>
        <w:tc>
          <w:tcPr>
            <w:tcW w:w="1927" w:type="dxa"/>
          </w:tcPr>
          <w:p w14:paraId="07547A01" w14:textId="77777777" w:rsidR="00324B1C" w:rsidRPr="0063477B" w:rsidRDefault="00324B1C" w:rsidP="0063477B">
            <w:pPr>
              <w:spacing w:line="288" w:lineRule="auto"/>
              <w:jc w:val="both"/>
              <w:rPr>
                <w:rFonts w:ascii="Arial" w:hAnsi="Arial" w:cs="Arial"/>
                <w:color w:val="181818"/>
              </w:rPr>
            </w:pPr>
          </w:p>
        </w:tc>
        <w:tc>
          <w:tcPr>
            <w:tcW w:w="1695" w:type="dxa"/>
          </w:tcPr>
          <w:p w14:paraId="75C0AE3B"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Exchange traded REITs should be allowed in any case:</w:t>
            </w:r>
          </w:p>
          <w:p w14:paraId="7BE90F81" w14:textId="77777777" w:rsidR="00810C85" w:rsidRPr="0063477B" w:rsidRDefault="00810C85" w:rsidP="0063477B">
            <w:pPr>
              <w:pStyle w:val="TableParagraph"/>
              <w:spacing w:line="288" w:lineRule="auto"/>
              <w:jc w:val="center"/>
              <w:rPr>
                <w:color w:val="000000" w:themeColor="text1"/>
              </w:rPr>
            </w:pPr>
          </w:p>
          <w:p w14:paraId="3704D4A8"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In practice it is difficult to distinguish whether shares in REITs should be treated as securities or as AIFs. The reason is that it is not always easy to separate an investment strategy and a corporate strategy.</w:t>
            </w:r>
          </w:p>
          <w:p w14:paraId="4F5EF032" w14:textId="77777777" w:rsidR="00810C85" w:rsidRPr="0063477B" w:rsidRDefault="00810C85" w:rsidP="0063477B">
            <w:pPr>
              <w:pStyle w:val="TableParagraph"/>
              <w:spacing w:line="288" w:lineRule="auto"/>
              <w:jc w:val="center"/>
              <w:rPr>
                <w:color w:val="000000" w:themeColor="text1"/>
              </w:rPr>
            </w:pPr>
          </w:p>
          <w:p w14:paraId="08318CBA"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 xml:space="preserve">Solution for this difficulty: Exchange-traded REITs should be allowed as securities if they </w:t>
            </w:r>
            <w:r w:rsidRPr="0063477B">
              <w:rPr>
                <w:color w:val="000000" w:themeColor="text1"/>
              </w:rPr>
              <w:lastRenderedPageBreak/>
              <w:t>meet the securities criteria of the Eligible Assets Directive. In the case of non-exchange-traded REITs, it is still advisable to examine each case on a case-by-case basis.</w:t>
            </w:r>
          </w:p>
          <w:p w14:paraId="6FF077E3" w14:textId="77777777" w:rsidR="00810C85" w:rsidRPr="0063477B" w:rsidRDefault="00810C85" w:rsidP="0063477B">
            <w:pPr>
              <w:pStyle w:val="TableParagraph"/>
              <w:spacing w:line="288" w:lineRule="auto"/>
              <w:jc w:val="center"/>
              <w:rPr>
                <w:color w:val="000000" w:themeColor="text1"/>
              </w:rPr>
            </w:pPr>
          </w:p>
          <w:p w14:paraId="773421C5"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b/>
                <w:bCs/>
                <w:color w:val="181818"/>
              </w:rPr>
              <w:t>Liquidity</w:t>
            </w:r>
            <w:r w:rsidRPr="0063477B">
              <w:rPr>
                <w:rFonts w:ascii="Arial" w:hAnsi="Arial" w:cs="Arial"/>
                <w:color w:val="181818"/>
              </w:rPr>
              <w:t>: REITs are listed and traded on stock exchanges, providing high liquidity.</w:t>
            </w:r>
          </w:p>
          <w:p w14:paraId="26006865" w14:textId="77777777" w:rsidR="00810C85" w:rsidRPr="0063477B" w:rsidRDefault="00810C85" w:rsidP="0063477B">
            <w:pPr>
              <w:widowControl w:val="0"/>
              <w:spacing w:line="288" w:lineRule="auto"/>
              <w:jc w:val="center"/>
              <w:rPr>
                <w:rFonts w:ascii="Arial" w:hAnsi="Arial" w:cs="Arial"/>
                <w:color w:val="181818"/>
              </w:rPr>
            </w:pPr>
          </w:p>
          <w:p w14:paraId="5043CB0F" w14:textId="78B1BED5" w:rsidR="00324B1C" w:rsidRPr="0063477B" w:rsidRDefault="00810C85" w:rsidP="0063477B">
            <w:pPr>
              <w:spacing w:line="288" w:lineRule="auto"/>
              <w:jc w:val="both"/>
              <w:rPr>
                <w:rFonts w:ascii="Arial" w:hAnsi="Arial" w:cs="Arial"/>
                <w:color w:val="181818"/>
              </w:rPr>
            </w:pPr>
            <w:r w:rsidRPr="0063477B">
              <w:rPr>
                <w:rFonts w:ascii="Arial" w:hAnsi="Arial" w:cs="Arial"/>
                <w:b/>
                <w:bCs/>
                <w:color w:val="181818"/>
              </w:rPr>
              <w:t>Reliable Valuation</w:t>
            </w:r>
            <w:r w:rsidRPr="0063477B">
              <w:rPr>
                <w:rFonts w:ascii="Arial" w:hAnsi="Arial" w:cs="Arial"/>
                <w:color w:val="181818"/>
              </w:rPr>
              <w:t>: as REITs are publicly traded, obtaining a valuation is similar to valuing listed equities – i.e., by referencing the market price of the shares. A valuation may also be obtained by reference to the NAV of the REIT, which will typically be periodically assessed internally within the REIT or by a third party</w:t>
            </w:r>
          </w:p>
        </w:tc>
      </w:tr>
      <w:tr w:rsidR="0063477B" w:rsidRPr="0063477B" w14:paraId="585437CF" w14:textId="77777777" w:rsidTr="0063477B">
        <w:tc>
          <w:tcPr>
            <w:tcW w:w="1888" w:type="dxa"/>
          </w:tcPr>
          <w:p w14:paraId="17F5DE1B" w14:textId="77777777" w:rsidR="00324B1C" w:rsidRPr="0063477B" w:rsidRDefault="00324B1C" w:rsidP="0063477B">
            <w:pPr>
              <w:spacing w:line="288" w:lineRule="auto"/>
              <w:rPr>
                <w:rFonts w:ascii="Arial" w:hAnsi="Arial" w:cs="Arial"/>
              </w:rPr>
            </w:pPr>
            <w:r w:rsidRPr="0063477B">
              <w:rPr>
                <w:rFonts w:ascii="Arial" w:hAnsi="Arial" w:cs="Arial"/>
              </w:rPr>
              <w:lastRenderedPageBreak/>
              <w:t xml:space="preserve">12. Special Purpose Acquisition </w:t>
            </w:r>
            <w:r w:rsidRPr="0063477B">
              <w:rPr>
                <w:rFonts w:ascii="Arial" w:hAnsi="Arial" w:cs="Arial"/>
              </w:rPr>
              <w:lastRenderedPageBreak/>
              <w:t>Companies (‘SPACs’)</w:t>
            </w:r>
          </w:p>
        </w:tc>
        <w:tc>
          <w:tcPr>
            <w:tcW w:w="1695" w:type="dxa"/>
          </w:tcPr>
          <w:p w14:paraId="07459315" w14:textId="2C6D841D" w:rsidR="00324B1C" w:rsidRPr="0063477B" w:rsidRDefault="00810C85" w:rsidP="0063477B">
            <w:pPr>
              <w:spacing w:line="288" w:lineRule="auto"/>
              <w:jc w:val="both"/>
              <w:rPr>
                <w:rFonts w:ascii="Arial" w:hAnsi="Arial" w:cs="Arial"/>
                <w:color w:val="181818"/>
              </w:rPr>
            </w:pPr>
            <w:r w:rsidRPr="0063477B">
              <w:rPr>
                <w:rFonts w:ascii="Arial" w:hAnsi="Arial" w:cs="Arial"/>
              </w:rPr>
              <w:lastRenderedPageBreak/>
              <w:t>Risk diversification and additional source of performance</w:t>
            </w:r>
          </w:p>
        </w:tc>
        <w:tc>
          <w:tcPr>
            <w:tcW w:w="2115" w:type="dxa"/>
          </w:tcPr>
          <w:p w14:paraId="6537F28F" w14:textId="77777777" w:rsidR="00324B1C" w:rsidRPr="0063477B" w:rsidRDefault="00324B1C" w:rsidP="0063477B">
            <w:pPr>
              <w:spacing w:line="288" w:lineRule="auto"/>
              <w:jc w:val="both"/>
              <w:rPr>
                <w:rFonts w:ascii="Arial" w:hAnsi="Arial" w:cs="Arial"/>
                <w:color w:val="181818"/>
              </w:rPr>
            </w:pPr>
          </w:p>
        </w:tc>
        <w:tc>
          <w:tcPr>
            <w:tcW w:w="1927" w:type="dxa"/>
          </w:tcPr>
          <w:p w14:paraId="6DFB9E20" w14:textId="77777777" w:rsidR="00324B1C" w:rsidRPr="0063477B" w:rsidRDefault="00324B1C" w:rsidP="0063477B">
            <w:pPr>
              <w:spacing w:line="288" w:lineRule="auto"/>
              <w:jc w:val="both"/>
              <w:rPr>
                <w:rFonts w:ascii="Arial" w:hAnsi="Arial" w:cs="Arial"/>
                <w:color w:val="181818"/>
              </w:rPr>
            </w:pPr>
          </w:p>
        </w:tc>
        <w:tc>
          <w:tcPr>
            <w:tcW w:w="1695" w:type="dxa"/>
          </w:tcPr>
          <w:p w14:paraId="6C6590B3" w14:textId="77777777" w:rsidR="00810C85" w:rsidRPr="0063477B" w:rsidRDefault="00810C85" w:rsidP="0063477B">
            <w:pPr>
              <w:pStyle w:val="TableParagraph"/>
              <w:spacing w:line="288" w:lineRule="auto"/>
              <w:jc w:val="center"/>
              <w:rPr>
                <w:color w:val="000000" w:themeColor="text1"/>
              </w:rPr>
            </w:pPr>
            <w:r w:rsidRPr="0063477B">
              <w:rPr>
                <w:color w:val="000000" w:themeColor="text1"/>
              </w:rPr>
              <w:t xml:space="preserve">From time to time an attractive opportunity for </w:t>
            </w:r>
            <w:r w:rsidRPr="0063477B">
              <w:rPr>
                <w:color w:val="000000" w:themeColor="text1"/>
              </w:rPr>
              <w:lastRenderedPageBreak/>
              <w:t>some equity funds</w:t>
            </w:r>
          </w:p>
          <w:p w14:paraId="0F6D1226" w14:textId="77777777" w:rsidR="00810C85" w:rsidRPr="0063477B" w:rsidRDefault="00810C85" w:rsidP="0063477B">
            <w:pPr>
              <w:pStyle w:val="TableParagraph"/>
              <w:spacing w:line="288" w:lineRule="auto"/>
              <w:jc w:val="center"/>
              <w:rPr>
                <w:color w:val="000000" w:themeColor="text1"/>
              </w:rPr>
            </w:pPr>
          </w:p>
          <w:p w14:paraId="70DF9E56" w14:textId="665DFDAA" w:rsidR="00324B1C"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Combination of eligible assets (stock and warrant)</w:t>
            </w:r>
          </w:p>
        </w:tc>
      </w:tr>
      <w:tr w:rsidR="0063477B" w:rsidRPr="0063477B" w14:paraId="72D194A9" w14:textId="77777777" w:rsidTr="0063477B">
        <w:tc>
          <w:tcPr>
            <w:tcW w:w="1888" w:type="dxa"/>
          </w:tcPr>
          <w:p w14:paraId="31158681" w14:textId="77777777" w:rsidR="00810C85" w:rsidRPr="0063477B" w:rsidRDefault="00810C85" w:rsidP="0063477B">
            <w:pPr>
              <w:spacing w:line="288" w:lineRule="auto"/>
              <w:rPr>
                <w:rFonts w:ascii="Arial" w:hAnsi="Arial" w:cs="Arial"/>
              </w:rPr>
            </w:pPr>
            <w:r w:rsidRPr="0063477B">
              <w:rPr>
                <w:rFonts w:ascii="Arial" w:hAnsi="Arial" w:cs="Arial"/>
              </w:rPr>
              <w:lastRenderedPageBreak/>
              <w:t>13. EU AIFs</w:t>
            </w:r>
            <w:r w:rsidRPr="0063477B">
              <w:rPr>
                <w:rFonts w:ascii="Arial" w:hAnsi="Arial" w:cs="Arial"/>
                <w:vertAlign w:val="superscript"/>
              </w:rPr>
              <w:footnoteReference w:id="10"/>
            </w:r>
          </w:p>
        </w:tc>
        <w:tc>
          <w:tcPr>
            <w:tcW w:w="1695" w:type="dxa"/>
          </w:tcPr>
          <w:p w14:paraId="154F1D78"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Diversification: Private equity and infrastructure investments provide</w:t>
            </w:r>
          </w:p>
          <w:p w14:paraId="172A4363" w14:textId="77777777" w:rsidR="00810C85" w:rsidRPr="0063477B" w:rsidRDefault="00810C85" w:rsidP="0063477B">
            <w:pPr>
              <w:widowControl w:val="0"/>
              <w:spacing w:line="288" w:lineRule="auto"/>
              <w:jc w:val="center"/>
              <w:rPr>
                <w:rFonts w:ascii="Arial" w:hAnsi="Arial" w:cs="Arial"/>
                <w:lang w:val="en-US"/>
              </w:rPr>
            </w:pPr>
          </w:p>
          <w:p w14:paraId="4B67E8AF"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Investing in an AIF permits exposure to a diversified portfolio of underlying to which the UCITs may not be able to obtain direct exposure. This can bring diversification benefits and a higher return potential.</w:t>
            </w:r>
          </w:p>
          <w:p w14:paraId="6C56527F" w14:textId="77777777" w:rsidR="00810C85" w:rsidRPr="0063477B" w:rsidRDefault="00810C85" w:rsidP="0063477B">
            <w:pPr>
              <w:widowControl w:val="0"/>
              <w:spacing w:line="288" w:lineRule="auto"/>
              <w:jc w:val="center"/>
              <w:rPr>
                <w:rFonts w:ascii="Arial" w:hAnsi="Arial" w:cs="Arial"/>
                <w:color w:val="181818"/>
              </w:rPr>
            </w:pPr>
          </w:p>
          <w:p w14:paraId="46A7B292"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Closed-ended:</w:t>
            </w:r>
          </w:p>
          <w:p w14:paraId="2A7A5C30"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 xml:space="preserve">private equity and infrastructure investments provide exposure to a distinct asset class with the potential for higher returns and low correlation with traditional asset classes Including closed-ended funds in a UCITS portfolio can enhance </w:t>
            </w:r>
            <w:r w:rsidRPr="0063477B">
              <w:rPr>
                <w:rFonts w:ascii="Arial" w:hAnsi="Arial" w:cs="Arial"/>
                <w:lang w:val="en-US"/>
              </w:rPr>
              <w:lastRenderedPageBreak/>
              <w:t>diversification and reduce portfolio risk.</w:t>
            </w:r>
          </w:p>
          <w:p w14:paraId="332F6C6A" w14:textId="77777777" w:rsidR="00810C85" w:rsidRPr="0063477B" w:rsidRDefault="00810C85" w:rsidP="0063477B">
            <w:pPr>
              <w:widowControl w:val="0"/>
              <w:spacing w:line="288" w:lineRule="auto"/>
              <w:jc w:val="center"/>
              <w:rPr>
                <w:rFonts w:ascii="Arial" w:hAnsi="Arial" w:cs="Arial"/>
                <w:color w:val="181818"/>
              </w:rPr>
            </w:pPr>
          </w:p>
          <w:p w14:paraId="44E871BC" w14:textId="3D5EE338" w:rsidR="00810C85" w:rsidRPr="0063477B" w:rsidRDefault="00810C85" w:rsidP="0063477B">
            <w:pPr>
              <w:spacing w:line="288" w:lineRule="auto"/>
              <w:jc w:val="both"/>
              <w:rPr>
                <w:rFonts w:ascii="Arial" w:hAnsi="Arial" w:cs="Arial"/>
                <w:color w:val="181818"/>
              </w:rPr>
            </w:pPr>
            <w:r w:rsidRPr="0063477B">
              <w:rPr>
                <w:rFonts w:ascii="Arial" w:hAnsi="Arial" w:cs="Arial"/>
                <w:color w:val="181818"/>
              </w:rPr>
              <w:t>Higher returns may also be generated by virtue of the flexibility of AIF managers in their investment approaches (e.g. leverage and short selling strategies) as well as the expertise of AIF managers in this domain.</w:t>
            </w:r>
          </w:p>
        </w:tc>
        <w:tc>
          <w:tcPr>
            <w:tcW w:w="2115" w:type="dxa"/>
          </w:tcPr>
          <w:p w14:paraId="144A5D23" w14:textId="30959A96" w:rsidR="00810C85" w:rsidRPr="0063477B" w:rsidRDefault="00810C85" w:rsidP="0063477B">
            <w:pPr>
              <w:spacing w:line="288" w:lineRule="auto"/>
              <w:jc w:val="both"/>
              <w:rPr>
                <w:rFonts w:ascii="Arial" w:hAnsi="Arial" w:cs="Arial"/>
                <w:color w:val="181818"/>
              </w:rPr>
            </w:pPr>
            <w:r w:rsidRPr="0063477B">
              <w:rPr>
                <w:rFonts w:ascii="Arial" w:eastAsia="Times New Roman" w:hAnsi="Arial" w:cs="Arial"/>
                <w:lang w:eastAsia="de-DE"/>
              </w:rPr>
              <w:lastRenderedPageBreak/>
              <w:t>See left column</w:t>
            </w:r>
          </w:p>
        </w:tc>
        <w:tc>
          <w:tcPr>
            <w:tcW w:w="1927" w:type="dxa"/>
          </w:tcPr>
          <w:p w14:paraId="738610EB" w14:textId="77777777" w:rsidR="00810C85" w:rsidRPr="0063477B" w:rsidRDefault="00810C85" w:rsidP="0063477B">
            <w:pPr>
              <w:spacing w:line="288" w:lineRule="auto"/>
              <w:jc w:val="both"/>
              <w:rPr>
                <w:rFonts w:ascii="Arial" w:hAnsi="Arial" w:cs="Arial"/>
                <w:color w:val="181818"/>
              </w:rPr>
            </w:pPr>
          </w:p>
        </w:tc>
        <w:tc>
          <w:tcPr>
            <w:tcW w:w="1695" w:type="dxa"/>
          </w:tcPr>
          <w:p w14:paraId="637805D2" w14:textId="77777777" w:rsidR="00810C85" w:rsidRPr="0063477B" w:rsidRDefault="00810C85" w:rsidP="0063477B">
            <w:pPr>
              <w:spacing w:line="288" w:lineRule="auto"/>
              <w:jc w:val="both"/>
              <w:rPr>
                <w:rFonts w:ascii="Arial" w:hAnsi="Arial" w:cs="Arial"/>
                <w:color w:val="181818"/>
              </w:rPr>
            </w:pPr>
          </w:p>
        </w:tc>
      </w:tr>
      <w:tr w:rsidR="0063477B" w:rsidRPr="0063477B" w14:paraId="50B47933" w14:textId="77777777" w:rsidTr="0063477B">
        <w:tc>
          <w:tcPr>
            <w:tcW w:w="1888" w:type="dxa"/>
          </w:tcPr>
          <w:p w14:paraId="5B21E6DB" w14:textId="77777777" w:rsidR="00810C85" w:rsidRPr="0063477B" w:rsidRDefault="00810C85" w:rsidP="0063477B">
            <w:pPr>
              <w:spacing w:line="288" w:lineRule="auto"/>
              <w:rPr>
                <w:rFonts w:ascii="Arial" w:hAnsi="Arial" w:cs="Arial"/>
              </w:rPr>
            </w:pPr>
            <w:r w:rsidRPr="0063477B">
              <w:rPr>
                <w:rFonts w:ascii="Arial" w:hAnsi="Arial" w:cs="Arial"/>
              </w:rPr>
              <w:t>14. Non-EU AIFs</w:t>
            </w:r>
          </w:p>
        </w:tc>
        <w:tc>
          <w:tcPr>
            <w:tcW w:w="1695" w:type="dxa"/>
          </w:tcPr>
          <w:p w14:paraId="1CC54912"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(1) Investing in an AIF permits exposure to a diversified portfolio of underlying to which the UCITs may not be able to obtain direct exposure. This can bring diversification benefits and a higher return potential.</w:t>
            </w:r>
          </w:p>
          <w:p w14:paraId="5791005E" w14:textId="77777777" w:rsidR="00810C85" w:rsidRPr="0063477B" w:rsidRDefault="00810C85" w:rsidP="0063477B">
            <w:pPr>
              <w:widowControl w:val="0"/>
              <w:spacing w:line="288" w:lineRule="auto"/>
              <w:jc w:val="center"/>
              <w:rPr>
                <w:rFonts w:ascii="Arial" w:hAnsi="Arial" w:cs="Arial"/>
                <w:color w:val="181818"/>
              </w:rPr>
            </w:pPr>
          </w:p>
          <w:p w14:paraId="463F29E8" w14:textId="70C80544" w:rsidR="00810C85" w:rsidRPr="0063477B" w:rsidRDefault="00810C85" w:rsidP="0063477B">
            <w:pPr>
              <w:spacing w:line="288" w:lineRule="auto"/>
              <w:jc w:val="both"/>
              <w:rPr>
                <w:rFonts w:ascii="Arial" w:hAnsi="Arial" w:cs="Arial"/>
                <w:color w:val="181818"/>
              </w:rPr>
            </w:pPr>
            <w:r w:rsidRPr="0063477B">
              <w:rPr>
                <w:rFonts w:ascii="Arial" w:hAnsi="Arial" w:cs="Arial"/>
                <w:color w:val="181818"/>
              </w:rPr>
              <w:t xml:space="preserve">Higher returns may also be generated by virtue of the flexibility of AIF managers in their investment approaches (e.g. leverage and short selling strategies) as well as the expertise of AIF </w:t>
            </w:r>
            <w:r w:rsidRPr="0063477B">
              <w:rPr>
                <w:rFonts w:ascii="Arial" w:hAnsi="Arial" w:cs="Arial"/>
                <w:color w:val="181818"/>
              </w:rPr>
              <w:lastRenderedPageBreak/>
              <w:t>managers in this domain.</w:t>
            </w:r>
          </w:p>
        </w:tc>
        <w:tc>
          <w:tcPr>
            <w:tcW w:w="2115" w:type="dxa"/>
          </w:tcPr>
          <w:p w14:paraId="3B7B4B86" w14:textId="77777777" w:rsidR="00810C85" w:rsidRPr="0063477B" w:rsidRDefault="00810C85" w:rsidP="0063477B">
            <w:pPr>
              <w:spacing w:line="288" w:lineRule="auto"/>
              <w:jc w:val="both"/>
              <w:rPr>
                <w:rFonts w:ascii="Arial" w:hAnsi="Arial" w:cs="Arial"/>
                <w:color w:val="181818"/>
              </w:rPr>
            </w:pPr>
          </w:p>
        </w:tc>
        <w:tc>
          <w:tcPr>
            <w:tcW w:w="1927" w:type="dxa"/>
          </w:tcPr>
          <w:p w14:paraId="3A0FF5F2" w14:textId="77777777" w:rsidR="00810C85" w:rsidRPr="0063477B" w:rsidRDefault="00810C85" w:rsidP="0063477B">
            <w:pPr>
              <w:spacing w:line="288" w:lineRule="auto"/>
              <w:jc w:val="both"/>
              <w:rPr>
                <w:rFonts w:ascii="Arial" w:hAnsi="Arial" w:cs="Arial"/>
                <w:color w:val="181818"/>
              </w:rPr>
            </w:pPr>
          </w:p>
        </w:tc>
        <w:tc>
          <w:tcPr>
            <w:tcW w:w="1695" w:type="dxa"/>
          </w:tcPr>
          <w:p w14:paraId="5630AD66" w14:textId="1D9F490D" w:rsidR="00810C85"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Should be allowed if UCITS requirements are fulfilled</w:t>
            </w:r>
          </w:p>
        </w:tc>
      </w:tr>
      <w:tr w:rsidR="0063477B" w:rsidRPr="0063477B" w14:paraId="5A25875C" w14:textId="77777777" w:rsidTr="0063477B">
        <w:tc>
          <w:tcPr>
            <w:tcW w:w="1888" w:type="dxa"/>
          </w:tcPr>
          <w:p w14:paraId="0BD070FC" w14:textId="77777777" w:rsidR="00810C85" w:rsidRPr="0063477B" w:rsidRDefault="00810C85" w:rsidP="0063477B">
            <w:pPr>
              <w:spacing w:line="288" w:lineRule="auto"/>
              <w:rPr>
                <w:rFonts w:ascii="Arial" w:hAnsi="Arial" w:cs="Arial"/>
              </w:rPr>
            </w:pPr>
            <w:r w:rsidRPr="0063477B">
              <w:rPr>
                <w:rFonts w:ascii="Arial" w:hAnsi="Arial" w:cs="Arial"/>
              </w:rPr>
              <w:t>15. Emission allowances</w:t>
            </w:r>
          </w:p>
        </w:tc>
        <w:tc>
          <w:tcPr>
            <w:tcW w:w="1695" w:type="dxa"/>
          </w:tcPr>
          <w:p w14:paraId="26E1A2FB"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color w:val="181818"/>
              </w:rPr>
              <w:t>Description: these are tradable certificates/permits issued by a government permitting an entity to emit a set quantity of emissions</w:t>
            </w:r>
          </w:p>
          <w:p w14:paraId="39363560" w14:textId="77777777" w:rsidR="00810C85" w:rsidRPr="0063477B" w:rsidRDefault="00810C85" w:rsidP="0063477B">
            <w:pPr>
              <w:widowControl w:val="0"/>
              <w:spacing w:line="288" w:lineRule="auto"/>
              <w:jc w:val="center"/>
              <w:rPr>
                <w:rFonts w:ascii="Arial" w:hAnsi="Arial" w:cs="Arial"/>
                <w:lang w:val="en-US"/>
              </w:rPr>
            </w:pPr>
          </w:p>
          <w:p w14:paraId="6FAA7492" w14:textId="77777777" w:rsidR="00810C85" w:rsidRPr="0063477B" w:rsidRDefault="00810C85" w:rsidP="0063477B">
            <w:pPr>
              <w:widowControl w:val="0"/>
              <w:spacing w:line="288" w:lineRule="auto"/>
              <w:jc w:val="center"/>
              <w:rPr>
                <w:rFonts w:ascii="Arial" w:hAnsi="Arial" w:cs="Arial"/>
                <w:lang w:val="en-US"/>
              </w:rPr>
            </w:pPr>
          </w:p>
          <w:p w14:paraId="7946F6ED" w14:textId="77777777" w:rsidR="00810C85" w:rsidRPr="0063477B" w:rsidRDefault="00810C85" w:rsidP="0063477B">
            <w:pPr>
              <w:widowControl w:val="0"/>
              <w:spacing w:line="288" w:lineRule="auto"/>
              <w:jc w:val="center"/>
              <w:rPr>
                <w:rFonts w:ascii="Arial" w:hAnsi="Arial" w:cs="Arial"/>
                <w:lang w:val="en-US"/>
              </w:rPr>
            </w:pPr>
          </w:p>
          <w:p w14:paraId="327BE5E6"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Regulatory Support: Governments and regulatory bodies worldwide are increasingly implementing policies to regulate and control carbon emissions. These regulations create a stable and transparent market for emission allowances.</w:t>
            </w:r>
          </w:p>
          <w:p w14:paraId="562F6F83" w14:textId="77777777" w:rsidR="00810C85" w:rsidRPr="0063477B" w:rsidRDefault="00810C85" w:rsidP="0063477B">
            <w:pPr>
              <w:widowControl w:val="0"/>
              <w:spacing w:line="288" w:lineRule="auto"/>
              <w:jc w:val="center"/>
              <w:rPr>
                <w:rFonts w:ascii="Arial" w:hAnsi="Arial" w:cs="Arial"/>
                <w:lang w:val="en-US"/>
              </w:rPr>
            </w:pPr>
          </w:p>
          <w:p w14:paraId="74D5CEF3" w14:textId="77777777" w:rsidR="00810C85" w:rsidRPr="0063477B" w:rsidRDefault="00810C85" w:rsidP="0063477B">
            <w:pPr>
              <w:widowControl w:val="0"/>
              <w:tabs>
                <w:tab w:val="left" w:pos="1365"/>
              </w:tabs>
              <w:spacing w:line="288" w:lineRule="auto"/>
              <w:jc w:val="center"/>
              <w:rPr>
                <w:rFonts w:ascii="Arial" w:hAnsi="Arial" w:cs="Arial"/>
                <w:color w:val="181818"/>
              </w:rPr>
            </w:pPr>
            <w:r w:rsidRPr="0063477B">
              <w:rPr>
                <w:rFonts w:ascii="Arial" w:hAnsi="Arial" w:cs="Arial"/>
                <w:color w:val="181818"/>
              </w:rPr>
              <w:t>Low correlation to traditional securities, diversifying the portfolio. It can also represent a hedge where the UCITS is exposed to sectors which are sensitive to, e.g., carbon pricing or regulation.</w:t>
            </w:r>
          </w:p>
          <w:p w14:paraId="497142BA" w14:textId="77777777" w:rsidR="00810C85" w:rsidRPr="0063477B" w:rsidRDefault="00810C85" w:rsidP="0063477B">
            <w:pPr>
              <w:widowControl w:val="0"/>
              <w:tabs>
                <w:tab w:val="left" w:pos="1365"/>
              </w:tabs>
              <w:spacing w:line="288" w:lineRule="auto"/>
              <w:jc w:val="center"/>
              <w:rPr>
                <w:rFonts w:ascii="Arial" w:hAnsi="Arial" w:cs="Arial"/>
                <w:color w:val="181818"/>
              </w:rPr>
            </w:pPr>
          </w:p>
          <w:p w14:paraId="1919BC8E" w14:textId="77777777" w:rsidR="00810C85" w:rsidRPr="0063477B" w:rsidRDefault="00810C85" w:rsidP="0063477B">
            <w:pPr>
              <w:widowControl w:val="0"/>
              <w:tabs>
                <w:tab w:val="left" w:pos="1365"/>
              </w:tabs>
              <w:spacing w:line="288" w:lineRule="auto"/>
              <w:jc w:val="center"/>
              <w:rPr>
                <w:rFonts w:ascii="Arial" w:hAnsi="Arial" w:cs="Arial"/>
                <w:color w:val="181818"/>
              </w:rPr>
            </w:pPr>
            <w:r w:rsidRPr="0063477B">
              <w:rPr>
                <w:rFonts w:ascii="Arial" w:hAnsi="Arial" w:cs="Arial"/>
                <w:color w:val="181818"/>
              </w:rPr>
              <w:t xml:space="preserve">Possibility for </w:t>
            </w:r>
            <w:r w:rsidRPr="0063477B">
              <w:rPr>
                <w:rFonts w:ascii="Arial" w:hAnsi="Arial" w:cs="Arial"/>
                <w:color w:val="181818"/>
              </w:rPr>
              <w:lastRenderedPageBreak/>
              <w:t>capital appreciation, as the value of these assets can fluctuate based on factors such as regulatory changes and supply and demand. However, governments</w:t>
            </w:r>
            <w:r w:rsidRPr="0063477B">
              <w:rPr>
                <w:rFonts w:ascii="Arial" w:hAnsi="Arial" w:cs="Arial"/>
                <w:lang w:val="en-US"/>
              </w:rPr>
              <w:t xml:space="preserve"> and regulatory bodies worldwide are increasingly implementing policies to regulate and control carbon emissions. These regulations create a stable and transparent market for emission allowances.</w:t>
            </w:r>
          </w:p>
          <w:p w14:paraId="61829076" w14:textId="77777777" w:rsidR="00810C85" w:rsidRPr="0063477B" w:rsidRDefault="00810C85" w:rsidP="0063477B">
            <w:pPr>
              <w:spacing w:line="288" w:lineRule="auto"/>
              <w:jc w:val="both"/>
              <w:rPr>
                <w:rFonts w:ascii="Arial" w:hAnsi="Arial" w:cs="Arial"/>
                <w:color w:val="181818"/>
              </w:rPr>
            </w:pPr>
          </w:p>
        </w:tc>
        <w:tc>
          <w:tcPr>
            <w:tcW w:w="2115" w:type="dxa"/>
          </w:tcPr>
          <w:p w14:paraId="7944B2FB" w14:textId="77777777" w:rsidR="00810C85" w:rsidRPr="0063477B" w:rsidRDefault="00810C85" w:rsidP="0063477B">
            <w:pPr>
              <w:widowControl w:val="0"/>
              <w:spacing w:line="288" w:lineRule="auto"/>
              <w:jc w:val="center"/>
              <w:rPr>
                <w:rFonts w:ascii="Arial" w:hAnsi="Arial" w:cs="Arial"/>
              </w:rPr>
            </w:pPr>
            <w:r w:rsidRPr="0063477B">
              <w:rPr>
                <w:rFonts w:ascii="Arial" w:hAnsi="Arial" w:cs="Arial"/>
              </w:rPr>
              <w:lastRenderedPageBreak/>
              <w:t>See left column</w:t>
            </w:r>
          </w:p>
          <w:p w14:paraId="5B933181" w14:textId="77777777" w:rsidR="00810C85" w:rsidRPr="0063477B" w:rsidRDefault="00810C85" w:rsidP="0063477B">
            <w:pPr>
              <w:widowControl w:val="0"/>
              <w:spacing w:line="288" w:lineRule="auto"/>
              <w:jc w:val="center"/>
              <w:rPr>
                <w:rFonts w:ascii="Arial" w:hAnsi="Arial" w:cs="Arial"/>
              </w:rPr>
            </w:pPr>
          </w:p>
          <w:p w14:paraId="38DF187A" w14:textId="77777777" w:rsidR="00810C85" w:rsidRPr="0063477B" w:rsidRDefault="00810C85" w:rsidP="0063477B">
            <w:pPr>
              <w:widowControl w:val="0"/>
              <w:spacing w:line="288" w:lineRule="auto"/>
              <w:jc w:val="center"/>
              <w:rPr>
                <w:rFonts w:ascii="Arial" w:hAnsi="Arial" w:cs="Arial"/>
                <w:color w:val="181818"/>
              </w:rPr>
            </w:pPr>
          </w:p>
          <w:p w14:paraId="61BAC866" w14:textId="77777777" w:rsidR="00810C85" w:rsidRPr="0063477B" w:rsidRDefault="00810C85" w:rsidP="0063477B">
            <w:pPr>
              <w:widowControl w:val="0"/>
              <w:spacing w:line="288" w:lineRule="auto"/>
              <w:jc w:val="center"/>
              <w:rPr>
                <w:rFonts w:ascii="Arial" w:hAnsi="Arial" w:cs="Arial"/>
                <w:color w:val="181818"/>
              </w:rPr>
            </w:pPr>
          </w:p>
          <w:p w14:paraId="2BA226A1" w14:textId="55A6E737" w:rsidR="00810C85" w:rsidRPr="0063477B" w:rsidRDefault="00810C85" w:rsidP="0063477B">
            <w:pPr>
              <w:spacing w:line="288" w:lineRule="auto"/>
              <w:jc w:val="both"/>
              <w:rPr>
                <w:rFonts w:ascii="Arial" w:hAnsi="Arial" w:cs="Arial"/>
                <w:color w:val="181818"/>
              </w:rPr>
            </w:pPr>
            <w:r w:rsidRPr="0063477B">
              <w:rPr>
                <w:rFonts w:ascii="Arial" w:hAnsi="Arial" w:cs="Arial"/>
                <w:color w:val="181818"/>
              </w:rPr>
              <w:t>Indirect exposure can avoid the potentially significant operational and regulatory hurdles to direct exposure due to the requirement to have a Union Registry account (an electronic system used to track the issue, transfer and cancellation of emission allowances under the EU Emissions Trading System) and the operational expertise required to manage the account. Additionally, the purchase and sale of emission allowances may require specific regulatory permissions.</w:t>
            </w:r>
          </w:p>
        </w:tc>
        <w:tc>
          <w:tcPr>
            <w:tcW w:w="1927" w:type="dxa"/>
          </w:tcPr>
          <w:p w14:paraId="17AD93B2" w14:textId="77777777" w:rsidR="00810C85" w:rsidRPr="0063477B" w:rsidRDefault="00810C85" w:rsidP="0063477B">
            <w:pPr>
              <w:spacing w:line="288" w:lineRule="auto"/>
              <w:jc w:val="both"/>
              <w:rPr>
                <w:rFonts w:ascii="Arial" w:hAnsi="Arial" w:cs="Arial"/>
                <w:color w:val="181818"/>
              </w:rPr>
            </w:pPr>
          </w:p>
        </w:tc>
        <w:tc>
          <w:tcPr>
            <w:tcW w:w="1695" w:type="dxa"/>
          </w:tcPr>
          <w:p w14:paraId="7EB618B8" w14:textId="77777777" w:rsidR="00810C85" w:rsidRPr="0063477B" w:rsidRDefault="00810C85" w:rsidP="0063477B">
            <w:pPr>
              <w:widowControl w:val="0"/>
              <w:spacing w:line="288" w:lineRule="auto"/>
              <w:jc w:val="center"/>
              <w:rPr>
                <w:rFonts w:ascii="Arial" w:hAnsi="Arial" w:cs="Arial"/>
                <w:color w:val="000000" w:themeColor="text1"/>
              </w:rPr>
            </w:pPr>
            <w:r w:rsidRPr="0063477B">
              <w:rPr>
                <w:rFonts w:ascii="Arial" w:hAnsi="Arial" w:cs="Arial"/>
                <w:color w:val="000000" w:themeColor="text1"/>
              </w:rPr>
              <w:t>Asset with growing importance as the EU emission allowances market will grow over the coming years.</w:t>
            </w:r>
          </w:p>
          <w:p w14:paraId="2ADF47C0" w14:textId="77777777" w:rsidR="00810C85" w:rsidRPr="0063477B" w:rsidRDefault="00810C85" w:rsidP="0063477B">
            <w:pPr>
              <w:widowControl w:val="0"/>
              <w:spacing w:line="288" w:lineRule="auto"/>
              <w:jc w:val="center"/>
              <w:rPr>
                <w:rFonts w:ascii="Arial" w:hAnsi="Arial" w:cs="Arial"/>
                <w:color w:val="000000" w:themeColor="text1"/>
              </w:rPr>
            </w:pPr>
          </w:p>
          <w:p w14:paraId="52D062CC"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b/>
                <w:bCs/>
                <w:color w:val="181818"/>
              </w:rPr>
              <w:t>T</w:t>
            </w:r>
            <w:r w:rsidRPr="0063477B">
              <w:rPr>
                <w:rFonts w:ascii="Arial" w:hAnsi="Arial" w:cs="Arial"/>
                <w:color w:val="181818"/>
              </w:rPr>
              <w:t>hese assets are traded on established markets, so they are liquid and market prices are available.</w:t>
            </w:r>
          </w:p>
          <w:p w14:paraId="1F6B01FB" w14:textId="77777777" w:rsidR="00810C85" w:rsidRPr="0063477B" w:rsidRDefault="00810C85" w:rsidP="0063477B">
            <w:pPr>
              <w:widowControl w:val="0"/>
              <w:spacing w:line="288" w:lineRule="auto"/>
              <w:jc w:val="center"/>
              <w:rPr>
                <w:rFonts w:ascii="Arial" w:hAnsi="Arial" w:cs="Arial"/>
                <w:color w:val="181818"/>
              </w:rPr>
            </w:pPr>
          </w:p>
          <w:p w14:paraId="0DE4B5B7" w14:textId="77777777" w:rsidR="00810C85" w:rsidRPr="0063477B" w:rsidRDefault="00810C85" w:rsidP="0063477B">
            <w:pPr>
              <w:spacing w:line="288" w:lineRule="auto"/>
              <w:jc w:val="both"/>
              <w:rPr>
                <w:rFonts w:ascii="Arial" w:hAnsi="Arial" w:cs="Arial"/>
                <w:color w:val="181818"/>
              </w:rPr>
            </w:pPr>
          </w:p>
        </w:tc>
      </w:tr>
      <w:tr w:rsidR="0063477B" w:rsidRPr="0063477B" w14:paraId="4663360E" w14:textId="77777777" w:rsidTr="0063477B">
        <w:tc>
          <w:tcPr>
            <w:tcW w:w="1888" w:type="dxa"/>
          </w:tcPr>
          <w:p w14:paraId="556F47DB" w14:textId="77777777" w:rsidR="00810C85" w:rsidRPr="0063477B" w:rsidRDefault="00810C85" w:rsidP="0063477B">
            <w:pPr>
              <w:spacing w:line="288" w:lineRule="auto"/>
              <w:rPr>
                <w:rFonts w:ascii="Arial" w:hAnsi="Arial" w:cs="Arial"/>
              </w:rPr>
            </w:pPr>
            <w:r w:rsidRPr="0063477B">
              <w:rPr>
                <w:rFonts w:ascii="Arial" w:hAnsi="Arial" w:cs="Arial"/>
              </w:rPr>
              <w:t>16. Delta-one instruments</w:t>
            </w:r>
          </w:p>
        </w:tc>
        <w:tc>
          <w:tcPr>
            <w:tcW w:w="1695" w:type="dxa"/>
          </w:tcPr>
          <w:p w14:paraId="7184B9C5"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See above the arguments on the merits of indirect exposure to a range of different underlying assets.</w:t>
            </w:r>
          </w:p>
          <w:p w14:paraId="0BD7BC32" w14:textId="77777777" w:rsidR="00810C85" w:rsidRPr="0063477B" w:rsidRDefault="00810C85" w:rsidP="0063477B">
            <w:pPr>
              <w:widowControl w:val="0"/>
              <w:spacing w:line="288" w:lineRule="auto"/>
              <w:jc w:val="center"/>
              <w:rPr>
                <w:rFonts w:ascii="Arial" w:hAnsi="Arial" w:cs="Arial"/>
                <w:lang w:val="en-US"/>
              </w:rPr>
            </w:pPr>
          </w:p>
          <w:p w14:paraId="6E5B86EE"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Delta-one is an easy, cost efficient and flexible way to invest into defined assets.</w:t>
            </w:r>
          </w:p>
          <w:p w14:paraId="48543E37" w14:textId="77777777" w:rsidR="00810C85" w:rsidRPr="0063477B" w:rsidRDefault="00810C85" w:rsidP="0063477B">
            <w:pPr>
              <w:widowControl w:val="0"/>
              <w:spacing w:line="288" w:lineRule="auto"/>
              <w:jc w:val="center"/>
              <w:rPr>
                <w:rFonts w:ascii="Arial" w:hAnsi="Arial" w:cs="Arial"/>
                <w:lang w:val="en-US"/>
              </w:rPr>
            </w:pPr>
          </w:p>
          <w:p w14:paraId="62E3913B"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Diversification:</w:t>
            </w:r>
          </w:p>
          <w:p w14:paraId="4F4768B0"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Delta-one</w:t>
            </w:r>
            <w:r w:rsidRPr="0063477B">
              <w:rPr>
                <w:rFonts w:ascii="Arial" w:hAnsi="Arial" w:cs="Arial"/>
                <w:color w:val="FF0000"/>
                <w:lang w:val="en-US"/>
              </w:rPr>
              <w:t xml:space="preserve"> </w:t>
            </w:r>
            <w:r w:rsidRPr="0063477B">
              <w:rPr>
                <w:rFonts w:ascii="Arial" w:hAnsi="Arial" w:cs="Arial"/>
                <w:lang w:val="en-US"/>
              </w:rPr>
              <w:t xml:space="preserve">instruments aim to closely track the performance of an underlying asset or index, providing </w:t>
            </w:r>
            <w:r w:rsidRPr="0063477B">
              <w:rPr>
                <w:rFonts w:ascii="Arial" w:hAnsi="Arial" w:cs="Arial"/>
                <w:lang w:val="en-US"/>
              </w:rPr>
              <w:lastRenderedPageBreak/>
              <w:t>investors with a way to gain exposure to different markets or sectors.</w:t>
            </w:r>
          </w:p>
          <w:p w14:paraId="01880321" w14:textId="77777777" w:rsidR="00810C85" w:rsidRPr="0063477B" w:rsidRDefault="00810C85" w:rsidP="0063477B">
            <w:pPr>
              <w:widowControl w:val="0"/>
              <w:spacing w:line="288" w:lineRule="auto"/>
              <w:jc w:val="center"/>
              <w:rPr>
                <w:rFonts w:ascii="Arial" w:hAnsi="Arial" w:cs="Arial"/>
                <w:lang w:val="en-US"/>
              </w:rPr>
            </w:pPr>
          </w:p>
          <w:p w14:paraId="59ECBEA3"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Avoiding disadvantages of direct investments:</w:t>
            </w:r>
          </w:p>
          <w:p w14:paraId="6A5A4F27" w14:textId="77777777" w:rsidR="00810C85" w:rsidRPr="0063477B" w:rsidRDefault="00810C85" w:rsidP="0063477B">
            <w:pPr>
              <w:widowControl w:val="0"/>
              <w:spacing w:line="288" w:lineRule="auto"/>
              <w:jc w:val="center"/>
              <w:rPr>
                <w:rFonts w:ascii="Arial" w:hAnsi="Arial" w:cs="Arial"/>
                <w:lang w:val="en-US"/>
              </w:rPr>
            </w:pPr>
          </w:p>
          <w:p w14:paraId="66204FF1" w14:textId="259B6B9A" w:rsidR="00810C85" w:rsidRPr="0063477B" w:rsidRDefault="00810C85" w:rsidP="0063477B">
            <w:pPr>
              <w:spacing w:line="288" w:lineRule="auto"/>
              <w:jc w:val="both"/>
              <w:rPr>
                <w:rFonts w:ascii="Arial" w:hAnsi="Arial" w:cs="Arial"/>
                <w:color w:val="181818"/>
              </w:rPr>
            </w:pPr>
            <w:r w:rsidRPr="0063477B">
              <w:rPr>
                <w:rFonts w:ascii="Arial" w:hAnsi="Arial" w:cs="Arial"/>
                <w:lang w:val="en-US"/>
              </w:rPr>
              <w:t>e.g. physical delivery and storage of oil and precious metals and crypto</w:t>
            </w:r>
          </w:p>
        </w:tc>
        <w:tc>
          <w:tcPr>
            <w:tcW w:w="2115" w:type="dxa"/>
          </w:tcPr>
          <w:p w14:paraId="6D0773EA" w14:textId="77777777" w:rsidR="00810C85" w:rsidRPr="0063477B" w:rsidRDefault="00810C85" w:rsidP="0063477B">
            <w:pPr>
              <w:pStyle w:val="TableParagraph"/>
              <w:spacing w:line="288" w:lineRule="auto"/>
              <w:jc w:val="center"/>
              <w:rPr>
                <w:rFonts w:eastAsia="Times New Roman"/>
                <w:lang w:eastAsia="de-DE"/>
              </w:rPr>
            </w:pPr>
            <w:r w:rsidRPr="0063477B">
              <w:rPr>
                <w:rFonts w:eastAsia="Times New Roman"/>
                <w:lang w:eastAsia="de-DE"/>
              </w:rPr>
              <w:lastRenderedPageBreak/>
              <w:t xml:space="preserve">See left </w:t>
            </w:r>
            <w:proofErr w:type="gramStart"/>
            <w:r w:rsidRPr="0063477B">
              <w:rPr>
                <w:rFonts w:eastAsia="Times New Roman"/>
                <w:lang w:eastAsia="de-DE"/>
              </w:rPr>
              <w:t>column</w:t>
            </w:r>
            <w:proofErr w:type="gramEnd"/>
          </w:p>
          <w:p w14:paraId="2DBF0D7D" w14:textId="77777777" w:rsidR="00810C85" w:rsidRPr="0063477B" w:rsidRDefault="00810C85" w:rsidP="0063477B">
            <w:pPr>
              <w:spacing w:line="288" w:lineRule="auto"/>
              <w:ind w:firstLine="720"/>
              <w:jc w:val="both"/>
              <w:rPr>
                <w:rFonts w:ascii="Arial" w:hAnsi="Arial" w:cs="Arial"/>
                <w:color w:val="181818"/>
              </w:rPr>
            </w:pPr>
          </w:p>
        </w:tc>
        <w:tc>
          <w:tcPr>
            <w:tcW w:w="1927" w:type="dxa"/>
          </w:tcPr>
          <w:p w14:paraId="6B62F1B3" w14:textId="77777777" w:rsidR="00810C85" w:rsidRPr="0063477B" w:rsidRDefault="00810C85" w:rsidP="0063477B">
            <w:pPr>
              <w:spacing w:line="288" w:lineRule="auto"/>
              <w:jc w:val="both"/>
              <w:rPr>
                <w:rFonts w:ascii="Arial" w:hAnsi="Arial" w:cs="Arial"/>
                <w:color w:val="181818"/>
              </w:rPr>
            </w:pPr>
          </w:p>
        </w:tc>
        <w:tc>
          <w:tcPr>
            <w:tcW w:w="1695" w:type="dxa"/>
          </w:tcPr>
          <w:p w14:paraId="02F2C34E" w14:textId="38236F07" w:rsidR="00810C85"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Very important instrument for UCITS</w:t>
            </w:r>
          </w:p>
        </w:tc>
      </w:tr>
      <w:tr w:rsidR="0063477B" w:rsidRPr="0063477B" w14:paraId="6004F4E8" w14:textId="77777777" w:rsidTr="0063477B">
        <w:tc>
          <w:tcPr>
            <w:tcW w:w="1888" w:type="dxa"/>
          </w:tcPr>
          <w:p w14:paraId="73D5771C" w14:textId="77777777" w:rsidR="00810C85" w:rsidRPr="0063477B" w:rsidRDefault="00810C85" w:rsidP="0063477B">
            <w:pPr>
              <w:spacing w:line="288" w:lineRule="auto"/>
              <w:rPr>
                <w:rFonts w:ascii="Arial" w:hAnsi="Arial" w:cs="Arial"/>
              </w:rPr>
            </w:pPr>
            <w:r w:rsidRPr="0063477B">
              <w:rPr>
                <w:rFonts w:ascii="Arial" w:hAnsi="Arial" w:cs="Arial"/>
              </w:rPr>
              <w:t>17. Exchange-traded notes (‘ETNs’)</w:t>
            </w:r>
          </w:p>
        </w:tc>
        <w:tc>
          <w:tcPr>
            <w:tcW w:w="1695" w:type="dxa"/>
          </w:tcPr>
          <w:p w14:paraId="7C04A0E9"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lang w:val="en-US"/>
              </w:rPr>
              <w:t xml:space="preserve">Risk diversification and additional source of </w:t>
            </w:r>
            <w:proofErr w:type="gramStart"/>
            <w:r w:rsidRPr="0063477B">
              <w:rPr>
                <w:rFonts w:ascii="Arial" w:hAnsi="Arial" w:cs="Arial"/>
                <w:lang w:val="en-US"/>
              </w:rPr>
              <w:t>performance</w:t>
            </w:r>
            <w:proofErr w:type="gramEnd"/>
          </w:p>
          <w:p w14:paraId="589E0E71" w14:textId="77777777" w:rsidR="00810C85" w:rsidRPr="0063477B" w:rsidRDefault="00810C85" w:rsidP="0063477B">
            <w:pPr>
              <w:widowControl w:val="0"/>
              <w:spacing w:line="288" w:lineRule="auto"/>
              <w:jc w:val="center"/>
              <w:rPr>
                <w:rFonts w:ascii="Arial" w:hAnsi="Arial" w:cs="Arial"/>
                <w:lang w:val="en-US"/>
              </w:rPr>
            </w:pPr>
          </w:p>
          <w:p w14:paraId="680A4E5D" w14:textId="429CF25F" w:rsidR="00810C85" w:rsidRPr="0063477B" w:rsidRDefault="00810C85" w:rsidP="0063477B">
            <w:pPr>
              <w:spacing w:line="288" w:lineRule="auto"/>
              <w:jc w:val="both"/>
              <w:rPr>
                <w:rFonts w:ascii="Arial" w:hAnsi="Arial" w:cs="Arial"/>
                <w:color w:val="181818"/>
              </w:rPr>
            </w:pPr>
            <w:r w:rsidRPr="0063477B">
              <w:rPr>
                <w:rFonts w:ascii="Arial" w:hAnsi="Arial" w:cs="Arial"/>
              </w:rPr>
              <w:t>Liquidity and trade Execution: these instruments are typically traded on regulated exchanges with high liquidity.</w:t>
            </w:r>
          </w:p>
        </w:tc>
        <w:tc>
          <w:tcPr>
            <w:tcW w:w="2115" w:type="dxa"/>
          </w:tcPr>
          <w:p w14:paraId="15680CF3" w14:textId="77777777" w:rsidR="00810C85" w:rsidRPr="0063477B" w:rsidRDefault="00810C85" w:rsidP="0063477B">
            <w:pPr>
              <w:pStyle w:val="TableParagraph"/>
              <w:spacing w:line="288" w:lineRule="auto"/>
              <w:jc w:val="center"/>
              <w:rPr>
                <w:rFonts w:eastAsia="Times New Roman"/>
                <w:lang w:eastAsia="de-DE"/>
              </w:rPr>
            </w:pPr>
            <w:r w:rsidRPr="0063477B">
              <w:rPr>
                <w:rFonts w:eastAsia="Times New Roman"/>
                <w:lang w:eastAsia="de-DE"/>
              </w:rPr>
              <w:t xml:space="preserve">See left </w:t>
            </w:r>
            <w:proofErr w:type="gramStart"/>
            <w:r w:rsidRPr="0063477B">
              <w:rPr>
                <w:rFonts w:eastAsia="Times New Roman"/>
                <w:lang w:eastAsia="de-DE"/>
              </w:rPr>
              <w:t>column</w:t>
            </w:r>
            <w:proofErr w:type="gramEnd"/>
          </w:p>
          <w:p w14:paraId="19219836" w14:textId="77777777" w:rsidR="00810C85" w:rsidRPr="0063477B" w:rsidRDefault="00810C85" w:rsidP="0063477B">
            <w:pPr>
              <w:spacing w:line="288" w:lineRule="auto"/>
              <w:jc w:val="both"/>
              <w:rPr>
                <w:rFonts w:ascii="Arial" w:hAnsi="Arial" w:cs="Arial"/>
                <w:color w:val="181818"/>
              </w:rPr>
            </w:pPr>
          </w:p>
        </w:tc>
        <w:tc>
          <w:tcPr>
            <w:tcW w:w="1927" w:type="dxa"/>
          </w:tcPr>
          <w:p w14:paraId="296FEF7D" w14:textId="77777777" w:rsidR="00810C85" w:rsidRPr="0063477B" w:rsidRDefault="00810C85" w:rsidP="0063477B">
            <w:pPr>
              <w:spacing w:line="288" w:lineRule="auto"/>
              <w:jc w:val="both"/>
              <w:rPr>
                <w:rFonts w:ascii="Arial" w:hAnsi="Arial" w:cs="Arial"/>
                <w:color w:val="181818"/>
              </w:rPr>
            </w:pPr>
          </w:p>
        </w:tc>
        <w:tc>
          <w:tcPr>
            <w:tcW w:w="1695" w:type="dxa"/>
          </w:tcPr>
          <w:p w14:paraId="7194DBDC" w14:textId="77777777" w:rsidR="00810C85" w:rsidRPr="0063477B" w:rsidRDefault="00810C85" w:rsidP="0063477B">
            <w:pPr>
              <w:spacing w:line="288" w:lineRule="auto"/>
              <w:jc w:val="both"/>
              <w:rPr>
                <w:rFonts w:ascii="Arial" w:hAnsi="Arial" w:cs="Arial"/>
                <w:color w:val="181818"/>
              </w:rPr>
            </w:pPr>
          </w:p>
        </w:tc>
      </w:tr>
      <w:tr w:rsidR="0063477B" w:rsidRPr="0063477B" w14:paraId="66BB473F" w14:textId="77777777" w:rsidTr="0063477B">
        <w:tc>
          <w:tcPr>
            <w:tcW w:w="1888" w:type="dxa"/>
          </w:tcPr>
          <w:p w14:paraId="08FCC5EB" w14:textId="77777777" w:rsidR="00810C85" w:rsidRPr="0063477B" w:rsidRDefault="00810C85" w:rsidP="0063477B">
            <w:pPr>
              <w:spacing w:line="288" w:lineRule="auto"/>
              <w:rPr>
                <w:rFonts w:ascii="Arial" w:hAnsi="Arial" w:cs="Arial"/>
              </w:rPr>
            </w:pPr>
            <w:r w:rsidRPr="0063477B">
              <w:rPr>
                <w:rFonts w:ascii="Arial" w:hAnsi="Arial" w:cs="Arial"/>
              </w:rPr>
              <w:t>18. Asset-backed securities (‘ABS’) including mortgage-backed securities (‘MBS’)</w:t>
            </w:r>
          </w:p>
        </w:tc>
        <w:tc>
          <w:tcPr>
            <w:tcW w:w="1695" w:type="dxa"/>
          </w:tcPr>
          <w:p w14:paraId="7FC7E679"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color w:val="181818"/>
              </w:rPr>
              <w:t xml:space="preserve">Description: an instrument issued by an SPV which references a pool of underlying assets </w:t>
            </w:r>
            <w:r w:rsidRPr="0063477B">
              <w:rPr>
                <w:rFonts w:ascii="Arial" w:hAnsi="Arial" w:cs="Arial"/>
                <w:lang w:val="en-US"/>
              </w:rPr>
              <w:t>(typically for ABS/RMBS:</w:t>
            </w:r>
          </w:p>
          <w:p w14:paraId="32E1B34F" w14:textId="77777777" w:rsidR="00810C85" w:rsidRPr="0063477B" w:rsidRDefault="00810C85" w:rsidP="0063477B">
            <w:pPr>
              <w:widowControl w:val="0"/>
              <w:spacing w:line="288" w:lineRule="auto"/>
              <w:jc w:val="center"/>
              <w:rPr>
                <w:rFonts w:ascii="Arial" w:hAnsi="Arial" w:cs="Arial"/>
                <w:lang w:val="en-US"/>
              </w:rPr>
            </w:pPr>
          </w:p>
          <w:p w14:paraId="17A8A136"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lang w:val="en-US"/>
              </w:rPr>
              <w:t>&gt;1,000, for CLO: 100-400; across various industries and geographies)</w:t>
            </w:r>
            <w:r w:rsidRPr="0063477B">
              <w:rPr>
                <w:rFonts w:ascii="Arial" w:hAnsi="Arial" w:cs="Arial"/>
                <w:color w:val="181818"/>
              </w:rPr>
              <w:t xml:space="preserve"> held by the </w:t>
            </w:r>
            <w:proofErr w:type="gramStart"/>
            <w:r w:rsidRPr="0063477B">
              <w:rPr>
                <w:rFonts w:ascii="Arial" w:hAnsi="Arial" w:cs="Arial"/>
                <w:color w:val="181818"/>
              </w:rPr>
              <w:t>SPV</w:t>
            </w:r>
            <w:proofErr w:type="gramEnd"/>
          </w:p>
          <w:p w14:paraId="3B3D6158" w14:textId="77777777" w:rsidR="00810C85" w:rsidRPr="0063477B" w:rsidRDefault="00810C85" w:rsidP="0063477B">
            <w:pPr>
              <w:widowControl w:val="0"/>
              <w:spacing w:line="288" w:lineRule="auto"/>
              <w:jc w:val="center"/>
              <w:rPr>
                <w:rFonts w:ascii="Arial" w:hAnsi="Arial" w:cs="Arial"/>
                <w:color w:val="181818"/>
              </w:rPr>
            </w:pPr>
          </w:p>
          <w:p w14:paraId="3CCC46CF"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 xml:space="preserve">The underlying assets generate cash flows paid to investors as interest and which </w:t>
            </w:r>
            <w:r w:rsidRPr="0063477B">
              <w:rPr>
                <w:rFonts w:ascii="Arial" w:hAnsi="Arial" w:cs="Arial"/>
                <w:color w:val="181818"/>
              </w:rPr>
              <w:lastRenderedPageBreak/>
              <w:t>also serve as collateral for the securities. ABS are often structured into tranches (senior, mezzanine and junior) which each carry a different degree of risk and return.</w:t>
            </w:r>
          </w:p>
          <w:p w14:paraId="03C544E0" w14:textId="77777777" w:rsidR="00810C85" w:rsidRPr="0063477B" w:rsidRDefault="00810C85" w:rsidP="0063477B">
            <w:pPr>
              <w:widowControl w:val="0"/>
              <w:spacing w:line="288" w:lineRule="auto"/>
              <w:jc w:val="center"/>
              <w:rPr>
                <w:rFonts w:ascii="Arial" w:hAnsi="Arial" w:cs="Arial"/>
                <w:color w:val="181818"/>
              </w:rPr>
            </w:pPr>
          </w:p>
          <w:p w14:paraId="41EFF867" w14:textId="77777777" w:rsidR="00810C85" w:rsidRPr="0063477B" w:rsidRDefault="00810C85" w:rsidP="0063477B">
            <w:pPr>
              <w:widowControl w:val="0"/>
              <w:spacing w:line="288" w:lineRule="auto"/>
              <w:jc w:val="center"/>
              <w:rPr>
                <w:rFonts w:ascii="Arial" w:hAnsi="Arial" w:cs="Arial"/>
                <w:lang w:val="en-US"/>
              </w:rPr>
            </w:pPr>
            <w:r w:rsidRPr="0063477B">
              <w:rPr>
                <w:rFonts w:ascii="Arial" w:hAnsi="Arial" w:cs="Arial"/>
                <w:color w:val="181818"/>
              </w:rPr>
              <w:t xml:space="preserve">Exposure to a wide, diversified range of underlying assets (including </w:t>
            </w:r>
            <w:r w:rsidRPr="0063477B">
              <w:rPr>
                <w:rFonts w:ascii="Arial" w:hAnsi="Arial" w:cs="Arial"/>
                <w:lang w:val="en-US"/>
              </w:rPr>
              <w:t xml:space="preserve">non-traditional credits, sectors, and regions) </w:t>
            </w:r>
            <w:r w:rsidRPr="0063477B">
              <w:rPr>
                <w:rFonts w:ascii="Arial" w:hAnsi="Arial" w:cs="Arial"/>
                <w:color w:val="181818"/>
              </w:rPr>
              <w:t xml:space="preserve">in a cost-effective manager, </w:t>
            </w:r>
            <w:r w:rsidRPr="0063477B">
              <w:rPr>
                <w:rFonts w:ascii="Arial" w:hAnsi="Arial" w:cs="Arial"/>
                <w:lang w:val="en-US"/>
              </w:rPr>
              <w:t>helping to reduce concentration risk and potentially enhance risk-adjusted returns.</w:t>
            </w:r>
          </w:p>
          <w:p w14:paraId="2E1955A5" w14:textId="77777777" w:rsidR="00810C85" w:rsidRPr="0063477B" w:rsidRDefault="00810C85" w:rsidP="0063477B">
            <w:pPr>
              <w:widowControl w:val="0"/>
              <w:spacing w:line="288" w:lineRule="auto"/>
              <w:jc w:val="center"/>
              <w:rPr>
                <w:rFonts w:ascii="Arial" w:hAnsi="Arial" w:cs="Arial"/>
                <w:lang w:val="en-US"/>
              </w:rPr>
            </w:pPr>
          </w:p>
          <w:p w14:paraId="1CF766B2" w14:textId="77777777" w:rsidR="00810C85" w:rsidRPr="0063477B" w:rsidRDefault="00810C85" w:rsidP="0063477B">
            <w:pPr>
              <w:widowControl w:val="0"/>
              <w:spacing w:line="288" w:lineRule="auto"/>
              <w:jc w:val="center"/>
              <w:rPr>
                <w:rFonts w:ascii="Arial" w:hAnsi="Arial" w:cs="Arial"/>
                <w:color w:val="181818"/>
              </w:rPr>
            </w:pPr>
            <w:r w:rsidRPr="0063477B">
              <w:rPr>
                <w:rFonts w:ascii="Arial" w:hAnsi="Arial" w:cs="Arial"/>
                <w:color w:val="181818"/>
              </w:rPr>
              <w:t>Consistent receipt of income through interest and principal payments.</w:t>
            </w:r>
          </w:p>
          <w:p w14:paraId="5A2B86A4" w14:textId="77777777" w:rsidR="00810C85" w:rsidRPr="0063477B" w:rsidRDefault="00810C85" w:rsidP="0063477B">
            <w:pPr>
              <w:widowControl w:val="0"/>
              <w:spacing w:line="288" w:lineRule="auto"/>
              <w:jc w:val="center"/>
              <w:rPr>
                <w:rFonts w:ascii="Arial" w:hAnsi="Arial" w:cs="Arial"/>
                <w:color w:val="181818"/>
              </w:rPr>
            </w:pPr>
          </w:p>
          <w:p w14:paraId="52D92276" w14:textId="77777777" w:rsidR="00810C85" w:rsidRPr="0063477B" w:rsidRDefault="00810C85" w:rsidP="0063477B">
            <w:pPr>
              <w:pStyle w:val="TableParagraph"/>
              <w:spacing w:line="288" w:lineRule="auto"/>
              <w:jc w:val="center"/>
            </w:pPr>
            <w:r w:rsidRPr="0063477B">
              <w:rPr>
                <w:color w:val="181818"/>
              </w:rPr>
              <w:t xml:space="preserve">Potential for higher yields than other fixed-income securities, depending on the tranche selected. </w:t>
            </w:r>
            <w:r w:rsidRPr="0063477B">
              <w:t xml:space="preserve">These tranches allow investors to choose their preferred level of risk exposure. UCITS can invest in tranches that </w:t>
            </w:r>
            <w:r w:rsidRPr="0063477B">
              <w:lastRenderedPageBreak/>
              <w:t xml:space="preserve">align with their risk appetite, allowing for better risk management and the potential to </w:t>
            </w:r>
            <w:proofErr w:type="spellStart"/>
            <w:r w:rsidRPr="0063477B">
              <w:t>optimise</w:t>
            </w:r>
            <w:proofErr w:type="spellEnd"/>
            <w:r w:rsidRPr="0063477B">
              <w:t xml:space="preserve"> the risk-reward tradeoff within the portfolio.</w:t>
            </w:r>
          </w:p>
          <w:p w14:paraId="6F0BDD62" w14:textId="77777777" w:rsidR="00810C85" w:rsidRPr="0063477B" w:rsidRDefault="00810C85" w:rsidP="0063477B">
            <w:pPr>
              <w:pStyle w:val="TableParagraph"/>
              <w:spacing w:line="288" w:lineRule="auto"/>
              <w:jc w:val="center"/>
              <w:rPr>
                <w:color w:val="000000" w:themeColor="text1"/>
              </w:rPr>
            </w:pPr>
          </w:p>
          <w:p w14:paraId="3538F49C" w14:textId="77777777" w:rsidR="00810C85" w:rsidRPr="0063477B" w:rsidRDefault="00810C85" w:rsidP="0063477B">
            <w:pPr>
              <w:pStyle w:val="TableParagraph"/>
              <w:spacing w:line="288" w:lineRule="auto"/>
              <w:jc w:val="center"/>
            </w:pPr>
            <w:r w:rsidRPr="0063477B">
              <w:t xml:space="preserve">ABS can offer an enhanced liquidity comparable to corporate bonds with corresponding </w:t>
            </w:r>
            <w:proofErr w:type="gramStart"/>
            <w:r w:rsidRPr="0063477B">
              <w:t>ratings</w:t>
            </w:r>
            <w:proofErr w:type="gramEnd"/>
          </w:p>
          <w:p w14:paraId="650CCFD3" w14:textId="77777777" w:rsidR="00810C85" w:rsidRPr="0063477B" w:rsidRDefault="00810C85" w:rsidP="0063477B">
            <w:pPr>
              <w:pStyle w:val="TableParagraph"/>
              <w:spacing w:line="288" w:lineRule="auto"/>
              <w:jc w:val="center"/>
            </w:pPr>
          </w:p>
          <w:p w14:paraId="378DB29C" w14:textId="77777777" w:rsidR="00810C85" w:rsidRPr="0063477B" w:rsidRDefault="00810C85" w:rsidP="0063477B">
            <w:pPr>
              <w:pStyle w:val="TableParagraph"/>
              <w:spacing w:line="288" w:lineRule="auto"/>
              <w:jc w:val="center"/>
            </w:pPr>
            <w:r w:rsidRPr="0063477B">
              <w:t>Past Performance:</w:t>
            </w:r>
          </w:p>
          <w:p w14:paraId="769D0D3C" w14:textId="5209E629" w:rsidR="00810C85" w:rsidRPr="0063477B" w:rsidRDefault="00810C85" w:rsidP="0063477B">
            <w:pPr>
              <w:spacing w:line="288" w:lineRule="auto"/>
              <w:jc w:val="center"/>
              <w:rPr>
                <w:rFonts w:ascii="Arial" w:hAnsi="Arial" w:cs="Arial"/>
                <w:color w:val="181818"/>
              </w:rPr>
            </w:pPr>
            <w:r w:rsidRPr="0063477B">
              <w:rPr>
                <w:rFonts w:ascii="Arial" w:hAnsi="Arial" w:cs="Arial"/>
              </w:rPr>
              <w:t>Securitisations like ABS and CLO have a much lower default rates than corporate bonds with comparable ratings over the last 25 years. Reasons are additional credit support through tranching and secured nature of loans.</w:t>
            </w:r>
          </w:p>
        </w:tc>
        <w:tc>
          <w:tcPr>
            <w:tcW w:w="2115" w:type="dxa"/>
          </w:tcPr>
          <w:p w14:paraId="54CD245A" w14:textId="2F35286E" w:rsidR="00810C85" w:rsidRPr="0063477B" w:rsidRDefault="00810C85" w:rsidP="0063477B">
            <w:pPr>
              <w:spacing w:line="288" w:lineRule="auto"/>
              <w:jc w:val="both"/>
              <w:rPr>
                <w:rFonts w:ascii="Arial" w:hAnsi="Arial" w:cs="Arial"/>
                <w:color w:val="181818"/>
              </w:rPr>
            </w:pPr>
            <w:r w:rsidRPr="0063477B">
              <w:rPr>
                <w:rFonts w:ascii="Arial" w:hAnsi="Arial" w:cs="Arial"/>
              </w:rPr>
              <w:lastRenderedPageBreak/>
              <w:t>All merits of the left column are also valid for derivatives and indices investing in securitisations like CLO and ABS</w:t>
            </w:r>
          </w:p>
        </w:tc>
        <w:tc>
          <w:tcPr>
            <w:tcW w:w="1927" w:type="dxa"/>
          </w:tcPr>
          <w:p w14:paraId="1231BE67" w14:textId="77777777" w:rsidR="00810C85" w:rsidRPr="0063477B" w:rsidRDefault="00810C85" w:rsidP="0063477B">
            <w:pPr>
              <w:spacing w:line="288" w:lineRule="auto"/>
              <w:jc w:val="both"/>
              <w:rPr>
                <w:rFonts w:ascii="Arial" w:hAnsi="Arial" w:cs="Arial"/>
                <w:color w:val="181818"/>
              </w:rPr>
            </w:pPr>
          </w:p>
        </w:tc>
        <w:tc>
          <w:tcPr>
            <w:tcW w:w="1695" w:type="dxa"/>
          </w:tcPr>
          <w:p w14:paraId="36FEB5B0" w14:textId="3CE3D376" w:rsidR="00810C85" w:rsidRPr="0063477B" w:rsidRDefault="00810C85" w:rsidP="0063477B">
            <w:pPr>
              <w:spacing w:line="288" w:lineRule="auto"/>
              <w:jc w:val="both"/>
              <w:rPr>
                <w:rFonts w:ascii="Arial" w:hAnsi="Arial" w:cs="Arial"/>
                <w:color w:val="181818"/>
              </w:rPr>
            </w:pPr>
            <w:r w:rsidRPr="0063477B">
              <w:rPr>
                <w:rFonts w:ascii="Arial" w:hAnsi="Arial" w:cs="Arial"/>
                <w:color w:val="000000" w:themeColor="text1"/>
              </w:rPr>
              <w:t>Very important investment for short duration fixed income funds with better credit quality (compared to only a few corporate bond issuers AAA ratings)</w:t>
            </w:r>
          </w:p>
        </w:tc>
      </w:tr>
      <w:tr w:rsidR="0063477B" w:rsidRPr="0063477B" w14:paraId="16623728" w14:textId="77777777" w:rsidTr="0063477B">
        <w:tc>
          <w:tcPr>
            <w:tcW w:w="1888" w:type="dxa"/>
          </w:tcPr>
          <w:p w14:paraId="2D5FBB9B" w14:textId="77777777" w:rsidR="00810C85" w:rsidRPr="0063477B" w:rsidRDefault="00810C85" w:rsidP="0063477B">
            <w:pPr>
              <w:spacing w:line="288" w:lineRule="auto"/>
              <w:rPr>
                <w:rFonts w:ascii="Arial" w:hAnsi="Arial" w:cs="Arial"/>
              </w:rPr>
            </w:pPr>
            <w:r w:rsidRPr="0063477B">
              <w:rPr>
                <w:rFonts w:ascii="Arial" w:hAnsi="Arial" w:cs="Arial"/>
              </w:rPr>
              <w:lastRenderedPageBreak/>
              <w:t>19. Other relevant asset classes (please specify)</w:t>
            </w:r>
          </w:p>
        </w:tc>
        <w:tc>
          <w:tcPr>
            <w:tcW w:w="1695" w:type="dxa"/>
          </w:tcPr>
          <w:p w14:paraId="30D7AA69" w14:textId="77777777" w:rsidR="00810C85" w:rsidRPr="0063477B" w:rsidRDefault="00810C85" w:rsidP="0063477B">
            <w:pPr>
              <w:spacing w:line="288" w:lineRule="auto"/>
              <w:jc w:val="both"/>
              <w:rPr>
                <w:rFonts w:ascii="Arial" w:hAnsi="Arial" w:cs="Arial"/>
                <w:color w:val="181818"/>
              </w:rPr>
            </w:pPr>
          </w:p>
        </w:tc>
        <w:tc>
          <w:tcPr>
            <w:tcW w:w="2115" w:type="dxa"/>
          </w:tcPr>
          <w:p w14:paraId="7196D064" w14:textId="77777777" w:rsidR="00810C85" w:rsidRPr="0063477B" w:rsidRDefault="00810C85" w:rsidP="0063477B">
            <w:pPr>
              <w:spacing w:line="288" w:lineRule="auto"/>
              <w:jc w:val="both"/>
              <w:rPr>
                <w:rFonts w:ascii="Arial" w:hAnsi="Arial" w:cs="Arial"/>
                <w:color w:val="181818"/>
              </w:rPr>
            </w:pPr>
          </w:p>
        </w:tc>
        <w:tc>
          <w:tcPr>
            <w:tcW w:w="1927" w:type="dxa"/>
          </w:tcPr>
          <w:p w14:paraId="34FF1C98" w14:textId="77777777" w:rsidR="00810C85" w:rsidRPr="0063477B" w:rsidRDefault="00810C85" w:rsidP="0063477B">
            <w:pPr>
              <w:spacing w:line="288" w:lineRule="auto"/>
              <w:jc w:val="both"/>
              <w:rPr>
                <w:rFonts w:ascii="Arial" w:hAnsi="Arial" w:cs="Arial"/>
                <w:color w:val="181818"/>
              </w:rPr>
            </w:pPr>
          </w:p>
        </w:tc>
        <w:tc>
          <w:tcPr>
            <w:tcW w:w="1695" w:type="dxa"/>
          </w:tcPr>
          <w:p w14:paraId="6D072C0D" w14:textId="77777777" w:rsidR="00810C85" w:rsidRPr="0063477B" w:rsidRDefault="00810C85" w:rsidP="0063477B">
            <w:pPr>
              <w:spacing w:line="288"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324B1C" w:rsidRPr="00332B8C" w:rsidRDefault="00324B1C"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324B1C" w:rsidRPr="00332B8C" w:rsidRDefault="00324B1C"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324B1C" w:rsidRPr="00332B8C" w:rsidRDefault="00324B1C"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324B1C" w:rsidRPr="00332B8C" w:rsidRDefault="00324B1C"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810C85" w:rsidRPr="00332B8C" w:rsidRDefault="00810C85" w:rsidP="00332B8C">
      <w:pPr>
        <w:pStyle w:val="Funoten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E09"/>
    <w:multiLevelType w:val="hybridMultilevel"/>
    <w:tmpl w:val="B2F617FC"/>
    <w:lvl w:ilvl="0" w:tplc="2BD62F08">
      <w:start w:val="1"/>
      <w:numFmt w:val="low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3178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24B1C"/>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3477B"/>
    <w:rsid w:val="00686D73"/>
    <w:rsid w:val="006B6977"/>
    <w:rsid w:val="006B7B4A"/>
    <w:rsid w:val="006C47BC"/>
    <w:rsid w:val="006C7811"/>
    <w:rsid w:val="00712439"/>
    <w:rsid w:val="00753DB8"/>
    <w:rsid w:val="00784D7C"/>
    <w:rsid w:val="00794019"/>
    <w:rsid w:val="007A589D"/>
    <w:rsid w:val="00810C85"/>
    <w:rsid w:val="00817444"/>
    <w:rsid w:val="008351CF"/>
    <w:rsid w:val="00847BDD"/>
    <w:rsid w:val="00867478"/>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49D8"/>
    <w:rsid w:val="00BC577D"/>
    <w:rsid w:val="00BD4295"/>
    <w:rsid w:val="00BD7454"/>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B334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3432"/>
    <w:rPr>
      <w:sz w:val="20"/>
      <w:szCs w:val="20"/>
    </w:rPr>
  </w:style>
  <w:style w:type="table" w:customStyle="1" w:styleId="Tablenone1">
    <w:name w:val="Table none1"/>
    <w:basedOn w:val="NormaleTabelle"/>
    <w:next w:val="Tabellenraster"/>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Absatz-Standardschriftar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Standard"/>
    <w:link w:val="Ref1"/>
    <w:uiPriority w:val="99"/>
    <w:rsid w:val="00B33432"/>
    <w:pPr>
      <w:spacing w:before="120" w:line="240" w:lineRule="exact"/>
    </w:pPr>
    <w:rPr>
      <w:rFonts w:ascii="Arial" w:eastAsia="MS PGothic" w:hAnsi="Arial"/>
      <w:sz w:val="16"/>
      <w:szCs w:val="20"/>
      <w:vertAlign w:val="superscript"/>
      <w:lang w:val="nl-BE"/>
    </w:rPr>
  </w:style>
  <w:style w:type="table" w:styleId="Tabellenraster">
    <w:name w:val="Table Grid"/>
    <w:basedOn w:val="NormaleTabelle"/>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B33432"/>
    <w:rPr>
      <w:vertAlign w:val="superscript"/>
    </w:rPr>
  </w:style>
  <w:style w:type="paragraph" w:styleId="Kopfzeile">
    <w:name w:val="header"/>
    <w:basedOn w:val="Standard"/>
    <w:link w:val="KopfzeileZchn"/>
    <w:uiPriority w:val="99"/>
    <w:unhideWhenUsed/>
    <w:rsid w:val="00F03D5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03D56"/>
  </w:style>
  <w:style w:type="paragraph" w:styleId="Fuzeile">
    <w:name w:val="footer"/>
    <w:basedOn w:val="Standard"/>
    <w:link w:val="FuzeileZchn"/>
    <w:uiPriority w:val="99"/>
    <w:unhideWhenUsed/>
    <w:rsid w:val="00F03D5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03D56"/>
  </w:style>
  <w:style w:type="paragraph" w:styleId="Sprechblasentext">
    <w:name w:val="Balloon Text"/>
    <w:basedOn w:val="Standard"/>
    <w:link w:val="SprechblasentextZchn"/>
    <w:uiPriority w:val="99"/>
    <w:semiHidden/>
    <w:unhideWhenUsed/>
    <w:rsid w:val="002D61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186"/>
    <w:rPr>
      <w:rFonts w:ascii="Segoe UI" w:hAnsi="Segoe UI" w:cs="Segoe UI"/>
      <w:sz w:val="18"/>
      <w:szCs w:val="18"/>
    </w:rPr>
  </w:style>
  <w:style w:type="character" w:styleId="Hyperlink">
    <w:name w:val="Hyperlink"/>
    <w:basedOn w:val="Absatz-Standardschriftart"/>
    <w:uiPriority w:val="99"/>
    <w:unhideWhenUsed/>
    <w:qFormat/>
    <w:rsid w:val="00901098"/>
    <w:rPr>
      <w:color w:val="0563C1" w:themeColor="hyperlink"/>
      <w:u w:val="single"/>
    </w:rPr>
  </w:style>
  <w:style w:type="character" w:styleId="NichtaufgelsteErwhnung">
    <w:name w:val="Unresolved Mention"/>
    <w:basedOn w:val="Absatz-Standardschriftart"/>
    <w:uiPriority w:val="99"/>
    <w:semiHidden/>
    <w:unhideWhenUsed/>
    <w:rsid w:val="00901098"/>
    <w:rPr>
      <w:color w:val="605E5C"/>
      <w:shd w:val="clear" w:color="auto" w:fill="E1DFDD"/>
    </w:rPr>
  </w:style>
  <w:style w:type="character" w:styleId="BesuchterLink">
    <w:name w:val="FollowedHyperlink"/>
    <w:basedOn w:val="Absatz-Standardschriftart"/>
    <w:uiPriority w:val="99"/>
    <w:semiHidden/>
    <w:unhideWhenUsed/>
    <w:rsid w:val="00901098"/>
    <w:rPr>
      <w:color w:val="954F72" w:themeColor="followedHyperlink"/>
      <w:u w:val="single"/>
    </w:rPr>
  </w:style>
  <w:style w:type="paragraph" w:customStyle="1" w:styleId="TableParagraph">
    <w:name w:val="Table Paragraph"/>
    <w:basedOn w:val="Standard"/>
    <w:uiPriority w:val="1"/>
    <w:qFormat/>
    <w:rsid w:val="00324B1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press-news/consultations/call-evidence-review-ucits-eligible-assets-direc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3005</Words>
  <Characters>17555</Characters>
  <Application>Microsoft Office Word</Application>
  <DocSecurity>0</DocSecurity>
  <Lines>797</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Melanie Döring</cp:lastModifiedBy>
  <cp:revision>40</cp:revision>
  <dcterms:created xsi:type="dcterms:W3CDTF">2024-05-23T00:38:00Z</dcterms:created>
  <dcterms:modified xsi:type="dcterms:W3CDTF">2024-08-05T15:24:00Z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