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re"/>
          </w:pPr>
          <w:r>
            <w:t>Reply form</w:t>
          </w:r>
        </w:p>
        <w:p w14:paraId="031F2108" w14:textId="0F73999B" w:rsidR="007E7997" w:rsidRDefault="00D77369" w:rsidP="00D77369">
          <w:pPr>
            <w:pStyle w:val="Sous-titre"/>
            <w:rPr>
              <w:rFonts w:cs="Arial"/>
            </w:rPr>
          </w:pPr>
          <w:r>
            <w:rPr>
              <w:noProof/>
              <w:lang w:val="fr-FR" w:eastAsia="fr-FR"/>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us-titr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Lienhypertexte"/>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Lienhypertexte"/>
              </w:rPr>
              <w:t>www.esma.europa.eu</w:t>
            </w:r>
          </w:hyperlink>
          <w:r w:rsidRPr="005B6B12">
            <w:t xml:space="preserve"> under the heading </w:t>
          </w:r>
          <w:r w:rsidRPr="00025A7F">
            <w:rPr>
              <w:rStyle w:val="Lienhypertexte"/>
            </w:rPr>
            <w:t>‘</w:t>
          </w:r>
          <w:hyperlink r:id="rId18" w:history="1">
            <w:r>
              <w:rPr>
                <w:rStyle w:val="Lienhypertexte"/>
              </w:rPr>
              <w:t>Data protection</w:t>
            </w:r>
          </w:hyperlink>
          <w:r>
            <w:rPr>
              <w:rStyle w:val="Lienhypertexte"/>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even" r:id="rId20"/>
          <w:footerReference w:type="default" r:id="rId21"/>
          <w:headerReference w:type="first" r:id="rId22"/>
          <w:footerReference w:type="first" r:id="rId23"/>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794C3227" w:rsidR="00635BCA" w:rsidRPr="00557BD2" w:rsidRDefault="00243741" w:rsidP="00D21C35">
                <w:r>
                  <w:t>France Post Marché</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permStart w:id="476595074" w:edGrp="everyone" w:displacedByCustomXml="prev"/>
            <w:tc>
              <w:tcPr>
                <w:tcW w:w="4531" w:type="dxa"/>
              </w:tcPr>
              <w:p w14:paraId="7403D812" w14:textId="1CFFCBAA" w:rsidR="00635BCA" w:rsidRPr="00557BD2" w:rsidRDefault="00BC69C1" w:rsidP="00D21C35">
                <w:r w:rsidRPr="00BC69C1">
                  <w:t>Associations, professional bodies, industry representatives</w:t>
                </w:r>
                <w:r>
                  <w:t>, D</w:t>
                </w:r>
                <w:r w:rsidR="009475A3">
                  <w:t>epositaries of UCITS)</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5CBB8EE6" w:rsidR="00635BCA" w:rsidRPr="00557BD2" w:rsidRDefault="009475A3" w:rsidP="00D21C35">
                <w:r>
                  <w:t>France</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Titre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173CEDFE" w14:textId="77777777" w:rsidR="00C77D11" w:rsidRDefault="00C77D11" w:rsidP="00C77D11">
      <w:pPr>
        <w:rPr>
          <w:lang w:val="en-US"/>
        </w:rPr>
      </w:pPr>
      <w:permStart w:id="1975413025" w:edGrp="everyone"/>
      <w:r w:rsidRPr="00C77D11">
        <w:rPr>
          <w:lang w:val="en-US"/>
        </w:rPr>
        <w:t xml:space="preserve">FRANCE POST-MARCHE (previously named AFTI) </w:t>
      </w:r>
      <w:proofErr w:type="gramStart"/>
      <w:r w:rsidRPr="00C77D11">
        <w:rPr>
          <w:lang w:val="en-US"/>
        </w:rPr>
        <w:t>was created</w:t>
      </w:r>
      <w:proofErr w:type="gramEnd"/>
      <w:r w:rsidRPr="00C77D11">
        <w:rPr>
          <w:lang w:val="en-US"/>
        </w:rPr>
        <w:t xml:space="preserve"> in 1990, with the goal of gathering members of organizations in the Banking and Financial Services industry involved in activities with financial instruments and specifically post trade activities.</w:t>
      </w:r>
    </w:p>
    <w:p w14:paraId="40EC0DCF" w14:textId="42141380" w:rsidR="00C77D11" w:rsidRPr="00C77D11" w:rsidRDefault="00C77D11" w:rsidP="00C77D11">
      <w:pPr>
        <w:rPr>
          <w:lang w:val="en-US"/>
        </w:rPr>
      </w:pPr>
      <w:r w:rsidRPr="00C77D11">
        <w:rPr>
          <w:lang w:val="en-US"/>
        </w:rPr>
        <w:t>FRANCE POST-MARCHE is an integral part of the French, European and international financial ecosystem, supporting the increasingly interdependent players in the French financial marketplace.</w:t>
      </w:r>
    </w:p>
    <w:p w14:paraId="3ADA8622" w14:textId="77777777" w:rsidR="00C77D11" w:rsidRPr="00C77D11" w:rsidRDefault="00C77D11" w:rsidP="00C77D11">
      <w:pPr>
        <w:rPr>
          <w:lang w:val="en-US"/>
        </w:rPr>
      </w:pPr>
      <w:r w:rsidRPr="00C77D11">
        <w:rPr>
          <w:lang w:val="en-US"/>
        </w:rPr>
        <w:t>FRANCE POST-MARCHE (FPM) is the leading association representing the post-trade business in France and Europe.</w:t>
      </w:r>
    </w:p>
    <w:p w14:paraId="6C588836" w14:textId="77777777" w:rsidR="00C77D11" w:rsidRPr="00C77D11" w:rsidRDefault="00C77D11" w:rsidP="00C77D11">
      <w:pPr>
        <w:rPr>
          <w:i/>
          <w:iCs/>
          <w:lang w:val="en-US"/>
        </w:rPr>
      </w:pPr>
      <w:r w:rsidRPr="00C77D11">
        <w:rPr>
          <w:lang w:val="en-US"/>
        </w:rPr>
        <w:t>FPM represents through its 82 members a wide range of activities: market infrastructures, custodians, account-keepers and depositaries, issuer services, reporting, and data management services, with a total staff of 28,000 in Europe of which 16,000 in France</w:t>
      </w:r>
      <w:r w:rsidRPr="00C77D11">
        <w:rPr>
          <w:i/>
          <w:iCs/>
          <w:lang w:val="en-US"/>
        </w:rPr>
        <w:t>.</w:t>
      </w:r>
    </w:p>
    <w:p w14:paraId="6860A8F8" w14:textId="77777777" w:rsidR="00C77D11" w:rsidRDefault="00C77D11" w:rsidP="00C77D11">
      <w:pPr>
        <w:rPr>
          <w:i/>
          <w:iCs/>
          <w:lang w:val="en-US"/>
        </w:rPr>
      </w:pPr>
      <w:r w:rsidRPr="00C77D11">
        <w:rPr>
          <w:lang w:val="en-US"/>
        </w:rPr>
        <w:t>Our members acting as financial intermediaries account for 26% of the European market.</w:t>
      </w:r>
      <w:r w:rsidRPr="00C77D11">
        <w:rPr>
          <w:i/>
          <w:iCs/>
          <w:lang w:val="en-US"/>
        </w:rPr>
        <w:t xml:space="preserve"> </w:t>
      </w:r>
    </w:p>
    <w:p w14:paraId="05BA92B9" w14:textId="793459A9" w:rsidR="007D7AB3" w:rsidRPr="007D7AB3" w:rsidRDefault="007D7AB3" w:rsidP="00C77D11">
      <w:pPr>
        <w:rPr>
          <w:lang w:val="en-US"/>
        </w:rPr>
      </w:pPr>
      <w:r w:rsidRPr="007D7AB3">
        <w:rPr>
          <w:lang w:val="en-US"/>
        </w:rPr>
        <w:t xml:space="preserve">Without prejudice to the detailed comments in this contribution France Post Marché is of the view that any future amendments to the UCITS Directive derived from this call for evidence </w:t>
      </w:r>
      <w:proofErr w:type="gramStart"/>
      <w:r w:rsidRPr="007D7AB3">
        <w:rPr>
          <w:lang w:val="en-US"/>
        </w:rPr>
        <w:t>must be guided</w:t>
      </w:r>
      <w:proofErr w:type="gramEnd"/>
      <w:r w:rsidRPr="007D7AB3">
        <w:rPr>
          <w:lang w:val="en-US"/>
        </w:rPr>
        <w:t xml:space="preserve"> by the following overarching principles: 1) preservation and integrity of the UCITS brand, 2) clarity and EU-wide harmonization of regulation, 3) investor protection and financial stability.</w:t>
      </w:r>
    </w:p>
    <w:p w14:paraId="6BD5C22D" w14:textId="77777777" w:rsidR="009D0915" w:rsidRPr="00D81950" w:rsidRDefault="009D0915" w:rsidP="009D0915">
      <w:pPr>
        <w:spacing w:after="0" w:line="240" w:lineRule="auto"/>
        <w:jc w:val="left"/>
        <w:rPr>
          <w:lang w:val="en-US"/>
        </w:rPr>
      </w:pPr>
      <w:bookmarkStart w:id="1" w:name="_GoBack"/>
      <w:bookmarkEnd w:id="1"/>
      <w:r w:rsidRPr="00D81950">
        <w:rPr>
          <w:lang w:val="en-US"/>
        </w:rPr>
        <w:t>FPM, the French post-market association, brings together UCITS depositories in France. FPM thanks ESMA for the opportunity to participate in the Call for Evidence on the revision of the UCITS Eligible Assets Directive (EAD).</w:t>
      </w:r>
    </w:p>
    <w:p w14:paraId="02871D0E" w14:textId="77777777" w:rsidR="009D0915" w:rsidRPr="00D81950" w:rsidRDefault="009D0915" w:rsidP="009D0915">
      <w:pPr>
        <w:spacing w:after="0" w:line="240" w:lineRule="auto"/>
        <w:jc w:val="left"/>
        <w:rPr>
          <w:lang w:val="en-US"/>
        </w:rPr>
      </w:pPr>
    </w:p>
    <w:p w14:paraId="14725A5C" w14:textId="77777777" w:rsidR="009D0915" w:rsidRPr="00D81950" w:rsidRDefault="009D0915" w:rsidP="009D0915">
      <w:pPr>
        <w:spacing w:after="0" w:line="240" w:lineRule="auto"/>
        <w:jc w:val="left"/>
        <w:rPr>
          <w:lang w:val="en-US"/>
        </w:rPr>
      </w:pPr>
      <w:r w:rsidRPr="00D81950">
        <w:rPr>
          <w:lang w:val="en-US"/>
        </w:rPr>
        <w:t xml:space="preserve">As part of the </w:t>
      </w:r>
      <w:proofErr w:type="gramStart"/>
      <w:r w:rsidRPr="00D81950">
        <w:rPr>
          <w:lang w:val="en-US"/>
        </w:rPr>
        <w:t>analysis which</w:t>
      </w:r>
      <w:proofErr w:type="gramEnd"/>
      <w:r w:rsidRPr="00D81950">
        <w:rPr>
          <w:lang w:val="en-US"/>
        </w:rPr>
        <w:t xml:space="preserve"> should lead ESMA to issue a technical advice on the revision of the EAD to the European Commission, FPM wishes to share the following general messages and comments:</w:t>
      </w:r>
    </w:p>
    <w:p w14:paraId="02013EB7" w14:textId="77777777" w:rsidR="009D0915" w:rsidRPr="00D81950" w:rsidRDefault="009D0915" w:rsidP="009D0915">
      <w:pPr>
        <w:spacing w:after="0" w:line="240" w:lineRule="auto"/>
        <w:jc w:val="left"/>
        <w:rPr>
          <w:lang w:val="en-US"/>
        </w:rPr>
      </w:pPr>
    </w:p>
    <w:p w14:paraId="04CF9AF2" w14:textId="77777777" w:rsidR="009D0915" w:rsidRPr="00D81950" w:rsidRDefault="009D0915" w:rsidP="009D0915">
      <w:pPr>
        <w:spacing w:after="0" w:line="240" w:lineRule="auto"/>
        <w:jc w:val="left"/>
        <w:rPr>
          <w:lang w:val="en-US"/>
        </w:rPr>
      </w:pPr>
      <w:r w:rsidRPr="00D81950">
        <w:rPr>
          <w:lang w:val="en-US"/>
        </w:rPr>
        <w:t xml:space="preserve">UCITS funds benefits from a marketing passport allowing them to </w:t>
      </w:r>
      <w:proofErr w:type="gramStart"/>
      <w:r w:rsidRPr="00D81950">
        <w:rPr>
          <w:lang w:val="en-US"/>
        </w:rPr>
        <w:t>be sold</w:t>
      </w:r>
      <w:proofErr w:type="gramEnd"/>
      <w:r w:rsidRPr="00D81950">
        <w:rPr>
          <w:lang w:val="en-US"/>
        </w:rPr>
        <w:t xml:space="preserve"> to retail investors within the European Union. The format is also popular with foreign investors, particularly Asian or South American investors. </w:t>
      </w:r>
      <w:proofErr w:type="gramStart"/>
      <w:r w:rsidRPr="00D81950">
        <w:rPr>
          <w:lang w:val="en-US"/>
        </w:rPr>
        <w:t>It is a franchise that</w:t>
      </w:r>
      <w:proofErr w:type="gramEnd"/>
      <w:r w:rsidRPr="00D81950">
        <w:rPr>
          <w:lang w:val="en-US"/>
        </w:rPr>
        <w:t xml:space="preserve"> is therefore a structuring pillar of the Capital Markets Union.</w:t>
      </w:r>
    </w:p>
    <w:p w14:paraId="2B77ECB1" w14:textId="77777777" w:rsidR="009D0915" w:rsidRPr="00D81950" w:rsidRDefault="009D0915" w:rsidP="009D0915">
      <w:pPr>
        <w:spacing w:after="0" w:line="240" w:lineRule="auto"/>
        <w:jc w:val="left"/>
        <w:rPr>
          <w:lang w:val="en-US"/>
        </w:rPr>
      </w:pPr>
      <w:r w:rsidRPr="00D81950">
        <w:rPr>
          <w:lang w:val="en-US"/>
        </w:rPr>
        <w:t>This success is due in particular to the liquidity of the assets held by UCITS, given the application of strict asset eligibility criteria and the risk dispersion rules that apply and thus provide strong protection for retail investors.</w:t>
      </w:r>
    </w:p>
    <w:p w14:paraId="32C0044E" w14:textId="77777777" w:rsidR="009D0915" w:rsidRPr="00D81950" w:rsidRDefault="009D0915" w:rsidP="009D0915">
      <w:pPr>
        <w:spacing w:after="0" w:line="240" w:lineRule="auto"/>
        <w:jc w:val="left"/>
        <w:rPr>
          <w:lang w:val="en-US"/>
        </w:rPr>
      </w:pPr>
    </w:p>
    <w:p w14:paraId="0B71EFE8" w14:textId="77777777" w:rsidR="009D0915" w:rsidRDefault="009D0915" w:rsidP="009D0915">
      <w:pPr>
        <w:spacing w:after="0" w:line="240" w:lineRule="auto"/>
        <w:jc w:val="left"/>
        <w:rPr>
          <w:lang w:val="en-US"/>
        </w:rPr>
      </w:pPr>
      <w:r w:rsidRPr="00D81950">
        <w:rPr>
          <w:lang w:val="en-US"/>
        </w:rPr>
        <w:t>Since 2007, new types of financial instruments/assets have appeared on the markets, questioning their eligibility in relation to the criteria defined in the 2007 delegated directive which complements the UCITS Directive and still refers to the UCITS Directive 85/611/EEC as amended in 2004 (UCITS III).</w:t>
      </w:r>
    </w:p>
    <w:p w14:paraId="2D0D3EA8" w14:textId="77777777" w:rsidR="009D0915" w:rsidRPr="00D81950" w:rsidRDefault="009D0915" w:rsidP="009D0915">
      <w:pPr>
        <w:spacing w:after="0" w:line="240" w:lineRule="auto"/>
        <w:jc w:val="left"/>
        <w:rPr>
          <w:lang w:val="en-US"/>
        </w:rPr>
      </w:pPr>
    </w:p>
    <w:p w14:paraId="23230A39" w14:textId="77777777" w:rsidR="00957EE3" w:rsidRPr="005905C5" w:rsidRDefault="00957EE3" w:rsidP="00957EE3">
      <w:pPr>
        <w:pStyle w:val="Paragraphedeliste"/>
        <w:numPr>
          <w:ilvl w:val="0"/>
          <w:numId w:val="21"/>
        </w:numPr>
        <w:spacing w:after="0" w:line="240" w:lineRule="auto"/>
        <w:jc w:val="left"/>
        <w:rPr>
          <w:lang w:val="en-US"/>
        </w:rPr>
      </w:pPr>
      <w:r w:rsidRPr="005905C5">
        <w:rPr>
          <w:lang w:val="en-US"/>
        </w:rPr>
        <w:t>References to the revised Directive 2007 should therefore now refer to Directive 2009/65/</w:t>
      </w:r>
      <w:proofErr w:type="gramStart"/>
      <w:r w:rsidRPr="005905C5">
        <w:rPr>
          <w:lang w:val="en-US"/>
        </w:rPr>
        <w:t>EC which</w:t>
      </w:r>
      <w:proofErr w:type="gramEnd"/>
      <w:r w:rsidRPr="005905C5">
        <w:rPr>
          <w:lang w:val="en-US"/>
        </w:rPr>
        <w:t xml:space="preserve"> repealed Directive 85/611/EC.</w:t>
      </w:r>
    </w:p>
    <w:p w14:paraId="124BF025" w14:textId="77777777" w:rsidR="00957EE3" w:rsidRPr="00CE5668" w:rsidRDefault="00957EE3" w:rsidP="00957EE3">
      <w:pPr>
        <w:rPr>
          <w:lang w:val="en-US"/>
        </w:rPr>
      </w:pPr>
    </w:p>
    <w:p w14:paraId="06488134" w14:textId="77777777" w:rsidR="00957EE3" w:rsidRPr="00345183" w:rsidRDefault="00957EE3" w:rsidP="00957EE3">
      <w:pPr>
        <w:spacing w:after="0" w:line="240" w:lineRule="auto"/>
        <w:jc w:val="left"/>
        <w:rPr>
          <w:lang w:val="en-US"/>
        </w:rPr>
      </w:pPr>
      <w:r w:rsidRPr="00345183">
        <w:rPr>
          <w:lang w:val="en-US"/>
        </w:rPr>
        <w:lastRenderedPageBreak/>
        <w:t>Depositaries see an interest in having clear and precise definitions in order to limit any interpretation of asset eligibility (e.g., the concept of presumption of liquidity) in order to carry out their controls on the regularity of management decisions taken by management companies for the UCITS they manage.</w:t>
      </w:r>
    </w:p>
    <w:p w14:paraId="26915F7D" w14:textId="77777777" w:rsidR="00957EE3" w:rsidRPr="00345183" w:rsidRDefault="00957EE3" w:rsidP="00957EE3">
      <w:pPr>
        <w:spacing w:after="0" w:line="240" w:lineRule="auto"/>
        <w:jc w:val="left"/>
        <w:rPr>
          <w:lang w:val="en-US"/>
        </w:rPr>
      </w:pPr>
    </w:p>
    <w:p w14:paraId="32090FB5" w14:textId="77777777" w:rsidR="00957EE3" w:rsidRDefault="00957EE3" w:rsidP="00957EE3">
      <w:pPr>
        <w:spacing w:after="0" w:line="240" w:lineRule="auto"/>
        <w:jc w:val="left"/>
        <w:rPr>
          <w:lang w:val="en-US"/>
        </w:rPr>
      </w:pPr>
      <w:r w:rsidRPr="00D81950">
        <w:rPr>
          <w:lang w:val="en-US"/>
        </w:rPr>
        <w:t>In addition, the NCAs have been able to develop local doctrines on the eligibility of certain assets. For example, the AMF in France has developed a doctrine on holding Catastrophe Bonds (“Cat bonds”) or Contingent Convertible Bonds (“</w:t>
      </w:r>
      <w:proofErr w:type="spellStart"/>
      <w:r w:rsidRPr="00D81950">
        <w:rPr>
          <w:lang w:val="en-US"/>
        </w:rPr>
        <w:t>CoCos</w:t>
      </w:r>
      <w:proofErr w:type="spellEnd"/>
      <w:r w:rsidRPr="00D81950">
        <w:rPr>
          <w:lang w:val="en-US"/>
        </w:rPr>
        <w:t xml:space="preserve"> bonds”). Asset managers wishing to go to these assets’ classes must complete their work program by expressly describing the means put in place for investing in these assets, which requires additional due diligence to justify the eligibility of the asset in relation to the liquidity, reliable valuation and negotiability criteria.</w:t>
      </w:r>
    </w:p>
    <w:p w14:paraId="20AC6FAB" w14:textId="77777777" w:rsidR="00957EE3" w:rsidRPr="00D81950" w:rsidRDefault="00957EE3" w:rsidP="00957EE3">
      <w:pPr>
        <w:spacing w:after="0" w:line="240" w:lineRule="auto"/>
        <w:jc w:val="left"/>
        <w:rPr>
          <w:lang w:val="en-US"/>
        </w:rPr>
      </w:pPr>
    </w:p>
    <w:p w14:paraId="1244AF97" w14:textId="77777777" w:rsidR="00957EE3" w:rsidRPr="00B332F1" w:rsidRDefault="00957EE3" w:rsidP="00957EE3">
      <w:pPr>
        <w:pStyle w:val="Paragraphedeliste"/>
        <w:numPr>
          <w:ilvl w:val="0"/>
          <w:numId w:val="16"/>
        </w:numPr>
        <w:spacing w:after="0" w:line="240" w:lineRule="auto"/>
        <w:jc w:val="left"/>
        <w:rPr>
          <w:lang w:val="en-US"/>
        </w:rPr>
      </w:pPr>
      <w:r>
        <w:rPr>
          <w:lang w:val="en-US"/>
        </w:rPr>
        <w:t xml:space="preserve">These local doctrines </w:t>
      </w:r>
      <w:proofErr w:type="gramStart"/>
      <w:r>
        <w:rPr>
          <w:lang w:val="en-US"/>
        </w:rPr>
        <w:t xml:space="preserve">must </w:t>
      </w:r>
      <w:r w:rsidRPr="002418DB">
        <w:rPr>
          <w:lang w:val="en-US"/>
        </w:rPr>
        <w:t>be reviewed</w:t>
      </w:r>
      <w:proofErr w:type="gramEnd"/>
      <w:r w:rsidRPr="002418DB">
        <w:rPr>
          <w:lang w:val="en-US"/>
        </w:rPr>
        <w:t xml:space="preserve"> at EU level so that the rules are </w:t>
      </w:r>
      <w:r w:rsidRPr="00563209">
        <w:rPr>
          <w:lang w:val="en-US"/>
        </w:rPr>
        <w:t>harmonized</w:t>
      </w:r>
      <w:r w:rsidRPr="00B332F1">
        <w:rPr>
          <w:lang w:val="en-US"/>
        </w:rPr>
        <w:t xml:space="preserve"> and allow for a same level playing field at EU level.</w:t>
      </w:r>
    </w:p>
    <w:p w14:paraId="7010FDBB" w14:textId="77777777" w:rsidR="00957EE3" w:rsidRDefault="00957EE3" w:rsidP="00957EE3">
      <w:pPr>
        <w:ind w:left="708"/>
        <w:rPr>
          <w:lang w:val="en-US"/>
        </w:rPr>
      </w:pPr>
    </w:p>
    <w:p w14:paraId="56E2F2E2" w14:textId="77777777" w:rsidR="00957EE3" w:rsidRDefault="00957EE3" w:rsidP="00957EE3">
      <w:pPr>
        <w:spacing w:after="0" w:line="240" w:lineRule="auto"/>
        <w:jc w:val="left"/>
        <w:rPr>
          <w:color w:val="1A1A1A"/>
          <w:lang w:val="en-US"/>
        </w:rPr>
      </w:pPr>
      <w:r>
        <w:rPr>
          <w:lang w:val="en-US"/>
        </w:rPr>
        <w:t>More generally, in relation to the text and spirit of the UCITS Directive, depositaries consider that a UCITS must remain exposed to simple risks whose assets remain high in liquidity to have the ability to settle investors' redemptions in accordance with the conditions set out in the prospectus.</w:t>
      </w:r>
    </w:p>
    <w:p w14:paraId="5B8C9CFE" w14:textId="77777777" w:rsidR="00957EE3" w:rsidRDefault="00957EE3" w:rsidP="00957EE3">
      <w:pPr>
        <w:rPr>
          <w:color w:val="auto"/>
          <w:lang w:val="en-US"/>
        </w:rPr>
      </w:pPr>
    </w:p>
    <w:p w14:paraId="3C6FB4C2" w14:textId="77777777" w:rsidR="00957EE3" w:rsidRDefault="00957EE3" w:rsidP="00957EE3">
      <w:pPr>
        <w:spacing w:after="0" w:line="240" w:lineRule="auto"/>
        <w:jc w:val="left"/>
        <w:rPr>
          <w:lang w:val="en-US"/>
        </w:rPr>
      </w:pPr>
      <w:r w:rsidRPr="00D81950">
        <w:rPr>
          <w:lang w:val="en-US"/>
        </w:rPr>
        <w:t>From this point of view, depositaries are interested in discussing ESMA’s position ‘building more effective and attractive capital markets in the EU’ issued on 22 May 2024 and in particular on Recommendation 1, which refers to the creation at European level of a voluntary label for ‘basic’ products applicable to certain UCITS.</w:t>
      </w:r>
    </w:p>
    <w:p w14:paraId="24765351" w14:textId="77777777" w:rsidR="00957EE3" w:rsidRPr="00D81950" w:rsidRDefault="00957EE3" w:rsidP="00957EE3">
      <w:pPr>
        <w:spacing w:after="0" w:line="240" w:lineRule="auto"/>
        <w:jc w:val="left"/>
        <w:rPr>
          <w:lang w:val="en-US"/>
        </w:rPr>
      </w:pPr>
    </w:p>
    <w:p w14:paraId="6A66FFEC" w14:textId="77777777" w:rsidR="00957EE3" w:rsidRPr="005905C5" w:rsidRDefault="00957EE3" w:rsidP="00957EE3">
      <w:pPr>
        <w:pStyle w:val="Paragraphedeliste"/>
        <w:numPr>
          <w:ilvl w:val="0"/>
          <w:numId w:val="17"/>
        </w:numPr>
        <w:spacing w:after="0" w:line="240" w:lineRule="auto"/>
        <w:jc w:val="left"/>
        <w:rPr>
          <w:lang w:val="en-US"/>
        </w:rPr>
      </w:pPr>
      <w:proofErr w:type="gramStart"/>
      <w:r w:rsidRPr="005905C5">
        <w:rPr>
          <w:lang w:val="en-US"/>
        </w:rPr>
        <w:t>Depositaries are wondering about the criteria that would be used to define the basic products concerned and whether this would ultimately lead to a distinction between “basic UCITS” on the one hand and “non-basic UCITS” on the other, the latter being able to use a wider range of assets, including assets that do not meet the same liquidity criteria as those of “basic UCITS”.</w:t>
      </w:r>
      <w:proofErr w:type="gramEnd"/>
    </w:p>
    <w:p w14:paraId="0C74F51A" w14:textId="77777777" w:rsidR="00957EE3" w:rsidRPr="005905C5" w:rsidRDefault="00957EE3" w:rsidP="00957EE3">
      <w:pPr>
        <w:pStyle w:val="Paragraphedeliste"/>
        <w:numPr>
          <w:ilvl w:val="0"/>
          <w:numId w:val="17"/>
        </w:numPr>
        <w:spacing w:after="0" w:line="240" w:lineRule="auto"/>
        <w:jc w:val="left"/>
        <w:rPr>
          <w:lang w:val="en-US"/>
        </w:rPr>
      </w:pPr>
      <w:r w:rsidRPr="005905C5">
        <w:rPr>
          <w:lang w:val="en-US"/>
        </w:rPr>
        <w:t>If the criteria were not precise enough, it could again introduce local interpretations.</w:t>
      </w:r>
    </w:p>
    <w:p w14:paraId="7DEB9D4A" w14:textId="77777777" w:rsidR="00957EE3" w:rsidRPr="005905C5" w:rsidRDefault="00957EE3" w:rsidP="00957EE3">
      <w:pPr>
        <w:pStyle w:val="Paragraphedeliste"/>
        <w:numPr>
          <w:ilvl w:val="0"/>
          <w:numId w:val="17"/>
        </w:numPr>
        <w:spacing w:after="0" w:line="240" w:lineRule="auto"/>
        <w:jc w:val="left"/>
        <w:rPr>
          <w:lang w:val="en-US"/>
        </w:rPr>
      </w:pPr>
      <w:r w:rsidRPr="005905C5">
        <w:rPr>
          <w:lang w:val="en-US"/>
        </w:rPr>
        <w:t xml:space="preserve">Moreover, as the label is ‘voluntary’, some basic funds could display this </w:t>
      </w:r>
      <w:proofErr w:type="gramStart"/>
      <w:r w:rsidRPr="005905C5">
        <w:rPr>
          <w:lang w:val="en-US"/>
        </w:rPr>
        <w:t>label,</w:t>
      </w:r>
      <w:proofErr w:type="gramEnd"/>
      <w:r w:rsidRPr="005905C5">
        <w:rPr>
          <w:lang w:val="en-US"/>
        </w:rPr>
        <w:t xml:space="preserve"> others could not, which would not allow the investor to compare ‘basic’ UCITS among themselves.</w:t>
      </w:r>
    </w:p>
    <w:p w14:paraId="52FE1E96" w14:textId="77777777" w:rsidR="00957EE3" w:rsidRPr="00D81950" w:rsidRDefault="00957EE3" w:rsidP="00957EE3">
      <w:pPr>
        <w:spacing w:after="0" w:line="240" w:lineRule="auto"/>
        <w:jc w:val="left"/>
        <w:rPr>
          <w:lang w:val="en-US"/>
        </w:rPr>
      </w:pPr>
    </w:p>
    <w:p w14:paraId="79E84052" w14:textId="77777777" w:rsidR="00957EE3" w:rsidRPr="00D81950" w:rsidRDefault="00957EE3" w:rsidP="00957EE3">
      <w:pPr>
        <w:spacing w:after="0" w:line="240" w:lineRule="auto"/>
        <w:jc w:val="left"/>
        <w:rPr>
          <w:lang w:val="en-US"/>
        </w:rPr>
      </w:pPr>
      <w:r w:rsidRPr="00D81950">
        <w:rPr>
          <w:lang w:val="en-US"/>
        </w:rPr>
        <w:t xml:space="preserve">The depositaries also point out that another vehicle, the ELTIF, now allows retail investors to have access to the private asset class (in particular, private equity, debts, loans, simple transparent and standardized (STS) securitizations and real assets). This AIF </w:t>
      </w:r>
      <w:proofErr w:type="gramStart"/>
      <w:r w:rsidRPr="00D81950">
        <w:rPr>
          <w:lang w:val="en-US"/>
        </w:rPr>
        <w:t>is approved</w:t>
      </w:r>
      <w:proofErr w:type="gramEnd"/>
      <w:r w:rsidRPr="00D81950">
        <w:rPr>
          <w:lang w:val="en-US"/>
        </w:rPr>
        <w:t xml:space="preserve"> by the NCAs and benefits from the marketing passport in the EU.</w:t>
      </w:r>
    </w:p>
    <w:p w14:paraId="5DF89634" w14:textId="77777777" w:rsidR="00957EE3" w:rsidRDefault="00957EE3" w:rsidP="00957EE3">
      <w:pPr>
        <w:spacing w:after="0" w:line="240" w:lineRule="auto"/>
        <w:jc w:val="left"/>
        <w:rPr>
          <w:lang w:val="en-US"/>
        </w:rPr>
      </w:pPr>
      <w:r w:rsidRPr="00D81950">
        <w:rPr>
          <w:lang w:val="en-US"/>
        </w:rPr>
        <w:t xml:space="preserve">It has a robust European regulatory framework to ensure the protection of retail investors (information in regulatory documents and specific liquidity conditions defined in the level </w:t>
      </w:r>
      <w:proofErr w:type="gramStart"/>
      <w:r w:rsidRPr="00D81950">
        <w:rPr>
          <w:lang w:val="en-US"/>
        </w:rPr>
        <w:t>2</w:t>
      </w:r>
      <w:proofErr w:type="gramEnd"/>
      <w:r w:rsidRPr="00D81950">
        <w:rPr>
          <w:lang w:val="en-US"/>
        </w:rPr>
        <w:t xml:space="preserve"> measures (RTS) currently being finalized). The minimum share of 55% of illiquid assets held by an ELTIF is also supplemented by a pocket of assets eligible for UCITS, presumed as such to be liquid (listed equities, listed bonds, MMI, units of UCITS). </w:t>
      </w:r>
    </w:p>
    <w:p w14:paraId="24A73204" w14:textId="77777777" w:rsidR="00957EE3" w:rsidRPr="00D81950" w:rsidRDefault="00957EE3" w:rsidP="00957EE3">
      <w:pPr>
        <w:spacing w:after="0" w:line="240" w:lineRule="auto"/>
        <w:jc w:val="left"/>
        <w:rPr>
          <w:lang w:val="en-US"/>
        </w:rPr>
      </w:pPr>
    </w:p>
    <w:p w14:paraId="3D369739" w14:textId="77777777" w:rsidR="00957EE3" w:rsidRPr="005905C5" w:rsidRDefault="00957EE3" w:rsidP="00957EE3">
      <w:pPr>
        <w:pStyle w:val="Paragraphedeliste"/>
        <w:numPr>
          <w:ilvl w:val="0"/>
          <w:numId w:val="18"/>
        </w:numPr>
        <w:spacing w:after="0" w:line="240" w:lineRule="auto"/>
        <w:jc w:val="left"/>
        <w:rPr>
          <w:lang w:val="en-US"/>
        </w:rPr>
      </w:pPr>
      <w:r w:rsidRPr="005905C5">
        <w:rPr>
          <w:lang w:val="en-US"/>
        </w:rPr>
        <w:t xml:space="preserve">Private assets </w:t>
      </w:r>
      <w:proofErr w:type="gramStart"/>
      <w:r w:rsidRPr="005905C5">
        <w:rPr>
          <w:lang w:val="en-US"/>
        </w:rPr>
        <w:t>should therefore not be offered</w:t>
      </w:r>
      <w:proofErr w:type="gramEnd"/>
      <w:r w:rsidRPr="005905C5">
        <w:rPr>
          <w:lang w:val="en-US"/>
        </w:rPr>
        <w:t xml:space="preserve"> as part of a UCITS but only as part of the ELTIF.</w:t>
      </w:r>
    </w:p>
    <w:p w14:paraId="72544264" w14:textId="77777777" w:rsidR="00957EE3" w:rsidRPr="00D81950" w:rsidRDefault="00957EE3" w:rsidP="00957EE3">
      <w:pPr>
        <w:spacing w:after="0" w:line="240" w:lineRule="auto"/>
        <w:jc w:val="left"/>
        <w:rPr>
          <w:lang w:val="en-US"/>
        </w:rPr>
      </w:pPr>
    </w:p>
    <w:p w14:paraId="2583EA9E" w14:textId="77777777" w:rsidR="00957EE3" w:rsidRPr="00D81950" w:rsidRDefault="00957EE3" w:rsidP="00957EE3">
      <w:pPr>
        <w:spacing w:after="0" w:line="240" w:lineRule="auto"/>
        <w:jc w:val="left"/>
        <w:rPr>
          <w:lang w:val="en-US"/>
        </w:rPr>
      </w:pPr>
      <w:r w:rsidRPr="00D81950">
        <w:rPr>
          <w:lang w:val="en-US"/>
        </w:rPr>
        <w:t xml:space="preserve">Furthermore, and at least at the origin of the UCITS Directive, the financial instruments eligible for UCITS (in particular transferable securities and MMI) were subject to the custody regime, which implies a restitution of assets in </w:t>
      </w:r>
      <w:r w:rsidRPr="00D81950">
        <w:rPr>
          <w:lang w:val="en-US"/>
        </w:rPr>
        <w:lastRenderedPageBreak/>
        <w:t>the event of the loss of assets or the bankruptcy of the depositary and therefore increased protection of UCITS and ultimately those of investors.</w:t>
      </w:r>
    </w:p>
    <w:p w14:paraId="50CC85A4" w14:textId="77777777" w:rsidR="00957EE3" w:rsidRDefault="00957EE3" w:rsidP="00957EE3">
      <w:pPr>
        <w:spacing w:after="0" w:line="240" w:lineRule="auto"/>
        <w:jc w:val="left"/>
        <w:rPr>
          <w:lang w:val="en-US"/>
        </w:rPr>
      </w:pPr>
      <w:r w:rsidRPr="00D81950">
        <w:rPr>
          <w:lang w:val="en-US"/>
        </w:rPr>
        <w:t xml:space="preserve">Since then, many financial instruments that are subject to record-keeping regime </w:t>
      </w:r>
      <w:proofErr w:type="gramStart"/>
      <w:r w:rsidRPr="00D81950">
        <w:rPr>
          <w:lang w:val="en-US"/>
        </w:rPr>
        <w:t>have been admitted</w:t>
      </w:r>
      <w:proofErr w:type="gramEnd"/>
      <w:r w:rsidRPr="00D81950">
        <w:rPr>
          <w:lang w:val="en-US"/>
        </w:rPr>
        <w:t xml:space="preserve"> to UCITS (derivative instruments for hedging or in exposures purposes provided for in the Directive, more complex financial instruments according to an approach that may be applied locally in the absence of details at the level of the Directive).</w:t>
      </w:r>
    </w:p>
    <w:p w14:paraId="512FC10A" w14:textId="77777777" w:rsidR="00957EE3" w:rsidRPr="00D81950" w:rsidRDefault="00957EE3" w:rsidP="00957EE3">
      <w:pPr>
        <w:spacing w:after="0" w:line="240" w:lineRule="auto"/>
        <w:jc w:val="left"/>
        <w:rPr>
          <w:lang w:val="en-US"/>
        </w:rPr>
      </w:pPr>
    </w:p>
    <w:p w14:paraId="300D7C05" w14:textId="77777777" w:rsidR="00957EE3" w:rsidRPr="005905C5" w:rsidRDefault="00957EE3" w:rsidP="00957EE3">
      <w:pPr>
        <w:pStyle w:val="Paragraphedeliste"/>
        <w:numPr>
          <w:ilvl w:val="0"/>
          <w:numId w:val="19"/>
        </w:numPr>
        <w:spacing w:after="0" w:line="240" w:lineRule="auto"/>
        <w:jc w:val="left"/>
        <w:rPr>
          <w:lang w:val="en-US"/>
        </w:rPr>
      </w:pPr>
      <w:r w:rsidRPr="005905C5">
        <w:rPr>
          <w:lang w:val="en-US"/>
        </w:rPr>
        <w:t>Depositaries point out that the record-keeping regime involves control of the ownership of the assets held by the fund. The terms and conditions of ownership verification performed by the Depositary may be complex. The more complex record-keeping assets there are in a UCITS portfolio, the more complex the ownership insurance criteria are likely to become. In addition, as these assets are not subject to restitution in the event of loss of assets, this ultimately leads to less protection for investors.</w:t>
      </w:r>
    </w:p>
    <w:p w14:paraId="105B8810" w14:textId="77777777" w:rsidR="00957EE3" w:rsidRPr="00D81950" w:rsidRDefault="00957EE3" w:rsidP="00957EE3">
      <w:pPr>
        <w:spacing w:after="0" w:line="240" w:lineRule="auto"/>
        <w:jc w:val="left"/>
        <w:rPr>
          <w:lang w:val="en-US"/>
        </w:rPr>
      </w:pPr>
    </w:p>
    <w:p w14:paraId="227F82CA" w14:textId="77777777" w:rsidR="00957EE3" w:rsidRPr="005905C5" w:rsidRDefault="00957EE3" w:rsidP="00957EE3">
      <w:pPr>
        <w:pStyle w:val="Paragraphedeliste"/>
        <w:numPr>
          <w:ilvl w:val="0"/>
          <w:numId w:val="19"/>
        </w:numPr>
        <w:spacing w:after="0" w:line="240" w:lineRule="auto"/>
        <w:jc w:val="left"/>
        <w:rPr>
          <w:lang w:val="en-US"/>
        </w:rPr>
      </w:pPr>
      <w:r w:rsidRPr="005905C5">
        <w:rPr>
          <w:lang w:val="en-US"/>
        </w:rPr>
        <w:t xml:space="preserve">Depositaries are therefore not in favor of extending the eligibility of the asset classes presented in question 20 that are not subject to the custody regime, such as loans, emission allowances or crypto assets. </w:t>
      </w:r>
    </w:p>
    <w:p w14:paraId="10C942F9" w14:textId="77777777" w:rsidR="00957EE3" w:rsidRPr="00D81950" w:rsidRDefault="00957EE3" w:rsidP="00957EE3">
      <w:pPr>
        <w:spacing w:after="0" w:line="240" w:lineRule="auto"/>
        <w:jc w:val="left"/>
        <w:rPr>
          <w:lang w:val="en-US"/>
        </w:rPr>
      </w:pPr>
    </w:p>
    <w:p w14:paraId="141AF7CB" w14:textId="77777777" w:rsidR="00957EE3" w:rsidRPr="00D81950" w:rsidRDefault="00957EE3" w:rsidP="00957EE3">
      <w:pPr>
        <w:spacing w:after="0" w:line="240" w:lineRule="auto"/>
        <w:jc w:val="left"/>
        <w:rPr>
          <w:lang w:val="en-US"/>
        </w:rPr>
      </w:pPr>
      <w:proofErr w:type="gramStart"/>
      <w:r w:rsidRPr="00D81950">
        <w:rPr>
          <w:lang w:val="en-US"/>
        </w:rPr>
        <w:t>While considering market practices, the various elements outsourced by ESMA (guidelines, Q&amp;A, CSA analysis) and local doctrines that may have been developed by regulators since 2007, UCITS depositories in France call for the maintenance of a label that remains consistent, readable and understandable by retail investors, thus allowing the UCITS franchise to continue to develop and contribute to the Capital Markets Union.</w:t>
      </w:r>
      <w:proofErr w:type="gramEnd"/>
    </w:p>
    <w:p w14:paraId="69A0D619" w14:textId="77777777" w:rsidR="00957EE3" w:rsidRDefault="00957EE3" w:rsidP="00957EE3">
      <w:pPr>
        <w:spacing w:after="0" w:line="240" w:lineRule="auto"/>
        <w:jc w:val="left"/>
        <w:rPr>
          <w:lang w:val="en-US"/>
        </w:rPr>
      </w:pPr>
    </w:p>
    <w:p w14:paraId="5A42757E" w14:textId="77777777" w:rsidR="00957EE3" w:rsidRDefault="00957EE3" w:rsidP="00957EE3">
      <w:pPr>
        <w:pStyle w:val="Paragraphedeliste"/>
        <w:numPr>
          <w:ilvl w:val="0"/>
          <w:numId w:val="21"/>
        </w:numPr>
        <w:spacing w:after="0" w:line="240" w:lineRule="auto"/>
        <w:jc w:val="left"/>
        <w:rPr>
          <w:lang w:val="en-US"/>
        </w:rPr>
      </w:pPr>
      <w:r w:rsidRPr="005905C5">
        <w:rPr>
          <w:lang w:val="en-US"/>
        </w:rPr>
        <w:lastRenderedPageBreak/>
        <w:t>It seems to us that the creation of a two-speed label (‘basic’ and ‘non-basic’) could harm the readability and understanding of the UCITS model currently in place, which, if it needs to be reviewed and improved, has been perfectly recognized for several decades by European and foreign investors.</w:t>
      </w:r>
    </w:p>
    <w:p w14:paraId="42A238A4" w14:textId="77777777" w:rsidR="00957EE3" w:rsidRPr="005905C5" w:rsidRDefault="00957EE3" w:rsidP="00957EE3">
      <w:pPr>
        <w:pStyle w:val="Paragraphedeliste"/>
        <w:numPr>
          <w:ilvl w:val="0"/>
          <w:numId w:val="0"/>
        </w:numPr>
        <w:ind w:left="1428"/>
        <w:rPr>
          <w:lang w:val="en-US"/>
        </w:rPr>
      </w:pPr>
    </w:p>
    <w:p w14:paraId="6463CB8F" w14:textId="77777777" w:rsidR="00957EE3" w:rsidRPr="00121243" w:rsidRDefault="00957EE3" w:rsidP="00957EE3">
      <w:pPr>
        <w:spacing w:after="0" w:line="240" w:lineRule="auto"/>
        <w:jc w:val="left"/>
        <w:rPr>
          <w:lang w:val="en-US"/>
        </w:rPr>
      </w:pPr>
      <w:r>
        <w:rPr>
          <w:rFonts w:ascii="Trebuchet MS" w:eastAsia="Times New Roman" w:hAnsi="Trebuchet MS" w:cs="Times New Roman"/>
          <w:color w:val="2D2926"/>
          <w:sz w:val="24"/>
          <w:szCs w:val="24"/>
          <w:lang w:val="en-US" w:eastAsia="fr-FR"/>
        </w:rPr>
        <w:t xml:space="preserve">  </w:t>
      </w:r>
      <w:r>
        <w:rPr>
          <w:lang w:val="en-US"/>
        </w:rPr>
        <w:t>Depositaries</w:t>
      </w:r>
      <w:r w:rsidRPr="00121243">
        <w:rPr>
          <w:lang w:val="en-US"/>
        </w:rPr>
        <w:t xml:space="preserve"> are calling for the clarification of certain key criteria such as liquidity, </w:t>
      </w:r>
      <w:r>
        <w:rPr>
          <w:lang w:val="en-US"/>
        </w:rPr>
        <w:t>negotiability</w:t>
      </w:r>
      <w:r w:rsidRPr="00121243">
        <w:rPr>
          <w:lang w:val="en-US"/>
        </w:rPr>
        <w:t xml:space="preserve"> to determine the eligibility of an asset for a UCITS. This clarification should lead to limiting any interpretation by the players and allow the Depositary to carry out reliable second-level ex-post controls in the interest of end investors. </w:t>
      </w:r>
    </w:p>
    <w:p w14:paraId="638520F0" w14:textId="015EACEB" w:rsidR="00957EE3" w:rsidRPr="00121243" w:rsidRDefault="00957EE3" w:rsidP="00957EE3">
      <w:pPr>
        <w:rPr>
          <w:lang w:val="en-US"/>
        </w:rPr>
      </w:pPr>
      <w:r w:rsidRPr="00121243">
        <w:rPr>
          <w:lang w:val="en-US"/>
        </w:rPr>
        <w:t xml:space="preserve">For example, in our opinion, the liquidity criteria </w:t>
      </w:r>
      <w:r w:rsidR="008E6898">
        <w:rPr>
          <w:lang w:val="en-US"/>
        </w:rPr>
        <w:t>have</w:t>
      </w:r>
      <w:r>
        <w:rPr>
          <w:lang w:val="en-US"/>
        </w:rPr>
        <w:t xml:space="preserve"> to </w:t>
      </w:r>
      <w:proofErr w:type="gramStart"/>
      <w:r>
        <w:rPr>
          <w:lang w:val="en-US"/>
        </w:rPr>
        <w:t>be</w:t>
      </w:r>
      <w:r w:rsidRPr="00121243">
        <w:rPr>
          <w:lang w:val="en-US"/>
        </w:rPr>
        <w:t xml:space="preserve"> supplemented</w:t>
      </w:r>
      <w:proofErr w:type="gramEnd"/>
      <w:r w:rsidRPr="00121243">
        <w:rPr>
          <w:lang w:val="en-US"/>
        </w:rPr>
        <w:t xml:space="preserve"> by providing indications on the minimum transaction volumes allowing an asset manager to complete the assessment of the presumption of liquidity of a security and thus its eligibility for the fund.  </w:t>
      </w:r>
    </w:p>
    <w:p w14:paraId="054D77ED" w14:textId="77777777" w:rsidR="00957EE3" w:rsidRPr="00121243" w:rsidRDefault="00957EE3" w:rsidP="00957EE3">
      <w:pPr>
        <w:rPr>
          <w:lang w:val="en-US"/>
        </w:rPr>
      </w:pPr>
      <w:r w:rsidRPr="00121243">
        <w:rPr>
          <w:lang w:val="en-US"/>
        </w:rPr>
        <w:t>This clarification would allow asset management companies to have clear and homogeneous rules within the European Union on key concepts, avoiding the emergence of local doctrines that can be a source of divergent interpretations and that ultimately do not allow for a level playing field between players within the European Union.</w:t>
      </w:r>
    </w:p>
    <w:p w14:paraId="07FE5F52" w14:textId="77777777" w:rsidR="00957EE3" w:rsidRPr="00A1576E" w:rsidRDefault="00957EE3" w:rsidP="00957EE3">
      <w:pPr>
        <w:rPr>
          <w:lang w:val="en-US"/>
        </w:rPr>
      </w:pPr>
      <w:r w:rsidRPr="000623CE">
        <w:rPr>
          <w:lang w:val="en-US"/>
        </w:rPr>
        <w:t xml:space="preserve">Beyond the concept of asset liquidity to determine the eligibility of a financial instrument, the EAD </w:t>
      </w:r>
      <w:r>
        <w:rPr>
          <w:lang w:val="en-US"/>
        </w:rPr>
        <w:t>must</w:t>
      </w:r>
      <w:r w:rsidRPr="000623CE">
        <w:rPr>
          <w:lang w:val="en-US"/>
        </w:rPr>
        <w:t xml:space="preserve"> also provide guidance on the types of assets which, although not expressly prohibited by the Directive (developed since 2007), do not meet the UCITS spirit. </w:t>
      </w:r>
      <w:r w:rsidRPr="00455ED2">
        <w:rPr>
          <w:lang w:val="en-US"/>
        </w:rPr>
        <w:t xml:space="preserve">This is the case, for example, with certain complex derivative contracts that also push the fund to adopt a </w:t>
      </w:r>
      <w:proofErr w:type="spellStart"/>
      <w:r w:rsidRPr="00455ED2">
        <w:rPr>
          <w:lang w:val="en-US"/>
        </w:rPr>
        <w:t>VaR</w:t>
      </w:r>
      <w:proofErr w:type="spellEnd"/>
      <w:r w:rsidRPr="00455ED2">
        <w:rPr>
          <w:lang w:val="en-US"/>
        </w:rPr>
        <w:t xml:space="preserve"> model with sometimes significant indicative gross </w:t>
      </w:r>
      <w:proofErr w:type="gramStart"/>
      <w:r w:rsidRPr="00455ED2">
        <w:rPr>
          <w:lang w:val="en-US"/>
        </w:rPr>
        <w:t>leverage</w:t>
      </w:r>
      <w:proofErr w:type="gramEnd"/>
      <w:r w:rsidRPr="00455ED2">
        <w:rPr>
          <w:lang w:val="en-US"/>
        </w:rPr>
        <w:t xml:space="preserve"> effects (examples </w:t>
      </w:r>
      <w:r w:rsidRPr="005558D2">
        <w:rPr>
          <w:lang w:val="en-US"/>
        </w:rPr>
        <w:t>of 2000% are reported</w:t>
      </w:r>
      <w:r w:rsidRPr="00455ED2">
        <w:rPr>
          <w:lang w:val="en-US"/>
        </w:rPr>
        <w:t xml:space="preserve">) and not in the method of calculating the commitment usually used for UCITS, which is limited to one time </w:t>
      </w:r>
      <w:r w:rsidRPr="00455ED2">
        <w:rPr>
          <w:lang w:val="en-US"/>
        </w:rPr>
        <w:lastRenderedPageBreak/>
        <w:t xml:space="preserve">the fund's net assets. </w:t>
      </w:r>
      <w:r w:rsidRPr="00A1576E">
        <w:rPr>
          <w:lang w:val="en-US"/>
        </w:rPr>
        <w:t xml:space="preserve">The </w:t>
      </w:r>
      <w:proofErr w:type="spellStart"/>
      <w:r w:rsidRPr="00A1576E">
        <w:rPr>
          <w:lang w:val="en-US"/>
        </w:rPr>
        <w:t>VaR</w:t>
      </w:r>
      <w:proofErr w:type="spellEnd"/>
      <w:r w:rsidRPr="00A1576E">
        <w:rPr>
          <w:lang w:val="en-US"/>
        </w:rPr>
        <w:t xml:space="preserve"> method described in the prospectus remains complex to understand for the retail investor and does not allow comparability with UCITS </w:t>
      </w:r>
      <w:proofErr w:type="gramStart"/>
      <w:r w:rsidRPr="00A1576E">
        <w:rPr>
          <w:lang w:val="en-US"/>
        </w:rPr>
        <w:t>products which</w:t>
      </w:r>
      <w:proofErr w:type="gramEnd"/>
      <w:r w:rsidRPr="00A1576E">
        <w:rPr>
          <w:lang w:val="en-US"/>
        </w:rPr>
        <w:t xml:space="preserve"> use the commitment method.  </w:t>
      </w:r>
    </w:p>
    <w:p w14:paraId="1E7C868E" w14:textId="0C9314D4" w:rsidR="00667FF6" w:rsidRDefault="00957EE3" w:rsidP="00667FF6">
      <w:r w:rsidRPr="000927BD">
        <w:rPr>
          <w:lang w:val="en-US"/>
        </w:rPr>
        <w:t xml:space="preserve">In France, the AMF has defined in its 2012-19 doctrine a classification of financial contracts and securities containing a financial contract as a "simple" or "complex" instrument, considering the nature of the underlying, its valuation method and its risk profile. </w:t>
      </w:r>
      <w:r w:rsidRPr="00B94644">
        <w:rPr>
          <w:lang w:val="en-US"/>
        </w:rPr>
        <w:t xml:space="preserve">Without being exhaustive, the list nevertheless guides the players in this classification exercise to validate the eligibility or not of the asset within a UCITS </w:t>
      </w:r>
      <w:proofErr w:type="gramStart"/>
      <w:r w:rsidRPr="00B94644">
        <w:rPr>
          <w:lang w:val="en-US"/>
        </w:rPr>
        <w:t>fund,</w:t>
      </w:r>
      <w:proofErr w:type="gramEnd"/>
      <w:r w:rsidRPr="00B94644">
        <w:rPr>
          <w:lang w:val="en-US"/>
        </w:rPr>
        <w:t xml:space="preserve"> the assets must also be described in the asset manager's activity program.</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4F164D13" w14:textId="77777777" w:rsidR="00CE4A62" w:rsidRPr="002D6157" w:rsidRDefault="00CE4A62" w:rsidP="00CE4A62">
      <w:pPr>
        <w:rPr>
          <w:lang w:val="en-US"/>
        </w:rPr>
      </w:pPr>
      <w:permStart w:id="85149166" w:edGrp="everyone"/>
      <w:r w:rsidRPr="002D6157">
        <w:rPr>
          <w:lang w:val="en-US"/>
        </w:rPr>
        <w:lastRenderedPageBreak/>
        <w:t>Problem of interpret</w:t>
      </w:r>
      <w:r w:rsidRPr="00BC72D0">
        <w:rPr>
          <w:lang w:val="en-US"/>
        </w:rPr>
        <w:t>at</w:t>
      </w:r>
      <w:r>
        <w:rPr>
          <w:lang w:val="en-US"/>
        </w:rPr>
        <w:t>ion of</w:t>
      </w:r>
      <w:r w:rsidRPr="002D6157">
        <w:rPr>
          <w:lang w:val="en-US"/>
        </w:rPr>
        <w:t xml:space="preserve"> the application of </w:t>
      </w:r>
      <w:r>
        <w:rPr>
          <w:lang w:val="en-US"/>
        </w:rPr>
        <w:t>the index funds derogatory ratio</w:t>
      </w:r>
      <w:r w:rsidRPr="002D6157">
        <w:rPr>
          <w:lang w:val="en-US"/>
        </w:rPr>
        <w:t>: The regulation should clarify whether the index</w:t>
      </w:r>
      <w:r>
        <w:rPr>
          <w:lang w:val="en-US"/>
        </w:rPr>
        <w:t xml:space="preserve"> fund derogatory </w:t>
      </w:r>
      <w:r w:rsidRPr="002D6157">
        <w:rPr>
          <w:lang w:val="en-US"/>
        </w:rPr>
        <w:t xml:space="preserve">ratio applies only to the </w:t>
      </w:r>
      <w:r>
        <w:rPr>
          <w:lang w:val="en-US"/>
        </w:rPr>
        <w:t xml:space="preserve">constituent </w:t>
      </w:r>
      <w:r w:rsidRPr="002D6157">
        <w:rPr>
          <w:lang w:val="en-US"/>
        </w:rPr>
        <w:t xml:space="preserve">securities </w:t>
      </w:r>
      <w:r>
        <w:rPr>
          <w:lang w:val="en-US"/>
        </w:rPr>
        <w:t xml:space="preserve">of the </w:t>
      </w:r>
      <w:r w:rsidRPr="002D6157">
        <w:rPr>
          <w:lang w:val="en-US"/>
        </w:rPr>
        <w:t xml:space="preserve">index or may also apply in the case of synthetic index replication across the portfolio (including non-index </w:t>
      </w:r>
      <w:r>
        <w:rPr>
          <w:lang w:val="en-US"/>
        </w:rPr>
        <w:t>securities</w:t>
      </w:r>
      <w:r w:rsidRPr="002D6157">
        <w:rPr>
          <w:lang w:val="en-US"/>
        </w:rPr>
        <w:t>).</w:t>
      </w:r>
    </w:p>
    <w:p w14:paraId="2597BAF4" w14:textId="77777777" w:rsidR="00CE4A62" w:rsidRPr="002D6157" w:rsidRDefault="00CE4A62" w:rsidP="00CE4A62">
      <w:pPr>
        <w:spacing w:after="0" w:line="240" w:lineRule="auto"/>
        <w:jc w:val="left"/>
        <w:rPr>
          <w:lang w:val="en-US"/>
        </w:rPr>
      </w:pPr>
      <w:r w:rsidRPr="002D6157">
        <w:rPr>
          <w:lang w:val="en-US"/>
        </w:rPr>
        <w:t>Example of a UCITS consisting of a basket of assets and a swap that will cancel the performance of the basket of assets and serve the performance of the index.</w:t>
      </w:r>
      <w:r>
        <w:rPr>
          <w:lang w:val="en-US"/>
        </w:rPr>
        <w:t xml:space="preserve"> </w:t>
      </w:r>
      <w:r w:rsidRPr="002D6157">
        <w:rPr>
          <w:lang w:val="en-US"/>
        </w:rPr>
        <w:t>This is synthetic index replication.</w:t>
      </w:r>
      <w:r>
        <w:rPr>
          <w:lang w:val="en-US"/>
        </w:rPr>
        <w:t xml:space="preserve"> </w:t>
      </w:r>
      <w:proofErr w:type="gramStart"/>
      <w:r w:rsidRPr="002D6157">
        <w:rPr>
          <w:lang w:val="en-US"/>
        </w:rPr>
        <w:t>On reading the regulation (Articles 53 of Directive 2009/65/EC and Article R214-22</w:t>
      </w:r>
      <w:r w:rsidRPr="006961D6">
        <w:rPr>
          <w:lang w:val="en-US"/>
        </w:rPr>
        <w:t xml:space="preserve"> </w:t>
      </w:r>
      <w:r>
        <w:rPr>
          <w:lang w:val="en-US"/>
        </w:rPr>
        <w:t>of the French Monetary and financial code</w:t>
      </w:r>
      <w:r w:rsidRPr="002D6157">
        <w:rPr>
          <w:lang w:val="en-US"/>
        </w:rPr>
        <w:t xml:space="preserve">), the </w:t>
      </w:r>
      <w:r>
        <w:rPr>
          <w:lang w:val="en-US"/>
        </w:rPr>
        <w:t>asset manager</w:t>
      </w:r>
      <w:r w:rsidRPr="002D6157">
        <w:rPr>
          <w:lang w:val="en-US"/>
        </w:rPr>
        <w:t xml:space="preserve"> considers that the basket of securities </w:t>
      </w:r>
      <w:r>
        <w:rPr>
          <w:lang w:val="en-US"/>
        </w:rPr>
        <w:t>i</w:t>
      </w:r>
      <w:r w:rsidRPr="002D6157">
        <w:rPr>
          <w:lang w:val="en-US"/>
        </w:rPr>
        <w:t xml:space="preserve">n the assets side is not subject to the </w:t>
      </w:r>
      <w:r>
        <w:rPr>
          <w:lang w:val="en-US"/>
        </w:rPr>
        <w:t xml:space="preserve">UCITS risk diversification limit of </w:t>
      </w:r>
      <w:r w:rsidRPr="002D6157">
        <w:rPr>
          <w:lang w:val="en-US"/>
        </w:rPr>
        <w:t xml:space="preserve">10% per entity (translated into 10% by issuer in COMOFI Article R214-22 in France).This interpretation is justified by the fact that the investor </w:t>
      </w:r>
      <w:r w:rsidRPr="00E56F0B">
        <w:rPr>
          <w:lang w:val="en-US"/>
        </w:rPr>
        <w:t>do</w:t>
      </w:r>
      <w:r>
        <w:rPr>
          <w:lang w:val="en-US"/>
        </w:rPr>
        <w:t xml:space="preserve">es not bear any market risk on the </w:t>
      </w:r>
      <w:r w:rsidRPr="002D6157">
        <w:rPr>
          <w:lang w:val="en-US"/>
        </w:rPr>
        <w:t xml:space="preserve">securities held </w:t>
      </w:r>
      <w:r>
        <w:rPr>
          <w:lang w:val="en-US"/>
        </w:rPr>
        <w:t xml:space="preserve">on the asset side since their </w:t>
      </w:r>
      <w:r w:rsidRPr="002D6157">
        <w:rPr>
          <w:lang w:val="en-US"/>
        </w:rPr>
        <w:t>performance is cancelled by the swap.</w:t>
      </w:r>
      <w:proofErr w:type="gramEnd"/>
      <w:r>
        <w:rPr>
          <w:lang w:val="en-US"/>
        </w:rPr>
        <w:t xml:space="preserve"> </w:t>
      </w:r>
      <w:r w:rsidRPr="002D6157">
        <w:rPr>
          <w:lang w:val="en-US"/>
        </w:rPr>
        <w:t>There is only counterparty risk on the swap.</w:t>
      </w:r>
      <w:r>
        <w:rPr>
          <w:lang w:val="en-US"/>
        </w:rPr>
        <w:t xml:space="preserve"> </w:t>
      </w:r>
      <w:proofErr w:type="gramStart"/>
      <w:r w:rsidRPr="002D6157">
        <w:rPr>
          <w:lang w:val="en-US"/>
        </w:rPr>
        <w:t xml:space="preserve">This arrangement is structuring and would be in the </w:t>
      </w:r>
      <w:r w:rsidRPr="007528EB">
        <w:rPr>
          <w:lang w:val="en-US"/>
        </w:rPr>
        <w:t>in</w:t>
      </w:r>
      <w:r>
        <w:rPr>
          <w:lang w:val="en-US"/>
        </w:rPr>
        <w:t>vestor</w:t>
      </w:r>
      <w:r w:rsidRPr="002D6157">
        <w:rPr>
          <w:lang w:val="en-US"/>
        </w:rPr>
        <w:t>s' interest, as the conditions offered by the counterparty for the swap depend on th</w:t>
      </w:r>
      <w:r>
        <w:rPr>
          <w:lang w:val="en-US"/>
        </w:rPr>
        <w:t>e</w:t>
      </w:r>
      <w:r w:rsidRPr="002D6157">
        <w:rPr>
          <w:lang w:val="en-US"/>
        </w:rPr>
        <w:t xml:space="preserve"> possibility of </w:t>
      </w:r>
      <w:r>
        <w:rPr>
          <w:lang w:val="en-US"/>
        </w:rPr>
        <w:t xml:space="preserve">going </w:t>
      </w:r>
      <w:r w:rsidRPr="002D6157">
        <w:rPr>
          <w:lang w:val="en-US"/>
        </w:rPr>
        <w:t>up to 20% if necessary.</w:t>
      </w:r>
      <w:proofErr w:type="gramEnd"/>
    </w:p>
    <w:p w14:paraId="48EBEF71" w14:textId="77777777" w:rsidR="00CE4A62" w:rsidRDefault="00CE4A62" w:rsidP="00CE4A62">
      <w:pPr>
        <w:spacing w:after="0" w:line="240" w:lineRule="auto"/>
        <w:jc w:val="left"/>
        <w:rPr>
          <w:lang w:val="en-US"/>
        </w:rPr>
      </w:pPr>
      <w:r w:rsidRPr="002D6157">
        <w:rPr>
          <w:lang w:val="en-US"/>
        </w:rPr>
        <w:t xml:space="preserve">The texts </w:t>
      </w:r>
      <w:r w:rsidRPr="000D4385">
        <w:rPr>
          <w:lang w:val="en-US"/>
        </w:rPr>
        <w:t>sp</w:t>
      </w:r>
      <w:r>
        <w:rPr>
          <w:lang w:val="en-US"/>
        </w:rPr>
        <w:t>eak of</w:t>
      </w:r>
      <w:r w:rsidRPr="002D6157">
        <w:rPr>
          <w:lang w:val="en-US"/>
        </w:rPr>
        <w:t xml:space="preserve"> the “reproduction” of the index, </w:t>
      </w:r>
      <w:r>
        <w:rPr>
          <w:lang w:val="en-US"/>
        </w:rPr>
        <w:t xml:space="preserve">which means that </w:t>
      </w:r>
      <w:r w:rsidRPr="002D6157">
        <w:rPr>
          <w:lang w:val="en-US"/>
        </w:rPr>
        <w:t xml:space="preserve">a basket of assets held directly by </w:t>
      </w:r>
      <w:r>
        <w:rPr>
          <w:lang w:val="en-US"/>
        </w:rPr>
        <w:t xml:space="preserve">the </w:t>
      </w:r>
      <w:r w:rsidRPr="002D6157">
        <w:rPr>
          <w:lang w:val="en-US"/>
        </w:rPr>
        <w:t xml:space="preserve">UCITS, </w:t>
      </w:r>
      <w:r>
        <w:rPr>
          <w:lang w:val="en-US"/>
        </w:rPr>
        <w:t xml:space="preserve">and which does not </w:t>
      </w:r>
      <w:r w:rsidRPr="002D6157">
        <w:rPr>
          <w:lang w:val="en-US"/>
        </w:rPr>
        <w:t>reproduce an index should not benefit from this derogation.</w:t>
      </w:r>
      <w:r>
        <w:rPr>
          <w:lang w:val="en-US"/>
        </w:rPr>
        <w:t xml:space="preserve"> </w:t>
      </w:r>
      <w:r w:rsidRPr="002D6157">
        <w:rPr>
          <w:lang w:val="en-US"/>
        </w:rPr>
        <w:t xml:space="preserve">UCITS should </w:t>
      </w:r>
      <w:r w:rsidRPr="0006591D">
        <w:rPr>
          <w:lang w:val="en-US"/>
        </w:rPr>
        <w:t>pe</w:t>
      </w:r>
      <w:r>
        <w:rPr>
          <w:lang w:val="en-US"/>
        </w:rPr>
        <w:t xml:space="preserve">rform </w:t>
      </w:r>
      <w:r w:rsidRPr="002D6157">
        <w:rPr>
          <w:lang w:val="en-US"/>
        </w:rPr>
        <w:t xml:space="preserve">a double calculation </w:t>
      </w:r>
      <w:r>
        <w:rPr>
          <w:lang w:val="en-US"/>
        </w:rPr>
        <w:t xml:space="preserve">on the </w:t>
      </w:r>
      <w:r w:rsidRPr="002D6157">
        <w:rPr>
          <w:lang w:val="en-US"/>
        </w:rPr>
        <w:t>risk</w:t>
      </w:r>
      <w:r>
        <w:rPr>
          <w:lang w:val="en-US"/>
        </w:rPr>
        <w:t xml:space="preserve"> division</w:t>
      </w:r>
      <w:r w:rsidRPr="002D6157">
        <w:rPr>
          <w:lang w:val="en-US"/>
        </w:rPr>
        <w:t xml:space="preserve"> constraints, one in investment (with or without derogation if the assets are not those making up the index) and </w:t>
      </w:r>
      <w:r>
        <w:rPr>
          <w:lang w:val="en-US"/>
        </w:rPr>
        <w:t xml:space="preserve">another </w:t>
      </w:r>
      <w:r w:rsidRPr="002D6157">
        <w:rPr>
          <w:lang w:val="en-US"/>
        </w:rPr>
        <w:t>in exposure via the swap.</w:t>
      </w:r>
    </w:p>
    <w:p w14:paraId="1E4DA2DC" w14:textId="77777777" w:rsidR="00CE4A62" w:rsidRPr="002D6157" w:rsidRDefault="00CE4A62" w:rsidP="00CE4A62">
      <w:pPr>
        <w:spacing w:after="0" w:line="240" w:lineRule="auto"/>
        <w:jc w:val="left"/>
        <w:rPr>
          <w:lang w:val="en-US"/>
        </w:rPr>
      </w:pPr>
    </w:p>
    <w:p w14:paraId="33291A42" w14:textId="237D58F5" w:rsidR="00667FF6" w:rsidRDefault="00CE4A62" w:rsidP="00CE4A62">
      <w:pPr>
        <w:spacing w:after="0" w:line="240" w:lineRule="auto"/>
        <w:jc w:val="left"/>
      </w:pPr>
      <w:r>
        <w:rPr>
          <w:lang w:val="en-US"/>
        </w:rPr>
        <w:t>C</w:t>
      </w:r>
      <w:r w:rsidRPr="002D6157">
        <w:rPr>
          <w:lang w:val="en-US"/>
        </w:rPr>
        <w:t>larification on the application of the derogat</w:t>
      </w:r>
      <w:r>
        <w:rPr>
          <w:lang w:val="en-US"/>
        </w:rPr>
        <w:t xml:space="preserve">ory </w:t>
      </w:r>
      <w:r w:rsidRPr="002D6157">
        <w:rPr>
          <w:lang w:val="en-US"/>
        </w:rPr>
        <w:t>ratios applicable to index funds would be desirable.</w:t>
      </w:r>
    </w:p>
    <w:permEnd w:id="85149166"/>
    <w:p w14:paraId="4AE132E3" w14:textId="77777777"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lastRenderedPageBreak/>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01412E3D" w14:textId="77777777" w:rsidR="005359B1" w:rsidRPr="00697168" w:rsidRDefault="005359B1" w:rsidP="005359B1">
      <w:pPr>
        <w:rPr>
          <w:lang w:val="en-US"/>
        </w:rPr>
      </w:pPr>
      <w:permStart w:id="1981048397" w:edGrp="everyone"/>
      <w:r w:rsidRPr="009F067B">
        <w:rPr>
          <w:lang w:val="en-US"/>
        </w:rPr>
        <w:t xml:space="preserve">Money market instruments </w:t>
      </w:r>
      <w:proofErr w:type="gramStart"/>
      <w:r w:rsidRPr="009F067B">
        <w:rPr>
          <w:lang w:val="en-US"/>
        </w:rPr>
        <w:t>are defined</w:t>
      </w:r>
      <w:proofErr w:type="gramEnd"/>
      <w:r w:rsidRPr="009F067B">
        <w:rPr>
          <w:lang w:val="en-US"/>
        </w:rPr>
        <w:t xml:space="preserve"> </w:t>
      </w:r>
      <w:r w:rsidRPr="00697168">
        <w:rPr>
          <w:lang w:val="en-US"/>
        </w:rPr>
        <w:t>under the</w:t>
      </w:r>
      <w:r w:rsidRPr="009F067B">
        <w:rPr>
          <w:lang w:val="en-US"/>
        </w:rPr>
        <w:t xml:space="preserve"> Article 3 point 2 of the Asset Eligibility Directive. They must </w:t>
      </w:r>
      <w:r w:rsidRPr="00697168">
        <w:rPr>
          <w:lang w:val="en-US"/>
        </w:rPr>
        <w:t>respect</w:t>
      </w:r>
      <w:r w:rsidRPr="009F067B">
        <w:rPr>
          <w:lang w:val="en-US"/>
        </w:rPr>
        <w:t xml:space="preserve"> one of three criteria: </w:t>
      </w:r>
    </w:p>
    <w:p w14:paraId="3C979880" w14:textId="77777777" w:rsidR="005359B1" w:rsidRPr="005905C5" w:rsidRDefault="005359B1" w:rsidP="005359B1">
      <w:pPr>
        <w:pStyle w:val="Paragraphedeliste"/>
        <w:numPr>
          <w:ilvl w:val="0"/>
          <w:numId w:val="22"/>
        </w:numPr>
        <w:spacing w:after="0" w:line="240" w:lineRule="auto"/>
        <w:jc w:val="left"/>
        <w:rPr>
          <w:lang w:val="en-US"/>
        </w:rPr>
      </w:pPr>
      <w:r w:rsidRPr="005905C5">
        <w:rPr>
          <w:lang w:val="en-US"/>
        </w:rPr>
        <w:t xml:space="preserve">Maturity of the instrument lower than 397 days, or </w:t>
      </w:r>
    </w:p>
    <w:p w14:paraId="1EC24523" w14:textId="77777777" w:rsidR="005359B1" w:rsidRPr="005905C5" w:rsidRDefault="005359B1" w:rsidP="005359B1">
      <w:pPr>
        <w:pStyle w:val="Paragraphedeliste"/>
        <w:numPr>
          <w:ilvl w:val="0"/>
          <w:numId w:val="20"/>
        </w:numPr>
        <w:spacing w:after="0" w:line="240" w:lineRule="auto"/>
        <w:jc w:val="left"/>
        <w:rPr>
          <w:lang w:val="en-US"/>
        </w:rPr>
      </w:pPr>
      <w:r w:rsidRPr="005905C5">
        <w:rPr>
          <w:lang w:val="en-US"/>
        </w:rPr>
        <w:t xml:space="preserve">Residual maturity of less than 397 days, or </w:t>
      </w:r>
    </w:p>
    <w:p w14:paraId="1DE31E78" w14:textId="77777777" w:rsidR="005359B1" w:rsidRPr="005905C5" w:rsidRDefault="005359B1" w:rsidP="005359B1">
      <w:pPr>
        <w:pStyle w:val="Paragraphedeliste"/>
        <w:numPr>
          <w:ilvl w:val="0"/>
          <w:numId w:val="20"/>
        </w:numPr>
        <w:spacing w:after="0" w:line="240" w:lineRule="auto"/>
        <w:jc w:val="left"/>
        <w:rPr>
          <w:lang w:val="en-US"/>
        </w:rPr>
      </w:pPr>
      <w:r w:rsidRPr="005905C5">
        <w:rPr>
          <w:lang w:val="en-US"/>
        </w:rPr>
        <w:t>Interest adjustment date less than 397 days.</w:t>
      </w:r>
    </w:p>
    <w:p w14:paraId="2D149166" w14:textId="77777777" w:rsidR="005359B1" w:rsidRDefault="005359B1" w:rsidP="005359B1">
      <w:pPr>
        <w:rPr>
          <w:lang w:val="en-US"/>
        </w:rPr>
      </w:pPr>
    </w:p>
    <w:p w14:paraId="091ACB8D" w14:textId="77777777" w:rsidR="005359B1" w:rsidRPr="009F067B" w:rsidRDefault="005359B1" w:rsidP="005359B1">
      <w:pPr>
        <w:rPr>
          <w:lang w:val="en-US"/>
        </w:rPr>
      </w:pPr>
      <w:r w:rsidRPr="009F067B">
        <w:rPr>
          <w:lang w:val="en-US"/>
        </w:rPr>
        <w:t>The difficulty currently encountered by depositaries lies in the criteria where the same product, during its lifespan, ranks first (</w:t>
      </w:r>
      <w:r w:rsidRPr="00697168">
        <w:rPr>
          <w:lang w:val="en-US"/>
        </w:rPr>
        <w:t>i.e.,</w:t>
      </w:r>
      <w:r w:rsidRPr="009F067B">
        <w:rPr>
          <w:lang w:val="en-US"/>
        </w:rPr>
        <w:t xml:space="preserve"> residual maturity greater than 397 days) as an eligible financial security (article 2 of the directive) then, approaching final maturity (</w:t>
      </w:r>
      <w:r w:rsidRPr="00697168">
        <w:rPr>
          <w:lang w:val="en-US"/>
        </w:rPr>
        <w:t>i.e.,</w:t>
      </w:r>
      <w:r w:rsidRPr="009F067B">
        <w:rPr>
          <w:lang w:val="en-US"/>
        </w:rPr>
        <w:t xml:space="preserve"> residual maturity less than 397 days), </w:t>
      </w:r>
      <w:proofErr w:type="gramStart"/>
      <w:r w:rsidRPr="009F067B">
        <w:rPr>
          <w:lang w:val="en-US"/>
        </w:rPr>
        <w:t>is classified</w:t>
      </w:r>
      <w:proofErr w:type="gramEnd"/>
      <w:r w:rsidRPr="009F067B">
        <w:rPr>
          <w:lang w:val="en-US"/>
        </w:rPr>
        <w:t xml:space="preserve"> in the criteria for money market instruments. </w:t>
      </w:r>
    </w:p>
    <w:p w14:paraId="63FF9D5D" w14:textId="77777777" w:rsidR="005359B1" w:rsidRPr="009F067B" w:rsidRDefault="005359B1" w:rsidP="005359B1">
      <w:pPr>
        <w:rPr>
          <w:lang w:val="en-US"/>
        </w:rPr>
      </w:pPr>
      <w:r w:rsidRPr="009F067B">
        <w:rPr>
          <w:lang w:val="en-US"/>
        </w:rPr>
        <w:lastRenderedPageBreak/>
        <w:t xml:space="preserve">This change in classification poses difficulties in </w:t>
      </w:r>
      <w:r w:rsidRPr="00697168">
        <w:rPr>
          <w:lang w:val="en-US"/>
        </w:rPr>
        <w:t>the asset trees</w:t>
      </w:r>
      <w:r w:rsidRPr="009F067B">
        <w:rPr>
          <w:lang w:val="en-US"/>
        </w:rPr>
        <w:t xml:space="preserve"> </w:t>
      </w:r>
      <w:r w:rsidRPr="00697168">
        <w:rPr>
          <w:lang w:val="en-US"/>
        </w:rPr>
        <w:t>of</w:t>
      </w:r>
      <w:r w:rsidRPr="009F067B">
        <w:rPr>
          <w:lang w:val="en-US"/>
        </w:rPr>
        <w:t xml:space="preserve"> the </w:t>
      </w:r>
      <w:proofErr w:type="gramStart"/>
      <w:r w:rsidRPr="009F067B">
        <w:rPr>
          <w:lang w:val="en-US"/>
        </w:rPr>
        <w:t>depositary's</w:t>
      </w:r>
      <w:proofErr w:type="gramEnd"/>
      <w:r w:rsidRPr="009F067B">
        <w:rPr>
          <w:lang w:val="en-US"/>
        </w:rPr>
        <w:t xml:space="preserve"> automated control systems: the product has not legally changed during its life but is reanalyzed when its residual maturity passes to 397 days.</w:t>
      </w:r>
    </w:p>
    <w:p w14:paraId="6044DB04" w14:textId="77777777" w:rsidR="005359B1" w:rsidRPr="009F067B" w:rsidRDefault="005359B1" w:rsidP="005359B1">
      <w:pPr>
        <w:rPr>
          <w:lang w:val="en-US"/>
        </w:rPr>
      </w:pPr>
      <w:r w:rsidRPr="009F067B">
        <w:rPr>
          <w:lang w:val="en-US"/>
        </w:rPr>
        <w:t>In addition, the classification of products with a</w:t>
      </w:r>
      <w:r w:rsidRPr="00697168">
        <w:rPr>
          <w:lang w:val="en-US"/>
        </w:rPr>
        <w:t>n interest adjustment date lower</w:t>
      </w:r>
      <w:r w:rsidRPr="009F067B">
        <w:rPr>
          <w:lang w:val="en-US"/>
        </w:rPr>
        <w:t xml:space="preserve"> than 397 days raises the question: should we consider a product with a legal maturity of 10 years (and with, to date, a residual maturity of 7 years) with a variable rate indexed to the €</w:t>
      </w:r>
      <w:proofErr w:type="spellStart"/>
      <w:r w:rsidRPr="009F067B">
        <w:rPr>
          <w:lang w:val="en-US"/>
        </w:rPr>
        <w:t>ster</w:t>
      </w:r>
      <w:proofErr w:type="spellEnd"/>
      <w:r w:rsidRPr="009F067B">
        <w:rPr>
          <w:lang w:val="en-US"/>
        </w:rPr>
        <w:t xml:space="preserve"> as a money market instrument?</w:t>
      </w:r>
    </w:p>
    <w:p w14:paraId="66CBED74" w14:textId="67BFB2B6" w:rsidR="00667FF6" w:rsidRDefault="005359B1" w:rsidP="005359B1">
      <w:r w:rsidRPr="009F067B">
        <w:rPr>
          <w:lang w:val="en-US"/>
        </w:rPr>
        <w:t xml:space="preserve">More precise wording of the text could avoid confusion in the classification of money market instruments and better consideration of products in </w:t>
      </w:r>
      <w:r w:rsidRPr="00697168">
        <w:rPr>
          <w:lang w:val="en-US"/>
        </w:rPr>
        <w:t xml:space="preserve">depositary’ </w:t>
      </w:r>
      <w:r w:rsidRPr="009F067B">
        <w:rPr>
          <w:lang w:val="en-US"/>
        </w:rPr>
        <w:t>information systems.</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24658538" w14:textId="77777777" w:rsidR="00667FF6" w:rsidRDefault="00667FF6" w:rsidP="00667FF6">
      <w:permStart w:id="1012351271" w:edGrp="everyone"/>
      <w:r>
        <w:lastRenderedPageBreak/>
        <w:t>TYPE YOUR TEXT HERE</w:t>
      </w: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0AA80660" w14:textId="77777777" w:rsidR="002E516A" w:rsidRPr="002E5AAA" w:rsidRDefault="002E516A" w:rsidP="002E516A">
      <w:pPr>
        <w:spacing w:after="0" w:line="240" w:lineRule="auto"/>
        <w:jc w:val="left"/>
        <w:rPr>
          <w:lang w:val="en-US"/>
        </w:rPr>
      </w:pPr>
      <w:permStart w:id="1300367218" w:edGrp="everyone"/>
      <w:r w:rsidRPr="002E5AAA">
        <w:rPr>
          <w:lang w:val="en-US"/>
        </w:rPr>
        <w:t xml:space="preserve">We </w:t>
      </w:r>
      <w:r w:rsidRPr="00381C86">
        <w:rPr>
          <w:lang w:val="en-US"/>
        </w:rPr>
        <w:t>do</w:t>
      </w:r>
      <w:r>
        <w:rPr>
          <w:lang w:val="en-US"/>
        </w:rPr>
        <w:t xml:space="preserve"> not have any </w:t>
      </w:r>
      <w:r w:rsidRPr="002E5AAA">
        <w:rPr>
          <w:lang w:val="en-US"/>
        </w:rPr>
        <w:t xml:space="preserve">statistical </w:t>
      </w:r>
      <w:r>
        <w:rPr>
          <w:lang w:val="en-US"/>
        </w:rPr>
        <w:t xml:space="preserve">elements </w:t>
      </w:r>
      <w:r w:rsidRPr="002E5AAA">
        <w:rPr>
          <w:lang w:val="en-US"/>
        </w:rPr>
        <w:t xml:space="preserve">to share </w:t>
      </w:r>
      <w:r>
        <w:rPr>
          <w:lang w:val="en-US"/>
        </w:rPr>
        <w:t xml:space="preserve">in order </w:t>
      </w:r>
      <w:r w:rsidRPr="002E5AAA">
        <w:rPr>
          <w:lang w:val="en-US"/>
        </w:rPr>
        <w:t xml:space="preserve">to assess the impact of </w:t>
      </w:r>
      <w:r>
        <w:rPr>
          <w:lang w:val="en-US"/>
        </w:rPr>
        <w:t xml:space="preserve">the </w:t>
      </w:r>
      <w:r w:rsidRPr="002E5AAA">
        <w:rPr>
          <w:lang w:val="en-US"/>
        </w:rPr>
        <w:t>remov</w:t>
      </w:r>
      <w:r>
        <w:rPr>
          <w:lang w:val="en-US"/>
        </w:rPr>
        <w:t xml:space="preserve">al of the </w:t>
      </w:r>
      <w:r w:rsidRPr="002E5AAA">
        <w:rPr>
          <w:lang w:val="en-US"/>
        </w:rPr>
        <w:t xml:space="preserve">presumption of liquidity or </w:t>
      </w:r>
      <w:r>
        <w:rPr>
          <w:lang w:val="en-US"/>
        </w:rPr>
        <w:t>negotiability</w:t>
      </w:r>
      <w:r w:rsidRPr="002E5AAA">
        <w:rPr>
          <w:lang w:val="en-US"/>
        </w:rPr>
        <w:t xml:space="preserve">, but we believe that the </w:t>
      </w:r>
      <w:r>
        <w:rPr>
          <w:lang w:val="en-US"/>
        </w:rPr>
        <w:t xml:space="preserve">disappearance </w:t>
      </w:r>
      <w:r w:rsidRPr="002E5AAA">
        <w:rPr>
          <w:lang w:val="en-US"/>
        </w:rPr>
        <w:t>of these criteria would create uncertainty as to whether or not a financial instrument is eligible.</w:t>
      </w:r>
    </w:p>
    <w:p w14:paraId="6B0937FC" w14:textId="77777777" w:rsidR="002E516A" w:rsidRDefault="002E516A" w:rsidP="002E516A">
      <w:pPr>
        <w:spacing w:after="0" w:line="240" w:lineRule="auto"/>
        <w:jc w:val="left"/>
        <w:rPr>
          <w:lang w:val="en-US"/>
        </w:rPr>
      </w:pPr>
      <w:r w:rsidRPr="002E5AAA">
        <w:rPr>
          <w:lang w:val="en-US"/>
        </w:rPr>
        <w:t xml:space="preserve">The reference to the concepts of liquidity and </w:t>
      </w:r>
      <w:r w:rsidRPr="00BE7E51">
        <w:rPr>
          <w:lang w:val="en-US"/>
        </w:rPr>
        <w:t>neg</w:t>
      </w:r>
      <w:r>
        <w:rPr>
          <w:lang w:val="en-US"/>
        </w:rPr>
        <w:t xml:space="preserve">otiability </w:t>
      </w:r>
      <w:r w:rsidRPr="002E5AAA">
        <w:rPr>
          <w:lang w:val="en-US"/>
        </w:rPr>
        <w:t xml:space="preserve">therefore still makes sense and should be complemented by other criteria such as market depth in order to </w:t>
      </w:r>
      <w:r>
        <w:rPr>
          <w:lang w:val="en-US"/>
        </w:rPr>
        <w:t>re</w:t>
      </w:r>
      <w:r w:rsidRPr="002E5AAA">
        <w:rPr>
          <w:lang w:val="en-US"/>
        </w:rPr>
        <w:t>fine eligibility c</w:t>
      </w:r>
      <w:r>
        <w:rPr>
          <w:lang w:val="en-US"/>
        </w:rPr>
        <w:t>hecks.</w:t>
      </w:r>
    </w:p>
    <w:p w14:paraId="5BB5B7B4" w14:textId="77777777" w:rsidR="002E516A" w:rsidRPr="002E5AAA" w:rsidRDefault="002E516A" w:rsidP="002E516A">
      <w:pPr>
        <w:spacing w:after="0" w:line="240" w:lineRule="auto"/>
        <w:jc w:val="left"/>
        <w:rPr>
          <w:lang w:val="en-US"/>
        </w:rPr>
      </w:pPr>
    </w:p>
    <w:p w14:paraId="655569A7" w14:textId="77777777" w:rsidR="002E516A" w:rsidRDefault="002E516A" w:rsidP="002E516A">
      <w:pPr>
        <w:spacing w:after="0" w:line="240" w:lineRule="auto"/>
        <w:jc w:val="left"/>
        <w:rPr>
          <w:lang w:val="en-US"/>
        </w:rPr>
      </w:pPr>
      <w:proofErr w:type="gramStart"/>
      <w:r w:rsidRPr="002E5AAA">
        <w:rPr>
          <w:lang w:val="en-US"/>
        </w:rPr>
        <w:t xml:space="preserve">The observation made by ESMA in public statement 34/43/880 relating to the CSA on monitoring the liquidity risk of UCITS </w:t>
      </w:r>
      <w:r>
        <w:rPr>
          <w:lang w:val="en-US"/>
        </w:rPr>
        <w:t xml:space="preserve">issued </w:t>
      </w:r>
      <w:r w:rsidRPr="002E5AAA">
        <w:rPr>
          <w:lang w:val="en-US"/>
        </w:rPr>
        <w:t xml:space="preserve">in 2021 </w:t>
      </w:r>
      <w:r>
        <w:rPr>
          <w:lang w:val="en-US"/>
        </w:rPr>
        <w:t xml:space="preserve">is in line with maintaining </w:t>
      </w:r>
      <w:r w:rsidRPr="002E5AAA">
        <w:rPr>
          <w:lang w:val="en-US"/>
        </w:rPr>
        <w:t xml:space="preserve">the presumption of liquidity by adding the consideration of </w:t>
      </w:r>
      <w:r w:rsidRPr="002E5AAA">
        <w:rPr>
          <w:lang w:val="en-US"/>
        </w:rPr>
        <w:lastRenderedPageBreak/>
        <w:t>transaction volumes, in particular to complete the assessment of the presumption of liquidity of a security and thus its eligibility for the fund.</w:t>
      </w:r>
      <w:proofErr w:type="gramEnd"/>
    </w:p>
    <w:p w14:paraId="18C30FC6" w14:textId="77777777" w:rsidR="002E516A" w:rsidRPr="002E5AAA" w:rsidRDefault="002E516A" w:rsidP="002E516A">
      <w:pPr>
        <w:spacing w:after="0" w:line="240" w:lineRule="auto"/>
        <w:jc w:val="left"/>
        <w:rPr>
          <w:lang w:val="en-US"/>
        </w:rPr>
      </w:pPr>
    </w:p>
    <w:p w14:paraId="0E40EC2F" w14:textId="227E888F" w:rsidR="002E516A" w:rsidRPr="002E5AAA" w:rsidRDefault="002E516A" w:rsidP="002E516A">
      <w:pPr>
        <w:spacing w:after="0" w:line="240" w:lineRule="auto"/>
        <w:jc w:val="left"/>
        <w:rPr>
          <w:lang w:val="en-US"/>
        </w:rPr>
      </w:pPr>
      <w:r w:rsidRPr="002E5AAA">
        <w:rPr>
          <w:lang w:val="en-US"/>
        </w:rPr>
        <w:t xml:space="preserve">The AMF has also </w:t>
      </w:r>
      <w:r>
        <w:rPr>
          <w:lang w:val="en-US"/>
        </w:rPr>
        <w:t>taken up</w:t>
      </w:r>
      <w:r w:rsidRPr="002E5AAA">
        <w:rPr>
          <w:lang w:val="en-US"/>
        </w:rPr>
        <w:t xml:space="preserve"> this point in its doctrine (Doc 2012-19) by focusing on securities traded on markets with reduced liquidity (e.g., Euronext Growth).</w:t>
      </w:r>
    </w:p>
    <w:p w14:paraId="6BB184F6" w14:textId="77777777" w:rsidR="002E516A" w:rsidRPr="002E5AAA" w:rsidRDefault="002E516A" w:rsidP="002E516A">
      <w:pPr>
        <w:spacing w:after="0" w:line="240" w:lineRule="auto"/>
        <w:jc w:val="left"/>
        <w:rPr>
          <w:lang w:val="en-US"/>
        </w:rPr>
      </w:pPr>
      <w:r w:rsidRPr="002E5AAA">
        <w:rPr>
          <w:lang w:val="en-US"/>
        </w:rPr>
        <w:t xml:space="preserve">In this case, in order to cope with </w:t>
      </w:r>
      <w:r>
        <w:rPr>
          <w:lang w:val="en-US"/>
        </w:rPr>
        <w:t>redemptions</w:t>
      </w:r>
      <w:r w:rsidRPr="002E5AAA">
        <w:rPr>
          <w:lang w:val="en-US"/>
        </w:rPr>
        <w:t xml:space="preserve">, the </w:t>
      </w:r>
      <w:r>
        <w:rPr>
          <w:lang w:val="en-US"/>
        </w:rPr>
        <w:t xml:space="preserve">asset manager </w:t>
      </w:r>
      <w:r w:rsidRPr="002E5AAA">
        <w:rPr>
          <w:lang w:val="en-US"/>
        </w:rPr>
        <w:t xml:space="preserve">must take into account the volumes traded on Euronext Growth, an </w:t>
      </w:r>
      <w:proofErr w:type="spellStart"/>
      <w:r w:rsidRPr="002E5AAA">
        <w:rPr>
          <w:lang w:val="en-US"/>
        </w:rPr>
        <w:t>organised</w:t>
      </w:r>
      <w:proofErr w:type="spellEnd"/>
      <w:r w:rsidRPr="002E5AAA">
        <w:rPr>
          <w:lang w:val="en-US"/>
        </w:rPr>
        <w:t xml:space="preserve"> market, which are not comparable to the volumes traded on Euronext's large caps</w:t>
      </w:r>
      <w:r>
        <w:rPr>
          <w:lang w:val="en-US"/>
        </w:rPr>
        <w:t xml:space="preserve"> companies</w:t>
      </w:r>
      <w:r w:rsidRPr="002E5AAA">
        <w:rPr>
          <w:lang w:val="en-US"/>
        </w:rPr>
        <w:t>.</w:t>
      </w:r>
    </w:p>
    <w:p w14:paraId="1446D2EC" w14:textId="77777777" w:rsidR="002E516A" w:rsidRPr="002E5AAA" w:rsidRDefault="002E516A" w:rsidP="002E516A">
      <w:pPr>
        <w:spacing w:after="0" w:line="240" w:lineRule="auto"/>
        <w:jc w:val="left"/>
        <w:rPr>
          <w:lang w:val="en-US"/>
        </w:rPr>
      </w:pPr>
      <w:r w:rsidRPr="002E5AAA">
        <w:rPr>
          <w:lang w:val="en-US"/>
        </w:rPr>
        <w:t xml:space="preserve">Liquidity </w:t>
      </w:r>
      <w:proofErr w:type="gramStart"/>
      <w:r w:rsidRPr="002E5AAA">
        <w:rPr>
          <w:lang w:val="en-US"/>
        </w:rPr>
        <w:t>must be assessed</w:t>
      </w:r>
      <w:proofErr w:type="gramEnd"/>
      <w:r w:rsidRPr="002E5AAA">
        <w:rPr>
          <w:lang w:val="en-US"/>
        </w:rPr>
        <w:t xml:space="preserve"> by taking into account the volume of securities </w:t>
      </w:r>
      <w:r>
        <w:rPr>
          <w:lang w:val="en-US"/>
        </w:rPr>
        <w:t>traded</w:t>
      </w:r>
      <w:r w:rsidRPr="002E5AAA">
        <w:rPr>
          <w:lang w:val="en-US"/>
        </w:rPr>
        <w:t xml:space="preserve">, the volume of </w:t>
      </w:r>
      <w:r>
        <w:rPr>
          <w:lang w:val="en-US"/>
        </w:rPr>
        <w:t xml:space="preserve">free float, </w:t>
      </w:r>
      <w:r w:rsidRPr="002E5AAA">
        <w:rPr>
          <w:lang w:val="en-US"/>
        </w:rPr>
        <w:t xml:space="preserve">the volume of securities </w:t>
      </w:r>
      <w:r>
        <w:rPr>
          <w:lang w:val="en-US"/>
        </w:rPr>
        <w:t xml:space="preserve">held </w:t>
      </w:r>
      <w:r w:rsidRPr="002E5AAA">
        <w:rPr>
          <w:lang w:val="en-US"/>
        </w:rPr>
        <w:t xml:space="preserve">by the </w:t>
      </w:r>
      <w:r>
        <w:rPr>
          <w:lang w:val="en-US"/>
        </w:rPr>
        <w:t>fund</w:t>
      </w:r>
      <w:r w:rsidRPr="002E5AAA">
        <w:rPr>
          <w:lang w:val="en-US"/>
        </w:rPr>
        <w:t xml:space="preserve">, and the ability of the </w:t>
      </w:r>
      <w:r>
        <w:rPr>
          <w:lang w:val="en-US"/>
        </w:rPr>
        <w:t>fund</w:t>
      </w:r>
      <w:r w:rsidRPr="002E5AAA">
        <w:rPr>
          <w:lang w:val="en-US"/>
        </w:rPr>
        <w:t xml:space="preserve"> to sell its securities without </w:t>
      </w:r>
      <w:r>
        <w:rPr>
          <w:lang w:val="en-US"/>
        </w:rPr>
        <w:t>influencing</w:t>
      </w:r>
      <w:r w:rsidRPr="002E5AAA">
        <w:rPr>
          <w:lang w:val="en-US"/>
        </w:rPr>
        <w:t xml:space="preserve"> the price of the security.</w:t>
      </w:r>
    </w:p>
    <w:p w14:paraId="7C165D74" w14:textId="77777777" w:rsidR="002E516A" w:rsidRPr="002E5AAA" w:rsidRDefault="002E516A" w:rsidP="002E516A">
      <w:pPr>
        <w:spacing w:after="0" w:line="240" w:lineRule="auto"/>
        <w:jc w:val="left"/>
        <w:rPr>
          <w:lang w:val="en-US"/>
        </w:rPr>
      </w:pPr>
      <w:r w:rsidRPr="002E5AAA">
        <w:rPr>
          <w:lang w:val="en-US"/>
        </w:rPr>
        <w:t xml:space="preserve">The </w:t>
      </w:r>
      <w:r>
        <w:rPr>
          <w:lang w:val="en-US"/>
        </w:rPr>
        <w:t xml:space="preserve">proportion </w:t>
      </w:r>
      <w:r w:rsidRPr="002E5AAA">
        <w:rPr>
          <w:lang w:val="en-US"/>
        </w:rPr>
        <w:t xml:space="preserve">of securities with reduced liquidity or </w:t>
      </w:r>
      <w:r>
        <w:rPr>
          <w:lang w:val="en-US"/>
        </w:rPr>
        <w:t xml:space="preserve">that can be significantly </w:t>
      </w:r>
      <w:r w:rsidRPr="002E5AAA">
        <w:rPr>
          <w:lang w:val="en-US"/>
        </w:rPr>
        <w:t xml:space="preserve">and rapidly </w:t>
      </w:r>
      <w:r>
        <w:rPr>
          <w:lang w:val="en-US"/>
        </w:rPr>
        <w:t xml:space="preserve">reduced </w:t>
      </w:r>
      <w:r w:rsidRPr="002E5AAA">
        <w:rPr>
          <w:lang w:val="en-US"/>
        </w:rPr>
        <w:t xml:space="preserve">must be determined taking into account the need to be able to </w:t>
      </w:r>
      <w:r>
        <w:rPr>
          <w:lang w:val="en-US"/>
        </w:rPr>
        <w:t xml:space="preserve">quickly </w:t>
      </w:r>
      <w:proofErr w:type="spellStart"/>
      <w:r w:rsidRPr="002E5AAA">
        <w:rPr>
          <w:lang w:val="en-US"/>
        </w:rPr>
        <w:t>reali</w:t>
      </w:r>
      <w:r>
        <w:rPr>
          <w:lang w:val="en-US"/>
        </w:rPr>
        <w:t>s</w:t>
      </w:r>
      <w:r w:rsidRPr="002E5AAA">
        <w:rPr>
          <w:lang w:val="en-US"/>
        </w:rPr>
        <w:t>e</w:t>
      </w:r>
      <w:proofErr w:type="spellEnd"/>
      <w:r w:rsidRPr="002E5AAA">
        <w:rPr>
          <w:lang w:val="en-US"/>
        </w:rPr>
        <w:t xml:space="preserve"> a </w:t>
      </w:r>
      <w:r>
        <w:rPr>
          <w:lang w:val="en-US"/>
        </w:rPr>
        <w:t xml:space="preserve">more or </w:t>
      </w:r>
      <w:r w:rsidRPr="002E5AAA">
        <w:rPr>
          <w:lang w:val="en-US"/>
        </w:rPr>
        <w:t>less</w:t>
      </w:r>
      <w:r>
        <w:rPr>
          <w:lang w:val="en-US"/>
        </w:rPr>
        <w:t xml:space="preserve"> significant proportion </w:t>
      </w:r>
      <w:r w:rsidRPr="002E5AAA">
        <w:rPr>
          <w:lang w:val="en-US"/>
        </w:rPr>
        <w:t>of the fund's assets in order to honor re</w:t>
      </w:r>
      <w:r>
        <w:rPr>
          <w:lang w:val="en-US"/>
        </w:rPr>
        <w:t>demption</w:t>
      </w:r>
      <w:r w:rsidRPr="002E5AAA">
        <w:rPr>
          <w:lang w:val="en-US"/>
        </w:rPr>
        <w:t xml:space="preserve"> requests.</w:t>
      </w:r>
    </w:p>
    <w:p w14:paraId="09734178" w14:textId="4F97E0CC" w:rsidR="00667FF6" w:rsidRDefault="002E516A" w:rsidP="002E516A">
      <w:pPr>
        <w:spacing w:after="0" w:line="240" w:lineRule="auto"/>
        <w:jc w:val="left"/>
      </w:pPr>
      <w:r w:rsidRPr="002E5AAA">
        <w:rPr>
          <w:lang w:val="en-US"/>
        </w:rPr>
        <w:t xml:space="preserve">The AMF </w:t>
      </w:r>
      <w:r>
        <w:rPr>
          <w:lang w:val="en-US"/>
        </w:rPr>
        <w:t xml:space="preserve">also </w:t>
      </w:r>
      <w:r w:rsidRPr="002E5AAA">
        <w:rPr>
          <w:lang w:val="en-US"/>
        </w:rPr>
        <w:t xml:space="preserve">adds that the </w:t>
      </w:r>
      <w:r>
        <w:rPr>
          <w:lang w:val="en-US"/>
        </w:rPr>
        <w:t xml:space="preserve">asset manager </w:t>
      </w:r>
      <w:r w:rsidRPr="002E5AAA">
        <w:rPr>
          <w:lang w:val="en-US"/>
        </w:rPr>
        <w:t>must be able to value the securities traded on Euronext Growth.</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 xml:space="preserve">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w:t>
      </w:r>
      <w:r>
        <w:lastRenderedPageBreak/>
        <w:t>between ancillary liquid assets denominated in (1) the base currency of the fund and (2) foreign currencies.</w:t>
      </w:r>
    </w:p>
    <w:p w14:paraId="6D6B1414" w14:textId="77777777" w:rsidR="00667FF6" w:rsidRDefault="00667FF6" w:rsidP="00667FF6">
      <w:r>
        <w:t>&lt;ESMA_QUESTION_EADC_6&gt;</w:t>
      </w:r>
    </w:p>
    <w:p w14:paraId="4EDDAE28" w14:textId="77777777" w:rsidR="009518FD" w:rsidRPr="00D0560F" w:rsidRDefault="009518FD" w:rsidP="009518FD">
      <w:pPr>
        <w:spacing w:after="0" w:line="240" w:lineRule="auto"/>
        <w:jc w:val="left"/>
        <w:rPr>
          <w:lang w:val="en-US"/>
        </w:rPr>
      </w:pPr>
      <w:permStart w:id="974730357" w:edGrp="everyone"/>
      <w:r w:rsidRPr="00D0560F">
        <w:rPr>
          <w:lang w:val="en-US"/>
        </w:rPr>
        <w:t>This</w:t>
      </w:r>
      <w:r w:rsidRPr="008F044F">
        <w:rPr>
          <w:lang w:val="en-US"/>
        </w:rPr>
        <w:t xml:space="preserve"> question</w:t>
      </w:r>
      <w:r w:rsidRPr="00D0560F">
        <w:rPr>
          <w:lang w:val="en-US"/>
        </w:rPr>
        <w:t xml:space="preserve"> calls for several comments.</w:t>
      </w:r>
    </w:p>
    <w:p w14:paraId="296F13C4" w14:textId="77777777" w:rsidR="009518FD" w:rsidRDefault="009518FD" w:rsidP="009518FD">
      <w:pPr>
        <w:spacing w:after="0" w:line="240" w:lineRule="auto"/>
        <w:jc w:val="left"/>
        <w:rPr>
          <w:lang w:val="en-US"/>
        </w:rPr>
      </w:pPr>
    </w:p>
    <w:p w14:paraId="25561AE0" w14:textId="77777777" w:rsidR="009518FD" w:rsidRPr="00D0560F" w:rsidRDefault="009518FD" w:rsidP="009518FD">
      <w:pPr>
        <w:spacing w:after="0" w:line="240" w:lineRule="auto"/>
        <w:jc w:val="left"/>
        <w:rPr>
          <w:lang w:val="en-US"/>
        </w:rPr>
      </w:pPr>
      <w:proofErr w:type="gramStart"/>
      <w:r w:rsidRPr="00D0560F">
        <w:rPr>
          <w:lang w:val="en-US"/>
        </w:rPr>
        <w:t>First</w:t>
      </w:r>
      <w:r w:rsidRPr="008F044F">
        <w:rPr>
          <w:lang w:val="en-US"/>
        </w:rPr>
        <w:t xml:space="preserve"> </w:t>
      </w:r>
      <w:r>
        <w:rPr>
          <w:lang w:val="en-US"/>
        </w:rPr>
        <w:t>of all</w:t>
      </w:r>
      <w:proofErr w:type="gramEnd"/>
      <w:r w:rsidRPr="00D0560F">
        <w:rPr>
          <w:lang w:val="en-US"/>
        </w:rPr>
        <w:t xml:space="preserve">, </w:t>
      </w:r>
      <w:r>
        <w:rPr>
          <w:lang w:val="en-US"/>
        </w:rPr>
        <w:t>as</w:t>
      </w:r>
      <w:r w:rsidRPr="00D0560F">
        <w:rPr>
          <w:lang w:val="en-US"/>
        </w:rPr>
        <w:t xml:space="preserve"> the term ‘ancillary’ </w:t>
      </w:r>
      <w:r>
        <w:rPr>
          <w:lang w:val="en-US"/>
        </w:rPr>
        <w:t>is</w:t>
      </w:r>
      <w:r w:rsidRPr="00D0560F">
        <w:rPr>
          <w:lang w:val="en-US"/>
        </w:rPr>
        <w:t xml:space="preserve"> not defined, it </w:t>
      </w:r>
      <w:r>
        <w:rPr>
          <w:lang w:val="en-US"/>
        </w:rPr>
        <w:t xml:space="preserve">may have been </w:t>
      </w:r>
      <w:r w:rsidRPr="00D0560F">
        <w:rPr>
          <w:lang w:val="en-US"/>
        </w:rPr>
        <w:t>interpreted differently by the Member States.</w:t>
      </w:r>
      <w:r>
        <w:rPr>
          <w:lang w:val="en-US"/>
        </w:rPr>
        <w:t xml:space="preserve"> </w:t>
      </w:r>
      <w:proofErr w:type="gramStart"/>
      <w:r w:rsidRPr="00D0560F">
        <w:rPr>
          <w:lang w:val="en-US"/>
        </w:rPr>
        <w:t xml:space="preserve">The AMF (DOC 2011-25) doctrine has defined the term “ancillary” as being limited to 10% of the fund’s net assets (this limit may be extended up to 20% but only on an ad hoc basis and only under exceptional market conditions that must be duly justified by the </w:t>
      </w:r>
      <w:r>
        <w:rPr>
          <w:lang w:val="en-US"/>
        </w:rPr>
        <w:t xml:space="preserve">asset manager) </w:t>
      </w:r>
      <w:r w:rsidRPr="00D0560F">
        <w:rPr>
          <w:lang w:val="en-US"/>
        </w:rPr>
        <w:t xml:space="preserve">whereas other countries </w:t>
      </w:r>
      <w:r>
        <w:rPr>
          <w:lang w:val="en-US"/>
        </w:rPr>
        <w:t xml:space="preserve">authorize </w:t>
      </w:r>
      <w:r w:rsidRPr="00D0560F">
        <w:rPr>
          <w:lang w:val="en-US"/>
        </w:rPr>
        <w:t>in principle up to 20% of the assets (e.g., Luxembourg).</w:t>
      </w:r>
      <w:proofErr w:type="gramEnd"/>
    </w:p>
    <w:p w14:paraId="7351C097" w14:textId="77777777" w:rsidR="009518FD" w:rsidRDefault="009518FD" w:rsidP="009518FD">
      <w:pPr>
        <w:spacing w:after="0" w:line="240" w:lineRule="auto"/>
        <w:jc w:val="left"/>
        <w:rPr>
          <w:lang w:val="en-US"/>
        </w:rPr>
      </w:pPr>
    </w:p>
    <w:p w14:paraId="22564A0F" w14:textId="77777777" w:rsidR="009518FD" w:rsidRPr="00335357" w:rsidRDefault="009518FD" w:rsidP="009518FD">
      <w:pPr>
        <w:spacing w:after="0" w:line="240" w:lineRule="auto"/>
        <w:jc w:val="left"/>
        <w:rPr>
          <w:lang w:val="en-US"/>
        </w:rPr>
      </w:pPr>
      <w:proofErr w:type="gramStart"/>
      <w:r>
        <w:rPr>
          <w:lang w:val="en-US"/>
        </w:rPr>
        <w:t>Ge</w:t>
      </w:r>
      <w:r w:rsidRPr="00335357">
        <w:rPr>
          <w:lang w:val="en-US"/>
        </w:rPr>
        <w:t>nera</w:t>
      </w:r>
      <w:r>
        <w:rPr>
          <w:lang w:val="en-US"/>
        </w:rPr>
        <w:t>l</w:t>
      </w:r>
      <w:r w:rsidRPr="00335357">
        <w:rPr>
          <w:lang w:val="en-US"/>
        </w:rPr>
        <w:t>l</w:t>
      </w:r>
      <w:r>
        <w:rPr>
          <w:lang w:val="en-US"/>
        </w:rPr>
        <w:t>y speaking</w:t>
      </w:r>
      <w:r w:rsidRPr="00335357">
        <w:rPr>
          <w:lang w:val="en-US"/>
        </w:rPr>
        <w:t>, to</w:t>
      </w:r>
      <w:proofErr w:type="gramEnd"/>
      <w:r w:rsidRPr="00335357">
        <w:rPr>
          <w:lang w:val="en-US"/>
        </w:rPr>
        <w:t xml:space="preserve"> avoid any risk of interpretation and </w:t>
      </w:r>
      <w:r>
        <w:rPr>
          <w:lang w:val="en-US"/>
        </w:rPr>
        <w:t xml:space="preserve">local </w:t>
      </w:r>
      <w:r w:rsidRPr="00335357">
        <w:rPr>
          <w:lang w:val="en-US"/>
        </w:rPr>
        <w:t xml:space="preserve">adaptation, </w:t>
      </w:r>
      <w:r>
        <w:rPr>
          <w:lang w:val="en-US"/>
        </w:rPr>
        <w:t xml:space="preserve">the use of </w:t>
      </w:r>
      <w:r w:rsidRPr="00335357">
        <w:rPr>
          <w:lang w:val="en-US"/>
        </w:rPr>
        <w:t xml:space="preserve">adverbs should be avoided or translated </w:t>
      </w:r>
      <w:r>
        <w:rPr>
          <w:lang w:val="en-US"/>
        </w:rPr>
        <w:t>by</w:t>
      </w:r>
      <w:r w:rsidRPr="00335357">
        <w:rPr>
          <w:lang w:val="en-US"/>
        </w:rPr>
        <w:t xml:space="preserve"> a threshold, which would be applicable by all.</w:t>
      </w:r>
    </w:p>
    <w:p w14:paraId="6363D5D2" w14:textId="77777777" w:rsidR="009518FD" w:rsidRPr="00335357" w:rsidRDefault="009518FD" w:rsidP="009518FD">
      <w:pPr>
        <w:spacing w:after="0" w:line="240" w:lineRule="auto"/>
        <w:jc w:val="left"/>
        <w:rPr>
          <w:lang w:val="en-US"/>
        </w:rPr>
      </w:pPr>
      <w:r>
        <w:rPr>
          <w:lang w:val="en-US"/>
        </w:rPr>
        <w:t>Thus, f</w:t>
      </w:r>
      <w:r w:rsidRPr="00335357">
        <w:rPr>
          <w:lang w:val="en-US"/>
        </w:rPr>
        <w:t xml:space="preserve">or example, Article 83 of the UCITS Directive provides that </w:t>
      </w:r>
      <w:r>
        <w:rPr>
          <w:lang w:val="en-US"/>
        </w:rPr>
        <w:t xml:space="preserve">a </w:t>
      </w:r>
      <w:r w:rsidRPr="00335357">
        <w:rPr>
          <w:lang w:val="en-US"/>
        </w:rPr>
        <w:t xml:space="preserve">UCITS </w:t>
      </w:r>
      <w:r>
        <w:rPr>
          <w:lang w:val="en-US"/>
        </w:rPr>
        <w:t>can</w:t>
      </w:r>
      <w:r w:rsidRPr="00335357">
        <w:rPr>
          <w:lang w:val="en-US"/>
        </w:rPr>
        <w:t xml:space="preserve"> borrow up to 10% of net assets temporarily.</w:t>
      </w:r>
      <w:r>
        <w:rPr>
          <w:lang w:val="en-US"/>
        </w:rPr>
        <w:t xml:space="preserve"> </w:t>
      </w:r>
      <w:r w:rsidRPr="00335357">
        <w:rPr>
          <w:lang w:val="en-US"/>
        </w:rPr>
        <w:t xml:space="preserve">The term </w:t>
      </w:r>
      <w:r>
        <w:rPr>
          <w:lang w:val="en-US"/>
        </w:rPr>
        <w:t>“</w:t>
      </w:r>
      <w:r w:rsidRPr="00335357">
        <w:rPr>
          <w:lang w:val="en-US"/>
        </w:rPr>
        <w:t>temporary</w:t>
      </w:r>
      <w:r>
        <w:rPr>
          <w:lang w:val="en-US"/>
        </w:rPr>
        <w:t>”</w:t>
      </w:r>
      <w:r w:rsidRPr="00335357">
        <w:rPr>
          <w:lang w:val="en-US"/>
        </w:rPr>
        <w:t xml:space="preserve"> </w:t>
      </w:r>
      <w:proofErr w:type="gramStart"/>
      <w:r w:rsidRPr="00335357">
        <w:rPr>
          <w:lang w:val="en-US"/>
        </w:rPr>
        <w:t xml:space="preserve">is </w:t>
      </w:r>
      <w:r>
        <w:rPr>
          <w:lang w:val="en-US"/>
        </w:rPr>
        <w:t>assessed</w:t>
      </w:r>
      <w:proofErr w:type="gramEnd"/>
      <w:r w:rsidRPr="00335357">
        <w:rPr>
          <w:lang w:val="en-US"/>
        </w:rPr>
        <w:t xml:space="preserve"> differently within the Union and even differently within the same state.</w:t>
      </w:r>
      <w:r>
        <w:rPr>
          <w:lang w:val="en-US"/>
        </w:rPr>
        <w:t xml:space="preserve"> </w:t>
      </w:r>
      <w:r w:rsidRPr="00335357">
        <w:rPr>
          <w:lang w:val="en-US"/>
        </w:rPr>
        <w:t xml:space="preserve">Depending on the actors, the temporary </w:t>
      </w:r>
      <w:r>
        <w:rPr>
          <w:lang w:val="en-US"/>
        </w:rPr>
        <w:t xml:space="preserve">term can range </w:t>
      </w:r>
      <w:r w:rsidRPr="00335357">
        <w:rPr>
          <w:lang w:val="en-US"/>
        </w:rPr>
        <w:t>from a few days to several months.</w:t>
      </w:r>
      <w:r>
        <w:rPr>
          <w:lang w:val="en-US"/>
        </w:rPr>
        <w:t xml:space="preserve"> T</w:t>
      </w:r>
      <w:r w:rsidRPr="00335357">
        <w:rPr>
          <w:lang w:val="en-US"/>
        </w:rPr>
        <w:t xml:space="preserve">emporary </w:t>
      </w:r>
      <w:r>
        <w:rPr>
          <w:lang w:val="en-US"/>
        </w:rPr>
        <w:t xml:space="preserve">should be defined as a </w:t>
      </w:r>
      <w:proofErr w:type="gramStart"/>
      <w:r>
        <w:rPr>
          <w:lang w:val="en-US"/>
        </w:rPr>
        <w:t>time frame</w:t>
      </w:r>
      <w:proofErr w:type="gramEnd"/>
      <w:r>
        <w:rPr>
          <w:lang w:val="en-US"/>
        </w:rPr>
        <w:t xml:space="preserve"> that </w:t>
      </w:r>
      <w:r w:rsidRPr="00335357">
        <w:rPr>
          <w:lang w:val="en-US"/>
        </w:rPr>
        <w:t xml:space="preserve">corresponds to the settlement </w:t>
      </w:r>
      <w:r>
        <w:rPr>
          <w:lang w:val="en-US"/>
        </w:rPr>
        <w:t xml:space="preserve">cycle </w:t>
      </w:r>
      <w:r w:rsidRPr="00335357">
        <w:rPr>
          <w:lang w:val="en-US"/>
        </w:rPr>
        <w:t>of orders on the liabilities side.</w:t>
      </w:r>
    </w:p>
    <w:p w14:paraId="080ED839" w14:textId="77777777" w:rsidR="009518FD" w:rsidRDefault="009518FD" w:rsidP="009518FD">
      <w:pPr>
        <w:spacing w:after="0" w:line="240" w:lineRule="auto"/>
        <w:jc w:val="left"/>
        <w:rPr>
          <w:lang w:val="en-US"/>
        </w:rPr>
      </w:pPr>
    </w:p>
    <w:p w14:paraId="3C89AAA5" w14:textId="77777777" w:rsidR="009518FD" w:rsidRPr="00335357" w:rsidRDefault="009518FD" w:rsidP="009518FD">
      <w:pPr>
        <w:spacing w:after="0" w:line="240" w:lineRule="auto"/>
        <w:jc w:val="left"/>
        <w:rPr>
          <w:lang w:val="en-US"/>
        </w:rPr>
      </w:pPr>
      <w:r w:rsidRPr="00335357">
        <w:rPr>
          <w:lang w:val="en-US"/>
        </w:rPr>
        <w:t xml:space="preserve">Secondly, the terms used in the UCITS Directive are not identical </w:t>
      </w:r>
      <w:r>
        <w:rPr>
          <w:lang w:val="en-US"/>
        </w:rPr>
        <w:t xml:space="preserve">depending on </w:t>
      </w:r>
      <w:r w:rsidRPr="00335357">
        <w:rPr>
          <w:lang w:val="en-US"/>
        </w:rPr>
        <w:t>whether</w:t>
      </w:r>
      <w:r>
        <w:rPr>
          <w:lang w:val="en-US"/>
        </w:rPr>
        <w:t xml:space="preserve"> we refer to</w:t>
      </w:r>
      <w:r w:rsidRPr="00335357">
        <w:rPr>
          <w:lang w:val="en-US"/>
        </w:rPr>
        <w:t xml:space="preserve"> the English or French version.</w:t>
      </w:r>
      <w:r>
        <w:rPr>
          <w:lang w:val="en-US"/>
        </w:rPr>
        <w:t xml:space="preserve"> </w:t>
      </w:r>
      <w:r w:rsidRPr="00335357">
        <w:rPr>
          <w:lang w:val="en-US"/>
        </w:rPr>
        <w:t xml:space="preserve">In the English version of the UCITS Directive, the last paragraph of Article 50(2) specifies “UCITS </w:t>
      </w:r>
      <w:r w:rsidRPr="00335357">
        <w:rPr>
          <w:lang w:val="en-US"/>
        </w:rPr>
        <w:lastRenderedPageBreak/>
        <w:t xml:space="preserve">may hold ancillary liquid assets”, while the French version of the Directive specifies </w:t>
      </w:r>
      <w:proofErr w:type="gramStart"/>
      <w:r>
        <w:rPr>
          <w:lang w:val="en-US"/>
        </w:rPr>
        <w:t>that</w:t>
      </w:r>
      <w:proofErr w:type="gramEnd"/>
      <w:r>
        <w:rPr>
          <w:lang w:val="en-US"/>
        </w:rPr>
        <w:t xml:space="preserve"> a</w:t>
      </w:r>
      <w:r w:rsidRPr="00335357">
        <w:rPr>
          <w:lang w:val="en-US"/>
        </w:rPr>
        <w:t xml:space="preserve"> UCITS may hold ancillary </w:t>
      </w:r>
      <w:r>
        <w:rPr>
          <w:lang w:val="en-US"/>
        </w:rPr>
        <w:t>“liquidities</w:t>
      </w:r>
      <w:r w:rsidRPr="00335357">
        <w:rPr>
          <w:lang w:val="en-US"/>
        </w:rPr>
        <w:t xml:space="preserve">”, which France has therefore interpreted as only </w:t>
      </w:r>
      <w:r>
        <w:rPr>
          <w:lang w:val="en-US"/>
        </w:rPr>
        <w:t xml:space="preserve">sight </w:t>
      </w:r>
      <w:r w:rsidRPr="00335357">
        <w:rPr>
          <w:lang w:val="en-US"/>
        </w:rPr>
        <w:t>deposits recorded in the UCITS cash account.</w:t>
      </w:r>
    </w:p>
    <w:p w14:paraId="08644EAA" w14:textId="77777777" w:rsidR="009518FD" w:rsidRPr="00335357" w:rsidRDefault="009518FD" w:rsidP="009518FD">
      <w:pPr>
        <w:spacing w:after="0" w:line="240" w:lineRule="auto"/>
        <w:jc w:val="left"/>
        <w:rPr>
          <w:lang w:val="en-US"/>
        </w:rPr>
      </w:pPr>
      <w:r w:rsidRPr="00335357">
        <w:rPr>
          <w:lang w:val="en-US"/>
        </w:rPr>
        <w:t xml:space="preserve">The English version thus allows, at least in theory, the use of a broader base of liquid assets such as </w:t>
      </w:r>
      <w:r>
        <w:rPr>
          <w:lang w:val="en-US"/>
        </w:rPr>
        <w:t xml:space="preserve">shares in </w:t>
      </w:r>
      <w:r w:rsidRPr="00335357">
        <w:rPr>
          <w:lang w:val="en-US"/>
        </w:rPr>
        <w:t>short-term MMF</w:t>
      </w:r>
      <w:r>
        <w:rPr>
          <w:lang w:val="en-US"/>
        </w:rPr>
        <w:t>s</w:t>
      </w:r>
      <w:r w:rsidRPr="00335357">
        <w:rPr>
          <w:lang w:val="en-US"/>
        </w:rPr>
        <w:t xml:space="preserve">, government bonds (more generally transferable securities or MMI </w:t>
      </w:r>
      <w:r>
        <w:rPr>
          <w:lang w:val="en-US"/>
        </w:rPr>
        <w:t xml:space="preserve">that can be settled/delivered within a </w:t>
      </w:r>
      <w:r w:rsidRPr="00335357">
        <w:rPr>
          <w:lang w:val="en-US"/>
        </w:rPr>
        <w:t xml:space="preserve">very short </w:t>
      </w:r>
      <w:r>
        <w:rPr>
          <w:lang w:val="en-US"/>
        </w:rPr>
        <w:t>period</w:t>
      </w:r>
      <w:r w:rsidRPr="00335357">
        <w:rPr>
          <w:lang w:val="en-US"/>
        </w:rPr>
        <w:t>).</w:t>
      </w:r>
    </w:p>
    <w:p w14:paraId="0B2A979E" w14:textId="77777777" w:rsidR="009518FD" w:rsidRPr="00335357" w:rsidRDefault="009518FD" w:rsidP="009518FD">
      <w:pPr>
        <w:spacing w:after="0" w:line="240" w:lineRule="auto"/>
        <w:jc w:val="left"/>
        <w:rPr>
          <w:lang w:val="en-US"/>
        </w:rPr>
      </w:pPr>
      <w:r w:rsidRPr="00335357">
        <w:rPr>
          <w:lang w:val="en-US"/>
        </w:rPr>
        <w:t xml:space="preserve">Moreover, cross-border managers have different rules </w:t>
      </w:r>
      <w:r>
        <w:rPr>
          <w:lang w:val="en-US"/>
        </w:rPr>
        <w:t xml:space="preserve">to comply with </w:t>
      </w:r>
      <w:r w:rsidRPr="00335357">
        <w:rPr>
          <w:lang w:val="en-US"/>
        </w:rPr>
        <w:t xml:space="preserve">depending on the country in which they manage or market their funds, which does not allow a satisfactory level playing field and a </w:t>
      </w:r>
      <w:r>
        <w:rPr>
          <w:lang w:val="en-US"/>
        </w:rPr>
        <w:t xml:space="preserve">homogeneous </w:t>
      </w:r>
      <w:r w:rsidRPr="00335357">
        <w:rPr>
          <w:lang w:val="en-US"/>
        </w:rPr>
        <w:t>level of protection for final investors.</w:t>
      </w:r>
    </w:p>
    <w:p w14:paraId="7C07434A" w14:textId="77777777" w:rsidR="009518FD" w:rsidRDefault="009518FD" w:rsidP="009518FD">
      <w:pPr>
        <w:spacing w:after="0" w:line="240" w:lineRule="auto"/>
        <w:jc w:val="left"/>
        <w:rPr>
          <w:lang w:val="en-US"/>
        </w:rPr>
      </w:pPr>
      <w:proofErr w:type="gramStart"/>
      <w:r w:rsidRPr="00335357">
        <w:rPr>
          <w:lang w:val="en-US"/>
        </w:rPr>
        <w:t xml:space="preserve">It seems to us that the AMF’s </w:t>
      </w:r>
      <w:r>
        <w:rPr>
          <w:lang w:val="en-US"/>
        </w:rPr>
        <w:t>interpretation is in line with</w:t>
      </w:r>
      <w:r w:rsidRPr="00335357">
        <w:rPr>
          <w:lang w:val="en-US"/>
        </w:rPr>
        <w:t xml:space="preserve"> the spirit of the UCITS Directive: the fund must be invested at </w:t>
      </w:r>
      <w:r>
        <w:rPr>
          <w:lang w:val="en-US"/>
        </w:rPr>
        <w:t>a minimum of</w:t>
      </w:r>
      <w:r w:rsidRPr="00335357">
        <w:rPr>
          <w:lang w:val="en-US"/>
        </w:rPr>
        <w:t xml:space="preserve"> 90% of the assets in accordance with its investment objective, </w:t>
      </w:r>
      <w:r>
        <w:rPr>
          <w:lang w:val="en-US"/>
        </w:rPr>
        <w:t xml:space="preserve">with </w:t>
      </w:r>
      <w:r w:rsidRPr="00335357">
        <w:rPr>
          <w:lang w:val="en-US"/>
        </w:rPr>
        <w:t>ancillary liquidity up to 10% of the net assets</w:t>
      </w:r>
      <w:r>
        <w:rPr>
          <w:lang w:val="en-US"/>
        </w:rPr>
        <w:t xml:space="preserve"> to</w:t>
      </w:r>
      <w:r w:rsidRPr="00335357">
        <w:rPr>
          <w:lang w:val="en-US"/>
        </w:rPr>
        <w:t xml:space="preserve"> enabl</w:t>
      </w:r>
      <w:r>
        <w:rPr>
          <w:lang w:val="en-US"/>
        </w:rPr>
        <w:t>e the UCITS to mee</w:t>
      </w:r>
      <w:r w:rsidRPr="00335357">
        <w:rPr>
          <w:lang w:val="en-US"/>
        </w:rPr>
        <w:t>t current or exceptional payments or, in the event of sales to the fund’s assets, the time needed to reinvest in other financial instruments.</w:t>
      </w:r>
      <w:proofErr w:type="gramEnd"/>
    </w:p>
    <w:p w14:paraId="3DAD653E" w14:textId="77777777" w:rsidR="009518FD" w:rsidRPr="00335357" w:rsidRDefault="009518FD" w:rsidP="009518FD">
      <w:pPr>
        <w:spacing w:after="0" w:line="240" w:lineRule="auto"/>
        <w:jc w:val="left"/>
        <w:rPr>
          <w:lang w:val="en-US"/>
        </w:rPr>
      </w:pPr>
    </w:p>
    <w:p w14:paraId="3FEE353B" w14:textId="4BD940AB" w:rsidR="00667FF6" w:rsidRDefault="009518FD" w:rsidP="009518FD">
      <w:pPr>
        <w:spacing w:after="0" w:line="240" w:lineRule="auto"/>
        <w:jc w:val="left"/>
      </w:pPr>
      <w:r w:rsidRPr="00197874">
        <w:rPr>
          <w:lang w:val="en-US"/>
        </w:rPr>
        <w:t xml:space="preserve">In addition, the concepts of liquidity and deposits </w:t>
      </w:r>
      <w:proofErr w:type="gramStart"/>
      <w:r w:rsidRPr="00197874">
        <w:rPr>
          <w:lang w:val="en-US"/>
        </w:rPr>
        <w:t>are not necessarily understood and translated in the same way by the actors or the member states</w:t>
      </w:r>
      <w:proofErr w:type="gramEnd"/>
      <w:r w:rsidRPr="00197874">
        <w:rPr>
          <w:lang w:val="en-US"/>
        </w:rPr>
        <w:t xml:space="preserve">. It would be necessary to define strictly what liquidity is (sight deposit, falling under the ratio of </w:t>
      </w:r>
      <w:r>
        <w:rPr>
          <w:lang w:val="en-US"/>
        </w:rPr>
        <w:t xml:space="preserve">cash </w:t>
      </w:r>
      <w:r w:rsidRPr="00197874">
        <w:rPr>
          <w:lang w:val="en-US"/>
        </w:rPr>
        <w:t>held on an ancillary basis) and what is a deposit made with the same entity (term deposit as opposed to sight deposit, falling under the deposit ratio, defined at 20% of net assets by the UCITS Directive, Article 52, 1, b)</w:t>
      </w:r>
      <w:r>
        <w:rPr>
          <w:lang w:val="en-US"/>
        </w:rPr>
        <w:t xml:space="preserve">. </w:t>
      </w:r>
      <w:r w:rsidRPr="00335357">
        <w:rPr>
          <w:lang w:val="en-US"/>
        </w:rPr>
        <w:t xml:space="preserve">This would avoid any potential interpretation, for example </w:t>
      </w:r>
      <w:r>
        <w:rPr>
          <w:lang w:val="en-US"/>
        </w:rPr>
        <w:t xml:space="preserve">as to </w:t>
      </w:r>
      <w:r w:rsidRPr="00335357">
        <w:rPr>
          <w:lang w:val="en-US"/>
        </w:rPr>
        <w:t xml:space="preserve">whether cash received as collateral by the UCITS (in </w:t>
      </w:r>
      <w:r>
        <w:rPr>
          <w:lang w:val="en-US"/>
        </w:rPr>
        <w:t>the face of lending or OTC transactions)</w:t>
      </w:r>
      <w:r w:rsidRPr="00335357">
        <w:rPr>
          <w:lang w:val="en-US"/>
        </w:rPr>
        <w:t xml:space="preserve"> constitutes </w:t>
      </w:r>
      <w:r>
        <w:rPr>
          <w:lang w:val="en-US"/>
        </w:rPr>
        <w:t xml:space="preserve">liquidity </w:t>
      </w:r>
      <w:r w:rsidRPr="00335357">
        <w:rPr>
          <w:lang w:val="en-US"/>
        </w:rPr>
        <w:t>or deposit</w:t>
      </w:r>
      <w:r>
        <w:rPr>
          <w:lang w:val="en-US"/>
        </w:rPr>
        <w:t>s</w:t>
      </w:r>
      <w:r w:rsidRPr="00335357">
        <w:rPr>
          <w:lang w:val="en-US"/>
        </w:rPr>
        <w:t xml:space="preserve"> before any </w:t>
      </w:r>
      <w:r>
        <w:rPr>
          <w:lang w:val="en-US"/>
        </w:rPr>
        <w:t xml:space="preserve">possible </w:t>
      </w:r>
      <w:r w:rsidRPr="00335357">
        <w:rPr>
          <w:lang w:val="en-US"/>
        </w:rPr>
        <w:t xml:space="preserve">reinvestment of </w:t>
      </w:r>
      <w:r>
        <w:rPr>
          <w:lang w:val="en-US"/>
        </w:rPr>
        <w:t xml:space="preserve">that </w:t>
      </w:r>
      <w:r w:rsidRPr="00335357">
        <w:rPr>
          <w:lang w:val="en-US"/>
        </w:rPr>
        <w:t>cash collateral in accordance with paragraph 43 j of the ESMA/2014/937 guidelines.</w:t>
      </w:r>
    </w:p>
    <w:permEnd w:id="974730357"/>
    <w:p w14:paraId="307CFCEA" w14:textId="77777777" w:rsidR="00667FF6" w:rsidRDefault="00667FF6" w:rsidP="00667FF6">
      <w:r>
        <w:lastRenderedPageBreak/>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055C94C6" w14:textId="77777777" w:rsidR="005B4D26" w:rsidRDefault="005B4D26" w:rsidP="005B4D26">
      <w:pPr>
        <w:spacing w:after="0" w:line="240" w:lineRule="auto"/>
        <w:jc w:val="left"/>
        <w:rPr>
          <w:lang w:val="en-US"/>
        </w:rPr>
      </w:pPr>
      <w:permStart w:id="12191390" w:edGrp="everyone"/>
      <w:r w:rsidRPr="00A730BA">
        <w:rPr>
          <w:lang w:val="en-US"/>
        </w:rPr>
        <w:t xml:space="preserve">In investment, the UCITS Directive </w:t>
      </w:r>
      <w:r w:rsidRPr="00D75781">
        <w:rPr>
          <w:lang w:val="en-US"/>
        </w:rPr>
        <w:t>i</w:t>
      </w:r>
      <w:r>
        <w:rPr>
          <w:lang w:val="en-US"/>
        </w:rPr>
        <w:t xml:space="preserve">ndicates </w:t>
      </w:r>
      <w:r w:rsidRPr="00A730BA">
        <w:rPr>
          <w:lang w:val="en-US"/>
        </w:rPr>
        <w:t xml:space="preserve">a limit of 20% </w:t>
      </w:r>
      <w:r>
        <w:rPr>
          <w:lang w:val="en-US"/>
        </w:rPr>
        <w:t>i</w:t>
      </w:r>
      <w:r w:rsidRPr="00A730BA">
        <w:rPr>
          <w:lang w:val="en-US"/>
        </w:rPr>
        <w:t xml:space="preserve">n deposits per entity, </w:t>
      </w:r>
      <w:r>
        <w:rPr>
          <w:lang w:val="en-US"/>
        </w:rPr>
        <w:t>which therefore increases the</w:t>
      </w:r>
      <w:r w:rsidRPr="00A730BA">
        <w:rPr>
          <w:lang w:val="en-US"/>
        </w:rPr>
        <w:t xml:space="preserve"> limit o</w:t>
      </w:r>
      <w:r>
        <w:rPr>
          <w:lang w:val="en-US"/>
        </w:rPr>
        <w:t>f</w:t>
      </w:r>
      <w:r w:rsidRPr="00A730BA">
        <w:rPr>
          <w:lang w:val="en-US"/>
        </w:rPr>
        <w:t xml:space="preserve"> foreign currency investments </w:t>
      </w:r>
      <w:r>
        <w:rPr>
          <w:lang w:val="en-US"/>
        </w:rPr>
        <w:t xml:space="preserve">in theory up </w:t>
      </w:r>
      <w:r w:rsidRPr="00A730BA">
        <w:rPr>
          <w:lang w:val="en-US"/>
        </w:rPr>
        <w:t xml:space="preserve">to 100% of </w:t>
      </w:r>
      <w:r>
        <w:rPr>
          <w:lang w:val="en-US"/>
        </w:rPr>
        <w:t xml:space="preserve">the </w:t>
      </w:r>
      <w:r w:rsidRPr="00A730BA">
        <w:rPr>
          <w:lang w:val="en-US"/>
        </w:rPr>
        <w:t>assets.</w:t>
      </w:r>
      <w:r>
        <w:rPr>
          <w:lang w:val="en-US"/>
        </w:rPr>
        <w:t xml:space="preserve"> </w:t>
      </w:r>
      <w:r w:rsidRPr="00D81950">
        <w:rPr>
          <w:lang w:val="en-US"/>
        </w:rPr>
        <w:t>A UCITS could be 100% invested only in foreign currency deposits if provided for in the prospectus.</w:t>
      </w:r>
    </w:p>
    <w:p w14:paraId="4BC41638" w14:textId="77777777" w:rsidR="005B4D26" w:rsidRPr="00D81950" w:rsidRDefault="005B4D26" w:rsidP="005B4D26">
      <w:pPr>
        <w:spacing w:after="0" w:line="240" w:lineRule="auto"/>
        <w:jc w:val="left"/>
        <w:rPr>
          <w:lang w:val="en-US"/>
        </w:rPr>
      </w:pPr>
    </w:p>
    <w:p w14:paraId="3C953537" w14:textId="1C2F30B0" w:rsidR="005B4D26" w:rsidRPr="00A730BA" w:rsidRDefault="005B4D26" w:rsidP="005B4D26">
      <w:pPr>
        <w:spacing w:after="0" w:line="240" w:lineRule="auto"/>
        <w:jc w:val="left"/>
        <w:rPr>
          <w:lang w:val="en-US"/>
        </w:rPr>
      </w:pPr>
      <w:r w:rsidRPr="00A730BA">
        <w:rPr>
          <w:lang w:val="en-US"/>
        </w:rPr>
        <w:t>While the UCITS Directive sets limits on counterparty credit risk for OTC trades (5% or 10%</w:t>
      </w:r>
      <w:r>
        <w:rPr>
          <w:lang w:val="en-US"/>
        </w:rPr>
        <w:t xml:space="preserve"> depending on </w:t>
      </w:r>
      <w:r w:rsidR="002D7534">
        <w:rPr>
          <w:lang w:val="en-US"/>
        </w:rPr>
        <w:t>the quality</w:t>
      </w:r>
      <w:r>
        <w:rPr>
          <w:lang w:val="en-US"/>
        </w:rPr>
        <w:t xml:space="preserve"> of the counterparty</w:t>
      </w:r>
      <w:r w:rsidRPr="00A730BA">
        <w:rPr>
          <w:lang w:val="en-US"/>
        </w:rPr>
        <w:t xml:space="preserve">), </w:t>
      </w:r>
      <w:r w:rsidRPr="000A23C2">
        <w:rPr>
          <w:lang w:val="en-US"/>
        </w:rPr>
        <w:t>no</w:t>
      </w:r>
      <w:r>
        <w:rPr>
          <w:lang w:val="en-US"/>
        </w:rPr>
        <w:t xml:space="preserve"> overall </w:t>
      </w:r>
      <w:r w:rsidRPr="00A730BA">
        <w:rPr>
          <w:lang w:val="en-US"/>
        </w:rPr>
        <w:t xml:space="preserve">limit on exposure to currencies or </w:t>
      </w:r>
      <w:r>
        <w:rPr>
          <w:lang w:val="en-US"/>
        </w:rPr>
        <w:t xml:space="preserve">currency risk </w:t>
      </w:r>
      <w:proofErr w:type="gramStart"/>
      <w:r>
        <w:rPr>
          <w:lang w:val="en-US"/>
        </w:rPr>
        <w:t>is indicated</w:t>
      </w:r>
      <w:proofErr w:type="gramEnd"/>
      <w:r w:rsidRPr="00A730BA">
        <w:rPr>
          <w:lang w:val="en-US"/>
        </w:rPr>
        <w:t>.</w:t>
      </w:r>
      <w:r>
        <w:rPr>
          <w:lang w:val="en-US"/>
        </w:rPr>
        <w:t xml:space="preserve"> </w:t>
      </w:r>
      <w:r w:rsidRPr="00A730BA">
        <w:rPr>
          <w:lang w:val="en-US"/>
        </w:rPr>
        <w:t xml:space="preserve">The only limit is that of </w:t>
      </w:r>
      <w:r w:rsidRPr="00927FE3">
        <w:rPr>
          <w:lang w:val="en-US"/>
        </w:rPr>
        <w:t xml:space="preserve">the </w:t>
      </w:r>
      <w:r w:rsidRPr="00A730BA">
        <w:rPr>
          <w:lang w:val="en-US"/>
        </w:rPr>
        <w:t>calculati</w:t>
      </w:r>
      <w:r w:rsidRPr="00927FE3">
        <w:rPr>
          <w:lang w:val="en-US"/>
        </w:rPr>
        <w:t xml:space="preserve">on of </w:t>
      </w:r>
      <w:r>
        <w:rPr>
          <w:lang w:val="en-US"/>
        </w:rPr>
        <w:t xml:space="preserve">the </w:t>
      </w:r>
      <w:r w:rsidRPr="00A730BA">
        <w:rPr>
          <w:lang w:val="en-US"/>
        </w:rPr>
        <w:t>commitment</w:t>
      </w:r>
      <w:r>
        <w:rPr>
          <w:lang w:val="en-US"/>
        </w:rPr>
        <w:t xml:space="preserve"> at 100%</w:t>
      </w:r>
      <w:r w:rsidRPr="00A730BA">
        <w:rPr>
          <w:lang w:val="en-US"/>
        </w:rPr>
        <w:t>.</w:t>
      </w:r>
    </w:p>
    <w:p w14:paraId="432754C6" w14:textId="77777777" w:rsidR="005B4D26" w:rsidRDefault="005B4D26" w:rsidP="005B4D26">
      <w:pPr>
        <w:spacing w:after="0" w:line="240" w:lineRule="auto"/>
        <w:jc w:val="left"/>
        <w:rPr>
          <w:lang w:val="en-US"/>
        </w:rPr>
      </w:pPr>
      <w:r w:rsidRPr="00CE0912">
        <w:rPr>
          <w:lang w:val="en-US"/>
        </w:rPr>
        <w:t xml:space="preserve">As this commitment limit does not apply to </w:t>
      </w:r>
      <w:proofErr w:type="spellStart"/>
      <w:r w:rsidRPr="00CE0912">
        <w:rPr>
          <w:lang w:val="en-US"/>
        </w:rPr>
        <w:t>VaR</w:t>
      </w:r>
      <w:proofErr w:type="spellEnd"/>
      <w:r w:rsidRPr="00CE0912">
        <w:rPr>
          <w:lang w:val="en-US"/>
        </w:rPr>
        <w:t xml:space="preserve"> funds, there is no maximum limit on currency exposure or currency risk for UCITS in the regulation.</w:t>
      </w:r>
    </w:p>
    <w:p w14:paraId="56EC08F2" w14:textId="77777777" w:rsidR="005B4D26" w:rsidRPr="00CE0912" w:rsidRDefault="005B4D26" w:rsidP="005B4D26">
      <w:pPr>
        <w:spacing w:after="0" w:line="240" w:lineRule="auto"/>
        <w:jc w:val="left"/>
        <w:rPr>
          <w:lang w:val="en-US"/>
        </w:rPr>
      </w:pPr>
    </w:p>
    <w:p w14:paraId="24C7BA65" w14:textId="734EA131" w:rsidR="00667FF6" w:rsidRDefault="005B4D26" w:rsidP="005B4D26">
      <w:r w:rsidRPr="00CE0912">
        <w:rPr>
          <w:lang w:val="en-US"/>
        </w:rPr>
        <w:t xml:space="preserve">UCITS </w:t>
      </w:r>
      <w:proofErr w:type="gramStart"/>
      <w:r w:rsidRPr="00CE0912">
        <w:rPr>
          <w:lang w:val="en-US"/>
        </w:rPr>
        <w:t>should be limited</w:t>
      </w:r>
      <w:proofErr w:type="gramEnd"/>
      <w:r w:rsidRPr="00CE0912">
        <w:rPr>
          <w:lang w:val="en-US"/>
        </w:rPr>
        <w:t xml:space="preserve"> by regulation in terms of exposure to currency risk</w:t>
      </w:r>
      <w:r w:rsidR="00984B1A">
        <w:rPr>
          <w:lang w:val="en-US"/>
        </w:rPr>
        <w:t>.</w:t>
      </w:r>
    </w:p>
    <w:permEnd w:id="12191390"/>
    <w:p w14:paraId="1D468445" w14:textId="77777777" w:rsidR="00667FF6" w:rsidRDefault="00667FF6" w:rsidP="00667FF6">
      <w:r>
        <w:lastRenderedPageBreak/>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71921B97" w14:textId="77777777" w:rsidR="003C4CE1" w:rsidRDefault="003C4CE1" w:rsidP="003C4CE1">
      <w:pPr>
        <w:shd w:val="clear" w:color="auto" w:fill="FAFAFA"/>
        <w:spacing w:after="0" w:line="240" w:lineRule="auto"/>
        <w:jc w:val="left"/>
        <w:rPr>
          <w:lang w:val="en-US"/>
        </w:rPr>
      </w:pPr>
      <w:permStart w:id="1602386857" w:edGrp="everyone"/>
      <w:r w:rsidRPr="00B03358">
        <w:rPr>
          <w:lang w:val="en-US"/>
        </w:rPr>
        <w:t xml:space="preserve">The application of the ratio of </w:t>
      </w:r>
      <w:r>
        <w:rPr>
          <w:lang w:val="en-US"/>
        </w:rPr>
        <w:t>“</w:t>
      </w:r>
      <w:r w:rsidRPr="00B03358">
        <w:rPr>
          <w:lang w:val="en-US"/>
        </w:rPr>
        <w:t xml:space="preserve">other eligible </w:t>
      </w:r>
      <w:r>
        <w:rPr>
          <w:lang w:val="en-US"/>
        </w:rPr>
        <w:t xml:space="preserve">assets” limited to 10% </w:t>
      </w:r>
      <w:r w:rsidRPr="00B03358">
        <w:rPr>
          <w:lang w:val="en-US"/>
        </w:rPr>
        <w:t>does not seem to us to be uniform across the European Union.</w:t>
      </w:r>
    </w:p>
    <w:p w14:paraId="0D395A7B" w14:textId="77777777" w:rsidR="003C4CE1" w:rsidRPr="00B03358" w:rsidRDefault="003C4CE1" w:rsidP="003C4CE1">
      <w:pPr>
        <w:shd w:val="clear" w:color="auto" w:fill="FAFAFA"/>
        <w:spacing w:after="0" w:line="240" w:lineRule="auto"/>
        <w:jc w:val="left"/>
        <w:rPr>
          <w:lang w:val="en-US"/>
        </w:rPr>
      </w:pPr>
    </w:p>
    <w:p w14:paraId="6C50E671" w14:textId="77777777" w:rsidR="003C4CE1" w:rsidRPr="00D81950" w:rsidRDefault="003C4CE1" w:rsidP="003C4CE1">
      <w:pPr>
        <w:shd w:val="clear" w:color="auto" w:fill="FAFAFA"/>
        <w:spacing w:after="0" w:line="240" w:lineRule="auto"/>
        <w:jc w:val="left"/>
        <w:rPr>
          <w:lang w:val="en-US"/>
        </w:rPr>
      </w:pPr>
      <w:r w:rsidRPr="00D81950">
        <w:rPr>
          <w:lang w:val="en-US"/>
        </w:rPr>
        <w:t>France has literally transposed Article 50(2</w:t>
      </w:r>
      <w:proofErr w:type="gramStart"/>
      <w:r w:rsidRPr="00D81950">
        <w:rPr>
          <w:lang w:val="en-US"/>
        </w:rPr>
        <w:t>)(</w:t>
      </w:r>
      <w:proofErr w:type="gramEnd"/>
      <w:r w:rsidRPr="00D81950">
        <w:rPr>
          <w:lang w:val="en-US"/>
        </w:rPr>
        <w:t>a) of the UCITS Directive into national law.</w:t>
      </w:r>
    </w:p>
    <w:p w14:paraId="76A55B02" w14:textId="77777777" w:rsidR="003C4CE1" w:rsidRPr="00B03358" w:rsidRDefault="003C4CE1" w:rsidP="003C4CE1">
      <w:pPr>
        <w:shd w:val="clear" w:color="auto" w:fill="FAFAFA"/>
        <w:spacing w:after="0" w:line="240" w:lineRule="auto"/>
        <w:jc w:val="left"/>
        <w:rPr>
          <w:lang w:val="en-US"/>
        </w:rPr>
      </w:pPr>
      <w:r w:rsidRPr="00B03358">
        <w:rPr>
          <w:lang w:val="en-US"/>
        </w:rPr>
        <w:t xml:space="preserve">As a result, in theory, only eligible MMI and financial securities not traded on a regulated market </w:t>
      </w:r>
      <w:proofErr w:type="gramStart"/>
      <w:r w:rsidRPr="00DA2EEE">
        <w:rPr>
          <w:lang w:val="en-US"/>
        </w:rPr>
        <w:t>can</w:t>
      </w:r>
      <w:r w:rsidRPr="00B03358">
        <w:rPr>
          <w:lang w:val="en-US"/>
        </w:rPr>
        <w:t xml:space="preserve"> be held</w:t>
      </w:r>
      <w:proofErr w:type="gramEnd"/>
      <w:r w:rsidRPr="00B03358">
        <w:rPr>
          <w:lang w:val="en-US"/>
        </w:rPr>
        <w:t xml:space="preserve"> </w:t>
      </w:r>
      <w:r>
        <w:rPr>
          <w:lang w:val="en-US"/>
        </w:rPr>
        <w:t>in the assets of t</w:t>
      </w:r>
      <w:r w:rsidRPr="00B03358">
        <w:rPr>
          <w:lang w:val="en-US"/>
        </w:rPr>
        <w:t>he UCITS up to a limit of 10%.</w:t>
      </w:r>
    </w:p>
    <w:p w14:paraId="40A1538A" w14:textId="77777777" w:rsidR="003C4CE1" w:rsidRDefault="003C4CE1" w:rsidP="003C4CE1">
      <w:pPr>
        <w:shd w:val="clear" w:color="auto" w:fill="FAFAFA"/>
        <w:spacing w:after="0" w:line="240" w:lineRule="auto"/>
        <w:jc w:val="left"/>
        <w:rPr>
          <w:lang w:val="en-US"/>
        </w:rPr>
      </w:pPr>
      <w:r w:rsidRPr="00B03358">
        <w:rPr>
          <w:lang w:val="en-US"/>
        </w:rPr>
        <w:t xml:space="preserve">Any other value </w:t>
      </w:r>
      <w:proofErr w:type="gramStart"/>
      <w:r w:rsidRPr="00B03358">
        <w:rPr>
          <w:lang w:val="en-US"/>
        </w:rPr>
        <w:t>would not be allowed</w:t>
      </w:r>
      <w:proofErr w:type="gramEnd"/>
      <w:r w:rsidRPr="00B03358">
        <w:rPr>
          <w:lang w:val="en-US"/>
        </w:rPr>
        <w:t xml:space="preserve">, as it </w:t>
      </w:r>
      <w:r w:rsidRPr="003608E7">
        <w:rPr>
          <w:lang w:val="en-US"/>
        </w:rPr>
        <w:t>wou</w:t>
      </w:r>
      <w:r>
        <w:rPr>
          <w:lang w:val="en-US"/>
        </w:rPr>
        <w:t xml:space="preserve">ld not be </w:t>
      </w:r>
      <w:r w:rsidRPr="00B03358">
        <w:rPr>
          <w:lang w:val="en-US"/>
        </w:rPr>
        <w:t>eligible for the asset in the first place (e.g., unlisted shares or bonds).</w:t>
      </w:r>
      <w:r>
        <w:rPr>
          <w:lang w:val="en-US"/>
        </w:rPr>
        <w:t xml:space="preserve"> </w:t>
      </w:r>
      <w:r w:rsidRPr="00B03358">
        <w:rPr>
          <w:lang w:val="en-US"/>
        </w:rPr>
        <w:t xml:space="preserve">However, discussions have already taken place between the management companies and the depositories on the securities held in this ratio, particularly with regard to securities admitted to a </w:t>
      </w:r>
      <w:r w:rsidRPr="00E15ED8">
        <w:rPr>
          <w:lang w:val="en-US"/>
        </w:rPr>
        <w:t>tra</w:t>
      </w:r>
      <w:r>
        <w:rPr>
          <w:lang w:val="en-US"/>
        </w:rPr>
        <w:t>ded/</w:t>
      </w:r>
      <w:r w:rsidRPr="00B03358">
        <w:rPr>
          <w:lang w:val="en-US"/>
        </w:rPr>
        <w:t>negotiated market but with low transaction volumes.</w:t>
      </w:r>
    </w:p>
    <w:p w14:paraId="080E99B2" w14:textId="77777777" w:rsidR="003C4CE1" w:rsidRPr="00B03358" w:rsidRDefault="003C4CE1" w:rsidP="003C4CE1">
      <w:pPr>
        <w:shd w:val="clear" w:color="auto" w:fill="FAFAFA"/>
        <w:spacing w:after="0" w:line="240" w:lineRule="auto"/>
        <w:jc w:val="left"/>
        <w:rPr>
          <w:lang w:val="en-US"/>
        </w:rPr>
      </w:pPr>
    </w:p>
    <w:p w14:paraId="332AFCDC" w14:textId="77777777" w:rsidR="003C4CE1" w:rsidRPr="00B03358" w:rsidRDefault="003C4CE1" w:rsidP="003C4CE1">
      <w:pPr>
        <w:shd w:val="clear" w:color="auto" w:fill="FAFAFA"/>
        <w:spacing w:after="0" w:line="240" w:lineRule="auto"/>
        <w:jc w:val="left"/>
        <w:rPr>
          <w:lang w:val="en-US"/>
        </w:rPr>
      </w:pPr>
      <w:r w:rsidRPr="00B03358">
        <w:rPr>
          <w:lang w:val="en-US"/>
        </w:rPr>
        <w:t xml:space="preserve">This is </w:t>
      </w:r>
      <w:r w:rsidRPr="00877853">
        <w:rPr>
          <w:lang w:val="en-US"/>
        </w:rPr>
        <w:t>al</w:t>
      </w:r>
      <w:r>
        <w:rPr>
          <w:lang w:val="en-US"/>
        </w:rPr>
        <w:t xml:space="preserve">so </w:t>
      </w:r>
      <w:r w:rsidRPr="00B03358">
        <w:rPr>
          <w:lang w:val="en-US"/>
        </w:rPr>
        <w:t>the observation made by ESMA in public statement 34/43/880 concerning the CSA on monitoring the liquidity risk of UCITS published in 2021.</w:t>
      </w:r>
    </w:p>
    <w:p w14:paraId="13334A6F" w14:textId="77777777" w:rsidR="003C4CE1" w:rsidRDefault="003C4CE1" w:rsidP="003C4CE1">
      <w:pPr>
        <w:shd w:val="clear" w:color="auto" w:fill="FAFAFA"/>
        <w:spacing w:after="0" w:line="240" w:lineRule="auto"/>
        <w:jc w:val="left"/>
        <w:rPr>
          <w:lang w:val="en-US"/>
        </w:rPr>
      </w:pPr>
      <w:r w:rsidRPr="00B03358">
        <w:rPr>
          <w:lang w:val="en-US"/>
        </w:rPr>
        <w:t xml:space="preserve">Taking into account </w:t>
      </w:r>
      <w:r w:rsidRPr="00B464CD">
        <w:rPr>
          <w:lang w:val="en-US"/>
        </w:rPr>
        <w:t>th</w:t>
      </w:r>
      <w:r>
        <w:rPr>
          <w:lang w:val="en-US"/>
        </w:rPr>
        <w:t xml:space="preserve">e volumes of </w:t>
      </w:r>
      <w:r w:rsidRPr="00B03358">
        <w:rPr>
          <w:lang w:val="en-US"/>
        </w:rPr>
        <w:t>transaction</w:t>
      </w:r>
      <w:r>
        <w:rPr>
          <w:lang w:val="en-US"/>
        </w:rPr>
        <w:t>s</w:t>
      </w:r>
      <w:r w:rsidRPr="00B03358">
        <w:rPr>
          <w:lang w:val="en-US"/>
        </w:rPr>
        <w:t xml:space="preserve"> would make it possible to complete the assessment of the presumed liquidity of a security and thus its eligibility for the fund (see answer to question 5).</w:t>
      </w:r>
    </w:p>
    <w:p w14:paraId="31BB34E1" w14:textId="77777777" w:rsidR="003C4CE1" w:rsidRPr="00B03358" w:rsidRDefault="003C4CE1" w:rsidP="003C4CE1">
      <w:pPr>
        <w:shd w:val="clear" w:color="auto" w:fill="FAFAFA"/>
        <w:spacing w:after="0" w:line="240" w:lineRule="auto"/>
        <w:jc w:val="left"/>
        <w:rPr>
          <w:lang w:val="en-US"/>
        </w:rPr>
      </w:pPr>
    </w:p>
    <w:p w14:paraId="75E86A2F" w14:textId="77777777" w:rsidR="003C4CE1" w:rsidRPr="00B03358" w:rsidRDefault="003C4CE1" w:rsidP="003C4CE1">
      <w:pPr>
        <w:shd w:val="clear" w:color="auto" w:fill="FAFAFA"/>
        <w:spacing w:after="0" w:line="240" w:lineRule="auto"/>
        <w:jc w:val="left"/>
        <w:rPr>
          <w:lang w:val="en-US"/>
        </w:rPr>
      </w:pPr>
      <w:r w:rsidRPr="00B03358">
        <w:rPr>
          <w:lang w:val="en-US"/>
        </w:rPr>
        <w:t xml:space="preserve">Other countries seem to have </w:t>
      </w:r>
      <w:r w:rsidRPr="00BA5388">
        <w:rPr>
          <w:lang w:val="en-US"/>
        </w:rPr>
        <w:t>cho</w:t>
      </w:r>
      <w:r>
        <w:rPr>
          <w:lang w:val="en-US"/>
        </w:rPr>
        <w:t xml:space="preserve">sen a </w:t>
      </w:r>
      <w:r w:rsidRPr="00B03358">
        <w:rPr>
          <w:lang w:val="en-US"/>
        </w:rPr>
        <w:t xml:space="preserve">different approach by removing the concept of the “other eligible </w:t>
      </w:r>
      <w:r>
        <w:rPr>
          <w:lang w:val="en-US"/>
        </w:rPr>
        <w:t>assets</w:t>
      </w:r>
      <w:r w:rsidRPr="00B03358">
        <w:rPr>
          <w:lang w:val="en-US"/>
        </w:rPr>
        <w:t>” ratio in order to avoid any circumvention of the eligibility of assets under this limit of 10%.</w:t>
      </w:r>
      <w:r>
        <w:rPr>
          <w:lang w:val="en-US"/>
        </w:rPr>
        <w:t xml:space="preserve"> </w:t>
      </w:r>
      <w:r w:rsidRPr="00B03358">
        <w:rPr>
          <w:lang w:val="en-US"/>
        </w:rPr>
        <w:t>This is particularly the case for the CBI in Ireland or the AFM in the Netherlands.</w:t>
      </w:r>
    </w:p>
    <w:p w14:paraId="703E9418" w14:textId="77777777" w:rsidR="003C4CE1" w:rsidRPr="00B03358" w:rsidRDefault="003C4CE1" w:rsidP="003C4CE1">
      <w:pPr>
        <w:shd w:val="clear" w:color="auto" w:fill="FAFAFA"/>
        <w:spacing w:after="0" w:line="240" w:lineRule="auto"/>
        <w:jc w:val="left"/>
        <w:rPr>
          <w:lang w:val="en-US"/>
        </w:rPr>
      </w:pPr>
      <w:r w:rsidRPr="00B03358">
        <w:rPr>
          <w:lang w:val="en-US"/>
        </w:rPr>
        <w:t>It would therefore be appropriate (</w:t>
      </w:r>
      <w:proofErr w:type="spellStart"/>
      <w:r w:rsidRPr="00B03358">
        <w:rPr>
          <w:lang w:val="en-US"/>
        </w:rPr>
        <w:t>i</w:t>
      </w:r>
      <w:proofErr w:type="spellEnd"/>
      <w:r w:rsidRPr="00B03358">
        <w:rPr>
          <w:lang w:val="en-US"/>
        </w:rPr>
        <w:t xml:space="preserve">) to supplement the liquidity criteria and (ii) to specify whether, in the context of market practices or developments, securities other than those referred to exhaustively in Article 50(2)(a) could be held in the context of the </w:t>
      </w:r>
      <w:r>
        <w:rPr>
          <w:lang w:val="en-US"/>
        </w:rPr>
        <w:t xml:space="preserve">“other eligible assets ratio” </w:t>
      </w:r>
      <w:r w:rsidRPr="00B03358">
        <w:rPr>
          <w:lang w:val="en-US"/>
        </w:rPr>
        <w:t>(e.g., “solidarity securities”).</w:t>
      </w:r>
    </w:p>
    <w:p w14:paraId="3334222E" w14:textId="1D134332" w:rsidR="00667FF6" w:rsidRDefault="003C4CE1" w:rsidP="003C4CE1">
      <w:r w:rsidRPr="00B03358">
        <w:rPr>
          <w:lang w:val="en-US"/>
        </w:rPr>
        <w:t>This would make it possible to define clear rules for all EU actors, facilitate c</w:t>
      </w:r>
      <w:r>
        <w:rPr>
          <w:lang w:val="en-US"/>
        </w:rPr>
        <w:t>ontrols</w:t>
      </w:r>
      <w:r w:rsidRPr="00B03358">
        <w:rPr>
          <w:lang w:val="en-US"/>
        </w:rPr>
        <w:t xml:space="preserve"> and ensure a level playing field within the EU</w:t>
      </w:r>
      <w:r>
        <w:rPr>
          <w:lang w:val="en-US"/>
        </w:rPr>
        <w:t>.</w:t>
      </w:r>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lastRenderedPageBreak/>
        <w:t>&lt;ESMA_QUESTION_EADC_9&gt;</w:t>
      </w:r>
    </w:p>
    <w:p w14:paraId="7B6A3FF3" w14:textId="77777777" w:rsidR="00667FF6" w:rsidRDefault="00667FF6" w:rsidP="00667FF6">
      <w:permStart w:id="1226657538" w:edGrp="everyone"/>
      <w:r>
        <w:t>TYPE YOUR TEXT HERE</w:t>
      </w:r>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5298E784" w14:textId="3FDC7214" w:rsidR="00BD4948" w:rsidRPr="008D2ACE" w:rsidRDefault="00BD4948" w:rsidP="00BD4948">
      <w:pPr>
        <w:rPr>
          <w:rFonts w:ascii="Aptos" w:hAnsi="Aptos"/>
          <w:color w:val="auto"/>
          <w:lang w:val="en-US"/>
          <w14:ligatures w14:val="standardContextual"/>
        </w:rPr>
      </w:pPr>
      <w:permStart w:id="1286214635" w:edGrp="everyone"/>
      <w:proofErr w:type="gramStart"/>
      <w:r w:rsidRPr="008D2ACE">
        <w:rPr>
          <w:rFonts w:ascii="Arial" w:hAnsi="Arial" w:cs="Arial"/>
          <w:color w:val="auto"/>
          <w:lang w:val="en-US"/>
          <w14:ligatures w14:val="standardContextual"/>
        </w:rPr>
        <w:t>The UCITS EAD requires that reliable valuation processes of UCITS must be available (</w:t>
      </w:r>
      <w:proofErr w:type="spellStart"/>
      <w:r w:rsidRPr="008D2ACE">
        <w:rPr>
          <w:rFonts w:ascii="Arial" w:hAnsi="Arial" w:cs="Arial"/>
          <w:color w:val="auto"/>
          <w:lang w:val="en-US"/>
          <w14:ligatures w14:val="standardContextual"/>
        </w:rPr>
        <w:t>i</w:t>
      </w:r>
      <w:proofErr w:type="spellEnd"/>
      <w:r w:rsidRPr="008D2ACE">
        <w:rPr>
          <w:rFonts w:ascii="Arial" w:hAnsi="Arial" w:cs="Arial"/>
          <w:color w:val="auto"/>
          <w:lang w:val="en-US"/>
          <w14:ligatures w14:val="standardContextual"/>
        </w:rPr>
        <w:t>) for listed securities, through ‘</w:t>
      </w:r>
      <w:r w:rsidRPr="008D2ACE">
        <w:rPr>
          <w:rFonts w:ascii="Arial" w:hAnsi="Arial" w:cs="Arial"/>
          <w:i/>
          <w:iCs/>
          <w:color w:val="auto"/>
          <w:lang w:val="en-US"/>
          <w14:ligatures w14:val="standardContextual"/>
        </w:rPr>
        <w:t>accurate, reliable, and regular prices which are either market prices or prices made available by valuation systems</w:t>
      </w:r>
      <w:r w:rsidRPr="008D2ACE">
        <w:rPr>
          <w:rFonts w:ascii="Arial" w:hAnsi="Arial" w:cs="Arial"/>
          <w:color w:val="auto"/>
          <w:lang w:val="en-US"/>
          <w14:ligatures w14:val="standardContextual"/>
        </w:rPr>
        <w:t>’, and (ii) for other securities, through ‘</w:t>
      </w:r>
      <w:r w:rsidRPr="008D2ACE">
        <w:rPr>
          <w:rFonts w:ascii="Arial" w:hAnsi="Arial" w:cs="Arial"/>
          <w:i/>
          <w:iCs/>
          <w:color w:val="auto"/>
          <w:lang w:val="en-US"/>
          <w14:ligatures w14:val="standardContextual"/>
        </w:rPr>
        <w:t>a valuation on a periodic basis which is derived from information from the issuer of the security or from competent investment research’</w:t>
      </w:r>
      <w:r w:rsidRPr="008D2ACE">
        <w:rPr>
          <w:rFonts w:ascii="Arial" w:hAnsi="Arial" w:cs="Arial"/>
          <w:color w:val="auto"/>
          <w:lang w:val="en-US"/>
          <w14:ligatures w14:val="standardContextual"/>
        </w:rPr>
        <w:t>.</w:t>
      </w:r>
      <w:proofErr w:type="gramEnd"/>
      <w:r w:rsidRPr="008D2ACE">
        <w:rPr>
          <w:rFonts w:ascii="Arial" w:hAnsi="Arial" w:cs="Arial"/>
          <w:color w:val="auto"/>
          <w:lang w:val="en-US"/>
          <w14:ligatures w14:val="standardContextual"/>
        </w:rPr>
        <w:t xml:space="preserve"> From a fund administrator (FA) perspective, we </w:t>
      </w:r>
      <w:r w:rsidRPr="008D2ACE">
        <w:rPr>
          <w:rFonts w:ascii="Arial" w:hAnsi="Arial" w:cs="Arial"/>
          <w:color w:val="auto"/>
          <w:lang w:val="en-US"/>
          <w14:ligatures w14:val="standardContextual"/>
        </w:rPr>
        <w:lastRenderedPageBreak/>
        <w:t>carry out robust valuation processes, as a task delegated by our clients/UCITS funds. With regard to the interpretation and application of the criteria set out in the UCITS EAD, we face the following issues:</w:t>
      </w:r>
    </w:p>
    <w:p w14:paraId="4EF69F86" w14:textId="77777777" w:rsidR="00BD4948" w:rsidRPr="008D2ACE" w:rsidRDefault="00BD4948" w:rsidP="00BD4948">
      <w:pPr>
        <w:numPr>
          <w:ilvl w:val="0"/>
          <w:numId w:val="23"/>
        </w:numPr>
        <w:spacing w:after="0" w:line="240" w:lineRule="auto"/>
        <w:jc w:val="left"/>
        <w:rPr>
          <w:rFonts w:ascii="Calibri" w:hAnsi="Calibri"/>
          <w:color w:val="auto"/>
          <w:lang w:val="en-US"/>
          <w14:ligatures w14:val="standardContextual"/>
        </w:rPr>
      </w:pPr>
      <w:r w:rsidRPr="008D2ACE">
        <w:rPr>
          <w:rFonts w:ascii="Arial" w:hAnsi="Arial" w:cs="Arial"/>
          <w:color w:val="auto"/>
          <w:lang w:val="en-US"/>
          <w14:ligatures w14:val="standardContextual"/>
        </w:rPr>
        <w:t xml:space="preserve">As the interpretation and application of the </w:t>
      </w:r>
      <w:r w:rsidRPr="008D2ACE">
        <w:rPr>
          <w:rFonts w:ascii="Arial" w:hAnsi="Arial" w:cs="Arial"/>
          <w:b/>
          <w:bCs/>
          <w:color w:val="auto"/>
          <w:lang w:val="en-US"/>
          <w14:ligatures w14:val="standardContextual"/>
        </w:rPr>
        <w:t>‘reliability’ of the valuation/prices is left to Member States</w:t>
      </w:r>
      <w:r w:rsidRPr="008D2ACE">
        <w:rPr>
          <w:rFonts w:ascii="Arial" w:hAnsi="Arial" w:cs="Arial"/>
          <w:color w:val="auto"/>
          <w:lang w:val="en-US"/>
          <w14:ligatures w14:val="standardContextual"/>
        </w:rPr>
        <w:t>, there are large differences in the local requirements (and market practices) applicable to Fund Administrators/Management Companies as to the design and the risk management framework of the valuation, which could lead to</w:t>
      </w:r>
      <w:r w:rsidRPr="008D2ACE">
        <w:rPr>
          <w:rFonts w:ascii="Arial" w:hAnsi="Arial" w:cs="Arial"/>
          <w:b/>
          <w:bCs/>
          <w:color w:val="auto"/>
          <w:lang w:val="en-US"/>
          <w14:ligatures w14:val="standardContextual"/>
        </w:rPr>
        <w:t xml:space="preserve"> </w:t>
      </w:r>
      <w:proofErr w:type="spellStart"/>
      <w:r w:rsidRPr="008D2ACE">
        <w:rPr>
          <w:rFonts w:ascii="Arial" w:hAnsi="Arial" w:cs="Arial"/>
          <w:b/>
          <w:bCs/>
          <w:color w:val="auto"/>
          <w:lang w:val="en-US"/>
          <w14:ligatures w14:val="standardContextual"/>
        </w:rPr>
        <w:t>unlevel</w:t>
      </w:r>
      <w:proofErr w:type="spellEnd"/>
      <w:r w:rsidRPr="008D2ACE">
        <w:rPr>
          <w:rFonts w:ascii="Arial" w:hAnsi="Arial" w:cs="Arial"/>
          <w:b/>
          <w:bCs/>
          <w:color w:val="auto"/>
          <w:lang w:val="en-US"/>
          <w14:ligatures w14:val="standardContextual"/>
        </w:rPr>
        <w:t xml:space="preserve"> playing field</w:t>
      </w:r>
      <w:r w:rsidRPr="008D2ACE">
        <w:rPr>
          <w:rFonts w:ascii="Arial" w:hAnsi="Arial" w:cs="Arial"/>
          <w:color w:val="auto"/>
          <w:lang w:val="en-US"/>
          <w14:ligatures w14:val="standardContextual"/>
        </w:rPr>
        <w:t xml:space="preserve"> (depending on the Member State, and on the contract negotiated between Management Companies and FAs) </w:t>
      </w:r>
      <w:r w:rsidRPr="008D2ACE">
        <w:rPr>
          <w:rFonts w:ascii="Arial" w:hAnsi="Arial" w:cs="Arial"/>
          <w:b/>
          <w:bCs/>
          <w:color w:val="auto"/>
          <w:lang w:val="en-US"/>
          <w14:ligatures w14:val="standardContextual"/>
        </w:rPr>
        <w:t>and potential legal uncertainties</w:t>
      </w:r>
      <w:r w:rsidRPr="008D2ACE">
        <w:rPr>
          <w:rFonts w:ascii="Arial" w:hAnsi="Arial" w:cs="Arial"/>
          <w:color w:val="auto"/>
          <w:lang w:val="en-US"/>
          <w14:ligatures w14:val="standardContextual"/>
        </w:rPr>
        <w:t>;</w:t>
      </w:r>
    </w:p>
    <w:p w14:paraId="6652B916" w14:textId="77777777" w:rsidR="00BD4948" w:rsidRPr="008D2ACE" w:rsidRDefault="00BD4948" w:rsidP="00BD4948">
      <w:pPr>
        <w:ind w:left="780"/>
        <w:rPr>
          <w:color w:val="auto"/>
          <w:lang w:val="en-US"/>
          <w14:ligatures w14:val="standardContextual"/>
        </w:rPr>
      </w:pPr>
      <w:r w:rsidRPr="008D2ACE">
        <w:rPr>
          <w:rFonts w:ascii="Arial" w:hAnsi="Arial" w:cs="Arial"/>
          <w:color w:val="auto"/>
          <w:lang w:val="en-US"/>
          <w14:ligatures w14:val="standardContextual"/>
        </w:rPr>
        <w:t> </w:t>
      </w:r>
    </w:p>
    <w:p w14:paraId="0E935FEE" w14:textId="77777777" w:rsidR="00BD4948" w:rsidRPr="008D2ACE" w:rsidRDefault="00BD4948" w:rsidP="00BD4948">
      <w:pPr>
        <w:numPr>
          <w:ilvl w:val="0"/>
          <w:numId w:val="23"/>
        </w:numPr>
        <w:spacing w:after="0" w:line="240" w:lineRule="auto"/>
        <w:jc w:val="left"/>
        <w:rPr>
          <w:color w:val="auto"/>
          <w:lang w:val="en-US"/>
          <w14:ligatures w14:val="standardContextual"/>
        </w:rPr>
      </w:pPr>
      <w:r w:rsidRPr="008D2ACE">
        <w:rPr>
          <w:rFonts w:ascii="Arial" w:hAnsi="Arial" w:cs="Arial"/>
          <w:color w:val="auto"/>
          <w:lang w:val="en-US"/>
          <w14:ligatures w14:val="standardContextual"/>
        </w:rPr>
        <w:t xml:space="preserve">In </w:t>
      </w:r>
      <w:r w:rsidRPr="008D2ACE">
        <w:rPr>
          <w:rFonts w:ascii="Arial" w:hAnsi="Arial" w:cs="Arial"/>
          <w:b/>
          <w:bCs/>
          <w:color w:val="auto"/>
          <w:lang w:val="en-US"/>
          <w14:ligatures w14:val="standardContextual"/>
        </w:rPr>
        <w:t>specific events</w:t>
      </w:r>
      <w:r w:rsidRPr="008D2ACE">
        <w:rPr>
          <w:rFonts w:ascii="Arial" w:hAnsi="Arial" w:cs="Arial"/>
          <w:color w:val="auto"/>
          <w:lang w:val="en-US"/>
          <w14:ligatures w14:val="standardContextual"/>
        </w:rPr>
        <w:t xml:space="preserve"> (major and sudden geopolitical or market/credit events impacting listed and OTC financial instruments), </w:t>
      </w:r>
      <w:r w:rsidRPr="008D2ACE">
        <w:rPr>
          <w:rFonts w:ascii="Arial" w:hAnsi="Arial" w:cs="Arial"/>
          <w:b/>
          <w:bCs/>
          <w:color w:val="auto"/>
          <w:lang w:val="en-US"/>
          <w14:ligatures w14:val="standardContextual"/>
        </w:rPr>
        <w:t>the valuation of some assets is particularly challenging</w:t>
      </w:r>
      <w:r w:rsidRPr="008D2ACE">
        <w:rPr>
          <w:rFonts w:ascii="Arial" w:hAnsi="Arial" w:cs="Arial"/>
          <w:color w:val="auto"/>
          <w:lang w:val="en-US"/>
          <w14:ligatures w14:val="standardContextual"/>
        </w:rPr>
        <w:t xml:space="preserve"> as market data vendors do not take into account those events sufficiently quickly, making necessary for market actors (Management Companies, FA) to adapt their BAU valuation/pricing processes. As the UCITS EAD does not specifically refers to those situations, it is up to those actors to agree on specific procedures, leading </w:t>
      </w:r>
      <w:r w:rsidRPr="008D2ACE">
        <w:rPr>
          <w:rFonts w:ascii="Arial" w:hAnsi="Arial" w:cs="Arial"/>
          <w:b/>
          <w:bCs/>
          <w:color w:val="auto"/>
          <w:lang w:val="en-US"/>
          <w14:ligatures w14:val="standardContextual"/>
        </w:rPr>
        <w:t>to differences in investor protection</w:t>
      </w:r>
      <w:r w:rsidRPr="008D2ACE">
        <w:rPr>
          <w:rFonts w:ascii="Arial" w:hAnsi="Arial" w:cs="Arial"/>
          <w:color w:val="auto"/>
          <w:lang w:val="en-US"/>
          <w14:ligatures w14:val="standardContextual"/>
        </w:rPr>
        <w:t>.</w:t>
      </w:r>
    </w:p>
    <w:p w14:paraId="46D3E642" w14:textId="77777777" w:rsidR="00BD4948" w:rsidRPr="008D2ACE" w:rsidRDefault="00BD4948" w:rsidP="00BD4948">
      <w:pPr>
        <w:ind w:left="420"/>
        <w:rPr>
          <w:rFonts w:ascii="Aptos" w:hAnsi="Aptos"/>
          <w:color w:val="auto"/>
          <w:lang w:val="en-US"/>
          <w14:ligatures w14:val="standardContextual"/>
        </w:rPr>
      </w:pPr>
      <w:r w:rsidRPr="008D2ACE">
        <w:rPr>
          <w:rFonts w:ascii="Arial" w:hAnsi="Arial" w:cs="Arial"/>
          <w:color w:val="auto"/>
          <w:lang w:val="en-US"/>
          <w14:ligatures w14:val="standardContextual"/>
        </w:rPr>
        <w:t> </w:t>
      </w:r>
    </w:p>
    <w:p w14:paraId="4A353FAD" w14:textId="77777777" w:rsidR="00BD4948" w:rsidRPr="008D2ACE" w:rsidRDefault="00BD4948" w:rsidP="00BD4948">
      <w:pPr>
        <w:numPr>
          <w:ilvl w:val="0"/>
          <w:numId w:val="23"/>
        </w:numPr>
        <w:spacing w:after="0" w:line="240" w:lineRule="auto"/>
        <w:jc w:val="left"/>
        <w:rPr>
          <w:rFonts w:ascii="Calibri" w:hAnsi="Calibri"/>
          <w:color w:val="auto"/>
          <w:lang w:val="en-US"/>
          <w14:ligatures w14:val="standardContextual"/>
        </w:rPr>
      </w:pPr>
      <w:r w:rsidRPr="008D2ACE">
        <w:rPr>
          <w:rFonts w:ascii="Arial" w:hAnsi="Arial" w:cs="Arial"/>
          <w:color w:val="auto"/>
          <w:lang w:val="en-US"/>
          <w14:ligatures w14:val="standardContextual"/>
        </w:rPr>
        <w:t xml:space="preserve">The </w:t>
      </w:r>
      <w:r w:rsidRPr="008D2ACE">
        <w:rPr>
          <w:rFonts w:ascii="Arial" w:hAnsi="Arial" w:cs="Arial"/>
          <w:b/>
          <w:bCs/>
          <w:color w:val="auto"/>
          <w:lang w:val="en-US"/>
          <w14:ligatures w14:val="standardContextual"/>
        </w:rPr>
        <w:t xml:space="preserve">absence of reference to the delegation of valuation/pricing </w:t>
      </w:r>
      <w:r w:rsidRPr="008D2ACE">
        <w:rPr>
          <w:rFonts w:ascii="Arial" w:hAnsi="Arial" w:cs="Arial"/>
          <w:color w:val="auto"/>
          <w:lang w:val="en-US"/>
          <w14:ligatures w14:val="standardContextual"/>
        </w:rPr>
        <w:t>(to a FA) in the UCITS EAD may lead to a confusion of roles between the Management Company and the FA with regard to the design and the responsibility of the risk management framework and the valuation process.</w:t>
      </w:r>
    </w:p>
    <w:p w14:paraId="77D8B78C" w14:textId="77777777" w:rsidR="00BD4948" w:rsidRPr="008D2ACE" w:rsidRDefault="00BD4948" w:rsidP="00BD4948">
      <w:pPr>
        <w:rPr>
          <w:rFonts w:ascii="Aptos" w:hAnsi="Aptos"/>
          <w:color w:val="auto"/>
          <w:lang w:val="en-US"/>
          <w14:ligatures w14:val="standardContextual"/>
        </w:rPr>
      </w:pPr>
      <w:r w:rsidRPr="008D2ACE">
        <w:rPr>
          <w:rFonts w:ascii="Arial" w:hAnsi="Arial" w:cs="Arial"/>
          <w:color w:val="auto"/>
          <w:lang w:val="en-US"/>
          <w14:ligatures w14:val="standardContextual"/>
        </w:rPr>
        <w:t> </w:t>
      </w:r>
    </w:p>
    <w:p w14:paraId="50065EAF" w14:textId="77777777" w:rsidR="00BD4948" w:rsidRPr="008D2ACE" w:rsidRDefault="00BD4948" w:rsidP="00BD4948">
      <w:pPr>
        <w:rPr>
          <w:rFonts w:ascii="Aptos" w:hAnsi="Aptos"/>
          <w:color w:val="auto"/>
          <w:lang w:val="en-US"/>
          <w14:ligatures w14:val="standardContextual"/>
        </w:rPr>
      </w:pPr>
      <w:proofErr w:type="gramStart"/>
      <w:r w:rsidRPr="008D2ACE">
        <w:rPr>
          <w:rFonts w:ascii="Arial" w:hAnsi="Arial" w:cs="Arial"/>
          <w:color w:val="auto"/>
          <w:lang w:val="en-US"/>
          <w14:ligatures w14:val="standardContextual"/>
        </w:rPr>
        <w:lastRenderedPageBreak/>
        <w:t>On the basis of</w:t>
      </w:r>
      <w:proofErr w:type="gramEnd"/>
      <w:r w:rsidRPr="008D2ACE">
        <w:rPr>
          <w:rFonts w:ascii="Arial" w:hAnsi="Arial" w:cs="Arial"/>
          <w:color w:val="auto"/>
          <w:lang w:val="en-US"/>
          <w14:ligatures w14:val="standardContextual"/>
        </w:rPr>
        <w:t xml:space="preserve"> those identified issues, we propose the following amendments to the UCITS EAD to improve investor protection, clarity and supervisory convergence:</w:t>
      </w:r>
    </w:p>
    <w:p w14:paraId="1F6B3DE9" w14:textId="77777777" w:rsidR="00BD4948" w:rsidRPr="008D2ACE" w:rsidRDefault="00BD4948" w:rsidP="00BD4948">
      <w:pPr>
        <w:rPr>
          <w:rFonts w:ascii="Aptos" w:hAnsi="Aptos"/>
          <w:color w:val="auto"/>
          <w:lang w:val="en-US"/>
          <w14:ligatures w14:val="standardContextual"/>
        </w:rPr>
      </w:pPr>
      <w:r w:rsidRPr="008D2ACE">
        <w:rPr>
          <w:rFonts w:ascii="Arial" w:hAnsi="Arial" w:cs="Arial"/>
          <w:color w:val="auto"/>
          <w:lang w:val="en-US"/>
          <w14:ligatures w14:val="standardContextual"/>
        </w:rPr>
        <w:t xml:space="preserve"> - </w:t>
      </w:r>
      <w:r w:rsidRPr="008D2ACE">
        <w:rPr>
          <w:rFonts w:ascii="Arial" w:hAnsi="Arial" w:cs="Arial"/>
          <w:b/>
          <w:bCs/>
          <w:color w:val="auto"/>
          <w:lang w:val="en-US"/>
          <w14:ligatures w14:val="standardContextual"/>
        </w:rPr>
        <w:t>defining more granularly the concept of ‘reliability’</w:t>
      </w:r>
      <w:r w:rsidRPr="008D2ACE">
        <w:rPr>
          <w:rFonts w:ascii="Arial" w:hAnsi="Arial" w:cs="Arial"/>
          <w:color w:val="auto"/>
          <w:lang w:val="en-US"/>
          <w14:ligatures w14:val="standardContextual"/>
        </w:rPr>
        <w:t xml:space="preserve">: introducing in the UCITS EAD (or through technical standards/ ESMA guidelines) a minimal and </w:t>
      </w:r>
      <w:proofErr w:type="spellStart"/>
      <w:r w:rsidRPr="008D2ACE">
        <w:rPr>
          <w:rFonts w:ascii="Arial" w:hAnsi="Arial" w:cs="Arial"/>
          <w:color w:val="auto"/>
          <w:lang w:val="en-US"/>
          <w14:ligatures w14:val="standardContextual"/>
        </w:rPr>
        <w:t>harmonised</w:t>
      </w:r>
      <w:proofErr w:type="spellEnd"/>
      <w:r w:rsidRPr="008D2ACE">
        <w:rPr>
          <w:rFonts w:ascii="Arial" w:hAnsi="Arial" w:cs="Arial"/>
          <w:color w:val="auto"/>
          <w:lang w:val="en-US"/>
          <w14:ligatures w14:val="standardContextual"/>
        </w:rPr>
        <w:t xml:space="preserve"> set of oversight/requirements on valuation processes (including with references to cases when those valuation processes are delegated to FAs) to make them fully reliable. Those requirements may include:</w:t>
      </w:r>
    </w:p>
    <w:p w14:paraId="7032E16B" w14:textId="77777777" w:rsidR="00BD4948" w:rsidRPr="008D2ACE" w:rsidRDefault="00BD4948" w:rsidP="00BD4948">
      <w:pPr>
        <w:rPr>
          <w:rFonts w:ascii="Aptos" w:hAnsi="Aptos"/>
          <w:color w:val="auto"/>
          <w:lang w:val="en-US"/>
          <w14:ligatures w14:val="standardContextual"/>
        </w:rPr>
      </w:pPr>
      <w:r w:rsidRPr="008D2ACE">
        <w:rPr>
          <w:rFonts w:ascii="Arial" w:hAnsi="Arial" w:cs="Arial"/>
          <w:color w:val="auto"/>
          <w:lang w:val="en-US"/>
          <w14:ligatures w14:val="standardContextual"/>
        </w:rPr>
        <w:t xml:space="preserve">            &gt; </w:t>
      </w:r>
      <w:proofErr w:type="gramStart"/>
      <w:r w:rsidRPr="008D2ACE">
        <w:rPr>
          <w:rFonts w:ascii="Arial" w:hAnsi="Arial" w:cs="Arial"/>
          <w:color w:val="auto"/>
          <w:lang w:val="en-US"/>
          <w14:ligatures w14:val="standardContextual"/>
        </w:rPr>
        <w:t>a</w:t>
      </w:r>
      <w:proofErr w:type="gramEnd"/>
      <w:r w:rsidRPr="008D2ACE">
        <w:rPr>
          <w:rFonts w:ascii="Arial" w:hAnsi="Arial" w:cs="Arial"/>
          <w:color w:val="auto"/>
          <w:lang w:val="en-US"/>
          <w14:ligatures w14:val="standardContextual"/>
        </w:rPr>
        <w:t xml:space="preserve"> framework and a minimal frequency of oversight controls exercised by the Management Company on its FA at least once a year, </w:t>
      </w:r>
    </w:p>
    <w:p w14:paraId="6AFEB48A" w14:textId="77777777" w:rsidR="00BD4948" w:rsidRPr="008D2ACE" w:rsidRDefault="00BD4948" w:rsidP="00BD4948">
      <w:pPr>
        <w:rPr>
          <w:rFonts w:ascii="Aptos" w:hAnsi="Aptos"/>
          <w:color w:val="auto"/>
          <w:lang w:val="en-US"/>
          <w14:ligatures w14:val="standardContextual"/>
        </w:rPr>
      </w:pPr>
      <w:r w:rsidRPr="008D2ACE">
        <w:rPr>
          <w:rFonts w:ascii="Arial" w:hAnsi="Arial" w:cs="Arial"/>
          <w:color w:val="auto"/>
          <w:lang w:val="en-US"/>
          <w14:ligatures w14:val="standardContextual"/>
        </w:rPr>
        <w:t xml:space="preserve">            &gt; </w:t>
      </w:r>
      <w:proofErr w:type="gramStart"/>
      <w:r w:rsidRPr="008D2ACE">
        <w:rPr>
          <w:rFonts w:ascii="Arial" w:hAnsi="Arial" w:cs="Arial"/>
          <w:color w:val="auto"/>
          <w:lang w:val="en-US"/>
          <w14:ligatures w14:val="standardContextual"/>
        </w:rPr>
        <w:t>a</w:t>
      </w:r>
      <w:proofErr w:type="gramEnd"/>
      <w:r w:rsidRPr="008D2ACE">
        <w:rPr>
          <w:rFonts w:ascii="Arial" w:hAnsi="Arial" w:cs="Arial"/>
          <w:color w:val="auto"/>
          <w:lang w:val="en-US"/>
          <w14:ligatures w14:val="standardContextual"/>
        </w:rPr>
        <w:t xml:space="preserve"> granular description of the valuation/pricing process in BAU period and in specific events, relying on multiple market sources, when possible (for listed financial instruments),</w:t>
      </w:r>
    </w:p>
    <w:p w14:paraId="4860F6E9" w14:textId="77777777" w:rsidR="00BD4948" w:rsidRPr="008D2ACE" w:rsidRDefault="00BD4948" w:rsidP="00BD4948">
      <w:pPr>
        <w:rPr>
          <w:rFonts w:ascii="Aptos" w:hAnsi="Aptos"/>
          <w:color w:val="auto"/>
          <w:lang w:val="en-US"/>
          <w14:ligatures w14:val="standardContextual"/>
        </w:rPr>
      </w:pPr>
      <w:r w:rsidRPr="008D2ACE">
        <w:rPr>
          <w:rFonts w:ascii="Arial" w:hAnsi="Arial" w:cs="Arial"/>
          <w:color w:val="auto"/>
          <w:lang w:val="en-US"/>
          <w14:ligatures w14:val="standardContextual"/>
        </w:rPr>
        <w:t xml:space="preserve">            &gt; </w:t>
      </w:r>
      <w:proofErr w:type="gramStart"/>
      <w:r w:rsidRPr="008D2ACE">
        <w:rPr>
          <w:rFonts w:ascii="Arial" w:hAnsi="Arial" w:cs="Arial"/>
          <w:color w:val="auto"/>
          <w:lang w:val="en-US"/>
          <w14:ligatures w14:val="standardContextual"/>
        </w:rPr>
        <w:t>a</w:t>
      </w:r>
      <w:proofErr w:type="gramEnd"/>
      <w:r w:rsidRPr="008D2ACE">
        <w:rPr>
          <w:rFonts w:ascii="Arial" w:hAnsi="Arial" w:cs="Arial"/>
          <w:color w:val="auto"/>
          <w:lang w:val="en-US"/>
          <w14:ligatures w14:val="standardContextual"/>
        </w:rPr>
        <w:t xml:space="preserve"> granular description of the pricing process of OTC financial instruments, including a reference to the market price to be taken into account for valuation.</w:t>
      </w:r>
    </w:p>
    <w:p w14:paraId="0BA52450" w14:textId="6246E40A" w:rsidR="00667FF6" w:rsidRDefault="00BD4948" w:rsidP="00667FF6">
      <w:r w:rsidRPr="008D2ACE">
        <w:rPr>
          <w:rFonts w:ascii="Arial" w:hAnsi="Arial" w:cs="Arial"/>
          <w:color w:val="auto"/>
          <w:lang w:val="en-US"/>
          <w14:ligatures w14:val="standardContextual"/>
        </w:rPr>
        <w:t xml:space="preserve"> - </w:t>
      </w:r>
      <w:r w:rsidRPr="008D2ACE">
        <w:rPr>
          <w:rFonts w:ascii="Arial" w:hAnsi="Arial" w:cs="Arial"/>
          <w:b/>
          <w:bCs/>
          <w:color w:val="auto"/>
          <w:lang w:val="en-US"/>
          <w14:ligatures w14:val="standardContextual"/>
        </w:rPr>
        <w:t>clarifying that Management Companies are responsible for managing the risk</w:t>
      </w:r>
      <w:r w:rsidRPr="008D2ACE">
        <w:rPr>
          <w:rFonts w:ascii="Arial" w:hAnsi="Arial" w:cs="Arial"/>
          <w:color w:val="auto"/>
          <w:lang w:val="en-US"/>
          <w14:ligatures w14:val="standardContextual"/>
        </w:rPr>
        <w:t xml:space="preserve"> in relation of valuation/pricing, and that, when the Management Company choses to delegate the valuation to a FA, the contractual commitment between the Management Company and the FA is without prejudice to the fact the responsibility for the quality of the valuation process lies with the Management Company. The more responsibility and tools for controlling its FA </w:t>
      </w:r>
      <w:r w:rsidRPr="008D2ACE">
        <w:rPr>
          <w:rFonts w:ascii="Arial" w:hAnsi="Arial" w:cs="Arial"/>
          <w:color w:val="auto"/>
          <w:lang w:val="en-US"/>
          <w14:ligatures w14:val="standardContextual"/>
        </w:rPr>
        <w:lastRenderedPageBreak/>
        <w:t>the Management Companies would have, the less margin for interpretation (and thus, the less risk of legal uncertainty) there would be.</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0E3B2DB0" w14:textId="77777777" w:rsidR="00667FF6" w:rsidRDefault="00667FF6" w:rsidP="00667FF6">
      <w:permStart w:id="704664972" w:edGrp="everyone"/>
      <w:r>
        <w:t>TYPE YOUR TEXT HERE</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 xml:space="preserve">Is the concept of « embedded » derivatives set out in the UCITS EAD adequate and clear enough? Please describe any recurring or significant issues that you have observed with the interpretation or </w:t>
      </w:r>
      <w:r>
        <w:lastRenderedPageBreak/>
        <w:t>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0FFFCEC4" w14:textId="77777777" w:rsidR="00827749" w:rsidRDefault="00827749" w:rsidP="00827749">
      <w:pPr>
        <w:jc w:val="left"/>
        <w:rPr>
          <w:lang w:val="en-US"/>
        </w:rPr>
      </w:pPr>
      <w:permStart w:id="624035433" w:edGrp="everyone"/>
      <w:r w:rsidRPr="005905C5">
        <w:rPr>
          <w:lang w:val="en-US"/>
        </w:rPr>
        <w:t xml:space="preserve">The European texts are not complete and </w:t>
      </w:r>
      <w:proofErr w:type="gramStart"/>
      <w:r w:rsidRPr="005905C5">
        <w:rPr>
          <w:lang w:val="en-US"/>
        </w:rPr>
        <w:t>should be enriched</w:t>
      </w:r>
      <w:proofErr w:type="gramEnd"/>
      <w:r w:rsidRPr="005905C5">
        <w:rPr>
          <w:lang w:val="en-US"/>
        </w:rPr>
        <w:t xml:space="preserve"> like local regulations (see AMF doctrine 2012-19 - appendix 1).</w:t>
      </w:r>
    </w:p>
    <w:p w14:paraId="63ABE2D5" w14:textId="77777777" w:rsidR="00827749" w:rsidRPr="006268E1" w:rsidRDefault="00827749" w:rsidP="00827749">
      <w:pPr>
        <w:jc w:val="left"/>
        <w:rPr>
          <w:lang w:val="en-US"/>
        </w:rPr>
      </w:pPr>
      <w:r w:rsidRPr="006268E1">
        <w:rPr>
          <w:lang w:val="en-US"/>
        </w:rPr>
        <w:t xml:space="preserve">The historical nature of UCITS should not lead to risks </w:t>
      </w:r>
      <w:proofErr w:type="gramStart"/>
      <w:r w:rsidRPr="006268E1">
        <w:rPr>
          <w:lang w:val="en-US"/>
        </w:rPr>
        <w:t>being taken</w:t>
      </w:r>
      <w:proofErr w:type="gramEnd"/>
      <w:r w:rsidRPr="006268E1">
        <w:rPr>
          <w:lang w:val="en-US"/>
        </w:rPr>
        <w:t xml:space="preserve"> via complex </w:t>
      </w:r>
      <w:r>
        <w:rPr>
          <w:lang w:val="en-US"/>
        </w:rPr>
        <w:t>“</w:t>
      </w:r>
      <w:r w:rsidRPr="006268E1">
        <w:rPr>
          <w:lang w:val="en-US"/>
        </w:rPr>
        <w:t>em</w:t>
      </w:r>
      <w:r>
        <w:rPr>
          <w:lang w:val="en-US"/>
        </w:rPr>
        <w:t>bedded”</w:t>
      </w:r>
      <w:r w:rsidRPr="006268E1">
        <w:rPr>
          <w:lang w:val="en-US"/>
        </w:rPr>
        <w:t xml:space="preserve"> derivatives that are difficult to understand by the holder.</w:t>
      </w:r>
    </w:p>
    <w:p w14:paraId="259CC93E" w14:textId="19DE7E71" w:rsidR="00667FF6" w:rsidRPr="00B11FCF" w:rsidRDefault="00827749" w:rsidP="00667FF6">
      <w:pPr>
        <w:rPr>
          <w:lang w:val="en-US"/>
        </w:rPr>
      </w:pPr>
      <w:r w:rsidRPr="00BB57C2">
        <w:rPr>
          <w:lang w:val="en-US"/>
        </w:rPr>
        <w:t xml:space="preserve">One particular case regularly comes up: the classification of subscription rights. As a reminder, these instruments </w:t>
      </w:r>
      <w:proofErr w:type="gramStart"/>
      <w:r w:rsidRPr="00BB57C2">
        <w:rPr>
          <w:lang w:val="en-US"/>
        </w:rPr>
        <w:t>are generally freely obtained</w:t>
      </w:r>
      <w:proofErr w:type="gramEnd"/>
      <w:r w:rsidRPr="00BB57C2">
        <w:rPr>
          <w:lang w:val="en-US"/>
        </w:rPr>
        <w:t xml:space="preserve"> because ordinary shares are held in the fund portfolio. Quotes and/or transactions on the secondary market are usually low or unavailable. According to the definition of embedding derivatives securities in the UCITS directive, it is not clear whether subscription rights </w:t>
      </w:r>
      <w:proofErr w:type="gramStart"/>
      <w:r w:rsidRPr="00BB57C2">
        <w:rPr>
          <w:lang w:val="en-US"/>
        </w:rPr>
        <w:t>should be classified</w:t>
      </w:r>
      <w:proofErr w:type="gramEnd"/>
      <w:r w:rsidRPr="00BB57C2">
        <w:rPr>
          <w:lang w:val="en-US"/>
        </w:rPr>
        <w:t xml:space="preserve"> (a) as embedded derivatives securities (such as warrants) or (b) as equity-related securities (common stock). It would be helpful to clarify in which group they belong </w:t>
      </w:r>
      <w:proofErr w:type="gramStart"/>
      <w:r w:rsidRPr="00BB57C2">
        <w:rPr>
          <w:lang w:val="en-US"/>
        </w:rPr>
        <w:t>to</w:t>
      </w:r>
      <w:proofErr w:type="gramEnd"/>
      <w:r>
        <w:rPr>
          <w:lang w:val="en-US"/>
        </w:rPr>
        <w:t>.</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lastRenderedPageBreak/>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2A69F5E1" w14:textId="5810A99D" w:rsidR="00B11FCF" w:rsidRDefault="00B11FCF" w:rsidP="00B11FCF">
      <w:pPr>
        <w:rPr>
          <w:lang w:val="en-US"/>
        </w:rPr>
      </w:pPr>
      <w:permStart w:id="1487874619" w:edGrp="everyone"/>
      <w:r w:rsidRPr="005905C5">
        <w:rPr>
          <w:lang w:val="en-US"/>
        </w:rPr>
        <w:t xml:space="preserve">Financial instruments considered as 'delta one instruments' </w:t>
      </w:r>
      <w:proofErr w:type="gramStart"/>
      <w:r w:rsidRPr="005905C5">
        <w:rPr>
          <w:lang w:val="en-US"/>
        </w:rPr>
        <w:t>are not defined</w:t>
      </w:r>
      <w:proofErr w:type="gramEnd"/>
      <w:r w:rsidRPr="005905C5">
        <w:rPr>
          <w:lang w:val="en-US"/>
        </w:rPr>
        <w:t xml:space="preserve"> in the regulations. Instruments incorporating simple derivatives and considered as delta one remains a source of interpretation. For example, 'make whole call' bonds should be considered as securities integrating simple but delta </w:t>
      </w:r>
      <w:proofErr w:type="gramStart"/>
      <w:r w:rsidRPr="005905C5">
        <w:rPr>
          <w:lang w:val="en-US"/>
        </w:rPr>
        <w:t>one type</w:t>
      </w:r>
      <w:proofErr w:type="gramEnd"/>
      <w:r w:rsidRPr="005905C5">
        <w:rPr>
          <w:lang w:val="en-US"/>
        </w:rPr>
        <w:t xml:space="preserve"> derivatives, without leverage. </w:t>
      </w:r>
    </w:p>
    <w:p w14:paraId="0E557136" w14:textId="32BB5B1D" w:rsidR="00667FF6" w:rsidRDefault="00B11FCF" w:rsidP="00667FF6">
      <w:r w:rsidRPr="000F3E54">
        <w:rPr>
          <w:lang w:val="en-US"/>
        </w:rPr>
        <w:t xml:space="preserve">It would </w:t>
      </w:r>
      <w:r w:rsidRPr="005905C5">
        <w:rPr>
          <w:color w:val="auto"/>
          <w:lang w:val="en-US"/>
        </w:rPr>
        <w:t>be desirable to</w:t>
      </w:r>
      <w:r w:rsidRPr="000F3E54">
        <w:rPr>
          <w:lang w:val="en-US"/>
        </w:rPr>
        <w:t xml:space="preserve"> have a definition and/or classification criteria for these instruments (eligibility/associated risks).</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 xml:space="preserve">Have you observed any recurring or significant issues with the interpretation or consistent application of the rules on UCITS investments in other UCITS and alternative investment funds (AIFs)? In this </w:t>
      </w:r>
      <w:r>
        <w:lastRenderedPageBreak/>
        <w:t>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3D6D0453" w14:textId="10931133" w:rsidR="00667FF6" w:rsidRDefault="004943B1" w:rsidP="00667FF6">
      <w:permStart w:id="1362129429" w:edGrp="everyone"/>
      <w:r w:rsidRPr="006268E1">
        <w:rPr>
          <w:lang w:val="en-US"/>
        </w:rPr>
        <w:t>Depositaries are in favor of updating the 'open ended' and 'closed ended' terminologies following regulatory developments since 2007, notably AIFMD</w:t>
      </w:r>
      <w:r>
        <w:t>.</w:t>
      </w: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lastRenderedPageBreak/>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1974644F" w14:textId="1583F631" w:rsidR="00BF2B21" w:rsidRDefault="00BF2B21" w:rsidP="00BF2B21">
      <w:pPr>
        <w:rPr>
          <w:lang w:val="en-US"/>
        </w:rPr>
      </w:pPr>
      <w:permStart w:id="493775816" w:edGrp="everyone"/>
      <w:r w:rsidRPr="005905C5">
        <w:rPr>
          <w:lang w:val="en-US"/>
        </w:rPr>
        <w:t xml:space="preserve">Non-EU ETFs or ETCs must meet the criteria applied to UCITS to be eligible. However, we note a different application of the criteria used for eligibility depending on the member countries. Ex: Mono underlying ETC on gold, </w:t>
      </w:r>
      <w:proofErr w:type="spellStart"/>
      <w:r w:rsidR="0047014B">
        <w:rPr>
          <w:lang w:val="en-US"/>
        </w:rPr>
        <w:t>i</w:t>
      </w:r>
      <w:r w:rsidR="0047014B" w:rsidRPr="00750C73">
        <w:rPr>
          <w:lang w:val="en-US"/>
        </w:rPr>
        <w:t>Shares</w:t>
      </w:r>
      <w:proofErr w:type="spellEnd"/>
      <w:r w:rsidRPr="005905C5">
        <w:rPr>
          <w:lang w:val="en-US"/>
        </w:rPr>
        <w:t xml:space="preserve"> ETF US... prohibited in France and authorized in Luxembourg. The same would apply to US bitcoin ETFs (or other crypto assets). </w:t>
      </w:r>
    </w:p>
    <w:p w14:paraId="01944298" w14:textId="1CA3587D" w:rsidR="00667FF6" w:rsidRDefault="00BF2B21" w:rsidP="00BF2B21">
      <w:r w:rsidRPr="000F3E54">
        <w:rPr>
          <w:lang w:val="en-US"/>
        </w:rPr>
        <w:t xml:space="preserve">Homogenization on the application of this point would be </w:t>
      </w:r>
      <w:r>
        <w:rPr>
          <w:lang w:val="en-US"/>
        </w:rPr>
        <w:t>useful</w:t>
      </w:r>
      <w:r w:rsidRPr="005905C5">
        <w:rPr>
          <w:color w:val="auto"/>
          <w:lang w:val="en-US"/>
        </w:rPr>
        <w:t>.</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 xml:space="preserve">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w:t>
      </w:r>
      <w:r>
        <w:lastRenderedPageBreak/>
        <w:t>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4E6EC137" w14:textId="77777777" w:rsidR="00667FF6" w:rsidRDefault="00667FF6" w:rsidP="00667FF6">
      <w:permStart w:id="1032210024" w:edGrp="everyone"/>
      <w:r>
        <w:t>TYPE YOUR TEXT HERE</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A21A428" w14:textId="212158D7" w:rsidR="00667FF6" w:rsidRDefault="00716D7A" w:rsidP="00667FF6">
      <w:permStart w:id="589041498" w:edGrp="everyone"/>
      <w:r w:rsidRPr="00C549B6">
        <w:rPr>
          <w:lang w:val="en-US"/>
        </w:rPr>
        <w:t xml:space="preserve">The </w:t>
      </w:r>
      <w:r>
        <w:rPr>
          <w:lang w:val="en-US"/>
        </w:rPr>
        <w:t>EPM</w:t>
      </w:r>
      <w:r w:rsidRPr="00C549B6">
        <w:rPr>
          <w:lang w:val="en-US"/>
        </w:rPr>
        <w:t xml:space="preserve"> techniques defined by the EAD are broader than the operations defined by SFTR. We understand that the purpose of the EAD is to establish a general framework without limiting the transactions that enable </w:t>
      </w:r>
      <w:r>
        <w:rPr>
          <w:lang w:val="en-US"/>
        </w:rPr>
        <w:t>efficient</w:t>
      </w:r>
      <w:r w:rsidRPr="00C549B6">
        <w:rPr>
          <w:lang w:val="en-US"/>
        </w:rPr>
        <w:t xml:space="preserve"> portfolio management. Thus, reference </w:t>
      </w:r>
      <w:proofErr w:type="gramStart"/>
      <w:r w:rsidRPr="00C549B6">
        <w:rPr>
          <w:lang w:val="en-US"/>
        </w:rPr>
        <w:t>could be made</w:t>
      </w:r>
      <w:proofErr w:type="gramEnd"/>
      <w:r w:rsidRPr="00C549B6">
        <w:rPr>
          <w:lang w:val="en-US"/>
        </w:rPr>
        <w:t xml:space="preserve"> to the operations referred to by SFTR in Article 11 of the EAD, but without </w:t>
      </w:r>
      <w:r>
        <w:rPr>
          <w:lang w:val="en-US"/>
        </w:rPr>
        <w:t>limitation to other potential EPM techniques</w:t>
      </w:r>
      <w:r w:rsidRPr="00C549B6">
        <w:rPr>
          <w:lang w:val="en-US"/>
        </w:rPr>
        <w:t>.</w:t>
      </w:r>
    </w:p>
    <w:permEnd w:id="589041498"/>
    <w:p w14:paraId="47A34CC0" w14:textId="77777777" w:rsidR="00667FF6" w:rsidRDefault="00667FF6" w:rsidP="00667FF6">
      <w:r>
        <w:lastRenderedPageBreak/>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6CC62599" w14:textId="77777777" w:rsidR="005E3C62" w:rsidRDefault="005E3C62" w:rsidP="005E3C62">
      <w:pPr>
        <w:jc w:val="left"/>
        <w:rPr>
          <w:lang w:val="en-US"/>
        </w:rPr>
      </w:pPr>
      <w:permStart w:id="1158356501" w:edGrp="everyone"/>
      <w:r>
        <w:rPr>
          <w:lang w:val="en-US"/>
        </w:rPr>
        <w:t>The EAD should clarify the notion of Entity or Issuer, because in absence of clear definition, it can lead to different interpretation and no consistency between UCITS directive and other texts such as MMFR. It would be useful to have a clear definition with examples.</w:t>
      </w:r>
    </w:p>
    <w:p w14:paraId="089D4A7C" w14:textId="77777777" w:rsidR="005E3C62" w:rsidRDefault="005E3C62" w:rsidP="005E3C62">
      <w:pPr>
        <w:jc w:val="left"/>
        <w:rPr>
          <w:lang w:val="en-US"/>
        </w:rPr>
      </w:pPr>
      <w:r>
        <w:rPr>
          <w:lang w:val="en-US"/>
        </w:rPr>
        <w:t>For example, w</w:t>
      </w:r>
      <w:r w:rsidRPr="00121243">
        <w:rPr>
          <w:rFonts w:hint="eastAsia"/>
          <w:lang w:val="en-US"/>
        </w:rPr>
        <w:t>e note </w:t>
      </w:r>
      <w:r>
        <w:rPr>
          <w:lang w:val="en-US"/>
        </w:rPr>
        <w:t xml:space="preserve">drafting </w:t>
      </w:r>
      <w:r w:rsidRPr="00121243">
        <w:rPr>
          <w:rFonts w:hint="eastAsia"/>
          <w:lang w:val="en-US"/>
        </w:rPr>
        <w:t>differences </w:t>
      </w:r>
      <w:r>
        <w:rPr>
          <w:lang w:val="en-US"/>
        </w:rPr>
        <w:t>b</w:t>
      </w:r>
      <w:r w:rsidRPr="00121243">
        <w:rPr>
          <w:rFonts w:hint="eastAsia"/>
          <w:lang w:val="en-US"/>
        </w:rPr>
        <w:t>etween the Directive 2009/</w:t>
      </w:r>
      <w:r w:rsidRPr="00A252C0">
        <w:rPr>
          <w:lang w:val="en-US"/>
        </w:rPr>
        <w:t>65/</w:t>
      </w:r>
      <w:r w:rsidRPr="00121243">
        <w:rPr>
          <w:rFonts w:hint="eastAsia"/>
          <w:lang w:val="en-US"/>
        </w:rPr>
        <w:t>E</w:t>
      </w:r>
      <w:r>
        <w:rPr>
          <w:lang w:val="en-US"/>
        </w:rPr>
        <w:t>C</w:t>
      </w:r>
      <w:r w:rsidRPr="00121243">
        <w:rPr>
          <w:rFonts w:hint="eastAsia"/>
          <w:lang w:val="en-US"/>
        </w:rPr>
        <w:t xml:space="preserve"> </w:t>
      </w:r>
      <w:r>
        <w:rPr>
          <w:lang w:val="en-US"/>
        </w:rPr>
        <w:t>a</w:t>
      </w:r>
      <w:r w:rsidRPr="00121243">
        <w:rPr>
          <w:rFonts w:hint="eastAsia"/>
          <w:lang w:val="en-US"/>
        </w:rPr>
        <w:t>nd the French Monetary and Financial Code on risk division ratios (5-10/40</w:t>
      </w:r>
      <w:r w:rsidRPr="00121243">
        <w:rPr>
          <w:lang w:val="en-US"/>
        </w:rPr>
        <w:t>):</w:t>
      </w:r>
    </w:p>
    <w:p w14:paraId="153F19BE" w14:textId="77777777" w:rsidR="005E3C62" w:rsidRPr="00121243" w:rsidRDefault="005E3C62" w:rsidP="005E3C62">
      <w:pPr>
        <w:jc w:val="left"/>
        <w:rPr>
          <w:lang w:val="en-US"/>
        </w:rPr>
      </w:pPr>
      <w:r>
        <w:rPr>
          <w:lang w:val="en-US"/>
        </w:rPr>
        <w:t>*Art 52 Directive 2009/65/</w:t>
      </w:r>
      <w:r w:rsidRPr="00616A97">
        <w:rPr>
          <w:lang w:val="en-US"/>
        </w:rPr>
        <w:t>E</w:t>
      </w:r>
      <w:r>
        <w:rPr>
          <w:lang w:val="en-US"/>
        </w:rPr>
        <w:t>C</w:t>
      </w:r>
      <w:r w:rsidRPr="00616A97">
        <w:rPr>
          <w:lang w:val="en-US"/>
        </w:rPr>
        <w:t>: t</w:t>
      </w:r>
      <w:r w:rsidRPr="00121243">
        <w:rPr>
          <w:rFonts w:hint="eastAsia"/>
          <w:lang w:val="en-US"/>
        </w:rPr>
        <w:t>he limits of 5% and 10% </w:t>
      </w:r>
      <w:proofErr w:type="gramStart"/>
      <w:r>
        <w:rPr>
          <w:lang w:val="en-US"/>
        </w:rPr>
        <w:t xml:space="preserve">must </w:t>
      </w:r>
      <w:r w:rsidRPr="00121243">
        <w:rPr>
          <w:rFonts w:hint="eastAsia"/>
          <w:lang w:val="en-US"/>
        </w:rPr>
        <w:t>be checked</w:t>
      </w:r>
      <w:proofErr w:type="gramEnd"/>
      <w:r>
        <w:rPr>
          <w:lang w:val="en-US"/>
        </w:rPr>
        <w:t xml:space="preserve"> ‘</w:t>
      </w:r>
      <w:r w:rsidRPr="005905C5">
        <w:rPr>
          <w:b/>
          <w:lang w:val="en-US"/>
        </w:rPr>
        <w:t>by entity</w:t>
      </w:r>
      <w:r>
        <w:rPr>
          <w:b/>
          <w:lang w:val="en-US"/>
        </w:rPr>
        <w:t>’</w:t>
      </w:r>
      <w:r w:rsidRPr="00121243">
        <w:rPr>
          <w:rFonts w:hint="eastAsia"/>
          <w:lang w:val="en-US"/>
        </w:rPr>
        <w:t>. However, </w:t>
      </w:r>
      <w:proofErr w:type="gramStart"/>
      <w:r w:rsidRPr="00121243">
        <w:rPr>
          <w:rFonts w:hint="eastAsia"/>
          <w:lang w:val="en-US"/>
        </w:rPr>
        <w:t>the accumulation between 5% and 10% limited to 40% </w:t>
      </w:r>
      <w:r w:rsidRPr="00121243">
        <w:rPr>
          <w:lang w:val="en-US"/>
        </w:rPr>
        <w:t>must</w:t>
      </w:r>
      <w:r w:rsidRPr="00121243">
        <w:rPr>
          <w:rFonts w:hint="eastAsia"/>
          <w:lang w:val="en-US"/>
        </w:rPr>
        <w:t> be controlled </w:t>
      </w:r>
      <w:r w:rsidRPr="005905C5">
        <w:rPr>
          <w:b/>
          <w:lang w:val="en-US"/>
        </w:rPr>
        <w:t>by issuer</w:t>
      </w:r>
      <w:proofErr w:type="gramEnd"/>
      <w:r w:rsidRPr="00121243">
        <w:rPr>
          <w:rFonts w:hint="eastAsia"/>
          <w:lang w:val="en-US"/>
        </w:rPr>
        <w:t>.</w:t>
      </w:r>
    </w:p>
    <w:p w14:paraId="30CB4552" w14:textId="77777777" w:rsidR="005E3C62" w:rsidRPr="008A5C94" w:rsidRDefault="005E3C62" w:rsidP="005E3C62">
      <w:pPr>
        <w:jc w:val="left"/>
        <w:rPr>
          <w:lang w:val="en-US"/>
        </w:rPr>
      </w:pPr>
      <w:proofErr w:type="gramStart"/>
      <w:r w:rsidRPr="00121243">
        <w:rPr>
          <w:lang w:val="en-US"/>
        </w:rPr>
        <w:lastRenderedPageBreak/>
        <w:t xml:space="preserve">*Art R214-21 </w:t>
      </w:r>
      <w:r w:rsidRPr="00616A97">
        <w:rPr>
          <w:lang w:val="en-US"/>
        </w:rPr>
        <w:t>French </w:t>
      </w:r>
      <w:r w:rsidRPr="008E3D27">
        <w:rPr>
          <w:lang w:val="en-US"/>
        </w:rPr>
        <w:t>Monetary and Financial Code:</w:t>
      </w:r>
      <w:r w:rsidRPr="00121243">
        <w:rPr>
          <w:lang w:val="en-US"/>
        </w:rPr>
        <w:t xml:space="preserve"> </w:t>
      </w:r>
      <w:r w:rsidRPr="00121243">
        <w:rPr>
          <w:rFonts w:hint="eastAsia"/>
          <w:lang w:val="en-US"/>
        </w:rPr>
        <w:t>All limits of 5-10-40 </w:t>
      </w:r>
      <w:r w:rsidRPr="00121243">
        <w:rPr>
          <w:lang w:val="en-US"/>
        </w:rPr>
        <w:t>must</w:t>
      </w:r>
      <w:r w:rsidRPr="00121243">
        <w:rPr>
          <w:rFonts w:hint="eastAsia"/>
          <w:lang w:val="en-US"/>
        </w:rPr>
        <w:t> be controlled </w:t>
      </w:r>
      <w:r w:rsidRPr="005905C5">
        <w:rPr>
          <w:b/>
          <w:color w:val="auto"/>
          <w:lang w:val="en-US"/>
        </w:rPr>
        <w:t>by issuer</w:t>
      </w:r>
      <w:proofErr w:type="gramEnd"/>
      <w:r>
        <w:rPr>
          <w:b/>
          <w:color w:val="auto"/>
          <w:lang w:val="en-US"/>
        </w:rPr>
        <w:t xml:space="preserve">. </w:t>
      </w:r>
      <w:r w:rsidRPr="005905C5">
        <w:rPr>
          <w:color w:val="auto"/>
          <w:lang w:val="en-US"/>
        </w:rPr>
        <w:t xml:space="preserve">There is no </w:t>
      </w:r>
      <w:r>
        <w:rPr>
          <w:color w:val="auto"/>
          <w:lang w:val="en-US"/>
        </w:rPr>
        <w:t xml:space="preserve">specific </w:t>
      </w:r>
      <w:r w:rsidRPr="005905C5">
        <w:rPr>
          <w:color w:val="auto"/>
          <w:lang w:val="en-US"/>
        </w:rPr>
        <w:t>reference made to entity</w:t>
      </w:r>
      <w:r>
        <w:rPr>
          <w:color w:val="auto"/>
          <w:lang w:val="en-US"/>
        </w:rPr>
        <w:t>.</w:t>
      </w:r>
    </w:p>
    <w:p w14:paraId="012F3695" w14:textId="77777777" w:rsidR="005E3C62" w:rsidRPr="002570B5" w:rsidRDefault="005E3C62" w:rsidP="005E3C62">
      <w:pPr>
        <w:rPr>
          <w:lang w:val="en-US"/>
        </w:rPr>
      </w:pPr>
      <w:r>
        <w:rPr>
          <w:lang w:val="en-US"/>
        </w:rPr>
        <w:t>Other c</w:t>
      </w:r>
      <w:r w:rsidRPr="000F3E54">
        <w:rPr>
          <w:lang w:val="en-US"/>
        </w:rPr>
        <w:t xml:space="preserve">larification to </w:t>
      </w:r>
      <w:proofErr w:type="gramStart"/>
      <w:r w:rsidRPr="000F3E54">
        <w:rPr>
          <w:lang w:val="en-US"/>
        </w:rPr>
        <w:t>be made</w:t>
      </w:r>
      <w:proofErr w:type="gramEnd"/>
      <w:r w:rsidRPr="000F3E54">
        <w:rPr>
          <w:lang w:val="en-US"/>
        </w:rPr>
        <w:t xml:space="preserve"> on the notion of Issuer / Entity </w:t>
      </w:r>
      <w:r>
        <w:rPr>
          <w:lang w:val="en-US"/>
        </w:rPr>
        <w:t>in</w:t>
      </w:r>
      <w:r w:rsidRPr="000F3E54">
        <w:rPr>
          <w:lang w:val="en-US"/>
        </w:rPr>
        <w:t xml:space="preserve"> MMF</w:t>
      </w:r>
      <w:r>
        <w:rPr>
          <w:lang w:val="en-US"/>
        </w:rPr>
        <w:t xml:space="preserve">R:  </w:t>
      </w:r>
      <w:r w:rsidRPr="002570B5">
        <w:rPr>
          <w:lang w:val="en-US"/>
        </w:rPr>
        <w:t xml:space="preserve">Article 56 of the UCITS Directive introduces the notion of "issuer” concentration, referring to the company that issued the security. Subsequently, article 18 of the MMF regulation seems to reuse the concentration notion, but this time we find the term "entity" which differs from "issuer". The fund industry usually defines the term "entity" as a combination of issuers belonging to the same group. Therefore, Money market funds that are UCITS </w:t>
      </w:r>
      <w:r>
        <w:rPr>
          <w:lang w:val="en-US"/>
        </w:rPr>
        <w:t xml:space="preserve">could </w:t>
      </w:r>
      <w:r w:rsidRPr="002570B5">
        <w:rPr>
          <w:lang w:val="en-US"/>
        </w:rPr>
        <w:t>have to comply with two concentration ratios: the first coming from the UCITS Directive, and the second from the MMF regulation. Will the two concentration notions converge in the next UCITS or MMF review?</w:t>
      </w:r>
    </w:p>
    <w:p w14:paraId="1396FB8B" w14:textId="7B4E8DDF" w:rsidR="00667FF6" w:rsidRDefault="005E3C62" w:rsidP="00667FF6">
      <w:r w:rsidRPr="000F3E54">
        <w:rPr>
          <w:lang w:val="en-US"/>
        </w:rPr>
        <w:t xml:space="preserve">Another difference </w:t>
      </w:r>
      <w:proofErr w:type="gramStart"/>
      <w:r w:rsidRPr="000F3E54">
        <w:rPr>
          <w:lang w:val="en-US"/>
        </w:rPr>
        <w:t>identified:</w:t>
      </w:r>
      <w:proofErr w:type="gramEnd"/>
      <w:r w:rsidRPr="000F3E54">
        <w:rPr>
          <w:lang w:val="en-US"/>
        </w:rPr>
        <w:t xml:space="preserve"> the division of risks on guaranteed issuers for MMFs. The 35% limit per issuer does not </w:t>
      </w:r>
      <w:proofErr w:type="gramStart"/>
      <w:r w:rsidRPr="000F3E54">
        <w:rPr>
          <w:lang w:val="en-US"/>
        </w:rPr>
        <w:t>exist,</w:t>
      </w:r>
      <w:proofErr w:type="gramEnd"/>
      <w:r w:rsidRPr="000F3E54">
        <w:rPr>
          <w:lang w:val="en-US"/>
        </w:rPr>
        <w:t xml:space="preserve"> the 30% limit systematically applies provided </w:t>
      </w:r>
      <w:r>
        <w:rPr>
          <w:lang w:val="en-US"/>
        </w:rPr>
        <w:t>there is a minimum of</w:t>
      </w:r>
      <w:r w:rsidRPr="000F3E54">
        <w:rPr>
          <w:lang w:val="en-US"/>
        </w:rPr>
        <w:t xml:space="preserve"> 6 emissions</w:t>
      </w:r>
      <w:r>
        <w:rPr>
          <w:lang w:val="en-US"/>
        </w:rPr>
        <w:t xml:space="preserve"> (of the same country in France)</w:t>
      </w:r>
      <w:r w:rsidRPr="000F3E54">
        <w:rPr>
          <w:lang w:val="en-US"/>
        </w:rPr>
        <w:t>. Issuers guaranteed for MMFs therefore follow the same constraints as corporate bonds and do not benefit from the intermediate limit of 35% for UCITS.</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lastRenderedPageBreak/>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2634D0F9" w14:textId="77777777" w:rsidR="004A1C84" w:rsidRPr="00164A9A" w:rsidRDefault="004A1C84" w:rsidP="004A1C84">
      <w:pPr>
        <w:rPr>
          <w:rStyle w:val="systrantokenbase"/>
          <w:rFonts w:cstheme="minorHAnsi"/>
          <w:color w:val="000000"/>
          <w:szCs w:val="22"/>
          <w:shd w:val="clear" w:color="auto" w:fill="FFFFFF"/>
          <w:lang w:val="en"/>
        </w:rPr>
      </w:pPr>
      <w:permStart w:id="784558918" w:edGrp="everyone"/>
      <w:r>
        <w:rPr>
          <w:rStyle w:val="systrantokenbase"/>
          <w:rFonts w:cstheme="minorHAnsi"/>
          <w:color w:val="000000"/>
          <w:szCs w:val="22"/>
          <w:shd w:val="clear" w:color="auto" w:fill="FFFFFF"/>
          <w:lang w:val="en"/>
        </w:rPr>
        <w:t>NCAs</w:t>
      </w:r>
      <w:r w:rsidRPr="00164A9A">
        <w:rPr>
          <w:rStyle w:val="systrantokenbase"/>
          <w:rFonts w:cstheme="minorHAnsi"/>
          <w:color w:val="000000"/>
          <w:szCs w:val="22"/>
          <w:shd w:val="clear" w:color="auto" w:fill="FFFFFF"/>
          <w:lang w:val="en"/>
        </w:rPr>
        <w:t xml:space="preserve"> have been able to define national doctrines, on various subjects, to answer stakeholders' questions and to guide them. This in itself does not constitute a desire to </w:t>
      </w:r>
      <w:r>
        <w:rPr>
          <w:rStyle w:val="systrantokenbase"/>
          <w:rFonts w:cstheme="minorHAnsi"/>
          <w:color w:val="000000"/>
          <w:szCs w:val="22"/>
          <w:shd w:val="clear" w:color="auto" w:fill="FFFFFF"/>
          <w:lang w:val="en"/>
        </w:rPr>
        <w:t xml:space="preserve">make </w:t>
      </w:r>
      <w:proofErr w:type="gramStart"/>
      <w:r>
        <w:rPr>
          <w:rStyle w:val="systrantokenbase"/>
          <w:rFonts w:cstheme="minorHAnsi"/>
          <w:color w:val="000000"/>
          <w:szCs w:val="22"/>
          <w:shd w:val="clear" w:color="auto" w:fill="FFFFFF"/>
          <w:lang w:val="en"/>
        </w:rPr>
        <w:t>gold-plating</w:t>
      </w:r>
      <w:proofErr w:type="gramEnd"/>
      <w:r w:rsidRPr="00164A9A">
        <w:rPr>
          <w:rStyle w:val="systrantokenbase"/>
          <w:rFonts w:cstheme="minorHAnsi"/>
          <w:color w:val="000000"/>
          <w:szCs w:val="22"/>
          <w:shd w:val="clear" w:color="auto" w:fill="FFFFFF"/>
          <w:lang w:val="en"/>
        </w:rPr>
        <w:t xml:space="preserve"> but the need to clarify a rule that is insufficiently defined at the level of the directive.</w:t>
      </w:r>
    </w:p>
    <w:p w14:paraId="5341B6A0" w14:textId="77777777" w:rsidR="004A1C84" w:rsidRPr="00164A9A" w:rsidRDefault="004A1C84" w:rsidP="004A1C84">
      <w:pPr>
        <w:rPr>
          <w:rStyle w:val="systrantokenbase"/>
          <w:rFonts w:cstheme="minorHAnsi"/>
          <w:color w:val="000000"/>
          <w:szCs w:val="22"/>
          <w:shd w:val="clear" w:color="auto" w:fill="FFFFFF"/>
          <w:lang w:val="en"/>
        </w:rPr>
      </w:pPr>
      <w:r w:rsidRPr="00164A9A">
        <w:rPr>
          <w:rStyle w:val="systrantokenbase"/>
          <w:rFonts w:cstheme="minorHAnsi"/>
          <w:color w:val="000000"/>
          <w:szCs w:val="22"/>
          <w:shd w:val="clear" w:color="auto" w:fill="FFFFFF"/>
          <w:lang w:val="en"/>
        </w:rPr>
        <w:t xml:space="preserve">For example, the AMF 2012-19 doctrine provides elements to take into account for: </w:t>
      </w:r>
    </w:p>
    <w:p w14:paraId="1B07ED9F" w14:textId="77777777" w:rsidR="004A1C84" w:rsidRPr="00164A9A" w:rsidRDefault="004A1C84" w:rsidP="004A1C84">
      <w:pPr>
        <w:rPr>
          <w:rStyle w:val="systrantokenbase"/>
          <w:rFonts w:cstheme="minorHAnsi"/>
          <w:color w:val="000000"/>
          <w:szCs w:val="22"/>
          <w:shd w:val="clear" w:color="auto" w:fill="FFFFFF"/>
          <w:lang w:val="en"/>
        </w:rPr>
      </w:pPr>
      <w:r w:rsidRPr="00164A9A">
        <w:rPr>
          <w:rStyle w:val="systrantokenbase"/>
          <w:rFonts w:cstheme="minorHAnsi"/>
          <w:color w:val="000000"/>
          <w:szCs w:val="22"/>
          <w:shd w:val="clear" w:color="auto" w:fill="FFFFFF"/>
          <w:lang w:val="en"/>
        </w:rPr>
        <w:t xml:space="preserve">- Justify the presumption of the liquidity of an asset concerning securities traded on markets with reduced liquidity, Euronext Growth for example </w:t>
      </w:r>
    </w:p>
    <w:p w14:paraId="1A33A9E8" w14:textId="77777777" w:rsidR="004A1C84" w:rsidRPr="00164A9A" w:rsidRDefault="004A1C84" w:rsidP="004A1C84">
      <w:pPr>
        <w:rPr>
          <w:rStyle w:val="systrantokenbase"/>
          <w:rFonts w:cstheme="minorHAnsi"/>
          <w:color w:val="000000"/>
          <w:szCs w:val="22"/>
          <w:shd w:val="clear" w:color="auto" w:fill="FFFFFF"/>
          <w:lang w:val="en"/>
        </w:rPr>
      </w:pPr>
      <w:r w:rsidRPr="00164A9A">
        <w:rPr>
          <w:rStyle w:val="systrantokenbase"/>
          <w:rFonts w:cstheme="minorHAnsi"/>
          <w:color w:val="000000"/>
          <w:szCs w:val="22"/>
          <w:shd w:val="clear" w:color="auto" w:fill="FFFFFF"/>
          <w:lang w:val="en"/>
        </w:rPr>
        <w:t>- Determine the additional due diligence or points of attention to be taken into account when an asset manager wishes to invest in Cat bonds, Cocos or even certain securitization vehicles presenting high levels of sophistication such as Collateralized Debt Obligations)</w:t>
      </w:r>
    </w:p>
    <w:p w14:paraId="4B09E526" w14:textId="77777777" w:rsidR="004A1C84" w:rsidRPr="00164A9A" w:rsidRDefault="004A1C84" w:rsidP="004A1C84">
      <w:pPr>
        <w:rPr>
          <w:rStyle w:val="systrantokenbase"/>
          <w:rFonts w:cstheme="minorHAnsi"/>
          <w:color w:val="000000"/>
          <w:szCs w:val="22"/>
          <w:shd w:val="clear" w:color="auto" w:fill="FFFFFF"/>
          <w:lang w:val="en"/>
        </w:rPr>
      </w:pPr>
      <w:proofErr w:type="gramStart"/>
      <w:r w:rsidRPr="00164A9A">
        <w:rPr>
          <w:rStyle w:val="systrantokenbase"/>
          <w:rFonts w:cstheme="minorHAnsi"/>
          <w:color w:val="000000"/>
          <w:szCs w:val="22"/>
          <w:shd w:val="clear" w:color="auto" w:fill="FFFFFF"/>
          <w:lang w:val="en"/>
        </w:rPr>
        <w:t xml:space="preserve">While this makes it possible to clarify certain key notions, it also means that each regulator interprets the text according to its risk-based approach to protect investors, which can lead to an inconsistent application of the rules </w:t>
      </w:r>
      <w:r w:rsidRPr="00164A9A">
        <w:rPr>
          <w:rStyle w:val="systrantokenbase"/>
          <w:rFonts w:cstheme="minorHAnsi"/>
          <w:color w:val="000000"/>
          <w:szCs w:val="22"/>
          <w:shd w:val="clear" w:color="auto" w:fill="FFFFFF"/>
          <w:lang w:val="en"/>
        </w:rPr>
        <w:lastRenderedPageBreak/>
        <w:t xml:space="preserve">(holding of ETCs indexed to </w:t>
      </w:r>
      <w:r>
        <w:rPr>
          <w:rStyle w:val="systrantokenbase"/>
          <w:rFonts w:cstheme="minorHAnsi"/>
          <w:color w:val="000000"/>
          <w:szCs w:val="22"/>
          <w:shd w:val="clear" w:color="auto" w:fill="FFFFFF"/>
          <w:lang w:val="en"/>
        </w:rPr>
        <w:t>gold</w:t>
      </w:r>
      <w:r w:rsidRPr="00164A9A">
        <w:rPr>
          <w:rStyle w:val="systrantokenbase"/>
          <w:rFonts w:cstheme="minorHAnsi"/>
          <w:color w:val="000000"/>
          <w:szCs w:val="22"/>
          <w:shd w:val="clear" w:color="auto" w:fill="FFFFFF"/>
          <w:lang w:val="en"/>
        </w:rPr>
        <w:t xml:space="preserve"> possible in certain member states, for example in Luxembourg and not in </w:t>
      </w:r>
      <w:r>
        <w:rPr>
          <w:rStyle w:val="systrantokenbase"/>
          <w:rFonts w:cstheme="minorHAnsi"/>
          <w:color w:val="000000"/>
          <w:szCs w:val="22"/>
          <w:shd w:val="clear" w:color="auto" w:fill="FFFFFF"/>
          <w:lang w:val="en"/>
        </w:rPr>
        <w:t>France</w:t>
      </w:r>
      <w:r w:rsidRPr="00164A9A">
        <w:rPr>
          <w:rStyle w:val="systrantokenbase"/>
          <w:rFonts w:cstheme="minorHAnsi"/>
          <w:color w:val="000000"/>
          <w:szCs w:val="22"/>
          <w:shd w:val="clear" w:color="auto" w:fill="FFFFFF"/>
          <w:lang w:val="en"/>
        </w:rPr>
        <w:t xml:space="preserve">) and ultimately </w:t>
      </w:r>
      <w:r>
        <w:rPr>
          <w:rStyle w:val="systrantokenbase"/>
          <w:rFonts w:cstheme="minorHAnsi"/>
          <w:color w:val="000000"/>
          <w:szCs w:val="22"/>
          <w:shd w:val="clear" w:color="auto" w:fill="FFFFFF"/>
          <w:lang w:val="en"/>
        </w:rPr>
        <w:t xml:space="preserve">lead </w:t>
      </w:r>
      <w:r w:rsidRPr="00164A9A">
        <w:rPr>
          <w:rStyle w:val="systrantokenbase"/>
          <w:rFonts w:cstheme="minorHAnsi"/>
          <w:color w:val="000000"/>
          <w:szCs w:val="22"/>
          <w:shd w:val="clear" w:color="auto" w:fill="FFFFFF"/>
          <w:lang w:val="en"/>
        </w:rPr>
        <w:t>to divergences in terms of supervision.</w:t>
      </w:r>
      <w:proofErr w:type="gramEnd"/>
    </w:p>
    <w:p w14:paraId="55A8C1AA" w14:textId="77777777" w:rsidR="004A1C84" w:rsidRPr="00164A9A" w:rsidRDefault="004A1C84" w:rsidP="004A1C84">
      <w:pPr>
        <w:rPr>
          <w:rStyle w:val="systrantokenbase"/>
          <w:rFonts w:cstheme="minorHAnsi"/>
          <w:color w:val="000000"/>
          <w:szCs w:val="22"/>
          <w:shd w:val="clear" w:color="auto" w:fill="FFFFFF"/>
          <w:lang w:val="en"/>
        </w:rPr>
      </w:pPr>
      <w:r w:rsidRPr="00164A9A">
        <w:rPr>
          <w:rStyle w:val="systrantokenbase"/>
          <w:rFonts w:cstheme="minorHAnsi"/>
          <w:color w:val="000000"/>
          <w:szCs w:val="22"/>
          <w:shd w:val="clear" w:color="auto" w:fill="FFFFFF"/>
          <w:lang w:val="en"/>
        </w:rPr>
        <w:t xml:space="preserve">As part of its assessment, ESMA should retain the most favorable approaches to investor protection (e.g., AMF doctrine on Cat bonds, Cocos) in order to make them a European standard. </w:t>
      </w:r>
      <w:proofErr w:type="gramStart"/>
      <w:r w:rsidRPr="00164A9A">
        <w:rPr>
          <w:rStyle w:val="systrantokenbase"/>
          <w:rFonts w:cstheme="minorHAnsi"/>
          <w:color w:val="000000"/>
          <w:szCs w:val="22"/>
          <w:shd w:val="clear" w:color="auto" w:fill="FFFFFF"/>
          <w:lang w:val="en"/>
        </w:rPr>
        <w:t>Generally speaking, a</w:t>
      </w:r>
      <w:proofErr w:type="gramEnd"/>
      <w:r w:rsidRPr="00164A9A">
        <w:rPr>
          <w:rStyle w:val="systrantokenbase"/>
          <w:rFonts w:cstheme="minorHAnsi"/>
          <w:color w:val="000000"/>
          <w:szCs w:val="22"/>
          <w:shd w:val="clear" w:color="auto" w:fill="FFFFFF"/>
          <w:lang w:val="en"/>
        </w:rPr>
        <w:t xml:space="preserve"> reminder should be made to require that the assets used by asset managers be exhaustively listed in the UCITS prospectus with the systematically associated risks. The AMF 2011-19 doctrine proposes a standard prospectus framework to </w:t>
      </w:r>
      <w:proofErr w:type="gramStart"/>
      <w:r w:rsidRPr="00164A9A">
        <w:rPr>
          <w:rStyle w:val="systrantokenbase"/>
          <w:rFonts w:cstheme="minorHAnsi"/>
          <w:color w:val="000000"/>
          <w:szCs w:val="22"/>
          <w:shd w:val="clear" w:color="auto" w:fill="FFFFFF"/>
          <w:lang w:val="en"/>
        </w:rPr>
        <w:t>be followed</w:t>
      </w:r>
      <w:proofErr w:type="gramEnd"/>
      <w:r w:rsidRPr="00164A9A">
        <w:rPr>
          <w:rStyle w:val="systrantokenbase"/>
          <w:rFonts w:cstheme="minorHAnsi"/>
          <w:color w:val="000000"/>
          <w:szCs w:val="22"/>
          <w:shd w:val="clear" w:color="auto" w:fill="FFFFFF"/>
          <w:lang w:val="en"/>
        </w:rPr>
        <w:t xml:space="preserve"> to describe the assets and associated risks. Otherwise, assets not specified in the prospectus </w:t>
      </w:r>
      <w:r>
        <w:rPr>
          <w:rStyle w:val="systrantokenbase"/>
          <w:rFonts w:cstheme="minorHAnsi"/>
          <w:color w:val="000000"/>
          <w:szCs w:val="22"/>
          <w:shd w:val="clear" w:color="auto" w:fill="FFFFFF"/>
          <w:lang w:val="en"/>
        </w:rPr>
        <w:t>should be</w:t>
      </w:r>
      <w:r w:rsidRPr="00164A9A">
        <w:rPr>
          <w:rStyle w:val="systrantokenbase"/>
          <w:rFonts w:cstheme="minorHAnsi"/>
          <w:color w:val="000000"/>
          <w:szCs w:val="22"/>
          <w:shd w:val="clear" w:color="auto" w:fill="FFFFFF"/>
          <w:lang w:val="en"/>
        </w:rPr>
        <w:t xml:space="preserve"> ineligible for UCITS</w:t>
      </w:r>
      <w:r>
        <w:rPr>
          <w:rStyle w:val="systrantokenbase"/>
          <w:rFonts w:cstheme="minorHAnsi"/>
          <w:color w:val="000000"/>
          <w:szCs w:val="22"/>
          <w:shd w:val="clear" w:color="auto" w:fill="FFFFFF"/>
          <w:lang w:val="en"/>
        </w:rPr>
        <w:t>.</w:t>
      </w:r>
    </w:p>
    <w:p w14:paraId="461A6EF3" w14:textId="1AEC19FA" w:rsidR="004A1C84" w:rsidRPr="00121243" w:rsidRDefault="004A1C84" w:rsidP="004A1C84">
      <w:pPr>
        <w:jc w:val="left"/>
        <w:rPr>
          <w:rFonts w:cstheme="minorHAnsi"/>
          <w:szCs w:val="22"/>
          <w:lang w:val="en-US"/>
        </w:rPr>
      </w:pPr>
      <w:r w:rsidRPr="00121243">
        <w:rPr>
          <w:rStyle w:val="systrantokenbase"/>
          <w:rFonts w:cstheme="minorHAnsi" w:hint="eastAsia"/>
          <w:color w:val="000000"/>
          <w:szCs w:val="22"/>
          <w:shd w:val="clear" w:color="auto" w:fill="FFFFFF"/>
          <w:lang w:val="en"/>
        </w:rPr>
        <w:t>Moreover,</w:t>
      </w:r>
      <w:r w:rsidRPr="005905C5">
        <w:rPr>
          <w:rStyle w:val="systrantokenbase"/>
          <w:rFonts w:cstheme="minorHAnsi" w:hint="eastAsia"/>
          <w:color w:val="000000"/>
          <w:szCs w:val="22"/>
          <w:shd w:val="clear" w:color="auto" w:fill="FFFFFF"/>
          <w:lang w:val="en"/>
        </w:rPr>
        <w:t> </w:t>
      </w:r>
      <w:r w:rsidRPr="00121243">
        <w:rPr>
          <w:rStyle w:val="systrantokenbase"/>
          <w:rFonts w:cstheme="minorHAnsi" w:hint="eastAsia"/>
          <w:color w:val="000000"/>
          <w:szCs w:val="22"/>
          <w:shd w:val="clear" w:color="auto" w:fill="FFFFFF"/>
          <w:lang w:val="en"/>
        </w:rPr>
        <w:t>in</w:t>
      </w:r>
      <w:r w:rsidRPr="005905C5">
        <w:rPr>
          <w:rStyle w:val="systrantokenbase"/>
          <w:rFonts w:cstheme="minorHAnsi" w:hint="eastAsia"/>
          <w:color w:val="000000"/>
          <w:szCs w:val="22"/>
          <w:shd w:val="clear" w:color="auto" w:fill="FFFFFF"/>
          <w:lang w:val="en"/>
        </w:rPr>
        <w:t> </w:t>
      </w:r>
      <w:r w:rsidRPr="00121243">
        <w:rPr>
          <w:rStyle w:val="systrantokenbase"/>
          <w:rFonts w:cstheme="minorHAnsi" w:hint="eastAsia"/>
          <w:color w:val="000000"/>
          <w:szCs w:val="22"/>
          <w:shd w:val="clear" w:color="auto" w:fill="FFFFFF"/>
          <w:lang w:val="en"/>
        </w:rPr>
        <w:t>reading</w:t>
      </w:r>
      <w:r w:rsidRPr="005905C5">
        <w:rPr>
          <w:rStyle w:val="systrantokenbase"/>
          <w:rFonts w:cstheme="minorHAnsi" w:hint="eastAsia"/>
          <w:color w:val="000000"/>
          <w:szCs w:val="22"/>
          <w:shd w:val="clear" w:color="auto" w:fill="FFFFFF"/>
          <w:lang w:val="en"/>
        </w:rPr>
        <w:t> </w:t>
      </w:r>
      <w:r w:rsidRPr="00A252C0">
        <w:rPr>
          <w:rStyle w:val="systrantokenbase"/>
          <w:rFonts w:cstheme="minorHAnsi"/>
          <w:color w:val="000000"/>
          <w:szCs w:val="22"/>
          <w:shd w:val="clear" w:color="auto" w:fill="FFFFFF"/>
          <w:lang w:val="en"/>
        </w:rPr>
        <w:t>a</w:t>
      </w:r>
      <w:r w:rsidRPr="00121243">
        <w:rPr>
          <w:rStyle w:val="systrantokenbase"/>
          <w:rFonts w:cstheme="minorHAnsi" w:hint="eastAsia"/>
          <w:color w:val="000000"/>
          <w:szCs w:val="22"/>
          <w:shd w:val="clear" w:color="auto" w:fill="FFFFFF"/>
          <w:lang w:val="en"/>
        </w:rPr>
        <w:t>rticles</w:t>
      </w:r>
      <w:r w:rsidRPr="005905C5">
        <w:rPr>
          <w:rStyle w:val="systrantokenbase"/>
          <w:rFonts w:cstheme="minorHAnsi" w:hint="eastAsia"/>
          <w:color w:val="000000"/>
          <w:szCs w:val="22"/>
          <w:shd w:val="clear" w:color="auto" w:fill="FFFFFF"/>
          <w:lang w:val="en"/>
        </w:rPr>
        <w:t> </w:t>
      </w:r>
      <w:r w:rsidRPr="00121243">
        <w:rPr>
          <w:rStyle w:val="systrantokenbase"/>
          <w:rFonts w:cstheme="minorHAnsi" w:hint="eastAsia"/>
          <w:color w:val="000000"/>
          <w:szCs w:val="22"/>
          <w:shd w:val="clear" w:color="auto" w:fill="FFFFFF"/>
          <w:lang w:val="en"/>
        </w:rPr>
        <w:t>50,</w:t>
      </w:r>
      <w:r w:rsidRPr="005905C5">
        <w:rPr>
          <w:rStyle w:val="systrantokenbase"/>
          <w:rFonts w:cstheme="minorHAnsi" w:hint="eastAsia"/>
          <w:color w:val="000000"/>
          <w:szCs w:val="22"/>
          <w:shd w:val="clear" w:color="auto" w:fill="FFFFFF"/>
          <w:lang w:val="en"/>
        </w:rPr>
        <w:t> </w:t>
      </w:r>
      <w:r w:rsidRPr="00121243">
        <w:rPr>
          <w:rStyle w:val="systrantokenbase"/>
          <w:rFonts w:cstheme="minorHAnsi" w:hint="eastAsia"/>
          <w:color w:val="000000"/>
          <w:szCs w:val="22"/>
          <w:shd w:val="clear" w:color="auto" w:fill="FFFFFF"/>
          <w:lang w:val="en"/>
        </w:rPr>
        <w:t>52</w:t>
      </w:r>
      <w:r w:rsidRPr="005905C5">
        <w:rPr>
          <w:rStyle w:val="systrantokenbase"/>
          <w:rFonts w:cstheme="minorHAnsi" w:hint="eastAsia"/>
          <w:color w:val="000000"/>
          <w:szCs w:val="22"/>
          <w:shd w:val="clear" w:color="auto" w:fill="FFFFFF"/>
          <w:lang w:val="en"/>
        </w:rPr>
        <w:t> </w:t>
      </w:r>
      <w:r w:rsidRPr="00121243">
        <w:rPr>
          <w:rStyle w:val="systrantokenbase"/>
          <w:rFonts w:cstheme="minorHAnsi" w:hint="eastAsia"/>
          <w:color w:val="000000"/>
          <w:szCs w:val="22"/>
          <w:shd w:val="clear" w:color="auto" w:fill="FFFFFF"/>
          <w:lang w:val="en"/>
        </w:rPr>
        <w:t>and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54</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of</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Directive</w:t>
      </w:r>
      <w:r w:rsidRPr="005905C5">
        <w:rPr>
          <w:rStyle w:val="systrantokenbase"/>
          <w:rFonts w:hint="eastAsia"/>
        </w:rPr>
        <w:t> </w:t>
      </w:r>
      <w:r w:rsidRPr="00CE6E9E">
        <w:rPr>
          <w:rStyle w:val="systrantokenbase"/>
          <w:rFonts w:cstheme="minorHAnsi"/>
          <w:color w:val="000000"/>
          <w:szCs w:val="22"/>
          <w:shd w:val="clear" w:color="auto" w:fill="FFFFFF"/>
          <w:lang w:val="en"/>
        </w:rPr>
        <w:t>2009/65/</w:t>
      </w:r>
      <w:r>
        <w:rPr>
          <w:rStyle w:val="systrantokenbase"/>
          <w:rFonts w:cstheme="minorHAnsi"/>
          <w:color w:val="000000"/>
          <w:szCs w:val="22"/>
          <w:shd w:val="clear" w:color="auto" w:fill="FFFFFF"/>
          <w:lang w:val="en"/>
        </w:rPr>
        <w:t>EC</w:t>
      </w:r>
      <w:r w:rsidRPr="00121243">
        <w:rPr>
          <w:rStyle w:val="systrantokenbase"/>
          <w:rFonts w:cstheme="minorHAnsi" w:hint="eastAsia"/>
          <w:color w:val="000000"/>
          <w:szCs w:val="22"/>
          <w:shd w:val="clear" w:color="auto" w:fill="FFFFFF"/>
          <w:lang w:val="en"/>
        </w:rPr>
        <w: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we</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understan</w:t>
      </w:r>
      <w:r>
        <w:rPr>
          <w:rStyle w:val="systrantokenbase"/>
          <w:rFonts w:cstheme="minorHAnsi"/>
          <w:color w:val="000000"/>
          <w:szCs w:val="22"/>
          <w:shd w:val="clear" w:color="auto" w:fill="FFFFFF"/>
          <w:lang w:val="en"/>
        </w:rPr>
        <w:t>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that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"thir</w:t>
      </w:r>
      <w:r>
        <w:rPr>
          <w:rStyle w:val="systrantokenbase"/>
          <w:rFonts w:cstheme="minorHAnsi"/>
          <w:color w:val="000000"/>
          <w:szCs w:val="22"/>
          <w:shd w:val="clear" w:color="auto" w:fill="FFFFFF"/>
          <w:lang w:val="en"/>
        </w:rPr>
        <w:t>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countries"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correspond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to</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non-EU</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countries.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However,</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equivalent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texts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from</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the</w:t>
      </w:r>
      <w:r w:rsidRPr="005905C5">
        <w:rPr>
          <w:rStyle w:val="systrantokenbase"/>
          <w:rFonts w:hint="eastAsia"/>
        </w:rPr>
        <w:t> </w:t>
      </w:r>
      <w:r w:rsidRPr="005905C5">
        <w:rPr>
          <w:rStyle w:val="systrantokenbase"/>
        </w:rPr>
        <w:t xml:space="preserve">French </w:t>
      </w:r>
      <w:r w:rsidRPr="00121243">
        <w:rPr>
          <w:rStyle w:val="systrantokenbase"/>
          <w:rFonts w:cstheme="minorHAnsi" w:hint="eastAsia"/>
          <w:color w:val="000000"/>
          <w:szCs w:val="22"/>
          <w:shd w:val="clear" w:color="auto" w:fill="FFFFFF"/>
          <w:lang w:val="en"/>
        </w:rPr>
        <w:t>Monetary</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and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Financial</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Code</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refer</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to</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a</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list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of</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different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countries.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For</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example,</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third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countries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correspond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to</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non-EU</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and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EEA</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countries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for</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the</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eligibility</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of</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deposits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(Art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R214-14)</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and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for</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the</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extended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risk</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division</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ratios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for</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guaranteed</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securities</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(Art</w:t>
      </w:r>
      <w:r w:rsidRPr="005905C5">
        <w:rPr>
          <w:rStyle w:val="systrantokenbase"/>
          <w:rFonts w:hint="eastAsia"/>
        </w:rPr>
        <w:t> </w:t>
      </w:r>
      <w:r w:rsidRPr="00121243">
        <w:rPr>
          <w:rStyle w:val="systrantokenbase"/>
          <w:rFonts w:cstheme="minorHAnsi" w:hint="eastAsia"/>
          <w:color w:val="000000"/>
          <w:szCs w:val="22"/>
          <w:shd w:val="clear" w:color="auto" w:fill="FFFFFF"/>
          <w:lang w:val="en"/>
        </w:rPr>
        <w:t>R214-21).</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In</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addition,</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for</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10%</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counterparty</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risk,</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article</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R214-21</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(with</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reference</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to</w:t>
      </w:r>
      <w:r w:rsidRPr="005905C5">
        <w:rPr>
          <w:rStyle w:val="systrantokenbase"/>
          <w:rFonts w:hint="eastAsia"/>
          <w:shd w:val="clear" w:color="auto" w:fill="FFFFFF"/>
        </w:rPr>
        <w:t> </w:t>
      </w:r>
      <w:r w:rsidRPr="005905C5">
        <w:rPr>
          <w:rStyle w:val="systrantokenbase"/>
          <w:rFonts w:cstheme="minorHAnsi"/>
          <w:color w:val="000000"/>
          <w:szCs w:val="22"/>
          <w:shd w:val="clear" w:color="auto" w:fill="FFFFFF"/>
          <w:lang w:val="en"/>
        </w:rPr>
        <w:t>R214-</w:t>
      </w:r>
      <w:r w:rsidRPr="00121243">
        <w:rPr>
          <w:rStyle w:val="systrantokenbase"/>
          <w:rFonts w:cstheme="minorHAnsi" w:hint="eastAsia"/>
          <w:color w:val="000000"/>
          <w:szCs w:val="22"/>
          <w:shd w:val="clear" w:color="auto" w:fill="E5F5FF"/>
          <w:lang w:val="en"/>
        </w:rPr>
        <w:t>19)</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does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not</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mention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third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countries,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but</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if</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compared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to</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Article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52,</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third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countries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could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agree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outside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the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EU,</w:t>
      </w:r>
      <w:r w:rsidRPr="00121243">
        <w:rPr>
          <w:rStyle w:val="systranspace"/>
          <w:rFonts w:cstheme="minorHAnsi" w:hint="eastAsia"/>
          <w:color w:val="000000"/>
          <w:szCs w:val="22"/>
          <w:shd w:val="clear" w:color="auto" w:fill="E5F5FF"/>
          <w:lang w:val="en"/>
        </w:rPr>
        <w:t> </w:t>
      </w:r>
      <w:r w:rsidRPr="00121243">
        <w:rPr>
          <w:rStyle w:val="systrantokenbase"/>
          <w:rFonts w:cstheme="minorHAnsi"/>
          <w:color w:val="000000"/>
          <w:szCs w:val="22"/>
          <w:shd w:val="clear" w:color="auto" w:fill="E5F5FF"/>
          <w:lang w:val="en"/>
        </w:rPr>
        <w:t>EEA,</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and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OECD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with</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prohibition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outside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the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OECD</w:t>
      </w:r>
      <w:r>
        <w:rPr>
          <w:rStyle w:val="systrantokenbase"/>
          <w:rFonts w:cstheme="minorHAnsi"/>
          <w:color w:val="000000"/>
          <w:szCs w:val="22"/>
          <w:shd w:val="clear" w:color="auto" w:fill="E5F5FF"/>
          <w:lang w:val="en"/>
        </w:rPr>
        <w:t xml:space="preserve">. </w:t>
      </w:r>
      <w:r w:rsidRPr="00121243">
        <w:rPr>
          <w:rStyle w:val="systranspace"/>
          <w:rFonts w:cstheme="minorHAnsi" w:hint="eastAsia"/>
          <w:color w:val="000000"/>
          <w:szCs w:val="22"/>
          <w:shd w:val="clear" w:color="auto" w:fill="E5F5FF"/>
          <w:lang w:val="en"/>
        </w:rPr>
        <w:t> </w:t>
      </w:r>
    </w:p>
    <w:p w14:paraId="7F1F3218" w14:textId="77777777" w:rsidR="004A1C84" w:rsidRDefault="004A1C84" w:rsidP="004A1C84">
      <w:pPr>
        <w:rPr>
          <w:rStyle w:val="systrantokenbase"/>
          <w:rFonts w:cstheme="minorHAnsi"/>
          <w:color w:val="000000"/>
          <w:szCs w:val="22"/>
          <w:shd w:val="clear" w:color="auto" w:fill="E5F5FF"/>
          <w:lang w:val="en"/>
        </w:rPr>
      </w:pPr>
      <w:r w:rsidRPr="00121243">
        <w:rPr>
          <w:rStyle w:val="systrantokenbase"/>
          <w:rFonts w:cstheme="minorHAnsi" w:hint="eastAsia"/>
          <w:color w:val="000000"/>
          <w:szCs w:val="22"/>
          <w:shd w:val="clear" w:color="auto" w:fill="E5F5FF"/>
          <w:lang w:val="en"/>
        </w:rPr>
        <w:lastRenderedPageBreak/>
        <w:t>A</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list</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of</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"third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countries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subject</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to</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equivalent</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rules"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should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be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specified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and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published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official</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website</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to</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avoid</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any</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interpretation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of</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local</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regulations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various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subjects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(Deposit,</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OTC,</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counterparty</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risk,</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risk</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division</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ratios,</w:t>
      </w:r>
      <w:r w:rsidRPr="00121243">
        <w:rPr>
          <w:rStyle w:val="systranspace"/>
          <w:rFonts w:cstheme="minorHAnsi" w:hint="eastAsia"/>
          <w:color w:val="000000"/>
          <w:szCs w:val="22"/>
          <w:shd w:val="clear" w:color="auto" w:fill="E5F5FF"/>
          <w:lang w:val="en"/>
        </w:rPr>
        <w:t> </w:t>
      </w:r>
      <w:r w:rsidRPr="00121243">
        <w:rPr>
          <w:rStyle w:val="systrantokenbase"/>
          <w:rFonts w:cstheme="minorHAnsi" w:hint="eastAsia"/>
          <w:color w:val="000000"/>
          <w:szCs w:val="22"/>
          <w:shd w:val="clear" w:color="auto" w:fill="E5F5FF"/>
          <w:lang w:val="en"/>
        </w:rPr>
        <w:t>etc.)</w:t>
      </w:r>
    </w:p>
    <w:p w14:paraId="6AD1D068" w14:textId="77777777" w:rsidR="004A1C84" w:rsidRPr="00121243" w:rsidRDefault="004A1C84" w:rsidP="004A1C84">
      <w:pPr>
        <w:shd w:val="clear" w:color="auto" w:fill="FFFFFF"/>
        <w:spacing w:after="0" w:line="240" w:lineRule="auto"/>
        <w:jc w:val="left"/>
        <w:rPr>
          <w:rFonts w:eastAsia="Times New Roman" w:cstheme="minorHAnsi"/>
          <w:color w:val="000000"/>
          <w:szCs w:val="22"/>
          <w:lang w:val="en-US" w:eastAsia="fr-FR"/>
        </w:rPr>
      </w:pPr>
      <w:r w:rsidRPr="00121243">
        <w:rPr>
          <w:rFonts w:eastAsia="Times New Roman" w:cstheme="minorHAnsi"/>
          <w:color w:val="000000"/>
          <w:szCs w:val="22"/>
          <w:lang w:val="en" w:eastAsia="fr-FR"/>
        </w:rPr>
        <w:t>In</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summary,</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there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are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three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levels</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of</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divergence:</w:t>
      </w:r>
    </w:p>
    <w:p w14:paraId="0E351235" w14:textId="77777777" w:rsidR="004A1C84" w:rsidRPr="00121243" w:rsidRDefault="004A1C84" w:rsidP="004A1C84">
      <w:pPr>
        <w:shd w:val="clear" w:color="auto" w:fill="FFFFFF"/>
        <w:spacing w:after="0" w:line="240" w:lineRule="auto"/>
        <w:jc w:val="left"/>
        <w:rPr>
          <w:rFonts w:eastAsia="Times New Roman" w:cstheme="minorHAnsi"/>
          <w:color w:val="000000"/>
          <w:szCs w:val="22"/>
          <w:lang w:val="en-US" w:eastAsia="fr-FR"/>
        </w:rPr>
      </w:pPr>
      <w:r w:rsidRPr="00121243">
        <w:rPr>
          <w:rFonts w:eastAsia="Times New Roman" w:cstheme="minorHAnsi"/>
          <w:color w:val="000000"/>
          <w:szCs w:val="22"/>
          <w:lang w:val="en" w:eastAsia="fr-FR"/>
        </w:rPr>
        <w:t>-</w:t>
      </w:r>
      <w:r w:rsidRPr="00121243">
        <w:rPr>
          <w:rFonts w:eastAsia="Times New Roman" w:cstheme="minorHAnsi" w:hint="eastAsia"/>
          <w:color w:val="000000"/>
          <w:szCs w:val="22"/>
          <w:lang w:val="en-US" w:eastAsia="fr-FR"/>
        </w:rPr>
        <w:t> </w:t>
      </w:r>
      <w:r w:rsidRPr="00121243">
        <w:rPr>
          <w:rFonts w:eastAsia="Times New Roman" w:cstheme="minorHAnsi"/>
          <w:color w:val="000000"/>
          <w:szCs w:val="22"/>
          <w:lang w:val="en" w:eastAsia="fr-FR"/>
        </w:rPr>
        <w:t>The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geographical</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areas</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to</w:t>
      </w:r>
      <w:r w:rsidRPr="00121243">
        <w:rPr>
          <w:rFonts w:eastAsia="Times New Roman" w:cstheme="minorHAnsi" w:hint="eastAsia"/>
          <w:color w:val="000000"/>
          <w:szCs w:val="22"/>
          <w:lang w:val="en" w:eastAsia="fr-FR"/>
        </w:rPr>
        <w:t> </w:t>
      </w:r>
      <w:proofErr w:type="gramStart"/>
      <w:r w:rsidRPr="00121243">
        <w:rPr>
          <w:rFonts w:eastAsia="Times New Roman" w:cstheme="minorHAnsi"/>
          <w:color w:val="000000"/>
          <w:szCs w:val="22"/>
          <w:lang w:val="en" w:eastAsia="fr-FR"/>
        </w:rPr>
        <w:t>be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considered</w:t>
      </w:r>
      <w:proofErr w:type="gramEnd"/>
    </w:p>
    <w:p w14:paraId="25082870" w14:textId="77777777" w:rsidR="004A1C84" w:rsidRPr="00121243" w:rsidRDefault="004A1C84" w:rsidP="004A1C84">
      <w:pPr>
        <w:shd w:val="clear" w:color="auto" w:fill="FFFFFF"/>
        <w:spacing w:after="0" w:line="240" w:lineRule="auto"/>
        <w:jc w:val="left"/>
        <w:rPr>
          <w:rFonts w:eastAsia="Times New Roman" w:cstheme="minorHAnsi"/>
          <w:color w:val="000000"/>
          <w:szCs w:val="22"/>
          <w:lang w:val="en-US" w:eastAsia="fr-FR"/>
        </w:rPr>
      </w:pPr>
      <w:r w:rsidRPr="00121243">
        <w:rPr>
          <w:rFonts w:eastAsia="Times New Roman" w:cstheme="minorHAnsi"/>
          <w:color w:val="000000"/>
          <w:szCs w:val="22"/>
          <w:lang w:val="en" w:eastAsia="fr-FR"/>
        </w:rPr>
        <w:t>-</w:t>
      </w:r>
      <w:r w:rsidRPr="00121243">
        <w:rPr>
          <w:rFonts w:eastAsia="Times New Roman" w:cstheme="minorHAnsi" w:hint="eastAsia"/>
          <w:color w:val="000000"/>
          <w:szCs w:val="22"/>
          <w:lang w:val="en-US" w:eastAsia="fr-FR"/>
        </w:rPr>
        <w:t> </w:t>
      </w:r>
      <w:r w:rsidRPr="00121243">
        <w:rPr>
          <w:rFonts w:eastAsia="Times New Roman" w:cstheme="minorHAnsi"/>
          <w:color w:val="000000"/>
          <w:szCs w:val="22"/>
          <w:lang w:val="en" w:eastAsia="fr-FR"/>
        </w:rPr>
        <w:t>The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applicable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ratios</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using</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this</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concept</w:t>
      </w:r>
    </w:p>
    <w:p w14:paraId="45041878" w14:textId="77777777" w:rsidR="004A1C84" w:rsidRDefault="004A1C84" w:rsidP="004A1C84">
      <w:pPr>
        <w:shd w:val="clear" w:color="auto" w:fill="FFFFFF"/>
        <w:spacing w:after="0" w:line="240" w:lineRule="auto"/>
        <w:jc w:val="left"/>
        <w:rPr>
          <w:rFonts w:eastAsia="Times New Roman" w:cstheme="minorHAnsi"/>
          <w:color w:val="000000"/>
          <w:szCs w:val="22"/>
          <w:lang w:val="en" w:eastAsia="fr-FR"/>
        </w:rPr>
      </w:pPr>
      <w:r w:rsidRPr="00121243">
        <w:rPr>
          <w:rFonts w:eastAsia="Times New Roman" w:cstheme="minorHAnsi"/>
          <w:color w:val="000000"/>
          <w:szCs w:val="22"/>
          <w:lang w:val="en" w:eastAsia="fr-FR"/>
        </w:rPr>
        <w:t>-</w:t>
      </w:r>
      <w:r w:rsidRPr="00121243">
        <w:rPr>
          <w:rFonts w:eastAsia="Times New Roman" w:cstheme="minorHAnsi" w:hint="eastAsia"/>
          <w:color w:val="000000"/>
          <w:szCs w:val="22"/>
          <w:lang w:val="en-US" w:eastAsia="fr-FR"/>
        </w:rPr>
        <w:t> </w:t>
      </w:r>
      <w:r w:rsidRPr="00121243">
        <w:rPr>
          <w:rFonts w:eastAsia="Times New Roman" w:cstheme="minorHAnsi"/>
          <w:color w:val="000000"/>
          <w:szCs w:val="22"/>
          <w:lang w:val="en" w:eastAsia="fr-FR"/>
        </w:rPr>
        <w:t>Unitary</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analysis</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of</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a</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third</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country</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outside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the</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zones</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(EU,</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EEA,</w:t>
      </w:r>
      <w:r w:rsidRPr="00121243">
        <w:rPr>
          <w:rFonts w:eastAsia="Times New Roman" w:cstheme="minorHAnsi" w:hint="eastAsia"/>
          <w:color w:val="000000"/>
          <w:szCs w:val="22"/>
          <w:lang w:val="en" w:eastAsia="fr-FR"/>
        </w:rPr>
        <w:t> </w:t>
      </w:r>
      <w:r w:rsidRPr="00121243">
        <w:rPr>
          <w:rFonts w:eastAsia="Times New Roman" w:cstheme="minorHAnsi"/>
          <w:color w:val="000000"/>
          <w:szCs w:val="22"/>
          <w:lang w:val="en" w:eastAsia="fr-FR"/>
        </w:rPr>
        <w:t>OECD)</w:t>
      </w:r>
    </w:p>
    <w:p w14:paraId="492B8DE2" w14:textId="77777777" w:rsidR="004A1C84" w:rsidRPr="00121243" w:rsidRDefault="004A1C84" w:rsidP="004A1C84">
      <w:pPr>
        <w:shd w:val="clear" w:color="auto" w:fill="FFFFFF"/>
        <w:spacing w:after="0" w:line="240" w:lineRule="auto"/>
        <w:jc w:val="left"/>
        <w:rPr>
          <w:rFonts w:eastAsia="Times New Roman" w:cstheme="minorHAnsi"/>
          <w:color w:val="000000"/>
          <w:szCs w:val="22"/>
          <w:lang w:val="en-US" w:eastAsia="fr-FR"/>
        </w:rPr>
      </w:pPr>
    </w:p>
    <w:p w14:paraId="2B449671" w14:textId="463DF940" w:rsidR="00667FF6" w:rsidRDefault="004A1C84" w:rsidP="004A1C84">
      <w:r w:rsidRPr="00121243">
        <w:rPr>
          <w:rFonts w:eastAsia="Times New Roman" w:cstheme="minorHAnsi"/>
          <w:color w:val="000000"/>
          <w:szCs w:val="22"/>
          <w:shd w:val="clear" w:color="auto" w:fill="E5F5FF"/>
          <w:lang w:val="en" w:eastAsia="fr-FR"/>
        </w:rPr>
        <w:t>There</w:t>
      </w:r>
      <w:r w:rsidRPr="00121243">
        <w:rPr>
          <w:rFonts w:eastAsia="Times New Roman" w:cstheme="minorHAnsi" w:hint="eastAsia"/>
          <w:color w:val="000000"/>
          <w:szCs w:val="22"/>
          <w:shd w:val="clear" w:color="auto" w:fill="E5F5FF"/>
          <w:lang w:val="en" w:eastAsia="fr-FR"/>
        </w:rPr>
        <w:t> </w:t>
      </w:r>
      <w:r>
        <w:rPr>
          <w:rFonts w:eastAsia="Times New Roman" w:cstheme="minorHAnsi"/>
          <w:color w:val="000000"/>
          <w:szCs w:val="22"/>
          <w:shd w:val="clear" w:color="auto" w:fill="E5F5FF"/>
          <w:lang w:val="en" w:eastAsia="fr-FR"/>
        </w:rPr>
        <w:t>are</w:t>
      </w:r>
      <w:r w:rsidRPr="00121243">
        <w:rPr>
          <w:rFonts w:eastAsia="Times New Roman" w:cstheme="minorHAnsi" w:hint="eastAsia"/>
          <w:color w:val="000000"/>
          <w:szCs w:val="22"/>
          <w:shd w:val="clear" w:color="auto" w:fill="E5F5FF"/>
          <w:lang w:val="en" w:eastAsia="fr-FR"/>
        </w:rPr>
        <w:t> </w:t>
      </w:r>
      <w:r w:rsidRPr="00121243">
        <w:rPr>
          <w:rFonts w:eastAsia="Times New Roman" w:cstheme="minorHAnsi"/>
          <w:color w:val="000000"/>
          <w:szCs w:val="22"/>
          <w:shd w:val="clear" w:color="auto" w:fill="E5F5FF"/>
          <w:lang w:val="en" w:eastAsia="fr-FR"/>
        </w:rPr>
        <w:t>different</w:t>
      </w:r>
      <w:r w:rsidRPr="00121243">
        <w:rPr>
          <w:rFonts w:eastAsia="Times New Roman" w:cstheme="minorHAnsi" w:hint="eastAsia"/>
          <w:color w:val="000000"/>
          <w:szCs w:val="22"/>
          <w:shd w:val="clear" w:color="auto" w:fill="E5F5FF"/>
          <w:lang w:val="en" w:eastAsia="fr-FR"/>
        </w:rPr>
        <w:t> </w:t>
      </w:r>
      <w:r w:rsidRPr="00121243">
        <w:rPr>
          <w:rFonts w:eastAsia="Times New Roman" w:cstheme="minorHAnsi"/>
          <w:color w:val="000000"/>
          <w:szCs w:val="22"/>
          <w:shd w:val="clear" w:color="auto" w:fill="E5F5FF"/>
          <w:lang w:val="en" w:eastAsia="fr-FR"/>
        </w:rPr>
        <w:t>interpretation</w:t>
      </w:r>
      <w:r>
        <w:rPr>
          <w:rFonts w:eastAsia="Times New Roman" w:cstheme="minorHAnsi"/>
          <w:color w:val="000000"/>
          <w:szCs w:val="22"/>
          <w:shd w:val="clear" w:color="auto" w:fill="E5F5FF"/>
          <w:lang w:val="en" w:eastAsia="fr-FR"/>
        </w:rPr>
        <w:t>s</w:t>
      </w:r>
      <w:r w:rsidRPr="00121243">
        <w:rPr>
          <w:rFonts w:eastAsia="Times New Roman" w:cstheme="minorHAnsi" w:hint="eastAsia"/>
          <w:color w:val="000000"/>
          <w:szCs w:val="22"/>
          <w:shd w:val="clear" w:color="auto" w:fill="E5F5FF"/>
          <w:lang w:val="en" w:eastAsia="fr-FR"/>
        </w:rPr>
        <w:t> </w:t>
      </w:r>
      <w:r w:rsidRPr="00121243">
        <w:rPr>
          <w:rFonts w:eastAsia="Times New Roman" w:cstheme="minorHAnsi"/>
          <w:color w:val="000000"/>
          <w:szCs w:val="22"/>
          <w:shd w:val="clear" w:color="auto" w:fill="E5F5FF"/>
          <w:lang w:val="en" w:eastAsia="fr-FR"/>
        </w:rPr>
        <w:t>between</w:t>
      </w:r>
      <w:r w:rsidRPr="00121243">
        <w:rPr>
          <w:rFonts w:eastAsia="Times New Roman" w:cstheme="minorHAnsi" w:hint="eastAsia"/>
          <w:color w:val="000000"/>
          <w:szCs w:val="22"/>
          <w:shd w:val="clear" w:color="auto" w:fill="E5F5FF"/>
          <w:lang w:val="en" w:eastAsia="fr-FR"/>
        </w:rPr>
        <w:t> </w:t>
      </w:r>
      <w:r w:rsidRPr="00121243">
        <w:rPr>
          <w:rFonts w:eastAsia="Times New Roman" w:cstheme="minorHAnsi"/>
          <w:color w:val="000000"/>
          <w:szCs w:val="22"/>
          <w:shd w:val="clear" w:color="auto" w:fill="E5F5FF"/>
          <w:lang w:val="en" w:eastAsia="fr-FR"/>
        </w:rPr>
        <w:t>European</w:t>
      </w:r>
      <w:r w:rsidRPr="00121243">
        <w:rPr>
          <w:rFonts w:eastAsia="Times New Roman" w:cstheme="minorHAnsi" w:hint="eastAsia"/>
          <w:color w:val="000000"/>
          <w:szCs w:val="22"/>
          <w:shd w:val="clear" w:color="auto" w:fill="E5F5FF"/>
          <w:lang w:val="en" w:eastAsia="fr-FR"/>
        </w:rPr>
        <w:t> </w:t>
      </w:r>
      <w:r w:rsidRPr="00121243">
        <w:rPr>
          <w:rFonts w:eastAsia="Times New Roman" w:cstheme="minorHAnsi"/>
          <w:color w:val="000000"/>
          <w:szCs w:val="22"/>
          <w:shd w:val="clear" w:color="auto" w:fill="E5F5FF"/>
          <w:lang w:val="en" w:eastAsia="fr-FR"/>
        </w:rPr>
        <w:t>jurisdictions</w:t>
      </w:r>
      <w:r>
        <w:rPr>
          <w:rFonts w:eastAsia="Times New Roman" w:cstheme="minorHAnsi"/>
          <w:color w:val="000000"/>
          <w:szCs w:val="22"/>
          <w:shd w:val="clear" w:color="auto" w:fill="E5F5FF"/>
          <w:lang w:val="en" w:eastAsia="fr-FR"/>
        </w:rPr>
        <w:t>.</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xml:space="preserve">.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w:t>
      </w:r>
      <w:r>
        <w:lastRenderedPageBreak/>
        <w:t>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6AEF8535" w14:textId="2C404205" w:rsidR="00667FF6" w:rsidRDefault="000559A9" w:rsidP="00667FF6">
      <w:permStart w:id="1828006997" w:edGrp="everyone"/>
      <w:r w:rsidRPr="006C7E23">
        <w:rPr>
          <w:bCs/>
          <w:color w:val="auto"/>
          <w:lang w:val="en-US"/>
        </w:rPr>
        <w:t>See the table in the Annex to this document. The Depositaries did not provide statistical information but completed the comments column to give their analysis of eligibility for UCITS for each type of asset in the table.</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026D7EED" w14:textId="77777777" w:rsidR="00667FF6" w:rsidRDefault="00667FF6" w:rsidP="00667FF6">
      <w:permStart w:id="199050040" w:edGrp="everyone"/>
      <w:r>
        <w:t>TYPE YOUR TEXT HERE</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4EB59B07" w14:textId="77777777" w:rsidR="009F18A1" w:rsidRPr="005078DB" w:rsidRDefault="009F18A1" w:rsidP="009F18A1">
      <w:pPr>
        <w:rPr>
          <w:lang w:val="en-US"/>
        </w:rPr>
      </w:pPr>
      <w:permStart w:id="1004748421" w:edGrp="everyone"/>
      <w:r w:rsidRPr="005078DB">
        <w:rPr>
          <w:lang w:val="en-US"/>
        </w:rPr>
        <w:t>F</w:t>
      </w:r>
      <w:r>
        <w:rPr>
          <w:lang w:val="en-US"/>
        </w:rPr>
        <w:t xml:space="preserve">rance </w:t>
      </w:r>
      <w:r w:rsidRPr="005078DB">
        <w:rPr>
          <w:lang w:val="en-US"/>
        </w:rPr>
        <w:t>P</w:t>
      </w:r>
      <w:r>
        <w:rPr>
          <w:lang w:val="en-US"/>
        </w:rPr>
        <w:t>ost-</w:t>
      </w:r>
      <w:r w:rsidRPr="005078DB">
        <w:rPr>
          <w:lang w:val="en-US"/>
        </w:rPr>
        <w:t>M</w:t>
      </w:r>
      <w:r>
        <w:rPr>
          <w:lang w:val="en-US"/>
        </w:rPr>
        <w:t>arché</w:t>
      </w:r>
      <w:r w:rsidRPr="005078DB">
        <w:rPr>
          <w:lang w:val="en-US"/>
        </w:rPr>
        <w:t xml:space="preserve"> considers that a </w:t>
      </w:r>
      <w:r>
        <w:rPr>
          <w:lang w:val="en-US"/>
        </w:rPr>
        <w:t>look-through</w:t>
      </w:r>
      <w:r w:rsidRPr="005078DB">
        <w:rPr>
          <w:lang w:val="en-US"/>
        </w:rPr>
        <w:t xml:space="preserve"> approach to control the </w:t>
      </w:r>
      <w:r>
        <w:rPr>
          <w:lang w:val="en-US"/>
        </w:rPr>
        <w:t xml:space="preserve">asset </w:t>
      </w:r>
      <w:r w:rsidRPr="005078DB">
        <w:rPr>
          <w:lang w:val="en-US"/>
        </w:rPr>
        <w:t>eligibility is a practice</w:t>
      </w:r>
      <w:r>
        <w:rPr>
          <w:lang w:val="en-US"/>
        </w:rPr>
        <w:t xml:space="preserve"> to keep,</w:t>
      </w:r>
      <w:r w:rsidRPr="005078DB">
        <w:rPr>
          <w:lang w:val="en-US"/>
        </w:rPr>
        <w:t xml:space="preserve"> guaranteeing the best level of investor protection.</w:t>
      </w:r>
    </w:p>
    <w:p w14:paraId="28092CFE" w14:textId="77777777" w:rsidR="009F18A1" w:rsidRPr="005078DB" w:rsidRDefault="009F18A1" w:rsidP="009F18A1">
      <w:pPr>
        <w:spacing w:after="0"/>
        <w:rPr>
          <w:lang w:val="en-US"/>
        </w:rPr>
      </w:pPr>
      <w:r w:rsidRPr="005078DB">
        <w:rPr>
          <w:lang w:val="en-US"/>
        </w:rPr>
        <w:t xml:space="preserve">The current directive provides three possibilities (excluding UCIs including ETFs) to </w:t>
      </w:r>
      <w:proofErr w:type="gramStart"/>
      <w:r w:rsidRPr="005078DB">
        <w:rPr>
          <w:lang w:val="en-US"/>
        </w:rPr>
        <w:t>be exposed</w:t>
      </w:r>
      <w:proofErr w:type="gramEnd"/>
      <w:r w:rsidRPr="005078DB">
        <w:rPr>
          <w:lang w:val="en-US"/>
        </w:rPr>
        <w:t xml:space="preserve"> to a given risk:</w:t>
      </w:r>
    </w:p>
    <w:p w14:paraId="030FD0C3" w14:textId="77777777" w:rsidR="009F18A1" w:rsidRPr="005078DB" w:rsidRDefault="009F18A1" w:rsidP="009F18A1">
      <w:pPr>
        <w:spacing w:after="0"/>
        <w:rPr>
          <w:lang w:val="en-US"/>
        </w:rPr>
      </w:pPr>
      <w:r w:rsidRPr="005078DB">
        <w:rPr>
          <w:lang w:val="en-US"/>
        </w:rPr>
        <w:t xml:space="preserve">- Direct investment, mentioned in Article 2 to </w:t>
      </w:r>
      <w:proofErr w:type="gramStart"/>
      <w:r w:rsidRPr="005078DB">
        <w:rPr>
          <w:lang w:val="en-US"/>
        </w:rPr>
        <w:t>6</w:t>
      </w:r>
      <w:proofErr w:type="gramEnd"/>
      <w:r w:rsidRPr="005078DB">
        <w:rPr>
          <w:lang w:val="en-US"/>
        </w:rPr>
        <w:t xml:space="preserve"> of the directive</w:t>
      </w:r>
    </w:p>
    <w:p w14:paraId="10C87D11" w14:textId="77777777" w:rsidR="009F18A1" w:rsidRPr="005078DB" w:rsidRDefault="009F18A1" w:rsidP="009F18A1">
      <w:pPr>
        <w:spacing w:after="0"/>
        <w:rPr>
          <w:lang w:val="en-US"/>
        </w:rPr>
      </w:pPr>
      <w:r w:rsidRPr="005078DB">
        <w:rPr>
          <w:lang w:val="en-US"/>
        </w:rPr>
        <w:t xml:space="preserve">- Derivative instruments, mentioned in </w:t>
      </w:r>
      <w:r>
        <w:rPr>
          <w:lang w:val="en-US"/>
        </w:rPr>
        <w:t>A</w:t>
      </w:r>
      <w:r w:rsidRPr="005078DB">
        <w:rPr>
          <w:lang w:val="en-US"/>
        </w:rPr>
        <w:t>rticle 8</w:t>
      </w:r>
    </w:p>
    <w:p w14:paraId="7672BFCE" w14:textId="77777777" w:rsidR="009F18A1" w:rsidRDefault="009F18A1" w:rsidP="009F18A1">
      <w:pPr>
        <w:spacing w:after="240"/>
        <w:rPr>
          <w:lang w:val="en-US"/>
        </w:rPr>
      </w:pPr>
      <w:r w:rsidRPr="005078DB">
        <w:rPr>
          <w:lang w:val="en-US"/>
        </w:rPr>
        <w:t xml:space="preserve">- </w:t>
      </w:r>
      <w:r>
        <w:rPr>
          <w:lang w:val="en-US"/>
        </w:rPr>
        <w:t>Embedded derivatives</w:t>
      </w:r>
      <w:r w:rsidRPr="005078DB">
        <w:rPr>
          <w:lang w:val="en-US"/>
        </w:rPr>
        <w:t xml:space="preserve">, mentioned in </w:t>
      </w:r>
      <w:r>
        <w:rPr>
          <w:lang w:val="en-US"/>
        </w:rPr>
        <w:t>A</w:t>
      </w:r>
      <w:r w:rsidRPr="005078DB">
        <w:rPr>
          <w:lang w:val="en-US"/>
        </w:rPr>
        <w:t>rticle 10</w:t>
      </w:r>
    </w:p>
    <w:p w14:paraId="2B352F62" w14:textId="77777777" w:rsidR="009F18A1" w:rsidRPr="00684C5B" w:rsidRDefault="009F18A1" w:rsidP="009F18A1">
      <w:pPr>
        <w:rPr>
          <w:rFonts w:cstheme="minorHAnsi"/>
          <w:szCs w:val="22"/>
          <w:lang w:val="en-US"/>
        </w:rPr>
      </w:pPr>
      <w:r w:rsidRPr="00684C5B">
        <w:rPr>
          <w:rFonts w:cstheme="minorHAnsi"/>
          <w:szCs w:val="22"/>
          <w:lang w:val="en-US"/>
        </w:rPr>
        <w:lastRenderedPageBreak/>
        <w:t xml:space="preserve">The current directive is broader on eligible underlying assets through embedded derivatives than through derivative instruments. The Article 8 1.a) specifies the types of eligible risks for derivative instruments (i.e., </w:t>
      </w:r>
      <w:r w:rsidRPr="00AF7897">
        <w:rPr>
          <w:rFonts w:cstheme="minorHAnsi"/>
          <w:szCs w:val="22"/>
          <w:lang w:val="en-US"/>
        </w:rPr>
        <w:t>(</w:t>
      </w:r>
      <w:proofErr w:type="spellStart"/>
      <w:r w:rsidRPr="00AF7897">
        <w:rPr>
          <w:rFonts w:cstheme="minorHAnsi"/>
          <w:szCs w:val="22"/>
          <w:lang w:val="en-US"/>
        </w:rPr>
        <w:t>i</w:t>
      </w:r>
      <w:proofErr w:type="spellEnd"/>
      <w:r w:rsidRPr="00AF7897">
        <w:rPr>
          <w:rFonts w:cstheme="minorHAnsi"/>
          <w:szCs w:val="22"/>
          <w:lang w:val="en-US"/>
        </w:rPr>
        <w:t>)</w:t>
      </w:r>
      <w:r>
        <w:rPr>
          <w:rFonts w:cstheme="minorHAnsi"/>
          <w:szCs w:val="22"/>
          <w:lang w:val="en-US"/>
        </w:rPr>
        <w:t xml:space="preserve"> </w:t>
      </w:r>
      <w:r w:rsidRPr="00AF7897">
        <w:rPr>
          <w:rFonts w:cstheme="minorHAnsi"/>
          <w:szCs w:val="22"/>
          <w:lang w:val="en-US"/>
        </w:rPr>
        <w:t>assets as listed in Article 19(1) of Directive 85/611/EEC including financial instruments having one or several characteristics of those assets;</w:t>
      </w:r>
      <w:r>
        <w:rPr>
          <w:rFonts w:cstheme="minorHAnsi"/>
          <w:szCs w:val="22"/>
          <w:lang w:val="en-US"/>
        </w:rPr>
        <w:t xml:space="preserve"> </w:t>
      </w:r>
      <w:r w:rsidRPr="00AF7897">
        <w:rPr>
          <w:rFonts w:cstheme="minorHAnsi"/>
          <w:szCs w:val="22"/>
          <w:lang w:val="en-US"/>
        </w:rPr>
        <w:t>(ii)</w:t>
      </w:r>
      <w:r>
        <w:rPr>
          <w:rFonts w:cstheme="minorHAnsi"/>
          <w:szCs w:val="22"/>
          <w:lang w:val="en-US"/>
        </w:rPr>
        <w:t xml:space="preserve"> </w:t>
      </w:r>
      <w:r w:rsidRPr="00AF7897">
        <w:rPr>
          <w:rFonts w:cstheme="minorHAnsi"/>
          <w:szCs w:val="22"/>
          <w:lang w:val="en-US"/>
        </w:rPr>
        <w:t>interest rates;</w:t>
      </w:r>
      <w:r>
        <w:rPr>
          <w:rFonts w:cstheme="minorHAnsi"/>
          <w:szCs w:val="22"/>
          <w:lang w:val="en-US"/>
        </w:rPr>
        <w:t xml:space="preserve"> </w:t>
      </w:r>
      <w:r w:rsidRPr="00AF7897">
        <w:rPr>
          <w:rFonts w:cstheme="minorHAnsi"/>
          <w:szCs w:val="22"/>
          <w:lang w:val="en-US"/>
        </w:rPr>
        <w:t>(iii)</w:t>
      </w:r>
      <w:r>
        <w:rPr>
          <w:rFonts w:cstheme="minorHAnsi"/>
          <w:szCs w:val="22"/>
          <w:lang w:val="en-US"/>
        </w:rPr>
        <w:t xml:space="preserve"> </w:t>
      </w:r>
      <w:r w:rsidRPr="00AF7897">
        <w:rPr>
          <w:rFonts w:cstheme="minorHAnsi"/>
          <w:szCs w:val="22"/>
          <w:lang w:val="en-US"/>
        </w:rPr>
        <w:t>foreign exchange rates or currencies;</w:t>
      </w:r>
      <w:r>
        <w:rPr>
          <w:rFonts w:cstheme="minorHAnsi"/>
          <w:szCs w:val="22"/>
          <w:lang w:val="en-US"/>
        </w:rPr>
        <w:t xml:space="preserve"> </w:t>
      </w:r>
      <w:r w:rsidRPr="00AF7897">
        <w:rPr>
          <w:rFonts w:cstheme="minorHAnsi"/>
          <w:szCs w:val="22"/>
          <w:lang w:val="en-US"/>
        </w:rPr>
        <w:t>(iv)</w:t>
      </w:r>
      <w:r>
        <w:rPr>
          <w:rFonts w:cstheme="minorHAnsi"/>
          <w:szCs w:val="22"/>
          <w:lang w:val="en-US"/>
        </w:rPr>
        <w:t xml:space="preserve"> </w:t>
      </w:r>
      <w:r w:rsidRPr="00AF7897">
        <w:rPr>
          <w:rFonts w:cstheme="minorHAnsi"/>
          <w:szCs w:val="22"/>
          <w:lang w:val="en-US"/>
        </w:rPr>
        <w:t>financial indices</w:t>
      </w:r>
      <w:r w:rsidRPr="00684C5B">
        <w:rPr>
          <w:rFonts w:cstheme="minorHAnsi"/>
          <w:szCs w:val="22"/>
          <w:lang w:val="en-US"/>
        </w:rPr>
        <w:t>)</w:t>
      </w:r>
    </w:p>
    <w:p w14:paraId="32678BA8" w14:textId="77777777" w:rsidR="009F18A1" w:rsidRPr="005078DB" w:rsidRDefault="009F18A1" w:rsidP="009F18A1">
      <w:pPr>
        <w:rPr>
          <w:lang w:val="en-US"/>
        </w:rPr>
      </w:pPr>
      <w:r w:rsidRPr="005078DB">
        <w:rPr>
          <w:lang w:val="en-US"/>
        </w:rPr>
        <w:t xml:space="preserve">There is no equivalence for </w:t>
      </w:r>
      <w:r>
        <w:rPr>
          <w:lang w:val="en-US"/>
        </w:rPr>
        <w:t>embedded</w:t>
      </w:r>
      <w:r w:rsidRPr="005078DB">
        <w:rPr>
          <w:lang w:val="en-US"/>
        </w:rPr>
        <w:t xml:space="preserve"> derivative mentioned in </w:t>
      </w:r>
      <w:r>
        <w:rPr>
          <w:lang w:val="en-US"/>
        </w:rPr>
        <w:t xml:space="preserve">the </w:t>
      </w:r>
      <w:r w:rsidRPr="005078DB">
        <w:rPr>
          <w:lang w:val="en-US"/>
        </w:rPr>
        <w:t>Article 10</w:t>
      </w:r>
      <w:r>
        <w:rPr>
          <w:lang w:val="en-US"/>
        </w:rPr>
        <w:t>:</w:t>
      </w:r>
      <w:r w:rsidRPr="005078DB">
        <w:rPr>
          <w:lang w:val="en-US"/>
        </w:rPr>
        <w:t xml:space="preserve"> </w:t>
      </w:r>
      <w:r>
        <w:rPr>
          <w:lang w:val="en-US"/>
        </w:rPr>
        <w:t>t</w:t>
      </w:r>
      <w:r w:rsidRPr="005078DB">
        <w:rPr>
          <w:lang w:val="en-US"/>
        </w:rPr>
        <w:t xml:space="preserve">his absence of limit is a source of different interpretations between jurisdictions and allows the acquisition of </w:t>
      </w:r>
      <w:r>
        <w:rPr>
          <w:lang w:val="en-US"/>
        </w:rPr>
        <w:t>embedded</w:t>
      </w:r>
      <w:r w:rsidRPr="005078DB">
        <w:rPr>
          <w:lang w:val="en-US"/>
        </w:rPr>
        <w:t xml:space="preserve"> derivatives that </w:t>
      </w:r>
      <w:proofErr w:type="gramStart"/>
      <w:r w:rsidRPr="005078DB">
        <w:rPr>
          <w:lang w:val="en-US"/>
        </w:rPr>
        <w:t>can be considered</w:t>
      </w:r>
      <w:proofErr w:type="gramEnd"/>
      <w:r w:rsidRPr="005078DB">
        <w:rPr>
          <w:lang w:val="en-US"/>
        </w:rPr>
        <w:t xml:space="preserve"> </w:t>
      </w:r>
      <w:r>
        <w:rPr>
          <w:lang w:val="en-US"/>
        </w:rPr>
        <w:t xml:space="preserve">as </w:t>
      </w:r>
      <w:r w:rsidRPr="005078DB">
        <w:rPr>
          <w:lang w:val="en-US"/>
        </w:rPr>
        <w:t>complex</w:t>
      </w:r>
      <w:r>
        <w:rPr>
          <w:lang w:val="en-US"/>
        </w:rPr>
        <w:t xml:space="preserve"> risks</w:t>
      </w:r>
      <w:r w:rsidRPr="005078DB">
        <w:rPr>
          <w:lang w:val="en-US"/>
        </w:rPr>
        <w:t>.</w:t>
      </w:r>
    </w:p>
    <w:p w14:paraId="496589B1" w14:textId="77777777" w:rsidR="009F18A1" w:rsidRPr="005078DB" w:rsidRDefault="009F18A1" w:rsidP="009F18A1">
      <w:pPr>
        <w:rPr>
          <w:lang w:val="en-US"/>
        </w:rPr>
      </w:pPr>
      <w:r w:rsidRPr="005078DB">
        <w:rPr>
          <w:lang w:val="en-US"/>
        </w:rPr>
        <w:t xml:space="preserve">The eligibility criteria for </w:t>
      </w:r>
      <w:r>
        <w:rPr>
          <w:lang w:val="en-US"/>
        </w:rPr>
        <w:t>embedded</w:t>
      </w:r>
      <w:r w:rsidRPr="005078DB">
        <w:rPr>
          <w:lang w:val="en-US"/>
        </w:rPr>
        <w:t xml:space="preserve"> derivatives </w:t>
      </w:r>
      <w:proofErr w:type="gramStart"/>
      <w:r w:rsidRPr="005078DB">
        <w:rPr>
          <w:lang w:val="en-US"/>
        </w:rPr>
        <w:t>should be specified</w:t>
      </w:r>
      <w:proofErr w:type="gramEnd"/>
      <w:r w:rsidRPr="005078DB">
        <w:rPr>
          <w:lang w:val="en-US"/>
        </w:rPr>
        <w:t xml:space="preserve"> in the directive.</w:t>
      </w:r>
    </w:p>
    <w:p w14:paraId="33D2BA70" w14:textId="0A144FFE" w:rsidR="00667FF6" w:rsidRDefault="009F18A1" w:rsidP="009F18A1">
      <w:r w:rsidRPr="005078DB">
        <w:rPr>
          <w:lang w:val="en-US"/>
        </w:rPr>
        <w:t xml:space="preserve">Concerning UCIs, it should be noted that the AMF 2011-19 doctrine </w:t>
      </w:r>
      <w:r>
        <w:rPr>
          <w:lang w:val="en-US"/>
        </w:rPr>
        <w:t xml:space="preserve">in France </w:t>
      </w:r>
      <w:r w:rsidRPr="005078DB">
        <w:rPr>
          <w:lang w:val="en-US"/>
        </w:rPr>
        <w:t xml:space="preserve">requires that the exposure </w:t>
      </w:r>
      <w:r>
        <w:rPr>
          <w:lang w:val="en-US"/>
        </w:rPr>
        <w:t>for fund of funds</w:t>
      </w:r>
      <w:r w:rsidRPr="005078DB">
        <w:rPr>
          <w:lang w:val="en-US"/>
        </w:rPr>
        <w:t xml:space="preserve"> </w:t>
      </w:r>
      <w:proofErr w:type="gramStart"/>
      <w:r w:rsidRPr="005078DB">
        <w:rPr>
          <w:lang w:val="en-US"/>
        </w:rPr>
        <w:t>is</w:t>
      </w:r>
      <w:proofErr w:type="gramEnd"/>
      <w:r w:rsidRPr="005078DB">
        <w:rPr>
          <w:lang w:val="en-US"/>
        </w:rPr>
        <w:t xml:space="preserve"> c</w:t>
      </w:r>
      <w:r>
        <w:rPr>
          <w:lang w:val="en-US"/>
        </w:rPr>
        <w:t>omputed</w:t>
      </w:r>
      <w:r w:rsidRPr="005078DB">
        <w:rPr>
          <w:lang w:val="en-US"/>
        </w:rPr>
        <w:t xml:space="preserve"> </w:t>
      </w:r>
      <w:r w:rsidRPr="00A25D48">
        <w:rPr>
          <w:lang w:val="en-US"/>
        </w:rPr>
        <w:t>on a look-through basis</w:t>
      </w:r>
      <w:r>
        <w:rPr>
          <w:lang w:val="en-US"/>
        </w:rPr>
        <w:t xml:space="preserve"> </w:t>
      </w:r>
      <w:r w:rsidRPr="005078DB">
        <w:rPr>
          <w:lang w:val="en-US"/>
        </w:rPr>
        <w:t>with several calculation methods, depending on the level of information available on the underlying fund</w:t>
      </w:r>
      <w:r>
        <w:rPr>
          <w:lang w:val="en-US"/>
        </w:rPr>
        <w:t>. It seems that t</w:t>
      </w:r>
      <w:r w:rsidRPr="005078DB">
        <w:rPr>
          <w:lang w:val="en-US"/>
        </w:rPr>
        <w:t>h</w:t>
      </w:r>
      <w:r>
        <w:rPr>
          <w:lang w:val="en-US"/>
        </w:rPr>
        <w:t>is look-through</w:t>
      </w:r>
      <w:r w:rsidRPr="005078DB">
        <w:rPr>
          <w:lang w:val="en-US"/>
        </w:rPr>
        <w:t xml:space="preserve"> </w:t>
      </w:r>
      <w:r>
        <w:rPr>
          <w:lang w:val="en-US"/>
        </w:rPr>
        <w:t>methodology</w:t>
      </w:r>
      <w:r w:rsidRPr="005078DB">
        <w:rPr>
          <w:lang w:val="en-US"/>
        </w:rPr>
        <w:t xml:space="preserve"> does not exist in other jurisdictions</w:t>
      </w:r>
      <w:r>
        <w:rPr>
          <w:lang w:val="en-US"/>
        </w:rPr>
        <w:t xml:space="preserve">. </w:t>
      </w:r>
      <w:r w:rsidRPr="005078DB">
        <w:rPr>
          <w:lang w:val="en-US"/>
        </w:rPr>
        <w:t xml:space="preserve">The </w:t>
      </w:r>
      <w:r>
        <w:rPr>
          <w:lang w:val="en-US"/>
        </w:rPr>
        <w:t>approach</w:t>
      </w:r>
      <w:r w:rsidRPr="005078DB">
        <w:rPr>
          <w:lang w:val="en-US"/>
        </w:rPr>
        <w:t xml:space="preserve"> for </w:t>
      </w:r>
      <w:r>
        <w:rPr>
          <w:lang w:val="en-US"/>
        </w:rPr>
        <w:t>fund of funds</w:t>
      </w:r>
      <w:r w:rsidRPr="005078DB">
        <w:rPr>
          <w:lang w:val="en-US"/>
        </w:rPr>
        <w:t xml:space="preserve"> </w:t>
      </w:r>
      <w:proofErr w:type="gramStart"/>
      <w:r w:rsidRPr="005078DB">
        <w:rPr>
          <w:lang w:val="en-US"/>
        </w:rPr>
        <w:t>should be</w:t>
      </w:r>
      <w:r>
        <w:rPr>
          <w:lang w:val="en-US"/>
        </w:rPr>
        <w:t xml:space="preserve"> clarified</w:t>
      </w:r>
      <w:proofErr w:type="gramEnd"/>
      <w:r>
        <w:rPr>
          <w:lang w:val="en-US"/>
        </w:rPr>
        <w:t xml:space="preserve"> </w:t>
      </w:r>
      <w:r w:rsidRPr="005078DB">
        <w:rPr>
          <w:lang w:val="en-US"/>
        </w:rPr>
        <w:t>in the directive</w:t>
      </w:r>
      <w:r>
        <w:rPr>
          <w:lang w:val="en-US"/>
        </w:rPr>
        <w:t xml:space="preserve"> to homogenize across the UE</w:t>
      </w:r>
      <w:r w:rsidR="003C6DB2">
        <w:rPr>
          <w:lang w:val="en-US"/>
        </w:rPr>
        <w:t>.</w:t>
      </w:r>
    </w:p>
    <w:permEnd w:id="1004748421"/>
    <w:p w14:paraId="36473833" w14:textId="77777777"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lastRenderedPageBreak/>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57C1BB11" w14:textId="77777777" w:rsidR="00667FF6" w:rsidRDefault="00667FF6" w:rsidP="00667FF6">
      <w:permStart w:id="1208368603" w:edGrp="everyone"/>
      <w:r>
        <w:t>TYPE YOUR TEXT HERE</w:t>
      </w:r>
    </w:p>
    <w:permEnd w:id="1208368603"/>
    <w:p w14:paraId="3E326846" w14:textId="77777777"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519888CB" w14:textId="77777777" w:rsidR="00667FF6" w:rsidRDefault="00667FF6" w:rsidP="00667FF6">
      <w:permStart w:id="160252285" w:edGrp="everyone"/>
      <w:r>
        <w:t>TYPE YOUR TEXT HERE</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lastRenderedPageBreak/>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0D9B0D6E" w14:textId="77777777" w:rsidR="008559C3" w:rsidRPr="005905C5" w:rsidRDefault="008559C3" w:rsidP="008559C3">
      <w:pPr>
        <w:shd w:val="clear" w:color="auto" w:fill="FFFFFF"/>
        <w:spacing w:after="0" w:line="240" w:lineRule="auto"/>
        <w:jc w:val="left"/>
        <w:rPr>
          <w:lang w:val="en-US"/>
        </w:rPr>
      </w:pPr>
      <w:permStart w:id="478484191" w:edGrp="everyone"/>
      <w:r w:rsidRPr="005905C5">
        <w:rPr>
          <w:lang w:val="en-US"/>
        </w:rPr>
        <w:t>Specify the exclusion of derivative products in exposure to the 100% limit</w:t>
      </w:r>
      <w:r>
        <w:rPr>
          <w:lang w:val="en-US"/>
        </w:rPr>
        <w:t xml:space="preserve"> in the UCITs Directive</w:t>
      </w:r>
      <w:r w:rsidRPr="005905C5">
        <w:rPr>
          <w:lang w:val="en-US"/>
        </w:rPr>
        <w:t>:</w:t>
      </w:r>
      <w:r w:rsidRPr="005905C5">
        <w:rPr>
          <w:rFonts w:hint="eastAsia"/>
          <w:lang w:val="en-US"/>
        </w:rPr>
        <w:t> </w:t>
      </w:r>
    </w:p>
    <w:p w14:paraId="105EE930" w14:textId="77777777" w:rsidR="008559C3" w:rsidRPr="005905C5" w:rsidRDefault="008559C3" w:rsidP="008559C3">
      <w:pPr>
        <w:shd w:val="clear" w:color="auto" w:fill="FFFFFF"/>
        <w:spacing w:after="0" w:line="240" w:lineRule="auto"/>
        <w:jc w:val="left"/>
        <w:rPr>
          <w:lang w:val="en-US"/>
        </w:rPr>
      </w:pPr>
    </w:p>
    <w:p w14:paraId="2424A111" w14:textId="03691BF5" w:rsidR="008559C3" w:rsidRPr="005905C5" w:rsidRDefault="008559C3" w:rsidP="008559C3">
      <w:pPr>
        <w:shd w:val="clear" w:color="auto" w:fill="FFFFFF"/>
        <w:spacing w:after="0" w:line="240" w:lineRule="auto"/>
        <w:jc w:val="left"/>
        <w:rPr>
          <w:lang w:val="en-US"/>
        </w:rPr>
      </w:pPr>
      <w:proofErr w:type="gramStart"/>
      <w:r w:rsidRPr="005905C5">
        <w:rPr>
          <w:color w:val="auto"/>
          <w:lang w:val="en-US"/>
        </w:rPr>
        <w:t>According to</w:t>
      </w:r>
      <w:r>
        <w:rPr>
          <w:color w:val="auto"/>
          <w:lang w:val="en-US"/>
        </w:rPr>
        <w:t xml:space="preserve"> </w:t>
      </w:r>
      <w:r w:rsidRPr="005905C5">
        <w:rPr>
          <w:lang w:val="en-US"/>
        </w:rPr>
        <w:t>our analysis of Articles 51, 52 and 54 of D</w:t>
      </w:r>
      <w:r w:rsidR="00AF5CE2">
        <w:rPr>
          <w:lang w:val="en-US"/>
        </w:rPr>
        <w:t>irective</w:t>
      </w:r>
      <w:r w:rsidRPr="005905C5">
        <w:rPr>
          <w:lang w:val="en-US"/>
        </w:rPr>
        <w:t xml:space="preserve"> 2009/65/EC on risk sharing rules (division rules) for transferable securities and money market instruments issued or guaranteed by a Member State, its local authorities, a third country or by an international public body of which one or more Member States are part, derivatives should only be considered for the </w:t>
      </w:r>
      <w:r w:rsidRPr="005905C5">
        <w:rPr>
          <w:color w:val="auto"/>
          <w:lang w:val="en-US"/>
        </w:rPr>
        <w:t>35% limit and not the 100% limit.</w:t>
      </w:r>
      <w:proofErr w:type="gramEnd"/>
      <w:r w:rsidRPr="005905C5">
        <w:rPr>
          <w:color w:val="auto"/>
          <w:lang w:val="en-US"/>
        </w:rPr>
        <w:t xml:space="preserve"> However, the answer given to Question 3 - Concentration Rules - Q&amp;A 1199 of ESMA 34-43392 </w:t>
      </w:r>
      <w:r w:rsidRPr="005905C5">
        <w:rPr>
          <w:lang w:val="en-US"/>
        </w:rPr>
        <w:t xml:space="preserve">Q&amp;A </w:t>
      </w:r>
      <w:proofErr w:type="gramStart"/>
      <w:r w:rsidRPr="005905C5">
        <w:rPr>
          <w:lang w:val="en-US"/>
        </w:rPr>
        <w:t>UCITS,</w:t>
      </w:r>
      <w:proofErr w:type="gramEnd"/>
      <w:r w:rsidRPr="005905C5">
        <w:rPr>
          <w:lang w:val="en-US"/>
        </w:rPr>
        <w:t xml:space="preserve"> indicates that derivatives must be taken into account for the calculation of the 100% limit, but this is not the </w:t>
      </w:r>
      <w:r>
        <w:rPr>
          <w:lang w:val="en-US"/>
        </w:rPr>
        <w:t xml:space="preserve">market </w:t>
      </w:r>
      <w:r w:rsidRPr="005905C5">
        <w:rPr>
          <w:lang w:val="en-US"/>
        </w:rPr>
        <w:t>practice</w:t>
      </w:r>
      <w:r>
        <w:rPr>
          <w:lang w:val="en-US"/>
        </w:rPr>
        <w:t>.</w:t>
      </w:r>
    </w:p>
    <w:p w14:paraId="2C43DFB8" w14:textId="77777777" w:rsidR="008559C3" w:rsidRPr="005905C5" w:rsidRDefault="008559C3" w:rsidP="008559C3">
      <w:pPr>
        <w:shd w:val="clear" w:color="auto" w:fill="FFFFFF"/>
        <w:spacing w:after="0" w:line="240" w:lineRule="auto"/>
        <w:jc w:val="left"/>
        <w:rPr>
          <w:lang w:val="en-US"/>
        </w:rPr>
      </w:pPr>
    </w:p>
    <w:p w14:paraId="3D007DCF" w14:textId="7CA7F1A8" w:rsidR="00667FF6" w:rsidRDefault="008559C3" w:rsidP="00667FF6">
      <w:r w:rsidRPr="005905C5">
        <w:rPr>
          <w:lang w:val="en-US"/>
        </w:rPr>
        <w:t xml:space="preserve">The texts </w:t>
      </w:r>
      <w:proofErr w:type="gramStart"/>
      <w:r w:rsidRPr="005905C5">
        <w:rPr>
          <w:lang w:val="en-US"/>
        </w:rPr>
        <w:t>should be clarified</w:t>
      </w:r>
      <w:proofErr w:type="gramEnd"/>
      <w:r>
        <w:rPr>
          <w:lang w:val="en-US"/>
        </w:rPr>
        <w:t xml:space="preserve"> (or the </w:t>
      </w:r>
      <w:r w:rsidRPr="00D301B7">
        <w:rPr>
          <w:color w:val="auto"/>
          <w:lang w:val="en-US"/>
        </w:rPr>
        <w:t xml:space="preserve">Question 3 - Concentration Rules - Q&amp;A 1199 </w:t>
      </w:r>
      <w:r>
        <w:rPr>
          <w:color w:val="auto"/>
          <w:lang w:val="en-US"/>
        </w:rPr>
        <w:t>deleted</w:t>
      </w:r>
      <w:r>
        <w:rPr>
          <w:lang w:val="en-US"/>
        </w:rPr>
        <w:t>)</w:t>
      </w:r>
      <w:r w:rsidRPr="005905C5">
        <w:rPr>
          <w:lang w:val="en-US"/>
        </w:rPr>
        <w:t>.</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4"/>
      <w:footerReference w:type="even" r:id="rId25"/>
      <w:footerReference w:type="default" r:id="rId26"/>
      <w:footerReference w:type="first" r:id="rId27"/>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729C" w14:textId="77777777" w:rsidR="00462824" w:rsidRDefault="00462824" w:rsidP="007E7997">
      <w:pPr>
        <w:spacing w:line="240" w:lineRule="auto"/>
      </w:pPr>
      <w:r>
        <w:separator/>
      </w:r>
    </w:p>
  </w:endnote>
  <w:endnote w:type="continuationSeparator" w:id="0">
    <w:p w14:paraId="71848F05" w14:textId="77777777" w:rsidR="00462824" w:rsidRDefault="00462824" w:rsidP="007E7997">
      <w:pPr>
        <w:spacing w:line="240" w:lineRule="auto"/>
      </w:pPr>
      <w:r>
        <w:continuationSeparator/>
      </w:r>
    </w:p>
  </w:endnote>
  <w:endnote w:type="continuationNotice" w:id="1">
    <w:p w14:paraId="25F1FE12" w14:textId="77777777" w:rsidR="00462824" w:rsidRDefault="00462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AD4B" w14:textId="77777777" w:rsidR="00A42958" w:rsidRDefault="00A429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0BC547F"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r w:rsidRPr="00A8626B">
            <w:rPr>
              <w:rStyle w:val="Lienhypertexte"/>
              <w:sz w:val="15"/>
              <w:szCs w:val="15"/>
              <w:lang w:val="fr-BE"/>
            </w:rPr>
            <w:t>europa</w:t>
          </w:r>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C77D11">
          <w:rPr>
            <w:noProof/>
            <w:lang w:val="fr-FR"/>
          </w:rPr>
          <w:t>3</w:t>
        </w:r>
        <w:r w:rsidR="006A44D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4080" w14:textId="77777777" w:rsidR="00A42958" w:rsidRDefault="00A4295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3FA4" w14:textId="77777777" w:rsidR="00A42958" w:rsidRDefault="00A4295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5AA6C61A" w14:textId="6B1006A6" w:rsidR="006A44DA" w:rsidRDefault="006A44DA" w:rsidP="00B73281">
        <w:pPr>
          <w:pStyle w:val="Pieddepage"/>
          <w:jc w:val="right"/>
        </w:pPr>
        <w:r>
          <w:fldChar w:fldCharType="begin"/>
        </w:r>
        <w:r>
          <w:instrText xml:space="preserve"> PAGE   \* MERGEFORMAT </w:instrText>
        </w:r>
        <w:r>
          <w:fldChar w:fldCharType="separate"/>
        </w:r>
        <w:r w:rsidR="00C77D11">
          <w:rPr>
            <w:noProof/>
          </w:rPr>
          <w:t>23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DFC5" w14:textId="77777777" w:rsidR="00A42958" w:rsidRDefault="00A42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F5A9" w14:textId="77777777" w:rsidR="00462824" w:rsidRDefault="00462824" w:rsidP="007E7997">
      <w:pPr>
        <w:spacing w:line="240" w:lineRule="auto"/>
      </w:pPr>
      <w:r>
        <w:separator/>
      </w:r>
    </w:p>
  </w:footnote>
  <w:footnote w:type="continuationSeparator" w:id="0">
    <w:p w14:paraId="61C0E917" w14:textId="77777777" w:rsidR="00462824" w:rsidRDefault="00462824" w:rsidP="007E7997">
      <w:pPr>
        <w:spacing w:line="240" w:lineRule="auto"/>
      </w:pPr>
      <w:r>
        <w:continuationSeparator/>
      </w:r>
    </w:p>
  </w:footnote>
  <w:footnote w:type="continuationNotice" w:id="1">
    <w:p w14:paraId="61DA64BC" w14:textId="77777777" w:rsidR="00462824" w:rsidRDefault="00462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2034" w14:textId="0E930342" w:rsidR="00D77369" w:rsidRPr="008858FE" w:rsidRDefault="00D77369" w:rsidP="008858FE">
    <w:pPr>
      <w:pStyle w:val="En-tte"/>
      <w:rPr>
        <w:bCs/>
        <w:caps/>
        <w:color w:val="FF0000" w:themeColor="accent6"/>
        <w:sz w:val="22"/>
      </w:rPr>
    </w:pPr>
    <w:r w:rsidRPr="008858FE">
      <w:rPr>
        <w:rStyle w:val="ESMAConfidentialRestricted"/>
        <w:noProof/>
        <w:lang w:val="fr-FR" w:eastAsia="fr-FR"/>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En-tte"/>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fr-FR" w:eastAsia="fr-FR"/>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fr-FR" w:eastAsia="fr-FR"/>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fr-FR" w:eastAsia="fr-FR"/>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65A2"/>
    <w:multiLevelType w:val="hybridMultilevel"/>
    <w:tmpl w:val="1CDEB2A8"/>
    <w:lvl w:ilvl="0" w:tplc="4B2C2DB8">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67B4E"/>
    <w:multiLevelType w:val="hybridMultilevel"/>
    <w:tmpl w:val="69FAFEAE"/>
    <w:lvl w:ilvl="0" w:tplc="040C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11604DDD"/>
    <w:multiLevelType w:val="hybridMultilevel"/>
    <w:tmpl w:val="59C8A776"/>
    <w:lvl w:ilvl="0" w:tplc="040C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B432D"/>
    <w:multiLevelType w:val="hybridMultilevel"/>
    <w:tmpl w:val="BC602C3C"/>
    <w:lvl w:ilvl="0" w:tplc="040C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5366C60"/>
    <w:multiLevelType w:val="hybridMultilevel"/>
    <w:tmpl w:val="F1420F34"/>
    <w:lvl w:ilvl="0" w:tplc="9E3AC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EF3A20"/>
    <w:multiLevelType w:val="hybridMultilevel"/>
    <w:tmpl w:val="8A3A3334"/>
    <w:lvl w:ilvl="0" w:tplc="040C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4EBF39DD"/>
    <w:multiLevelType w:val="hybridMultilevel"/>
    <w:tmpl w:val="3034C1CC"/>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5"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6"/>
  </w:num>
  <w:num w:numId="4">
    <w:abstractNumId w:val="7"/>
  </w:num>
  <w:num w:numId="5">
    <w:abstractNumId w:val="0"/>
  </w:num>
  <w:num w:numId="6">
    <w:abstractNumId w:val="9"/>
  </w:num>
  <w:num w:numId="7">
    <w:abstractNumId w:val="19"/>
  </w:num>
  <w:num w:numId="8">
    <w:abstractNumId w:val="5"/>
  </w:num>
  <w:num w:numId="9">
    <w:abstractNumId w:val="17"/>
  </w:num>
  <w:num w:numId="10">
    <w:abstractNumId w:val="15"/>
  </w:num>
  <w:num w:numId="11">
    <w:abstractNumId w:val="11"/>
  </w:num>
  <w:num w:numId="12">
    <w:abstractNumId w:val="11"/>
    <w:lvlOverride w:ilvl="0">
      <w:startOverride w:val="1"/>
    </w:lvlOverride>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6"/>
  </w:num>
  <w:num w:numId="19">
    <w:abstractNumId w:val="3"/>
  </w:num>
  <w:num w:numId="20">
    <w:abstractNumId w:val="12"/>
  </w:num>
  <w:num w:numId="21">
    <w:abstractNumId w:val="1"/>
  </w:num>
  <w:num w:numId="22">
    <w:abstractNumId w:val="12"/>
    <w:lvlOverride w:ilvl="0">
      <w:startOverride w:val="1"/>
    </w:lvlOverride>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9A9"/>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127"/>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3741"/>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534"/>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16A"/>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CE1"/>
    <w:rsid w:val="003C4EB5"/>
    <w:rsid w:val="003C5050"/>
    <w:rsid w:val="003C50CE"/>
    <w:rsid w:val="003C5288"/>
    <w:rsid w:val="003C537A"/>
    <w:rsid w:val="003C5D75"/>
    <w:rsid w:val="003C6BC5"/>
    <w:rsid w:val="003C6DB2"/>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07"/>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3B1"/>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C8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9B1"/>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6"/>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C62"/>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6D7A"/>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1B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AB3"/>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749"/>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9C3"/>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898"/>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5A3"/>
    <w:rsid w:val="00947A09"/>
    <w:rsid w:val="00950011"/>
    <w:rsid w:val="00950B2F"/>
    <w:rsid w:val="00950E68"/>
    <w:rsid w:val="00950F6E"/>
    <w:rsid w:val="009518FD"/>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57EE3"/>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439"/>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B1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915"/>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8A1"/>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958"/>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5CE2"/>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1FCF"/>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9C1"/>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948"/>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2B21"/>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D11"/>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4A62"/>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438"/>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9E"/>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Emphaseple">
    <w:name w:val="Subtle Emphasis"/>
    <w:basedOn w:val="Policepardfaut"/>
    <w:uiPriority w:val="19"/>
    <w:qFormat/>
    <w:rsid w:val="00AA054E"/>
    <w:rPr>
      <w:i/>
      <w:iCs/>
      <w:color w:val="0055F7" w:themeColor="text1" w:themeTint="BF"/>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Policepardfau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customStyle="1" w:styleId="UnresolvedMention">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customStyle="1"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character" w:customStyle="1" w:styleId="systrantokenbase">
    <w:name w:val="systran_token_base"/>
    <w:basedOn w:val="Policepardfaut"/>
    <w:rsid w:val="004A1C84"/>
  </w:style>
  <w:style w:type="character" w:customStyle="1" w:styleId="systranspace">
    <w:name w:val="systran_space"/>
    <w:basedOn w:val="Policepardfaut"/>
    <w:rsid w:val="004A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00424792">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jpeg"/><Relationship Id="rId18" Type="http://schemas.openxmlformats.org/officeDocument/2006/relationships/hyperlink" Target="https://www.esma.europa.eu/about-esma/data-protectio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06"/>
    <w:rsid w:val="000D3BDB"/>
    <w:rsid w:val="00171343"/>
    <w:rsid w:val="002826FB"/>
    <w:rsid w:val="002F71C9"/>
    <w:rsid w:val="003C3A27"/>
    <w:rsid w:val="003E2607"/>
    <w:rsid w:val="004E4CF9"/>
    <w:rsid w:val="00747575"/>
    <w:rsid w:val="00813189"/>
    <w:rsid w:val="008222A0"/>
    <w:rsid w:val="00836D4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purl.org/dc/terms/"/>
    <ds:schemaRef ds:uri="http://schemas.openxmlformats.org/package/2006/metadata/core-properties"/>
    <ds:schemaRef ds:uri="http://schemas.microsoft.com/office/2006/documentManagement/types"/>
    <ds:schemaRef ds:uri="d0fb0f98-34f9-4d57-9559-eb8efd17aa5e"/>
    <ds:schemaRef ds:uri="http://schemas.microsoft.com/office/infopath/2007/PartnerControls"/>
    <ds:schemaRef ds:uri="http://purl.org/dc/elements/1.1/"/>
    <ds:schemaRef ds:uri="http://schemas.microsoft.com/office/2006/metadata/properties"/>
    <ds:schemaRef ds:uri="6992b194-ece9-4b26-973e-e25c2ee2cdcd"/>
    <ds:schemaRef ds:uri="http://www.w3.org/XML/1998/namespace"/>
    <ds:schemaRef ds:uri="http://purl.org/dc/dcmitype/"/>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59F0C57B-D3AC-400E-AEE7-C2B2EA3C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7946</Words>
  <Characters>43708</Characters>
  <Application>Microsoft Office Word</Application>
  <DocSecurity>8</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BYL Olivier</cp:lastModifiedBy>
  <cp:revision>3</cp:revision>
  <cp:lastPrinted>2023-09-09T09:53:00Z</cp:lastPrinted>
  <dcterms:created xsi:type="dcterms:W3CDTF">2024-07-25T09:59:00Z</dcterms:created>
  <dcterms:modified xsi:type="dcterms:W3CDTF">2024-07-25T10:02:00Z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y fmtid="{D5CDD505-2E9C-101B-9397-08002B2CF9AE}" pid="17" name="MSIP_Label_48ed5431-0ab7-4c1b-98f4-d4e50f674d02_Enabled">
    <vt:lpwstr>true</vt:lpwstr>
  </property>
  <property fmtid="{D5CDD505-2E9C-101B-9397-08002B2CF9AE}" pid="18" name="MSIP_Label_48ed5431-0ab7-4c1b-98f4-d4e50f674d02_SetDate">
    <vt:lpwstr>2024-07-19T09:22:15Z</vt:lpwstr>
  </property>
  <property fmtid="{D5CDD505-2E9C-101B-9397-08002B2CF9AE}" pid="19" name="MSIP_Label_48ed5431-0ab7-4c1b-98f4-d4e50f674d02_Method">
    <vt:lpwstr>Privileged</vt:lpwstr>
  </property>
  <property fmtid="{D5CDD505-2E9C-101B-9397-08002B2CF9AE}" pid="20" name="MSIP_Label_48ed5431-0ab7-4c1b-98f4-d4e50f674d02_Name">
    <vt:lpwstr>48ed5431-0ab7-4c1b-98f4-d4e50f674d02</vt:lpwstr>
  </property>
  <property fmtid="{D5CDD505-2E9C-101B-9397-08002B2CF9AE}" pid="21" name="MSIP_Label_48ed5431-0ab7-4c1b-98f4-d4e50f674d02_SiteId">
    <vt:lpwstr>614f9c25-bffa-42c7-86d8-964101f55fa2</vt:lpwstr>
  </property>
  <property fmtid="{D5CDD505-2E9C-101B-9397-08002B2CF9AE}" pid="22" name="MSIP_Label_48ed5431-0ab7-4c1b-98f4-d4e50f674d02_ActionId">
    <vt:lpwstr>3dfcc57b-0902-42cf-858d-55cfec303483</vt:lpwstr>
  </property>
  <property fmtid="{D5CDD505-2E9C-101B-9397-08002B2CF9AE}" pid="23" name="MSIP_Label_48ed5431-0ab7-4c1b-98f4-d4e50f674d02_ContentBits">
    <vt:lpwstr>0</vt:lpwstr>
  </property>
  <property fmtid="{D5CDD505-2E9C-101B-9397-08002B2CF9AE}" pid="24" name="MSIP_Label_74959cb2-1791-4379-ac27-73c7defdb1e7_Enabled">
    <vt:lpwstr>true</vt:lpwstr>
  </property>
  <property fmtid="{D5CDD505-2E9C-101B-9397-08002B2CF9AE}" pid="25" name="MSIP_Label_74959cb2-1791-4379-ac27-73c7defdb1e7_SetDate">
    <vt:lpwstr>2024-07-19T18:15:55Z</vt:lpwstr>
  </property>
  <property fmtid="{D5CDD505-2E9C-101B-9397-08002B2CF9AE}" pid="26" name="MSIP_Label_74959cb2-1791-4379-ac27-73c7defdb1e7_Method">
    <vt:lpwstr>Standard</vt:lpwstr>
  </property>
  <property fmtid="{D5CDD505-2E9C-101B-9397-08002B2CF9AE}" pid="27" name="MSIP_Label_74959cb2-1791-4379-ac27-73c7defdb1e7_Name">
    <vt:lpwstr>C2-Usage Interne</vt:lpwstr>
  </property>
  <property fmtid="{D5CDD505-2E9C-101B-9397-08002B2CF9AE}" pid="28" name="MSIP_Label_74959cb2-1791-4379-ac27-73c7defdb1e7_SiteId">
    <vt:lpwstr>fb3baf17-c313-474c-8d5d-577a3ec97a32</vt:lpwstr>
  </property>
  <property fmtid="{D5CDD505-2E9C-101B-9397-08002B2CF9AE}" pid="29" name="MSIP_Label_74959cb2-1791-4379-ac27-73c7defdb1e7_ActionId">
    <vt:lpwstr>858d295f-7a7d-47b9-8d6a-b1e35a9633b5</vt:lpwstr>
  </property>
  <property fmtid="{D5CDD505-2E9C-101B-9397-08002B2CF9AE}" pid="30" name="MSIP_Label_74959cb2-1791-4379-ac27-73c7defdb1e7_ContentBits">
    <vt:lpwstr>2</vt:lpwstr>
  </property>
</Properties>
</file>