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F7FE" w14:textId="05BFA884" w:rsidR="66107C87" w:rsidRPr="00217605" w:rsidRDefault="7C53680C" w:rsidP="3FE99FEE">
      <w:pPr>
        <w:spacing w:after="250" w:line="276" w:lineRule="auto"/>
        <w:jc w:val="both"/>
        <w:rPr>
          <w:rFonts w:ascii="Arial" w:eastAsia="MS PGothic" w:hAnsi="Arial" w:cs="Arial"/>
          <w:b/>
          <w:bCs/>
          <w:color w:val="181818"/>
          <w:lang w:val="fr-FR"/>
        </w:rPr>
      </w:pPr>
      <w:r w:rsidRPr="00217605">
        <w:rPr>
          <w:rFonts w:ascii="Arial" w:eastAsia="MS PGothic" w:hAnsi="Arial" w:cs="Arial"/>
          <w:b/>
          <w:bCs/>
          <w:color w:val="181818"/>
          <w:lang w:val="fr-FR"/>
        </w:rPr>
        <w:t xml:space="preserve">Annex </w:t>
      </w:r>
      <w:r w:rsidR="2A636CE1" w:rsidRPr="00217605">
        <w:rPr>
          <w:rFonts w:ascii="Arial" w:eastAsia="MS PGothic" w:hAnsi="Arial" w:cs="Arial"/>
          <w:b/>
          <w:bCs/>
          <w:color w:val="181818"/>
          <w:lang w:val="fr-FR"/>
        </w:rPr>
        <w:t xml:space="preserve">– </w:t>
      </w:r>
      <w:r w:rsidR="002F58FB" w:rsidRPr="00217605">
        <w:rPr>
          <w:rFonts w:ascii="Arial" w:eastAsia="MS PGothic" w:hAnsi="Arial" w:cs="Arial"/>
          <w:b/>
          <w:bCs/>
          <w:color w:val="181818"/>
          <w:lang w:val="fr-FR"/>
        </w:rPr>
        <w:t>Question 20</w:t>
      </w:r>
      <w:r w:rsidR="00394809" w:rsidRPr="00217605">
        <w:rPr>
          <w:rFonts w:ascii="Arial" w:eastAsia="MS PGothic" w:hAnsi="Arial" w:cs="Arial"/>
          <w:b/>
          <w:bCs/>
          <w:color w:val="181818"/>
          <w:lang w:val="fr-FR"/>
        </w:rPr>
        <w:t>.</w:t>
      </w:r>
      <w:r w:rsidR="002D58CD" w:rsidRPr="00217605">
        <w:rPr>
          <w:rFonts w:ascii="Arial" w:eastAsia="MS PGothic" w:hAnsi="Arial" w:cs="Arial"/>
          <w:b/>
          <w:bCs/>
          <w:color w:val="181818"/>
          <w:lang w:val="fr-FR"/>
        </w:rPr>
        <w:t xml:space="preserve"> </w:t>
      </w:r>
      <w:r w:rsidR="00394809" w:rsidRPr="00217605">
        <w:rPr>
          <w:rFonts w:ascii="Arial" w:eastAsia="MS PGothic" w:hAnsi="Arial" w:cs="Arial"/>
          <w:b/>
          <w:bCs/>
          <w:color w:val="181818"/>
          <w:lang w:val="fr-FR"/>
        </w:rPr>
        <w:t>T</w:t>
      </w:r>
      <w:r w:rsidR="002D58CD" w:rsidRPr="00217605">
        <w:rPr>
          <w:rFonts w:ascii="Arial" w:eastAsia="MS PGothic" w:hAnsi="Arial" w:cs="Arial"/>
          <w:b/>
          <w:bCs/>
          <w:color w:val="181818"/>
          <w:lang w:val="fr-FR"/>
        </w:rPr>
        <w:t xml:space="preserve">able on </w:t>
      </w:r>
      <w:r w:rsidR="0048151A" w:rsidRPr="00217605">
        <w:rPr>
          <w:rFonts w:ascii="Arial" w:eastAsia="MS PGothic" w:hAnsi="Arial" w:cs="Arial"/>
          <w:b/>
          <w:bCs/>
          <w:color w:val="181818"/>
          <w:lang w:val="fr-FR"/>
        </w:rPr>
        <w:t xml:space="preserve">eligible assets </w:t>
      </w:r>
      <w:r w:rsidR="002F58FB" w:rsidRPr="00217605">
        <w:rPr>
          <w:rFonts w:ascii="Arial" w:eastAsia="MS PGothic" w:hAnsi="Arial" w:cs="Arial"/>
          <w:b/>
          <w:bCs/>
          <w:color w:val="181818"/>
          <w:lang w:val="fr-FR"/>
        </w:rPr>
        <w:t>UCITS EAD</w:t>
      </w:r>
      <w:r w:rsidR="53D130EB" w:rsidRPr="00217605">
        <w:rPr>
          <w:rFonts w:ascii="Arial" w:eastAsia="MS PGothic" w:hAnsi="Arial" w:cs="Arial"/>
          <w:b/>
          <w:bCs/>
          <w:color w:val="181818"/>
          <w:lang w:val="fr-FR"/>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taking into account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0" w:history="1">
        <w:r w:rsidR="00901098" w:rsidRPr="00150222">
          <w:rPr>
            <w:rStyle w:val="Hipervnculo"/>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
      <w:tblGrid>
        <w:gridCol w:w="2095"/>
        <w:gridCol w:w="1683"/>
        <w:gridCol w:w="1776"/>
        <w:gridCol w:w="2060"/>
        <w:gridCol w:w="1706"/>
      </w:tblGrid>
      <w:tr w:rsidR="00B33432" w:rsidRPr="00B33432" w14:paraId="42644C63" w14:textId="77777777" w:rsidTr="00F278BC">
        <w:tc>
          <w:tcPr>
            <w:tcW w:w="2095"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1683" w:type="dxa"/>
          </w:tcPr>
          <w:p w14:paraId="60F87FED"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Merits of allowing direct UCITS exposures</w:t>
            </w:r>
          </w:p>
        </w:tc>
        <w:tc>
          <w:tcPr>
            <w:tcW w:w="1776" w:type="dxa"/>
          </w:tcPr>
          <w:p w14:paraId="49FEA0C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 xml:space="preserve">Merits of allowing </w:t>
            </w:r>
            <w:r w:rsidRPr="00B33432">
              <w:rPr>
                <w:rFonts w:ascii="Arial" w:hAnsi="Arial" w:cs="Arial"/>
                <w:b/>
                <w:i/>
                <w:color w:val="181818"/>
              </w:rPr>
              <w:t>indirect</w:t>
            </w:r>
            <w:r w:rsidRPr="00B33432">
              <w:rPr>
                <w:rFonts w:ascii="Arial" w:hAnsi="Arial" w:cs="Arial"/>
                <w:b/>
                <w:bCs/>
                <w:color w:val="181818"/>
              </w:rPr>
              <w:t xml:space="preserve"> UCITS exposures</w:t>
            </w:r>
            <w:r w:rsidRPr="00B33432">
              <w:rPr>
                <w:rFonts w:ascii="Arial" w:hAnsi="Arial" w:cs="Arial"/>
                <w:b/>
                <w:bCs/>
                <w:color w:val="181818"/>
                <w:sz w:val="16"/>
                <w:vertAlign w:val="superscript"/>
              </w:rPr>
              <w:footnoteReference w:id="3"/>
            </w:r>
          </w:p>
        </w:tc>
        <w:tc>
          <w:tcPr>
            <w:tcW w:w="2060" w:type="dxa"/>
          </w:tcPr>
          <w:p w14:paraId="5668F975"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Extent/amount of existing UCITS exposures</w:t>
            </w:r>
            <w:r w:rsidRPr="00B33432">
              <w:rPr>
                <w:rFonts w:ascii="Arial" w:hAnsi="Arial" w:cs="Arial"/>
                <w:b/>
                <w:bCs/>
                <w:color w:val="181818"/>
                <w:sz w:val="16"/>
                <w:vertAlign w:val="superscript"/>
              </w:rPr>
              <w:footnoteReference w:id="4"/>
            </w:r>
            <w:r w:rsidRPr="00B33432">
              <w:rPr>
                <w:rFonts w:ascii="Arial" w:hAnsi="Arial" w:cs="Arial"/>
                <w:b/>
                <w:bCs/>
                <w:color w:val="181818"/>
              </w:rPr>
              <w:t xml:space="preserve"> </w:t>
            </w:r>
          </w:p>
        </w:tc>
        <w:tc>
          <w:tcPr>
            <w:tcW w:w="1706" w:type="dxa"/>
          </w:tcPr>
          <w:p w14:paraId="501470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Additional comments</w:t>
            </w:r>
            <w:r w:rsidRPr="00B33432">
              <w:rPr>
                <w:rFonts w:ascii="Arial" w:hAnsi="Arial" w:cs="Arial"/>
                <w:b/>
                <w:bCs/>
                <w:vertAlign w:val="superscript"/>
              </w:rPr>
              <w:footnoteReference w:id="5"/>
            </w:r>
          </w:p>
        </w:tc>
      </w:tr>
      <w:tr w:rsidR="006C4E7B" w:rsidRPr="00B33432" w14:paraId="52801425" w14:textId="77777777" w:rsidTr="00E73389">
        <w:tc>
          <w:tcPr>
            <w:tcW w:w="2095" w:type="dxa"/>
          </w:tcPr>
          <w:p w14:paraId="06FDDDF6" w14:textId="77777777" w:rsidR="006C4E7B" w:rsidRPr="00B33432" w:rsidRDefault="006C4E7B" w:rsidP="006C4E7B">
            <w:pPr>
              <w:spacing w:after="250" w:line="276" w:lineRule="auto"/>
              <w:rPr>
                <w:rFonts w:ascii="Arial" w:hAnsi="Arial" w:cs="Arial"/>
                <w:color w:val="181818"/>
              </w:rPr>
            </w:pPr>
            <w:r w:rsidRPr="00B33432">
              <w:rPr>
                <w:rFonts w:ascii="Arial" w:hAnsi="Arial" w:cs="Arial"/>
              </w:rPr>
              <w:t>1. Loans</w:t>
            </w:r>
            <w:r w:rsidRPr="00B33432">
              <w:rPr>
                <w:rFonts w:ascii="Arial" w:hAnsi="Arial" w:cs="Arial"/>
                <w:sz w:val="16"/>
                <w:vertAlign w:val="superscript"/>
              </w:rPr>
              <w:footnoteReference w:id="6"/>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672A6659"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0E3FC34C"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Via another open-ended or closed-ended CIS/AIF: Allows investment by means of professional management;</w:t>
            </w:r>
          </w:p>
          <w:p w14:paraId="0A37501D" w14:textId="3F340311"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(2) Access to unconventional assets that allow for diversification and negative correlation of the portfolio;</w:t>
            </w: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5DAB6C7B"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02EB378F" w14:textId="49666F74"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​Review the restrictive interpretation and allow for the inclusion in at least Article 50(2)(a) of the UCITS Directive, of both open-ended and closed-ended AIFs.</w:t>
            </w:r>
          </w:p>
        </w:tc>
      </w:tr>
      <w:tr w:rsidR="006C4E7B" w:rsidRPr="00B33432" w14:paraId="131FC414" w14:textId="77777777" w:rsidTr="00E73389">
        <w:tc>
          <w:tcPr>
            <w:tcW w:w="2095" w:type="dxa"/>
          </w:tcPr>
          <w:p w14:paraId="55346258" w14:textId="77777777" w:rsidR="006C4E7B" w:rsidRPr="00B33432" w:rsidRDefault="006C4E7B" w:rsidP="006C4E7B">
            <w:pPr>
              <w:spacing w:after="250" w:line="276" w:lineRule="auto"/>
              <w:rPr>
                <w:rFonts w:ascii="Arial" w:hAnsi="Arial" w:cs="Arial"/>
              </w:rPr>
            </w:pPr>
            <w:r w:rsidRPr="00B33432">
              <w:rPr>
                <w:rFonts w:ascii="Arial" w:hAnsi="Arial" w:cs="Arial"/>
              </w:rPr>
              <w:t>2. Catastrophe bonds (‘Cat bonds’)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6A05A809" w14:textId="79CE8B88"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 xml:space="preserve">​(1) Allow only when the </w:t>
            </w:r>
            <w:r w:rsidRPr="00F03AAB">
              <w:rPr>
                <w:rStyle w:val="normaltextrun"/>
                <w:rFonts w:ascii="Arial" w:hAnsi="Arial" w:cs="Arial"/>
                <w:color w:val="657C9C" w:themeColor="text2" w:themeTint="BF"/>
                <w:bdr w:val="none" w:sz="0" w:space="0" w:color="auto" w:frame="1"/>
              </w:rPr>
              <w:t xml:space="preserve">manager has </w:t>
            </w:r>
            <w:r w:rsidRPr="00F03AAB">
              <w:rPr>
                <w:rStyle w:val="normaltextrun"/>
                <w:rFonts w:ascii="Arial" w:hAnsi="Arial" w:cs="Arial"/>
                <w:color w:val="657C9C" w:themeColor="text2" w:themeTint="BF"/>
                <w:bdr w:val="none" w:sz="0" w:space="0" w:color="auto" w:frame="1"/>
              </w:rPr>
              <w:lastRenderedPageBreak/>
              <w:t>the capacity and the means to value the investment in this type of asset.</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03CBCACF"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lastRenderedPageBreak/>
              <w:t xml:space="preserve">(1) Via Funds: Allows investment by </w:t>
            </w:r>
            <w:r w:rsidRPr="00F03AAB">
              <w:rPr>
                <w:color w:val="657C9C" w:themeColor="text2" w:themeTint="BF"/>
                <w:sz w:val="20"/>
                <w:szCs w:val="20"/>
              </w:rPr>
              <w:lastRenderedPageBreak/>
              <w:t>means of professional management;</w:t>
            </w:r>
          </w:p>
          <w:p w14:paraId="5A39BBE3" w14:textId="3C3017FA"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(2) Access to unconventional assets that allow for diversification and negative correlation of the portfolio;</w:t>
            </w: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41C8F396"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1C14B52E"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Indirect investment via Funds would </w:t>
            </w:r>
            <w:r w:rsidRPr="00F03AAB">
              <w:rPr>
                <w:color w:val="657C9C" w:themeColor="text2" w:themeTint="BF"/>
                <w:sz w:val="20"/>
                <w:szCs w:val="20"/>
              </w:rPr>
              <w:lastRenderedPageBreak/>
              <w:t>require the revision of Article 50(2)(a) of the UCITS Directive.</w:t>
            </w:r>
          </w:p>
          <w:p w14:paraId="617753A4" w14:textId="77777777" w:rsidR="006C4E7B" w:rsidRPr="00F03AAB" w:rsidRDefault="006C4E7B" w:rsidP="006C4E7B">
            <w:pPr>
              <w:pStyle w:val="Default"/>
              <w:spacing w:line="259" w:lineRule="auto"/>
              <w:rPr>
                <w:color w:val="657C9C" w:themeColor="text2" w:themeTint="BF"/>
                <w:sz w:val="20"/>
                <w:szCs w:val="20"/>
              </w:rPr>
            </w:pPr>
          </w:p>
          <w:p w14:paraId="72A3D3EC" w14:textId="77777777" w:rsidR="006C4E7B" w:rsidRPr="00F03AAB" w:rsidRDefault="006C4E7B" w:rsidP="006C4E7B">
            <w:pPr>
              <w:spacing w:after="250" w:line="276" w:lineRule="auto"/>
              <w:jc w:val="both"/>
              <w:rPr>
                <w:rFonts w:ascii="Arial" w:hAnsi="Arial" w:cs="Arial"/>
                <w:color w:val="181818"/>
              </w:rPr>
            </w:pPr>
          </w:p>
        </w:tc>
      </w:tr>
      <w:tr w:rsidR="006C4E7B" w:rsidRPr="00B33432" w14:paraId="756B6A0E" w14:textId="77777777" w:rsidTr="00E73389">
        <w:tc>
          <w:tcPr>
            <w:tcW w:w="2095" w:type="dxa"/>
          </w:tcPr>
          <w:p w14:paraId="2C56CC88" w14:textId="77777777" w:rsidR="006C4E7B" w:rsidRPr="00B33432" w:rsidRDefault="006C4E7B" w:rsidP="006C4E7B">
            <w:pPr>
              <w:spacing w:after="250" w:line="276" w:lineRule="auto"/>
              <w:rPr>
                <w:rFonts w:ascii="Arial" w:hAnsi="Arial" w:cs="Arial"/>
                <w:color w:val="181818"/>
              </w:rPr>
            </w:pPr>
            <w:r w:rsidRPr="00B33432">
              <w:rPr>
                <w:rFonts w:ascii="Arial" w:hAnsi="Arial" w:cs="Arial"/>
              </w:rPr>
              <w:lastRenderedPageBreak/>
              <w:t>3. Contingent Convertible bonds (‘CoCo bonds’)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39D0A1AE"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Issuers with high credit rating (2) good profitability, </w:t>
            </w:r>
          </w:p>
          <w:p w14:paraId="13D767A8"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There are risk management teams capable of valuing and managing them.</w:t>
            </w:r>
          </w:p>
          <w:p w14:paraId="0D0B940D" w14:textId="49B04A88"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(3) Assets with market maturity.</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0E27B00A"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60061E4C"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44EAFD9C" w14:textId="77777777" w:rsidR="006C4E7B" w:rsidRPr="00F03AAB" w:rsidRDefault="006C4E7B" w:rsidP="006C4E7B">
            <w:pPr>
              <w:spacing w:after="250" w:line="276" w:lineRule="auto"/>
              <w:jc w:val="both"/>
              <w:rPr>
                <w:rFonts w:ascii="Arial" w:hAnsi="Arial" w:cs="Arial"/>
                <w:color w:val="181818"/>
              </w:rPr>
            </w:pPr>
          </w:p>
        </w:tc>
      </w:tr>
      <w:tr w:rsidR="00B33432" w:rsidRPr="00B33432" w14:paraId="02325B0B" w14:textId="77777777" w:rsidTr="00F278BC">
        <w:tc>
          <w:tcPr>
            <w:tcW w:w="2095" w:type="dxa"/>
          </w:tcPr>
          <w:p w14:paraId="4EA5968E"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4. Unrated bonds</w:t>
            </w:r>
          </w:p>
        </w:tc>
        <w:tc>
          <w:tcPr>
            <w:tcW w:w="1683" w:type="dxa"/>
          </w:tcPr>
          <w:p w14:paraId="4B94D5A5" w14:textId="77777777" w:rsidR="00B33432" w:rsidRPr="00F03AAB" w:rsidRDefault="00B33432" w:rsidP="00B33432">
            <w:pPr>
              <w:spacing w:after="250" w:line="276" w:lineRule="auto"/>
              <w:jc w:val="both"/>
              <w:rPr>
                <w:rFonts w:ascii="Arial" w:hAnsi="Arial" w:cs="Arial"/>
                <w:color w:val="181818"/>
              </w:rPr>
            </w:pPr>
          </w:p>
        </w:tc>
        <w:tc>
          <w:tcPr>
            <w:tcW w:w="1776" w:type="dxa"/>
          </w:tcPr>
          <w:p w14:paraId="3DEEC669" w14:textId="77777777" w:rsidR="00B33432" w:rsidRPr="00F03AAB" w:rsidRDefault="00B33432" w:rsidP="00B33432">
            <w:pPr>
              <w:spacing w:after="250" w:line="276" w:lineRule="auto"/>
              <w:jc w:val="both"/>
              <w:rPr>
                <w:rFonts w:ascii="Arial" w:hAnsi="Arial" w:cs="Arial"/>
                <w:color w:val="181818"/>
              </w:rPr>
            </w:pPr>
          </w:p>
        </w:tc>
        <w:tc>
          <w:tcPr>
            <w:tcW w:w="2060" w:type="dxa"/>
          </w:tcPr>
          <w:p w14:paraId="3656B9AB" w14:textId="77777777" w:rsidR="00B33432" w:rsidRPr="00F03AAB" w:rsidRDefault="00B33432" w:rsidP="00B33432">
            <w:pPr>
              <w:spacing w:after="250" w:line="276" w:lineRule="auto"/>
              <w:jc w:val="both"/>
              <w:rPr>
                <w:rFonts w:ascii="Arial" w:hAnsi="Arial" w:cs="Arial"/>
                <w:color w:val="181818"/>
              </w:rPr>
            </w:pPr>
          </w:p>
        </w:tc>
        <w:tc>
          <w:tcPr>
            <w:tcW w:w="1706" w:type="dxa"/>
          </w:tcPr>
          <w:p w14:paraId="45FB0818" w14:textId="77777777" w:rsidR="00B33432" w:rsidRPr="00F03AAB" w:rsidRDefault="00B33432" w:rsidP="00B33432">
            <w:pPr>
              <w:spacing w:after="250" w:line="276" w:lineRule="auto"/>
              <w:jc w:val="both"/>
              <w:rPr>
                <w:rFonts w:ascii="Arial" w:hAnsi="Arial" w:cs="Arial"/>
                <w:color w:val="181818"/>
              </w:rPr>
            </w:pPr>
          </w:p>
        </w:tc>
      </w:tr>
      <w:tr w:rsidR="006C4E7B" w:rsidRPr="00B33432" w14:paraId="68D99D9D" w14:textId="77777777" w:rsidTr="00957545">
        <w:tc>
          <w:tcPr>
            <w:tcW w:w="2095" w:type="dxa"/>
          </w:tcPr>
          <w:p w14:paraId="17D8B71D" w14:textId="77777777" w:rsidR="006C4E7B" w:rsidRPr="00B33432" w:rsidRDefault="006C4E7B" w:rsidP="006C4E7B">
            <w:pPr>
              <w:spacing w:after="250" w:line="276" w:lineRule="auto"/>
              <w:rPr>
                <w:rFonts w:ascii="Arial" w:hAnsi="Arial" w:cs="Arial"/>
                <w:color w:val="181818"/>
              </w:rPr>
            </w:pPr>
            <w:r w:rsidRPr="00B33432">
              <w:rPr>
                <w:rFonts w:ascii="Arial" w:hAnsi="Arial" w:cs="Arial"/>
              </w:rPr>
              <w:t>5. Distressed securities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049F31CB"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2E853C75"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Via another CIS (AIF): Allows investment by means of professional management;</w:t>
            </w:r>
          </w:p>
          <w:p w14:paraId="53128261" w14:textId="486D1A43"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(2) Access to unconventional assets that allow for diversification and negative correlation of the portfolio;</w:t>
            </w: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62486C05"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1C955A4D" w14:textId="77777777" w:rsidR="006C4E7B" w:rsidRPr="00F03AAB" w:rsidRDefault="006C4E7B" w:rsidP="006C4E7B">
            <w:pPr>
              <w:pStyle w:val="Default"/>
              <w:spacing w:line="259" w:lineRule="auto"/>
              <w:rPr>
                <w:color w:val="657C9C" w:themeColor="text2" w:themeTint="BF"/>
                <w:sz w:val="20"/>
                <w:szCs w:val="20"/>
              </w:rPr>
            </w:pPr>
          </w:p>
          <w:p w14:paraId="4101652C" w14:textId="28B60D46"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(1) the restrictive interpretation and allow for the inclusion in at least Article 50(2)(a) of the UCITS Directive, of both open-ended and closed-ended AIFs.</w:t>
            </w:r>
          </w:p>
        </w:tc>
      </w:tr>
      <w:tr w:rsidR="006C4E7B" w:rsidRPr="00B33432" w14:paraId="2B493676" w14:textId="77777777" w:rsidTr="00957545">
        <w:tc>
          <w:tcPr>
            <w:tcW w:w="2095" w:type="dxa"/>
          </w:tcPr>
          <w:p w14:paraId="45E99430" w14:textId="77777777" w:rsidR="006C4E7B" w:rsidRPr="00B33432" w:rsidRDefault="006C4E7B" w:rsidP="006C4E7B">
            <w:pPr>
              <w:spacing w:after="250" w:line="276" w:lineRule="auto"/>
              <w:rPr>
                <w:rFonts w:ascii="Arial" w:hAnsi="Arial" w:cs="Arial"/>
              </w:rPr>
            </w:pPr>
            <w:r w:rsidRPr="00B33432">
              <w:rPr>
                <w:rFonts w:ascii="Arial" w:hAnsi="Arial" w:cs="Arial"/>
              </w:rPr>
              <w:t>6. Unlisted equities</w:t>
            </w:r>
            <w:r w:rsidRPr="00B33432">
              <w:rPr>
                <w:rFonts w:ascii="Arial" w:hAnsi="Arial" w:cs="Arial"/>
                <w:sz w:val="16"/>
                <w:vertAlign w:val="superscript"/>
              </w:rPr>
              <w:footnoteReference w:id="7"/>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6B27ECFA"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Portfolio diversification;</w:t>
            </w:r>
          </w:p>
          <w:p w14:paraId="75BB15A6"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Exposure to non-traditional assets.</w:t>
            </w:r>
          </w:p>
          <w:p w14:paraId="4B99056E"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253A71A0"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Portfolio diversification;</w:t>
            </w:r>
          </w:p>
          <w:p w14:paraId="4E25C564"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Exposure to non-traditional assets.</w:t>
            </w:r>
          </w:p>
          <w:p w14:paraId="1299C43A"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4DDBEF00"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3461D779" w14:textId="1A1264FF"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Harmonise the criteria for investment in unlisted securities</w:t>
            </w:r>
          </w:p>
        </w:tc>
      </w:tr>
      <w:tr w:rsidR="006C4E7B" w:rsidRPr="00B33432" w14:paraId="5539B04B" w14:textId="77777777" w:rsidTr="00957545">
        <w:tc>
          <w:tcPr>
            <w:tcW w:w="2095" w:type="dxa"/>
          </w:tcPr>
          <w:p w14:paraId="378D969D" w14:textId="77777777" w:rsidR="006C4E7B" w:rsidRPr="00B33432" w:rsidRDefault="006C4E7B" w:rsidP="006C4E7B">
            <w:pPr>
              <w:spacing w:after="250" w:line="276" w:lineRule="auto"/>
              <w:rPr>
                <w:rFonts w:ascii="Arial" w:hAnsi="Arial" w:cs="Arial"/>
              </w:rPr>
            </w:pPr>
            <w:r w:rsidRPr="00B33432">
              <w:rPr>
                <w:rFonts w:ascii="Arial" w:hAnsi="Arial" w:cs="Arial"/>
              </w:rPr>
              <w:lastRenderedPageBreak/>
              <w:t>7. Crypto assets</w:t>
            </w:r>
            <w:r w:rsidRPr="00B33432">
              <w:rPr>
                <w:rFonts w:ascii="Arial" w:hAnsi="Arial" w:cs="Arial"/>
                <w:vertAlign w:val="superscript"/>
              </w:rPr>
              <w:footnoteReference w:id="8"/>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3CF2D8B6"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4EB9520B" w14:textId="46DB7984"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w:t>
            </w:r>
            <w:r w:rsidR="00CC2F4F">
              <w:rPr>
                <w:color w:val="657C9C" w:themeColor="text2" w:themeTint="BF"/>
                <w:sz w:val="20"/>
                <w:szCs w:val="20"/>
              </w:rPr>
              <w:t>a</w:t>
            </w:r>
            <w:r w:rsidRPr="00F03AAB">
              <w:rPr>
                <w:color w:val="657C9C" w:themeColor="text2" w:themeTint="BF"/>
                <w:sz w:val="20"/>
                <w:szCs w:val="20"/>
              </w:rPr>
              <w:t xml:space="preserve">) Via other closed-ended and open-ended CISs/AIFs: </w:t>
            </w:r>
          </w:p>
          <w:p w14:paraId="368D4DCF"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Allows for investment via professional and specialised risk management;</w:t>
            </w:r>
          </w:p>
          <w:p w14:paraId="65EEC18F"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1384701B"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(3) Exposure to non-traditional assets.</w:t>
            </w:r>
          </w:p>
          <w:p w14:paraId="5ACD7786"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b) Via ETPs:</w:t>
            </w:r>
          </w:p>
          <w:p w14:paraId="176F46F8"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No embedded derivative;</w:t>
            </w:r>
          </w:p>
          <w:p w14:paraId="2302522A"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0FB78278" w14:textId="2B16E655"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(3) Exposure to non-traditional assets.</w:t>
            </w: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1FC39945"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288F12E3"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Deemed financial instruments by MiCA;</w:t>
            </w:r>
          </w:p>
          <w:p w14:paraId="13D4574C"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Specific risk management;</w:t>
            </w:r>
          </w:p>
          <w:p w14:paraId="5425C75D"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(3) Specialised depositary; </w:t>
            </w:r>
          </w:p>
          <w:p w14:paraId="0562CB0E" w14:textId="485E22EF"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(4) Allows for inclusion in the 10% of Article 50(2)(a) of the UCITS Directive.</w:t>
            </w:r>
          </w:p>
        </w:tc>
      </w:tr>
      <w:tr w:rsidR="006C4E7B" w:rsidRPr="00B33432" w14:paraId="6582FE19" w14:textId="77777777" w:rsidTr="00E6202E">
        <w:tc>
          <w:tcPr>
            <w:tcW w:w="2095" w:type="dxa"/>
          </w:tcPr>
          <w:p w14:paraId="73AF3CD4" w14:textId="77777777" w:rsidR="006C4E7B" w:rsidRPr="00B33432" w:rsidRDefault="006C4E7B" w:rsidP="006C4E7B">
            <w:pPr>
              <w:spacing w:after="250" w:line="276" w:lineRule="auto"/>
              <w:rPr>
                <w:rFonts w:ascii="Arial" w:hAnsi="Arial" w:cs="Arial"/>
              </w:rPr>
            </w:pPr>
            <w:r w:rsidRPr="00B33432">
              <w:rPr>
                <w:rFonts w:ascii="Arial" w:hAnsi="Arial" w:cs="Arial"/>
              </w:rPr>
              <w:t>8. Commodities and precious metals</w:t>
            </w:r>
            <w:r w:rsidRPr="00B33432">
              <w:rPr>
                <w:rFonts w:ascii="Arial" w:hAnsi="Arial" w:cs="Arial"/>
                <w:sz w:val="16"/>
                <w:vertAlign w:val="superscript"/>
              </w:rPr>
              <w:footnoteReference w:id="9"/>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34CE0A41"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197AC350"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Exposure via traded securities apart from delta-one e.g., ETFs;</w:t>
            </w:r>
          </w:p>
          <w:p w14:paraId="15A39B9F"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4095E825"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(3) Exposure to non-traditional assets.</w:t>
            </w:r>
          </w:p>
          <w:p w14:paraId="51F7B4EC"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(4) Assets traded with a trading volume;</w:t>
            </w:r>
          </w:p>
          <w:p w14:paraId="26E4A7A4"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(5) Via indices, in accordance with that stated in the ESMA Guidelines on ETFs and other UCITS issues.</w:t>
            </w:r>
          </w:p>
          <w:p w14:paraId="2CFFF341" w14:textId="77777777" w:rsidR="006C4E7B" w:rsidRPr="00F03AAB" w:rsidRDefault="006C4E7B" w:rsidP="006C4E7B">
            <w:pPr>
              <w:pStyle w:val="Default"/>
              <w:spacing w:line="259" w:lineRule="auto"/>
              <w:rPr>
                <w:color w:val="657C9C" w:themeColor="text2" w:themeTint="BF"/>
                <w:sz w:val="20"/>
                <w:szCs w:val="20"/>
              </w:rPr>
            </w:pPr>
          </w:p>
          <w:p w14:paraId="62EBF3C5"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6D98A12B"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7223D2B0"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Settlement by differences;</w:t>
            </w:r>
          </w:p>
          <w:p w14:paraId="63568E1D"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Principle of commodity risk diversification; it is not acceptable for a UCITS to invest exclusively in different securities that are</w:t>
            </w:r>
          </w:p>
          <w:p w14:paraId="0A96E932"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linked to the profitability of the same underlying asset;</w:t>
            </w:r>
          </w:p>
          <w:p w14:paraId="2946DB82" w14:textId="5A7CE3E7"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(3) Assets with market maturity.</w:t>
            </w:r>
          </w:p>
        </w:tc>
      </w:tr>
      <w:tr w:rsidR="006C4E7B" w:rsidRPr="00B33432" w14:paraId="1D06A7CA" w14:textId="77777777" w:rsidTr="00E6202E">
        <w:tc>
          <w:tcPr>
            <w:tcW w:w="2095" w:type="dxa"/>
          </w:tcPr>
          <w:p w14:paraId="695108F8" w14:textId="77777777" w:rsidR="006C4E7B" w:rsidRPr="00B33432" w:rsidRDefault="006C4E7B" w:rsidP="006C4E7B">
            <w:pPr>
              <w:spacing w:after="250" w:line="276" w:lineRule="auto"/>
              <w:rPr>
                <w:rFonts w:ascii="Arial" w:hAnsi="Arial" w:cs="Arial"/>
              </w:rPr>
            </w:pPr>
            <w:r w:rsidRPr="00B33432">
              <w:rPr>
                <w:rFonts w:ascii="Arial" w:hAnsi="Arial" w:cs="Arial"/>
              </w:rPr>
              <w:t>9. Exchange-traded commodities (‘ETCs’)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043FEC5D"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Exposure to non-traditional assets via traded securities;</w:t>
            </w:r>
          </w:p>
          <w:p w14:paraId="235B5E4A"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033D00B2"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(3) Traded securities with a high trading volume;</w:t>
            </w:r>
          </w:p>
          <w:p w14:paraId="5997CC1D" w14:textId="56506EE6"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(4) Reduction in replication costs.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110FFD37"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6B699379"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66BB5D46"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As long as: </w:t>
            </w:r>
          </w:p>
          <w:p w14:paraId="3CF6309B"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there is daily trading; (2) the market </w:t>
            </w:r>
          </w:p>
          <w:p w14:paraId="3FE9F23F" w14:textId="4BB36C8B"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price is determined based on sale transactions performed by third parties.</w:t>
            </w:r>
          </w:p>
        </w:tc>
      </w:tr>
      <w:tr w:rsidR="006C4E7B" w:rsidRPr="00B33432" w14:paraId="241FBBEE" w14:textId="77777777" w:rsidTr="00E6202E">
        <w:tc>
          <w:tcPr>
            <w:tcW w:w="2095" w:type="dxa"/>
          </w:tcPr>
          <w:p w14:paraId="168EC9A2" w14:textId="77777777" w:rsidR="006C4E7B" w:rsidRPr="00B33432" w:rsidRDefault="006C4E7B" w:rsidP="006C4E7B">
            <w:pPr>
              <w:spacing w:after="250" w:line="276" w:lineRule="auto"/>
              <w:rPr>
                <w:rFonts w:ascii="Arial" w:hAnsi="Arial" w:cs="Arial"/>
              </w:rPr>
            </w:pPr>
            <w:r w:rsidRPr="00B33432">
              <w:rPr>
                <w:rFonts w:ascii="Arial" w:hAnsi="Arial" w:cs="Arial"/>
              </w:rPr>
              <w:t>10. Real estate</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1F72F646"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3D580037"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Exposure via traded securities; </w:t>
            </w:r>
          </w:p>
          <w:p w14:paraId="740D1126"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08CE6F91" w14:textId="3457D079"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(3) Exposure to non-traditional assets.</w:t>
            </w: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61CDCEAD"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6BB9E253" w14:textId="77777777" w:rsidR="006C4E7B" w:rsidRPr="00F03AAB" w:rsidRDefault="006C4E7B" w:rsidP="006C4E7B">
            <w:pPr>
              <w:spacing w:after="250" w:line="276" w:lineRule="auto"/>
              <w:jc w:val="both"/>
              <w:rPr>
                <w:rFonts w:ascii="Arial" w:hAnsi="Arial" w:cs="Arial"/>
                <w:color w:val="181818"/>
              </w:rPr>
            </w:pPr>
          </w:p>
        </w:tc>
      </w:tr>
      <w:tr w:rsidR="006C4E7B" w:rsidRPr="00B33432" w14:paraId="7FD6362C" w14:textId="77777777" w:rsidTr="007E3A79">
        <w:tc>
          <w:tcPr>
            <w:tcW w:w="2095" w:type="dxa"/>
          </w:tcPr>
          <w:p w14:paraId="146B0B65" w14:textId="77777777" w:rsidR="006C4E7B" w:rsidRPr="00B33432" w:rsidRDefault="006C4E7B" w:rsidP="006C4E7B">
            <w:pPr>
              <w:spacing w:after="250" w:line="276" w:lineRule="auto"/>
              <w:rPr>
                <w:rFonts w:ascii="Arial" w:hAnsi="Arial" w:cs="Arial"/>
              </w:rPr>
            </w:pPr>
            <w:r w:rsidRPr="00B33432">
              <w:rPr>
                <w:rFonts w:ascii="Arial" w:hAnsi="Arial" w:cs="Arial"/>
              </w:rPr>
              <w:t>11. Real Estate Investment Trusts (‘REITs’)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08841B1C"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They are traded securities; </w:t>
            </w:r>
          </w:p>
          <w:p w14:paraId="4F10C56E"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23DE523C" w14:textId="5172F902"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(3) Exposure to non-traditional assets.</w:t>
            </w:r>
          </w:p>
        </w:tc>
        <w:tc>
          <w:tcPr>
            <w:tcW w:w="1776" w:type="dxa"/>
          </w:tcPr>
          <w:p w14:paraId="52E56223" w14:textId="77777777" w:rsidR="006C4E7B" w:rsidRPr="00F03AAB" w:rsidRDefault="006C4E7B" w:rsidP="006C4E7B">
            <w:pPr>
              <w:spacing w:after="250" w:line="276" w:lineRule="auto"/>
              <w:jc w:val="both"/>
              <w:rPr>
                <w:rFonts w:ascii="Arial" w:hAnsi="Arial" w:cs="Arial"/>
                <w:color w:val="181818"/>
              </w:rPr>
            </w:pPr>
          </w:p>
        </w:tc>
        <w:tc>
          <w:tcPr>
            <w:tcW w:w="2060" w:type="dxa"/>
          </w:tcPr>
          <w:p w14:paraId="07547A01" w14:textId="77777777" w:rsidR="006C4E7B" w:rsidRPr="00F03AAB" w:rsidRDefault="006C4E7B" w:rsidP="006C4E7B">
            <w:pPr>
              <w:spacing w:after="250" w:line="276" w:lineRule="auto"/>
              <w:jc w:val="both"/>
              <w:rPr>
                <w:rFonts w:ascii="Arial" w:hAnsi="Arial" w:cs="Arial"/>
                <w:color w:val="181818"/>
              </w:rPr>
            </w:pPr>
          </w:p>
        </w:tc>
        <w:tc>
          <w:tcPr>
            <w:tcW w:w="1706" w:type="dxa"/>
          </w:tcPr>
          <w:p w14:paraId="5043CB0F" w14:textId="77777777" w:rsidR="006C4E7B" w:rsidRPr="00F03AAB" w:rsidRDefault="006C4E7B" w:rsidP="006C4E7B">
            <w:pPr>
              <w:spacing w:after="250" w:line="276" w:lineRule="auto"/>
              <w:jc w:val="both"/>
              <w:rPr>
                <w:rFonts w:ascii="Arial" w:hAnsi="Arial" w:cs="Arial"/>
                <w:color w:val="181818"/>
              </w:rPr>
            </w:pPr>
          </w:p>
        </w:tc>
      </w:tr>
      <w:tr w:rsidR="006C4E7B" w:rsidRPr="00B33432" w14:paraId="585437CF" w14:textId="77777777" w:rsidTr="006E6B02">
        <w:tc>
          <w:tcPr>
            <w:tcW w:w="2095" w:type="dxa"/>
          </w:tcPr>
          <w:p w14:paraId="17F5DE1B" w14:textId="77777777" w:rsidR="006C4E7B" w:rsidRPr="00B33432" w:rsidRDefault="006C4E7B" w:rsidP="006C4E7B">
            <w:pPr>
              <w:spacing w:after="250" w:line="276" w:lineRule="auto"/>
              <w:rPr>
                <w:rFonts w:ascii="Arial" w:hAnsi="Arial" w:cs="Arial"/>
              </w:rPr>
            </w:pPr>
            <w:r w:rsidRPr="00B33432">
              <w:rPr>
                <w:rFonts w:ascii="Arial" w:hAnsi="Arial" w:cs="Arial"/>
              </w:rPr>
              <w:t>12. Special Purpose Acquisition Companies (‘SPACs’)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3BFC46FA"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They are traded securities; </w:t>
            </w:r>
          </w:p>
          <w:p w14:paraId="583BC554"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07459315" w14:textId="080DFF8F"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(3) Exposure to non-traditional assets.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6537F28F"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6DFB9E20"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70DF9E56" w14:textId="77777777" w:rsidR="006C4E7B" w:rsidRPr="00F03AAB" w:rsidRDefault="006C4E7B" w:rsidP="006C4E7B">
            <w:pPr>
              <w:spacing w:after="250" w:line="276" w:lineRule="auto"/>
              <w:jc w:val="both"/>
              <w:rPr>
                <w:rFonts w:ascii="Arial" w:hAnsi="Arial" w:cs="Arial"/>
                <w:color w:val="181818"/>
              </w:rPr>
            </w:pPr>
          </w:p>
        </w:tc>
      </w:tr>
      <w:tr w:rsidR="006C4E7B" w:rsidRPr="00B33432" w14:paraId="72D194A9" w14:textId="77777777" w:rsidTr="006E6B02">
        <w:tc>
          <w:tcPr>
            <w:tcW w:w="2095" w:type="dxa"/>
          </w:tcPr>
          <w:p w14:paraId="31158681" w14:textId="77777777" w:rsidR="006C4E7B" w:rsidRPr="00B33432" w:rsidRDefault="006C4E7B" w:rsidP="006C4E7B">
            <w:pPr>
              <w:spacing w:after="250" w:line="276" w:lineRule="auto"/>
              <w:rPr>
                <w:rFonts w:ascii="Arial" w:hAnsi="Arial" w:cs="Arial"/>
              </w:rPr>
            </w:pPr>
            <w:r w:rsidRPr="00B33432">
              <w:rPr>
                <w:rFonts w:ascii="Arial" w:hAnsi="Arial" w:cs="Arial"/>
              </w:rPr>
              <w:t>13. EU AIFs</w:t>
            </w:r>
            <w:r w:rsidRPr="00B33432">
              <w:rPr>
                <w:rFonts w:ascii="Arial" w:hAnsi="Arial" w:cs="Arial"/>
                <w:sz w:val="16"/>
                <w:vertAlign w:val="superscript"/>
              </w:rPr>
              <w:footnoteReference w:id="10"/>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1C11D4D6"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Via another closed-ended or open-ended CIS/AIF: Allows for investment </w:t>
            </w:r>
            <w:r w:rsidRPr="00F03AAB">
              <w:rPr>
                <w:color w:val="657C9C" w:themeColor="text2" w:themeTint="BF"/>
                <w:sz w:val="20"/>
                <w:szCs w:val="20"/>
              </w:rPr>
              <w:lastRenderedPageBreak/>
              <w:t>in professional and regulated management;</w:t>
            </w:r>
          </w:p>
          <w:p w14:paraId="731EDEF2"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Access to unconventional assets that allow for diversification and negative correlation of the portfolio;</w:t>
            </w:r>
          </w:p>
          <w:p w14:paraId="025BD584"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(3) Limited leverage; </w:t>
            </w:r>
          </w:p>
          <w:p w14:paraId="181AD623"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(4) Assets under custody;</w:t>
            </w:r>
          </w:p>
          <w:p w14:paraId="44E871BC" w14:textId="5895C47F"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(5) Report to the supervisor.</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04A02D6F" w14:textId="2DF98183"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lastRenderedPageBreak/>
              <w:t>​</w:t>
            </w:r>
          </w:p>
          <w:p w14:paraId="144A5D23"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738610EB"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0FFBA104"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​Review the restrictive interpretation and allow for the inclusion in at </w:t>
            </w:r>
            <w:r w:rsidRPr="00F03AAB">
              <w:rPr>
                <w:color w:val="657C9C" w:themeColor="text2" w:themeTint="BF"/>
                <w:sz w:val="20"/>
                <w:szCs w:val="20"/>
              </w:rPr>
              <w:lastRenderedPageBreak/>
              <w:t>least Article 50(2)(a) of the UCITS Directive, of both open-ended and closed-ended AIFs.</w:t>
            </w:r>
          </w:p>
          <w:p w14:paraId="637805D2" w14:textId="77777777" w:rsidR="006C4E7B" w:rsidRPr="00F03AAB" w:rsidRDefault="006C4E7B" w:rsidP="006C4E7B">
            <w:pPr>
              <w:spacing w:after="250" w:line="276" w:lineRule="auto"/>
              <w:jc w:val="both"/>
              <w:rPr>
                <w:rFonts w:ascii="Arial" w:hAnsi="Arial" w:cs="Arial"/>
                <w:color w:val="181818"/>
              </w:rPr>
            </w:pPr>
          </w:p>
        </w:tc>
      </w:tr>
      <w:tr w:rsidR="006C4E7B" w:rsidRPr="00B33432" w14:paraId="50B47933" w14:textId="77777777" w:rsidTr="006A103E">
        <w:tc>
          <w:tcPr>
            <w:tcW w:w="2095" w:type="dxa"/>
          </w:tcPr>
          <w:p w14:paraId="5B21E6DB" w14:textId="77777777" w:rsidR="006C4E7B" w:rsidRPr="00B33432" w:rsidRDefault="006C4E7B" w:rsidP="006C4E7B">
            <w:pPr>
              <w:spacing w:after="250" w:line="276" w:lineRule="auto"/>
              <w:rPr>
                <w:rFonts w:ascii="Arial" w:hAnsi="Arial" w:cs="Arial"/>
              </w:rPr>
            </w:pPr>
            <w:r w:rsidRPr="00B33432">
              <w:rPr>
                <w:rFonts w:ascii="Arial" w:hAnsi="Arial" w:cs="Arial"/>
              </w:rPr>
              <w:lastRenderedPageBreak/>
              <w:t>14. Non-EU AIFs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44FAEDCA"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US ETFs</w:t>
            </w:r>
          </w:p>
          <w:p w14:paraId="69812902"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Traded securities;</w:t>
            </w:r>
          </w:p>
          <w:p w14:paraId="1B0F2EA2"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307CCED3"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(3) Access and exposure to US market with high liquidity.</w:t>
            </w:r>
          </w:p>
          <w:p w14:paraId="463F29E8"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3B7B4B86"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3A0FF5F2"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5630AD66" w14:textId="3F17438D"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Allow foreign ETFs, when not fulfilling the criteria of Article 50(1)(e) of the UCITS Directive, inasmuch traded securities can be considered securities and not CIS.</w:t>
            </w:r>
          </w:p>
        </w:tc>
      </w:tr>
      <w:tr w:rsidR="006C4E7B" w:rsidRPr="00B33432" w14:paraId="5A25875C" w14:textId="77777777" w:rsidTr="006A103E">
        <w:tc>
          <w:tcPr>
            <w:tcW w:w="2095" w:type="dxa"/>
          </w:tcPr>
          <w:p w14:paraId="0BD070FC" w14:textId="77777777" w:rsidR="006C4E7B" w:rsidRPr="00B33432" w:rsidRDefault="006C4E7B" w:rsidP="006C4E7B">
            <w:pPr>
              <w:spacing w:after="250" w:line="276" w:lineRule="auto"/>
              <w:rPr>
                <w:rFonts w:ascii="Arial" w:hAnsi="Arial" w:cs="Arial"/>
              </w:rPr>
            </w:pPr>
            <w:r w:rsidRPr="00B33432">
              <w:rPr>
                <w:rFonts w:ascii="Arial" w:hAnsi="Arial" w:cs="Arial"/>
              </w:rPr>
              <w:t>15. Emission allowances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61829076"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7A875C53"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(1) Financial instrument according to MiFID II (Annex I, section C,11));</w:t>
            </w:r>
          </w:p>
          <w:p w14:paraId="35EDCFC5"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Access to unconventional assets that allow for diversification and negative correlation of the portfolio.</w:t>
            </w:r>
          </w:p>
          <w:p w14:paraId="2BA226A1"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17AD93B2"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0DE4B5B7" w14:textId="7F487687"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The EU Emissions Trading Scheme is the main tool of the EU to reduce greenhouse gas emissions.</w:t>
            </w:r>
          </w:p>
        </w:tc>
      </w:tr>
      <w:tr w:rsidR="006C4E7B" w:rsidRPr="00B33432" w14:paraId="4663360E" w14:textId="77777777" w:rsidTr="002A17BA">
        <w:tc>
          <w:tcPr>
            <w:tcW w:w="2095" w:type="dxa"/>
          </w:tcPr>
          <w:p w14:paraId="556F47DB" w14:textId="77777777" w:rsidR="006C4E7B" w:rsidRPr="00B33432" w:rsidRDefault="006C4E7B" w:rsidP="006C4E7B">
            <w:pPr>
              <w:spacing w:after="250" w:line="276" w:lineRule="auto"/>
              <w:rPr>
                <w:rFonts w:ascii="Arial" w:hAnsi="Arial" w:cs="Arial"/>
              </w:rPr>
            </w:pPr>
            <w:r w:rsidRPr="00B33432">
              <w:rPr>
                <w:rFonts w:ascii="Arial" w:hAnsi="Arial" w:cs="Arial"/>
              </w:rPr>
              <w:t>16. Delta-one instruments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6642CE30"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They are traded securities; </w:t>
            </w:r>
          </w:p>
          <w:p w14:paraId="2BECF56F"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No embedded derivative</w:t>
            </w:r>
          </w:p>
          <w:p w14:paraId="3C906FAD"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lastRenderedPageBreak/>
              <w:t>(3) They allow for portfolio diversification;</w:t>
            </w:r>
          </w:p>
          <w:p w14:paraId="66204FF1" w14:textId="0C191D36"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(4) Exposure to non-traditional assets.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2DBF0D7D"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6B62F1B3"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3A826088"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As long as: </w:t>
            </w:r>
          </w:p>
          <w:p w14:paraId="525DFC01" w14:textId="77777777" w:rsidR="00F65788"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there is daily trading; </w:t>
            </w:r>
          </w:p>
          <w:p w14:paraId="36BE18EC" w14:textId="57EA4B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the market</w:t>
            </w:r>
          </w:p>
          <w:p w14:paraId="02F2C34E" w14:textId="35CEF592"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 xml:space="preserve">price is determined </w:t>
            </w:r>
            <w:r w:rsidRPr="00F03AAB">
              <w:rPr>
                <w:rFonts w:ascii="Arial" w:hAnsi="Arial" w:cs="Arial"/>
                <w:color w:val="657C9C" w:themeColor="text2" w:themeTint="BF"/>
              </w:rPr>
              <w:lastRenderedPageBreak/>
              <w:t>based on sale transactions performed by third parties.</w:t>
            </w:r>
          </w:p>
        </w:tc>
      </w:tr>
      <w:tr w:rsidR="006C4E7B" w:rsidRPr="00B33432" w14:paraId="6004F4E8" w14:textId="77777777" w:rsidTr="002A17BA">
        <w:tc>
          <w:tcPr>
            <w:tcW w:w="2095" w:type="dxa"/>
          </w:tcPr>
          <w:p w14:paraId="73D5771C" w14:textId="77777777" w:rsidR="006C4E7B" w:rsidRPr="00B33432" w:rsidRDefault="006C4E7B" w:rsidP="006C4E7B">
            <w:pPr>
              <w:spacing w:after="250" w:line="276" w:lineRule="auto"/>
              <w:rPr>
                <w:rFonts w:ascii="Arial" w:hAnsi="Arial" w:cs="Arial"/>
              </w:rPr>
            </w:pPr>
            <w:r w:rsidRPr="00B33432">
              <w:rPr>
                <w:rFonts w:ascii="Arial" w:hAnsi="Arial" w:cs="Arial"/>
              </w:rPr>
              <w:lastRenderedPageBreak/>
              <w:t>17. Exchange-traded notes (‘ETNs’)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5FAFA1BA" w14:textId="77777777" w:rsidR="006C4E7B" w:rsidRPr="00F03AAB" w:rsidRDefault="006C4E7B" w:rsidP="006C4E7B">
            <w:pPr>
              <w:pStyle w:val="Default"/>
              <w:spacing w:line="259" w:lineRule="auto"/>
              <w:rPr>
                <w:color w:val="657C9C" w:themeColor="text2" w:themeTint="BF"/>
                <w:sz w:val="20"/>
                <w:szCs w:val="20"/>
              </w:rPr>
            </w:pPr>
            <w:bookmarkStart w:id="2" w:name="_Hlk169073011"/>
            <w:r w:rsidRPr="00F03AAB">
              <w:rPr>
                <w:color w:val="657C9C" w:themeColor="text2" w:themeTint="BF"/>
                <w:sz w:val="20"/>
                <w:szCs w:val="20"/>
              </w:rPr>
              <w:t>​(1) Exposure to non-traditional assets via traded securities;</w:t>
            </w:r>
          </w:p>
          <w:p w14:paraId="6FDC458B"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Portfolio diversification;</w:t>
            </w:r>
          </w:p>
          <w:p w14:paraId="7064D1B1"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(3) Traded securities with a high trading volume;</w:t>
            </w:r>
          </w:p>
          <w:p w14:paraId="680A4E5D" w14:textId="66CD583A"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(4) Reduction in replication costs.</w:t>
            </w:r>
            <w:bookmarkEnd w:id="2"/>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19219836"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296FEF7D"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6EBE9CAF" w14:textId="7777777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As long as: </w:t>
            </w:r>
          </w:p>
          <w:p w14:paraId="72EEB2AB" w14:textId="77777777" w:rsidR="00F65788"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 xml:space="preserve">(1) there is daily trading; </w:t>
            </w:r>
          </w:p>
          <w:p w14:paraId="218DC9D5" w14:textId="7A99A227" w:rsidR="006C4E7B" w:rsidRPr="00F03AAB" w:rsidRDefault="006C4E7B" w:rsidP="006C4E7B">
            <w:pPr>
              <w:pStyle w:val="Default"/>
              <w:spacing w:line="259" w:lineRule="auto"/>
              <w:rPr>
                <w:color w:val="657C9C" w:themeColor="text2" w:themeTint="BF"/>
                <w:sz w:val="20"/>
                <w:szCs w:val="20"/>
              </w:rPr>
            </w:pPr>
            <w:r w:rsidRPr="00F03AAB">
              <w:rPr>
                <w:color w:val="657C9C" w:themeColor="text2" w:themeTint="BF"/>
                <w:sz w:val="20"/>
                <w:szCs w:val="20"/>
              </w:rPr>
              <w:t>(2) the market</w:t>
            </w:r>
          </w:p>
          <w:p w14:paraId="7194DBDC" w14:textId="5784A55A"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price is determined based on sale transactions performed by third parties.</w:t>
            </w:r>
          </w:p>
        </w:tc>
      </w:tr>
      <w:tr w:rsidR="006C4E7B" w:rsidRPr="00B33432" w14:paraId="66BB473F" w14:textId="77777777" w:rsidTr="00550E65">
        <w:tc>
          <w:tcPr>
            <w:tcW w:w="2095" w:type="dxa"/>
          </w:tcPr>
          <w:p w14:paraId="08FCC5EB" w14:textId="77777777" w:rsidR="006C4E7B" w:rsidRPr="00B33432" w:rsidRDefault="006C4E7B" w:rsidP="006C4E7B">
            <w:pPr>
              <w:spacing w:after="250" w:line="276" w:lineRule="auto"/>
              <w:rPr>
                <w:rFonts w:ascii="Arial" w:hAnsi="Arial" w:cs="Arial"/>
              </w:rPr>
            </w:pPr>
            <w:r w:rsidRPr="00B33432">
              <w:rPr>
                <w:rFonts w:ascii="Arial" w:hAnsi="Arial" w:cs="Arial"/>
              </w:rPr>
              <w:t>18. Asset-backed securities (‘ABS’) including mortgage-backed securities (‘MBS’)</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769D0D3C" w14:textId="77777777" w:rsidR="006C4E7B" w:rsidRPr="00F03AAB" w:rsidRDefault="006C4E7B" w:rsidP="006C4E7B">
            <w:pPr>
              <w:spacing w:after="250" w:line="276" w:lineRule="auto"/>
              <w:jc w:val="both"/>
              <w:rPr>
                <w:rFonts w:ascii="Arial" w:hAnsi="Arial" w:cs="Arial"/>
                <w:color w:val="181818"/>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54CD245A"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1231BE67"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36FEB5B0" w14:textId="717EAE17"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​Relaxation of the requirements to encourage their appeal.</w:t>
            </w:r>
          </w:p>
        </w:tc>
      </w:tr>
      <w:tr w:rsidR="006C4E7B" w:rsidRPr="00B33432" w14:paraId="16623728" w14:textId="77777777" w:rsidTr="00550E65">
        <w:tc>
          <w:tcPr>
            <w:tcW w:w="2095" w:type="dxa"/>
          </w:tcPr>
          <w:p w14:paraId="2D5FBB9B" w14:textId="77777777" w:rsidR="006C4E7B" w:rsidRPr="00B33432" w:rsidRDefault="006C4E7B" w:rsidP="006C4E7B">
            <w:pPr>
              <w:spacing w:after="250" w:line="276" w:lineRule="auto"/>
              <w:rPr>
                <w:rFonts w:ascii="Arial" w:hAnsi="Arial" w:cs="Arial"/>
              </w:rPr>
            </w:pPr>
            <w:r w:rsidRPr="00B33432">
              <w:rPr>
                <w:rFonts w:ascii="Arial" w:hAnsi="Arial" w:cs="Arial"/>
              </w:rPr>
              <w:t>19. Other relevant asset classes (please specify)</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14:paraId="30D7AA69" w14:textId="23E9A244"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​ADRs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7196D064" w14:textId="77777777" w:rsidR="006C4E7B" w:rsidRPr="00F03AAB" w:rsidRDefault="006C4E7B" w:rsidP="006C4E7B">
            <w:pPr>
              <w:spacing w:after="250" w:line="276" w:lineRule="auto"/>
              <w:jc w:val="both"/>
              <w:rPr>
                <w:rFonts w:ascii="Arial" w:hAnsi="Arial" w:cs="Arial"/>
                <w:color w:val="181818"/>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Pr>
          <w:p w14:paraId="34FF1C98" w14:textId="77777777" w:rsidR="006C4E7B" w:rsidRPr="00F03AAB" w:rsidRDefault="006C4E7B" w:rsidP="006C4E7B">
            <w:pPr>
              <w:spacing w:after="250" w:line="276" w:lineRule="auto"/>
              <w:jc w:val="both"/>
              <w:rPr>
                <w:rFonts w:ascii="Arial" w:hAnsi="Arial" w:cs="Arial"/>
                <w:color w:val="181818"/>
              </w:rPr>
            </w:pPr>
          </w:p>
        </w:tc>
        <w:tc>
          <w:tcPr>
            <w:tcW w:w="1706" w:type="dxa"/>
            <w:tcBorders>
              <w:top w:val="single" w:sz="6" w:space="0" w:color="000000"/>
              <w:left w:val="single" w:sz="6" w:space="0" w:color="000000"/>
              <w:bottom w:val="single" w:sz="6" w:space="0" w:color="000000"/>
              <w:right w:val="single" w:sz="6" w:space="0" w:color="000000"/>
            </w:tcBorders>
            <w:shd w:val="clear" w:color="auto" w:fill="auto"/>
          </w:tcPr>
          <w:p w14:paraId="6D072C0D" w14:textId="5502D28F" w:rsidR="006C4E7B" w:rsidRPr="00F03AAB" w:rsidRDefault="006C4E7B" w:rsidP="006C4E7B">
            <w:pPr>
              <w:spacing w:after="250" w:line="276" w:lineRule="auto"/>
              <w:jc w:val="both"/>
              <w:rPr>
                <w:rFonts w:ascii="Arial" w:hAnsi="Arial" w:cs="Arial"/>
                <w:color w:val="181818"/>
              </w:rPr>
            </w:pPr>
            <w:r w:rsidRPr="00F03AAB">
              <w:rPr>
                <w:rFonts w:ascii="Arial" w:hAnsi="Arial" w:cs="Arial"/>
                <w:color w:val="657C9C" w:themeColor="text2" w:themeTint="BF"/>
              </w:rPr>
              <w:t>​Certificate representing a marketable security.</w:t>
            </w: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771B" w14:textId="77777777" w:rsidR="00C365B4" w:rsidRDefault="00C365B4" w:rsidP="00B33432">
      <w:pPr>
        <w:spacing w:after="0" w:line="240" w:lineRule="auto"/>
      </w:pPr>
      <w:r>
        <w:separator/>
      </w:r>
    </w:p>
  </w:endnote>
  <w:endnote w:type="continuationSeparator" w:id="0">
    <w:p w14:paraId="75EE4071" w14:textId="77777777" w:rsidR="00C365B4" w:rsidRDefault="00C365B4" w:rsidP="00B33432">
      <w:pPr>
        <w:spacing w:after="0" w:line="240" w:lineRule="auto"/>
      </w:pPr>
      <w:r>
        <w:continuationSeparator/>
      </w:r>
    </w:p>
  </w:endnote>
  <w:endnote w:type="continuationNotice" w:id="1">
    <w:p w14:paraId="22DD8C81" w14:textId="77777777" w:rsidR="00C365B4" w:rsidRDefault="00C36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57A6" w14:textId="77777777" w:rsidR="00C365B4" w:rsidRDefault="00C365B4" w:rsidP="00B33432">
      <w:pPr>
        <w:spacing w:after="0" w:line="240" w:lineRule="auto"/>
      </w:pPr>
      <w:r>
        <w:separator/>
      </w:r>
    </w:p>
  </w:footnote>
  <w:footnote w:type="continuationSeparator" w:id="0">
    <w:p w14:paraId="128651FB" w14:textId="77777777" w:rsidR="00C365B4" w:rsidRDefault="00C365B4" w:rsidP="00B33432">
      <w:pPr>
        <w:spacing w:after="0" w:line="240" w:lineRule="auto"/>
      </w:pPr>
      <w:r>
        <w:continuationSeparator/>
      </w:r>
    </w:p>
  </w:footnote>
  <w:footnote w:type="continuationNotice" w:id="1">
    <w:p w14:paraId="1967645F" w14:textId="77777777" w:rsidR="00C365B4" w:rsidRDefault="00C365B4">
      <w:pPr>
        <w:spacing w:after="0" w:line="240" w:lineRule="auto"/>
      </w:pPr>
    </w:p>
  </w:footnote>
  <w:footnote w:id="2">
    <w:p w14:paraId="53A506E4" w14:textId="77777777" w:rsidR="00B33432" w:rsidRPr="00332B8C" w:rsidRDefault="00B33432"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6C4E7B" w:rsidRPr="00332B8C" w:rsidRDefault="006C4E7B"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6C4E7B" w:rsidRPr="00332B8C" w:rsidRDefault="006C4E7B"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6C4E7B" w:rsidRPr="00332B8C" w:rsidRDefault="006C4E7B"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6C4E7B" w:rsidRPr="00332B8C" w:rsidRDefault="006C4E7B"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6C4E7B" w:rsidRPr="00332B8C" w:rsidRDefault="006C4E7B" w:rsidP="00332B8C">
      <w:pPr>
        <w:pStyle w:val="Textonotapie"/>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23D31"/>
    <w:rsid w:val="00025A1B"/>
    <w:rsid w:val="00050BF8"/>
    <w:rsid w:val="00065543"/>
    <w:rsid w:val="00067CE6"/>
    <w:rsid w:val="000D6E83"/>
    <w:rsid w:val="001301D9"/>
    <w:rsid w:val="001462AD"/>
    <w:rsid w:val="00150222"/>
    <w:rsid w:val="00152FEF"/>
    <w:rsid w:val="00162CAE"/>
    <w:rsid w:val="0017743F"/>
    <w:rsid w:val="001A53B9"/>
    <w:rsid w:val="001B11A8"/>
    <w:rsid w:val="00203EF5"/>
    <w:rsid w:val="002072B4"/>
    <w:rsid w:val="00217605"/>
    <w:rsid w:val="00222A38"/>
    <w:rsid w:val="00243F87"/>
    <w:rsid w:val="0025199F"/>
    <w:rsid w:val="002539FF"/>
    <w:rsid w:val="0026434D"/>
    <w:rsid w:val="00264F16"/>
    <w:rsid w:val="00266B15"/>
    <w:rsid w:val="002829AC"/>
    <w:rsid w:val="00282BD2"/>
    <w:rsid w:val="00290E24"/>
    <w:rsid w:val="002A740A"/>
    <w:rsid w:val="002D58CD"/>
    <w:rsid w:val="002D6186"/>
    <w:rsid w:val="002F58FB"/>
    <w:rsid w:val="00304E46"/>
    <w:rsid w:val="00332B8C"/>
    <w:rsid w:val="0035372F"/>
    <w:rsid w:val="00382350"/>
    <w:rsid w:val="00392B97"/>
    <w:rsid w:val="00394809"/>
    <w:rsid w:val="003A6B50"/>
    <w:rsid w:val="003D2C3C"/>
    <w:rsid w:val="0040029B"/>
    <w:rsid w:val="004664E3"/>
    <w:rsid w:val="00470FA5"/>
    <w:rsid w:val="004813B8"/>
    <w:rsid w:val="0048151A"/>
    <w:rsid w:val="004C269D"/>
    <w:rsid w:val="004F280B"/>
    <w:rsid w:val="00501AC4"/>
    <w:rsid w:val="0050210B"/>
    <w:rsid w:val="00502D1C"/>
    <w:rsid w:val="0051598D"/>
    <w:rsid w:val="00523239"/>
    <w:rsid w:val="00537FD1"/>
    <w:rsid w:val="00544A7D"/>
    <w:rsid w:val="00546B72"/>
    <w:rsid w:val="00554F00"/>
    <w:rsid w:val="00556DBB"/>
    <w:rsid w:val="00557028"/>
    <w:rsid w:val="00580D8A"/>
    <w:rsid w:val="005846C0"/>
    <w:rsid w:val="00594512"/>
    <w:rsid w:val="005A35D5"/>
    <w:rsid w:val="005A6BF0"/>
    <w:rsid w:val="005C1551"/>
    <w:rsid w:val="005C347A"/>
    <w:rsid w:val="005E0910"/>
    <w:rsid w:val="005E31F2"/>
    <w:rsid w:val="005E75CC"/>
    <w:rsid w:val="00605E0B"/>
    <w:rsid w:val="00611825"/>
    <w:rsid w:val="0061475B"/>
    <w:rsid w:val="00686D73"/>
    <w:rsid w:val="006B6977"/>
    <w:rsid w:val="006B7B4A"/>
    <w:rsid w:val="006C47BC"/>
    <w:rsid w:val="006C4E7B"/>
    <w:rsid w:val="006C7811"/>
    <w:rsid w:val="00712439"/>
    <w:rsid w:val="00753DB8"/>
    <w:rsid w:val="00784D7C"/>
    <w:rsid w:val="00794019"/>
    <w:rsid w:val="007A589D"/>
    <w:rsid w:val="00817444"/>
    <w:rsid w:val="008351CF"/>
    <w:rsid w:val="00847BDD"/>
    <w:rsid w:val="0087027F"/>
    <w:rsid w:val="008B6D19"/>
    <w:rsid w:val="008C4D04"/>
    <w:rsid w:val="008D1492"/>
    <w:rsid w:val="00901098"/>
    <w:rsid w:val="00915CEE"/>
    <w:rsid w:val="00920E73"/>
    <w:rsid w:val="009212B4"/>
    <w:rsid w:val="009244B3"/>
    <w:rsid w:val="00951595"/>
    <w:rsid w:val="00967D76"/>
    <w:rsid w:val="00971266"/>
    <w:rsid w:val="00997493"/>
    <w:rsid w:val="009A3E35"/>
    <w:rsid w:val="009B131D"/>
    <w:rsid w:val="009F7052"/>
    <w:rsid w:val="00A338CF"/>
    <w:rsid w:val="00A35853"/>
    <w:rsid w:val="00A53BC9"/>
    <w:rsid w:val="00A73913"/>
    <w:rsid w:val="00A85F46"/>
    <w:rsid w:val="00A87C58"/>
    <w:rsid w:val="00AE6FD6"/>
    <w:rsid w:val="00AF3545"/>
    <w:rsid w:val="00AF4CAB"/>
    <w:rsid w:val="00AF55C3"/>
    <w:rsid w:val="00B01DB8"/>
    <w:rsid w:val="00B078A8"/>
    <w:rsid w:val="00B33432"/>
    <w:rsid w:val="00B53F54"/>
    <w:rsid w:val="00B626E5"/>
    <w:rsid w:val="00B62E29"/>
    <w:rsid w:val="00BB49D8"/>
    <w:rsid w:val="00BC577D"/>
    <w:rsid w:val="00BD4295"/>
    <w:rsid w:val="00BD7454"/>
    <w:rsid w:val="00C0168F"/>
    <w:rsid w:val="00C01906"/>
    <w:rsid w:val="00C06FE4"/>
    <w:rsid w:val="00C202C8"/>
    <w:rsid w:val="00C242FA"/>
    <w:rsid w:val="00C365B4"/>
    <w:rsid w:val="00C36669"/>
    <w:rsid w:val="00C745C1"/>
    <w:rsid w:val="00C95659"/>
    <w:rsid w:val="00CB1B38"/>
    <w:rsid w:val="00CC2F4F"/>
    <w:rsid w:val="00CF043C"/>
    <w:rsid w:val="00CF0B7A"/>
    <w:rsid w:val="00D01FE5"/>
    <w:rsid w:val="00D10784"/>
    <w:rsid w:val="00D16F57"/>
    <w:rsid w:val="00D45009"/>
    <w:rsid w:val="00D6002F"/>
    <w:rsid w:val="00D64553"/>
    <w:rsid w:val="00D86E5D"/>
    <w:rsid w:val="00DD67D7"/>
    <w:rsid w:val="00DF78BC"/>
    <w:rsid w:val="00E771B9"/>
    <w:rsid w:val="00E87C61"/>
    <w:rsid w:val="00EE4C70"/>
    <w:rsid w:val="00EE5B1A"/>
    <w:rsid w:val="00EF2185"/>
    <w:rsid w:val="00F03868"/>
    <w:rsid w:val="00F03AAB"/>
    <w:rsid w:val="00F03D56"/>
    <w:rsid w:val="00F042E8"/>
    <w:rsid w:val="00F278BC"/>
    <w:rsid w:val="00F5738E"/>
    <w:rsid w:val="00F65788"/>
    <w:rsid w:val="00F92D6A"/>
    <w:rsid w:val="00FB3EA8"/>
    <w:rsid w:val="00FC4846"/>
    <w:rsid w:val="00FD12FD"/>
    <w:rsid w:val="00FE3154"/>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334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3432"/>
    <w:rPr>
      <w:sz w:val="20"/>
      <w:szCs w:val="20"/>
    </w:rPr>
  </w:style>
  <w:style w:type="table" w:customStyle="1" w:styleId="Tablenone1">
    <w:name w:val="Table none1"/>
    <w:basedOn w:val="Tablanormal"/>
    <w:next w:val="Tablaconcuadrcula"/>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Fuentedeprrafopredeter"/>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aconcuadrcula">
    <w:name w:val="Table Grid"/>
    <w:basedOn w:val="Tabla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B33432"/>
    <w:rPr>
      <w:vertAlign w:val="superscript"/>
    </w:rPr>
  </w:style>
  <w:style w:type="paragraph" w:styleId="Encabezado">
    <w:name w:val="header"/>
    <w:basedOn w:val="Normal"/>
    <w:link w:val="EncabezadoCar"/>
    <w:uiPriority w:val="99"/>
    <w:unhideWhenUsed/>
    <w:rsid w:val="00F03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03D56"/>
  </w:style>
  <w:style w:type="paragraph" w:styleId="Piedepgina">
    <w:name w:val="footer"/>
    <w:basedOn w:val="Normal"/>
    <w:link w:val="PiedepginaCar"/>
    <w:uiPriority w:val="99"/>
    <w:unhideWhenUsed/>
    <w:rsid w:val="00F03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03D56"/>
  </w:style>
  <w:style w:type="paragraph" w:styleId="Textodeglobo">
    <w:name w:val="Balloon Text"/>
    <w:basedOn w:val="Normal"/>
    <w:link w:val="TextodegloboCar"/>
    <w:uiPriority w:val="99"/>
    <w:semiHidden/>
    <w:unhideWhenUsed/>
    <w:rsid w:val="002D6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6186"/>
    <w:rPr>
      <w:rFonts w:ascii="Segoe UI" w:hAnsi="Segoe UI" w:cs="Segoe UI"/>
      <w:sz w:val="18"/>
      <w:szCs w:val="18"/>
    </w:rPr>
  </w:style>
  <w:style w:type="character" w:styleId="Hipervnculo">
    <w:name w:val="Hyperlink"/>
    <w:basedOn w:val="Fuentedeprrafopredeter"/>
    <w:uiPriority w:val="99"/>
    <w:unhideWhenUsed/>
    <w:rsid w:val="00901098"/>
    <w:rPr>
      <w:color w:val="0563C1" w:themeColor="hyperlink"/>
      <w:u w:val="single"/>
    </w:rPr>
  </w:style>
  <w:style w:type="character" w:styleId="Mencinsinresolver">
    <w:name w:val="Unresolved Mention"/>
    <w:basedOn w:val="Fuentedeprrafopredeter"/>
    <w:uiPriority w:val="99"/>
    <w:semiHidden/>
    <w:unhideWhenUsed/>
    <w:rsid w:val="00901098"/>
    <w:rPr>
      <w:color w:val="605E5C"/>
      <w:shd w:val="clear" w:color="auto" w:fill="E1DFDD"/>
    </w:rPr>
  </w:style>
  <w:style w:type="character" w:styleId="Hipervnculovisitado">
    <w:name w:val="FollowedHyperlink"/>
    <w:basedOn w:val="Fuentedeprrafopredeter"/>
    <w:uiPriority w:val="99"/>
    <w:semiHidden/>
    <w:unhideWhenUsed/>
    <w:rsid w:val="00901098"/>
    <w:rPr>
      <w:color w:val="954F72" w:themeColor="followedHyperlink"/>
      <w:u w:val="single"/>
    </w:rPr>
  </w:style>
  <w:style w:type="paragraph" w:customStyle="1" w:styleId="Default">
    <w:name w:val="Default"/>
    <w:rsid w:val="00C01906"/>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C0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sma.europa.eu/press-news/consultations/call-evidence-review-ucits-eligible-assets-directiv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33</Value>
      <Value>254</Value>
      <Value>5</Value>
    </TaxCatchAll>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oa4fe03ffd8943c1880fe290404e8de7>
    <_dlc_DocId xmlns="d0fb0f98-34f9-4d57-9559-eb8efd17aa5e">ESMA34-1270380148-1066</_dlc_DocId>
    <_dlc_DocIdUrl xmlns="d0fb0f98-34f9-4d57-9559-eb8efd17aa5e">
      <Url>https://securitiesandmarketsauth.sharepoint.com/sites/sherpa-ivm/_layouts/15/DocIdRedir.aspx?ID=ESMA34-1270380148-1066</Url>
      <Description>ESMA34-1270380148-1066</Description>
    </_dlc_DocIdUrl>
    <SharedWithUsers xmlns="d0fb0f98-34f9-4d57-9559-eb8efd17aa5e">
      <UserInfo>
        <DisplayName>Iris Hude</DisplayName>
        <AccountId>82</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EC7362-CE0E-45A1-9F25-BE624802C55F}">
  <ds:schemaRefs>
    <ds:schemaRef ds:uri="http://schemas.microsoft.com/sharepoint/v3/contenttype/forms"/>
  </ds:schemaRefs>
</ds:datastoreItem>
</file>

<file path=customXml/itemProps2.xml><?xml version="1.0" encoding="utf-8"?>
<ds:datastoreItem xmlns:ds="http://schemas.openxmlformats.org/officeDocument/2006/customXml" ds:itemID="{C5543A0A-BC65-43F9-A5CA-D69219D7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697FA-BE24-4878-AFDB-AD64CEE0912C}">
  <ds:schemaRefs>
    <ds:schemaRef ds:uri="6992b194-ece9-4b26-973e-e25c2ee2cdcd"/>
    <ds:schemaRef ds:uri="http://purl.org/dc/terms/"/>
    <ds:schemaRef ds:uri="http://schemas.microsoft.com/office/2006/documentManagement/types"/>
    <ds:schemaRef ds:uri="http://schemas.openxmlformats.org/package/2006/metadata/core-properties"/>
    <ds:schemaRef ds:uri="d0fb0f98-34f9-4d57-9559-eb8efd17aa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C84FCA0-A20E-48DE-B522-B2D818717B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CNMV</cp:lastModifiedBy>
  <cp:revision>6</cp:revision>
  <dcterms:created xsi:type="dcterms:W3CDTF">2024-07-11T09:26:00Z</dcterms:created>
  <dcterms:modified xsi:type="dcterms:W3CDTF">2024-07-15T08:34:00Z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ies>
</file>