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19FC5ED4" w:rsidR="00563C1F" w:rsidRDefault="00EC6066" w:rsidP="00F72D28">
          <w:pPr>
            <w:pStyle w:val="Ttulo"/>
          </w:pPr>
          <w:r>
            <w:t>Reply form</w:t>
          </w:r>
        </w:p>
        <w:p w14:paraId="031F2108" w14:textId="0F73999B" w:rsidR="007E7997" w:rsidRDefault="00D77369" w:rsidP="00D77369">
          <w:pPr>
            <w:pStyle w:val="Subttulo"/>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E77E2A"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8334D4">
            <w:rPr>
              <w:rFonts w:cs="Arial"/>
              <w:b/>
              <w:bCs/>
            </w:rPr>
            <w:t>On the review of the UCITS Eligible Assets Directive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tulo"/>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Prrafodelista"/>
          </w:pPr>
          <w:r w:rsidRPr="00E13D25">
            <w:t>respond to the question stated;</w:t>
          </w:r>
        </w:p>
        <w:p w14:paraId="72FD40F6" w14:textId="77777777" w:rsidR="002533FC" w:rsidRPr="00E13D25" w:rsidRDefault="002533FC" w:rsidP="00EC6066">
          <w:pPr>
            <w:pStyle w:val="Prrafodelista"/>
          </w:pPr>
          <w:r w:rsidRPr="00E13D25">
            <w:t>indicate the specific question to which the comment relates;</w:t>
          </w:r>
        </w:p>
        <w:p w14:paraId="78B206B7" w14:textId="77777777" w:rsidR="002533FC" w:rsidRPr="00E13D25" w:rsidRDefault="002533FC" w:rsidP="00EC6066">
          <w:pPr>
            <w:pStyle w:val="Prrafodelista"/>
          </w:pPr>
          <w:r w:rsidRPr="00E13D25">
            <w:t>contain a clear rationale; and</w:t>
          </w:r>
        </w:p>
        <w:p w14:paraId="60B8834E" w14:textId="77777777" w:rsidR="002533FC" w:rsidRPr="00E13D25" w:rsidRDefault="002533FC" w:rsidP="00EC6066">
          <w:pPr>
            <w:pStyle w:val="Prrafodelista"/>
          </w:pPr>
          <w:r w:rsidRPr="00E13D25">
            <w:t>describe any alternatives ESMA should consider.</w:t>
          </w:r>
        </w:p>
        <w:p w14:paraId="219225AC" w14:textId="3A45AF35" w:rsidR="002533FC" w:rsidRPr="005B6B12" w:rsidRDefault="002533FC" w:rsidP="002533FC">
          <w:r w:rsidRPr="005B6B12">
            <w:t>ESMA will consider all comments received by</w:t>
          </w:r>
          <w:r w:rsidR="008334D4">
            <w:t xml:space="preserve"> </w:t>
          </w:r>
          <w:r w:rsidR="008334D4" w:rsidRPr="008334D4">
            <w:rPr>
              <w:b/>
              <w:bCs/>
            </w:rPr>
            <w:t>Wednesday</w:t>
          </w:r>
          <w:r w:rsidRPr="008334D4">
            <w:rPr>
              <w:b/>
              <w:bCs/>
            </w:rPr>
            <w:t xml:space="preserve"> </w:t>
          </w:r>
          <w:r w:rsidR="00667FF6" w:rsidRPr="008334D4">
            <w:rPr>
              <w:b/>
              <w:bCs/>
            </w:rPr>
            <w:t>7 August</w:t>
          </w:r>
          <w:r w:rsidR="00667FF6" w:rsidRPr="00667FF6">
            <w:rPr>
              <w:b/>
              <w:bCs/>
            </w:rPr>
            <w:t xml:space="preserve"> 2024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ipervnculo"/>
              </w:rPr>
              <w:t>www.esma.europa.eu</w:t>
            </w:r>
          </w:hyperlink>
          <w:r w:rsidRPr="005B6B12">
            <w:t xml:space="preserve"> under the heading ‘Your input - Consultations’. </w:t>
          </w:r>
        </w:p>
        <w:p w14:paraId="5E44C845" w14:textId="77777777" w:rsidR="00EC6066" w:rsidRPr="0026459D" w:rsidRDefault="00EC6066" w:rsidP="00EC6066">
          <w:pPr>
            <w:pStyle w:val="Subttulo"/>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2E9458DC"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D07D6E">
            <w:rPr>
              <w:bCs/>
            </w:rPr>
            <w:t>EADC</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C336E6E"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86332B">
            <w:rPr>
              <w:bCs/>
            </w:rPr>
            <w:t>EADC</w:t>
          </w:r>
          <w:r w:rsidRPr="00C5469A">
            <w:rPr>
              <w:bCs/>
            </w:rPr>
            <w:t xml:space="preserve">_nameofrespondent. </w:t>
          </w:r>
        </w:p>
        <w:p w14:paraId="210BE93A" w14:textId="1C20553E"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86332B">
            <w:rPr>
              <w:bCs/>
            </w:rPr>
            <w:t>EADC</w:t>
          </w:r>
          <w:r w:rsidRPr="00C5469A">
            <w:rPr>
              <w:bCs/>
            </w:rPr>
            <w:t xml:space="preserve"> _ABCD.</w:t>
          </w:r>
        </w:p>
        <w:p w14:paraId="60FF11C9" w14:textId="121D1164" w:rsidR="00EC6066" w:rsidRPr="0026459D" w:rsidRDefault="51A403BF" w:rsidP="5788A89C">
          <w:pPr>
            <w:ind w:left="142"/>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 xml:space="preserve">submitted online at </w:t>
          </w:r>
          <w:hyperlink r:id="rId16">
            <w:r w:rsidR="4B7EB2E9" w:rsidRPr="5788A89C">
              <w:rPr>
                <w:rStyle w:val="Hipervnculo"/>
                <w:szCs w:val="22"/>
              </w:rPr>
              <w:t>https://www.esma.europa.eu/press-news/consultations/call-evidence-review-ucits-eligible-assets-directive</w:t>
            </w:r>
          </w:hyperlink>
          <w:r>
            <w:t xml:space="preserve"> 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7" w:history="1">
            <w:r w:rsidRPr="005B6B12">
              <w:rPr>
                <w:rStyle w:val="Hipervnculo"/>
              </w:rPr>
              <w:t>www.esma.europa.eu</w:t>
            </w:r>
          </w:hyperlink>
          <w:r w:rsidRPr="005B6B12">
            <w:t xml:space="preserve"> under the heading </w:t>
          </w:r>
          <w:r w:rsidRPr="00025A7F">
            <w:rPr>
              <w:rStyle w:val="Hipervnculo"/>
            </w:rPr>
            <w:t>‘</w:t>
          </w:r>
          <w:hyperlink r:id="rId18" w:history="1">
            <w:r>
              <w:rPr>
                <w:rStyle w:val="Hipervnculo"/>
              </w:rPr>
              <w:t>Data protection</w:t>
            </w:r>
          </w:hyperlink>
          <w:r>
            <w:rPr>
              <w:rStyle w:val="Hipervnculo"/>
            </w:rPr>
            <w:t>’</w:t>
          </w:r>
          <w:r w:rsidRPr="005B6B12">
            <w:t>.</w:t>
          </w:r>
        </w:p>
        <w:p w14:paraId="57A67DA5" w14:textId="44DBF9D2" w:rsidR="00EC6066" w:rsidRPr="005B6B12" w:rsidRDefault="00EC6066" w:rsidP="00EC6066">
          <w:pPr>
            <w:rPr>
              <w:b/>
            </w:rPr>
          </w:pPr>
          <w:r w:rsidRPr="005B6B12">
            <w:rPr>
              <w:b/>
            </w:rPr>
            <w:t>Who should read this paper?</w:t>
          </w:r>
        </w:p>
      </w:sdtContent>
    </w:sdt>
    <w:p w14:paraId="4690CAFC" w14:textId="460BB8F7" w:rsidR="00EC6066" w:rsidRDefault="00C72E8C" w:rsidP="00EC6066">
      <w:r w:rsidRPr="00C72E8C">
        <w:t xml:space="preserve">This Call for Evidence is of particular interest for investors and consumer groups interested in retail investment products, management companies of Undertakings for Collective Investment in Transferable Securities (UCITS), self-managed UCITS investment companies, depositaries of UCITS and trade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9"/>
          <w:footerReference w:type="default" r:id="rId20"/>
          <w:headerReference w:type="first" r:id="rId21"/>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Ttulo1"/>
        <w:rPr>
          <w:lang w:val="fr-BE"/>
        </w:rPr>
      </w:pPr>
      <w:r>
        <w:rPr>
          <w:lang w:val="fr-BE"/>
        </w:rPr>
        <w:lastRenderedPageBreak/>
        <w:t xml:space="preserve">General information about </w:t>
      </w:r>
      <w:r w:rsidRPr="00501EF4">
        <w:t>respondent</w:t>
      </w:r>
    </w:p>
    <w:tbl>
      <w:tblPr>
        <w:tblStyle w:val="Tablaconcuadrcula"/>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7267AACA" w:rsidR="00635BCA" w:rsidRPr="00557BD2" w:rsidRDefault="000C4F5B" w:rsidP="00D21C35">
                <w:r w:rsidRPr="000C4F5B">
                  <w:t>CNMV’s Advisory Committee. The Advisory Committe has been set by the Spanish Securities Market Law as the consultative body of the CNMV. It is composed by market participants and its opinions are independent from those of the CNMV.</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dtPr>
          <w:sdtEndPr/>
          <w:sdtContent>
            <w:permStart w:id="476595074" w:edGrp="everyone" w:displacedByCustomXml="prev"/>
            <w:tc>
              <w:tcPr>
                <w:tcW w:w="4531" w:type="dxa"/>
              </w:tcPr>
              <w:p w14:paraId="7403D812" w14:textId="1C600AB1" w:rsidR="00635BCA" w:rsidRPr="00557BD2" w:rsidRDefault="000C4F5B" w:rsidP="00D21C35">
                <w:r w:rsidRPr="000C4F5B">
                  <w:t>The Advisory Committe has been set by the Spanish Securities Market Law as the consultative body of the CNMV. It is composed by market participants and its opinions are independent from those of the CNMV</w:t>
                </w:r>
              </w:p>
            </w:tc>
            <w:permEnd w:id="476595074"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17591EBE" w:rsidR="00635BCA" w:rsidRPr="00557BD2" w:rsidRDefault="000C4F5B" w:rsidP="00D21C35">
                <w:r>
                  <w:t>Spain</w:t>
                </w:r>
              </w:p>
            </w:tc>
            <w:permEnd w:id="1581805691" w:displacedByCustomXml="next"/>
          </w:sdtContent>
        </w:sdt>
      </w:tr>
    </w:tbl>
    <w:p w14:paraId="687A8108" w14:textId="77777777" w:rsidR="00635BCA" w:rsidRPr="00053B66" w:rsidRDefault="00635BCA" w:rsidP="00635BCA"/>
    <w:p w14:paraId="449AB301" w14:textId="59EF16AD" w:rsidR="00667FF6" w:rsidRDefault="00635BCA" w:rsidP="00667FF6">
      <w:pPr>
        <w:pStyle w:val="Ttulo1"/>
        <w:rPr>
          <w:lang w:val="fr-BE"/>
        </w:rPr>
      </w:pPr>
      <w:r w:rsidRPr="00557BD2">
        <w:rPr>
          <w:lang w:val="fr-BE"/>
        </w:rPr>
        <w:t xml:space="preserve">Questions </w:t>
      </w:r>
    </w:p>
    <w:p w14:paraId="4CBE5AC1" w14:textId="77777777" w:rsidR="00667FF6" w:rsidRDefault="00667FF6" w:rsidP="00DB686B">
      <w:pPr>
        <w:pStyle w:val="Questionstyle"/>
        <w:numPr>
          <w:ilvl w:val="0"/>
          <w:numId w:val="14"/>
        </w:numPr>
        <w:rPr>
          <w:color w:val="auto"/>
        </w:rPr>
      </w:pPr>
      <w:r>
        <w:t>In your view, what is the most pressing issue to address in the UCITS EAD with a view to improving investor protection, clarity and supervisory convergence across the EU?</w:t>
      </w:r>
    </w:p>
    <w:p w14:paraId="3DAC8524" w14:textId="77777777" w:rsidR="00667FF6" w:rsidRDefault="00667FF6" w:rsidP="00667FF6">
      <w:bookmarkStart w:id="0" w:name="_Hlk166078273"/>
      <w:r>
        <w:t>&lt;ESMA_QUESTION_EADC_1&gt;</w:t>
      </w:r>
    </w:p>
    <w:bookmarkEnd w:id="0"/>
    <w:p w14:paraId="011C74C8" w14:textId="77777777" w:rsidR="000C4F5B" w:rsidRPr="000C4F5B" w:rsidRDefault="000C4F5B" w:rsidP="000C4F5B">
      <w:permStart w:id="1975413025" w:edGrp="everyone"/>
      <w:r w:rsidRPr="000C4F5B">
        <w:t>A general approach to the revision of the eligible assets framework, considering not only the revision of the EAD but also the UCITS eligible assets framework, including level I.</w:t>
      </w:r>
    </w:p>
    <w:p w14:paraId="3CE75096" w14:textId="77777777" w:rsidR="000C4F5B" w:rsidRPr="000C4F5B" w:rsidRDefault="000C4F5B" w:rsidP="000C4F5B">
      <w:r w:rsidRPr="000C4F5B">
        <w:t>In this sense, not only should the Eligible Assets Directive be revised, but also the complete UCITS eligible assets framework, allowing for adaptation to the markets and harmonisation in the application and, thus, investment protection, to be adequately addressed. For that purpose, we refer to that stated in point (b) of the general comments and, specifically, to (i) the possibility of investing in open CISs within the Article 50(2)(a) of the UCITS Directive and (ii) the elimination of the obligation to diversify into 6 issuances, when investing more than 35% in public debt of the same issuer included in the UCITS Directive.</w:t>
      </w:r>
    </w:p>
    <w:p w14:paraId="79E48747" w14:textId="77777777" w:rsidR="000C4F5B" w:rsidRPr="000C4F5B" w:rsidRDefault="000C4F5B" w:rsidP="000C4F5B">
      <w:r w:rsidRPr="000C4F5B">
        <w:lastRenderedPageBreak/>
        <w:t>However, attending to the mandate foreseen by the EC, the essential issue is the need for harmonisation regarding the obligation or not to look through the assets, it being in the general interest to establish common criteria on when to carry out this exercise and when not.</w:t>
      </w:r>
    </w:p>
    <w:permEnd w:id="1975413025"/>
    <w:p w14:paraId="2A42AC36" w14:textId="77777777" w:rsidR="00667FF6" w:rsidRDefault="00667FF6" w:rsidP="00667FF6">
      <w:r>
        <w:t>&lt;ESMA_QUESTION_EADC_1&gt;</w:t>
      </w:r>
    </w:p>
    <w:p w14:paraId="5AD5570D" w14:textId="77777777" w:rsidR="00667FF6" w:rsidRDefault="00667FF6" w:rsidP="00667FF6"/>
    <w:p w14:paraId="457979D8" w14:textId="13EE4C5A" w:rsidR="00667FF6" w:rsidRDefault="00667FF6" w:rsidP="00DB686B">
      <w:pPr>
        <w:pStyle w:val="Questionstyle"/>
        <w:numPr>
          <w:ilvl w:val="0"/>
          <w:numId w:val="14"/>
        </w:numPr>
      </w:pPr>
      <w:r>
        <w:t xml:space="preserve">Have you experienced any recurring or significant issues with the interpretation or consistent application of UCITS EAD rules with respect to financial indices? If so, please describe any recurring or significant issues that you have experienced and how you would propose to amend the UCITS EAD to improve investor protection, clarity and supervisory convergence. Where relevant, please specify what indices this relates to and what were the specific characteristics of those indices that raised doubts or concerns. Where possible, please provide data to substantiate the materiality of the issue. </w:t>
      </w:r>
    </w:p>
    <w:p w14:paraId="6044316D" w14:textId="77777777" w:rsidR="00667FF6" w:rsidRDefault="00667FF6" w:rsidP="00667FF6">
      <w:r>
        <w:t>&lt;ESMA_QUESTION_EADC_2&gt;</w:t>
      </w:r>
    </w:p>
    <w:p w14:paraId="2B02A334" w14:textId="77777777" w:rsidR="000C4F5B" w:rsidRPr="000C4F5B" w:rsidRDefault="000C4F5B" w:rsidP="000C4F5B">
      <w:permStart w:id="85149166" w:edGrp="everyone"/>
      <w:r w:rsidRPr="000C4F5B">
        <w:t>For the purpose of investing in financial indices, the Eligible Assets Directive should be limited to requiring, in those cases in which the administrator and/or index are authorised or registered in accordance with the Benchmark Regulation, that the financial indices are sufficiently diversified, inasmuch the issues regarding governance and transparency of financial indices are regulated in the Benchmark Regulation.</w:t>
      </w:r>
    </w:p>
    <w:p w14:paraId="5532F492" w14:textId="77777777" w:rsidR="000C4F5B" w:rsidRPr="000C4F5B" w:rsidRDefault="000C4F5B" w:rsidP="000C4F5B">
      <w:r w:rsidRPr="000C4F5B">
        <w:t>On the other hand, there is no uniform application throughout all jurisdictions regarding the exposure to non-eligible assets via financial indices. Although neither the UCITS Directive nor the EAD require a look through, some national regulations require financial indices to be referenced to eligible or previously authorised underlying assets.</w:t>
      </w:r>
    </w:p>
    <w:p w14:paraId="30F1C85B" w14:textId="77777777" w:rsidR="000C4F5B" w:rsidRPr="000C4F5B" w:rsidRDefault="000C4F5B" w:rsidP="000C4F5B">
      <w:r w:rsidRPr="000C4F5B">
        <w:t>In addition, with regard to the new requirements on governance and conflicts of interest of administrators, it should be clarified that, if a derivative based on an index is contracted, there is no restriction for the counterparty to be from the same financial group</w:t>
      </w:r>
      <w:r w:rsidRPr="000C4F5B">
        <w:rPr>
          <w:vertAlign w:val="superscript"/>
        </w:rPr>
        <w:footnoteReference w:id="2"/>
      </w:r>
      <w:r w:rsidRPr="000C4F5B">
        <w:t>.</w:t>
      </w:r>
    </w:p>
    <w:permEnd w:id="85149166"/>
    <w:p w14:paraId="4AE132E3" w14:textId="77777777" w:rsidR="00667FF6" w:rsidRDefault="00667FF6" w:rsidP="00667FF6">
      <w:r>
        <w:t>&lt;ESMA_QUESTION_EADC_2&gt;</w:t>
      </w:r>
    </w:p>
    <w:p w14:paraId="3C6A114C" w14:textId="77777777" w:rsidR="00667FF6" w:rsidRDefault="00667FF6" w:rsidP="00667FF6"/>
    <w:p w14:paraId="4C265A7D" w14:textId="0F8533C1" w:rsidR="00667FF6" w:rsidRDefault="00667FF6" w:rsidP="00DB686B">
      <w:pPr>
        <w:pStyle w:val="Questionstyle"/>
        <w:numPr>
          <w:ilvl w:val="0"/>
          <w:numId w:val="14"/>
        </w:numPr>
      </w:pPr>
      <w:r>
        <w:t>Have you experienced any recurring or significant issues with the interpretation or consistent application of UCITS EAD rules with respect to money market instruments? If so, please describe the issues you have experienced and how you would propose to amend the UCITS EAD to improve investor protection, clarity and supervisory convergence. Where relevant, please describe the specific characteristics of the money market instruments that raised doubts or concerns.</w:t>
      </w:r>
    </w:p>
    <w:p w14:paraId="766A4AFE" w14:textId="77777777" w:rsidR="00667FF6" w:rsidRDefault="00667FF6" w:rsidP="00667FF6">
      <w:r>
        <w:t>&lt;ESMA_QUESTION_EADC_3&gt;</w:t>
      </w:r>
    </w:p>
    <w:p w14:paraId="07143DF0" w14:textId="77777777" w:rsidR="000C4F5B" w:rsidRPr="000C4F5B" w:rsidRDefault="000C4F5B" w:rsidP="000C4F5B">
      <w:permStart w:id="1981048397" w:edGrp="everyone"/>
      <w:r w:rsidRPr="000C4F5B">
        <w:t>No problems were detected in relation to the interpretation of the rules relating to money market instruments.</w:t>
      </w:r>
    </w:p>
    <w:permEnd w:id="1981048397"/>
    <w:p w14:paraId="38616CA8" w14:textId="77777777" w:rsidR="00667FF6" w:rsidRDefault="00667FF6" w:rsidP="00667FF6">
      <w:r>
        <w:t>&lt;ESMA_QUESTION_EADC_3&gt;</w:t>
      </w:r>
    </w:p>
    <w:p w14:paraId="0C9249FE" w14:textId="77777777" w:rsidR="00667FF6" w:rsidRDefault="00667FF6" w:rsidP="00667FF6"/>
    <w:p w14:paraId="632D4A65" w14:textId="2A356142" w:rsidR="00667FF6" w:rsidRDefault="00667FF6" w:rsidP="00DB686B">
      <w:pPr>
        <w:pStyle w:val="Questionstyle"/>
        <w:numPr>
          <w:ilvl w:val="0"/>
          <w:numId w:val="14"/>
        </w:numPr>
      </w:pPr>
      <w:r>
        <w:t>Have you experienced any recurring or significant issues with the interpretation or consistent application of UCITS EAD provisions using the notions of « liquidity » or « liquid financial assets »? If so, please describe the issues you have experienced and how you would propose to amend the UCITS EAD to better specify these notions with a view to improving investor protection, clarity and supervisory convergence. Where relevant, please explain any differences to be made between the liquidity of different asset.</w:t>
      </w:r>
    </w:p>
    <w:p w14:paraId="5B8BFC93" w14:textId="77777777" w:rsidR="00667FF6" w:rsidRDefault="00667FF6" w:rsidP="00667FF6">
      <w:r>
        <w:t>&lt;ESMA_QUESTION_EADC_4&gt;</w:t>
      </w:r>
    </w:p>
    <w:p w14:paraId="262529D0" w14:textId="77777777" w:rsidR="000C4F5B" w:rsidRPr="000C4F5B" w:rsidRDefault="000C4F5B" w:rsidP="000C4F5B">
      <w:permStart w:id="1012351271" w:edGrp="everyone"/>
      <w:r w:rsidRPr="000C4F5B">
        <w:t xml:space="preserve">The inclusion of additional requirements to the definitions of the Eligible Assets Directive is not considered necessary. In this respect, please refer to the next question. </w:t>
      </w:r>
    </w:p>
    <w:permEnd w:id="1012351271"/>
    <w:p w14:paraId="65B48BCF" w14:textId="77777777" w:rsidR="00667FF6" w:rsidRDefault="00667FF6" w:rsidP="00667FF6">
      <w:r>
        <w:t>&lt;ESMA_QUESTION_EADC_4&gt;</w:t>
      </w:r>
    </w:p>
    <w:p w14:paraId="5A647590" w14:textId="77777777" w:rsidR="00667FF6" w:rsidRDefault="00667FF6" w:rsidP="00667FF6"/>
    <w:p w14:paraId="5AFF0EB2" w14:textId="77777777" w:rsidR="00667FF6" w:rsidRDefault="00667FF6" w:rsidP="00DB686B">
      <w:pPr>
        <w:pStyle w:val="Questionstyle"/>
        <w:numPr>
          <w:ilvl w:val="0"/>
          <w:numId w:val="14"/>
        </w:numPr>
      </w:pPr>
      <w:r>
        <w:t>The 2020 ESMA CSA on UCITS liquidity risk management identified issues with respect to the presumption of liquidity and negotiability set out in UCITS EAD. In light of the changed market conditions since 2007, do you consider such a presumption of liquidity and negotiability still appropriate? Where possible, please provide views, data or estimates on the possible impact of removing the presumption of liquidity and negotiability set out in the UCITS EAD.</w:t>
      </w:r>
    </w:p>
    <w:p w14:paraId="05E3A666" w14:textId="77777777" w:rsidR="00667FF6" w:rsidRDefault="00667FF6" w:rsidP="00667FF6">
      <w:r>
        <w:lastRenderedPageBreak/>
        <w:t>&lt;ESMA_QUESTION_EADC_5&gt;</w:t>
      </w:r>
    </w:p>
    <w:p w14:paraId="4AC32C38" w14:textId="77777777" w:rsidR="000C4F5B" w:rsidRPr="000C4F5B" w:rsidRDefault="000C4F5B" w:rsidP="000C4F5B">
      <w:permStart w:id="1300367218" w:edGrp="everyone"/>
      <w:r w:rsidRPr="000C4F5B">
        <w:t xml:space="preserve">The presumption of liquidity and negotiability, provided in the last paragraph of Article 2(1), already states that </w:t>
      </w:r>
      <w:r w:rsidRPr="000C4F5B">
        <w:rPr>
          <w:b/>
        </w:rPr>
        <w:t>when the manager has information leading to another conclusion, it will not consider the presumption of liquidity and negotiability of the market</w:t>
      </w:r>
      <w:r w:rsidRPr="000C4F5B">
        <w:t>, however, if otherwise, the regulation states that it may presume liquidity, negotiability and capacity to cover UCITS reimbursements.</w:t>
      </w:r>
    </w:p>
    <w:p w14:paraId="3606E246" w14:textId="33FBA151" w:rsidR="000C4F5B" w:rsidRPr="000C4F5B" w:rsidRDefault="000C4F5B" w:rsidP="000C4F5B">
      <w:r w:rsidRPr="000C4F5B">
        <w:t xml:space="preserve">Moreover, it should be indicated that in paragraphs 9, 10 and 11 of the aforementioned CSA, ESMA also stated that there were few cases in which the NCAs identified significant liquidity risks that could endanger the capacity of the UCITS analysed to fulfil reimbursement requests or any other obligation. In a very limited number of UCITS, liquidity profiles indicated possible asset-liability mismatch risks, which were only sometimes mitigated by liquidity management tools. In the majority of cases, this exercise found that the level of compliance with applicable liquidity management rules was </w:t>
      </w:r>
      <w:r w:rsidR="004F4E23" w:rsidRPr="000C4F5B">
        <w:t>satisfactory,</w:t>
      </w:r>
      <w:r w:rsidRPr="000C4F5B">
        <w:t xml:space="preserve"> and the entities complied with their regulatory obligations. </w:t>
      </w:r>
    </w:p>
    <w:p w14:paraId="1831AF5A" w14:textId="02641746" w:rsidR="000C4F5B" w:rsidRPr="000C4F5B" w:rsidRDefault="000C4F5B" w:rsidP="000C4F5B">
      <w:r w:rsidRPr="000C4F5B">
        <w:t xml:space="preserve">Since the task of managers is to manage investment risks and that, in accordance with the CSA, no liquidity problems were detected in UCITS, joined to the fact that the recent amendment of the UCITS Directive has included liquidity tools allowing for better management of liquidity risk, it is considered that </w:t>
      </w:r>
      <w:r w:rsidRPr="000C4F5B">
        <w:rPr>
          <w:b/>
        </w:rPr>
        <w:t>issues such as the liquidity or negotiability of assets should be dealt with separately and, therefore, remain outside the debate regarding the eligibility of the UCITS</w:t>
      </w:r>
      <w:r w:rsidRPr="000C4F5B">
        <w:t xml:space="preserve"> </w:t>
      </w:r>
      <w:r w:rsidRPr="000C4F5B">
        <w:rPr>
          <w:b/>
          <w:bCs/>
        </w:rPr>
        <w:t>portfolio assets</w:t>
      </w:r>
      <w:r w:rsidRPr="000C4F5B">
        <w:t>. That is to say, the regulation should not include additional liquidity and negotiability requirements of transferable securities admitted to trading to be eligible for investment, notwithstanding that the manager must analyse the liquidity of each specific asset within the framework of its liquidity management policy, even if it is listed in a regulated market.</w:t>
      </w:r>
    </w:p>
    <w:permEnd w:id="1300367218"/>
    <w:p w14:paraId="25A344BA" w14:textId="77777777" w:rsidR="00667FF6" w:rsidRDefault="00667FF6" w:rsidP="00667FF6">
      <w:r>
        <w:t>&lt;ESMA_QUESTION_EADC_5&gt;</w:t>
      </w:r>
    </w:p>
    <w:p w14:paraId="03906CE4" w14:textId="77777777" w:rsidR="00667FF6" w:rsidRDefault="00667FF6" w:rsidP="00667FF6"/>
    <w:p w14:paraId="56AE07B8" w14:textId="3C764772" w:rsidR="00667FF6" w:rsidRDefault="00667FF6" w:rsidP="00DB686B">
      <w:pPr>
        <w:pStyle w:val="Questionstyle"/>
        <w:numPr>
          <w:ilvl w:val="0"/>
          <w:numId w:val="14"/>
        </w:numPr>
      </w:pPr>
      <w:r>
        <w:t>Please explain your understanding of the notion of ancillary liquid assets and any recurring or significant issues that you might have experienced in this context. Please clarify if these are held as bank deposits at sight and what else is used as ancillary liquid assets. Where relevant, please distinguish between ancillary liquid assets denominated in (1) the base currency of the fund and (2) foreign currencies.</w:t>
      </w:r>
    </w:p>
    <w:p w14:paraId="6D6B1414" w14:textId="77777777" w:rsidR="00667FF6" w:rsidRDefault="00667FF6" w:rsidP="00667FF6">
      <w:r>
        <w:t>&lt;ESMA_QUESTION_EADC_6&gt;</w:t>
      </w:r>
    </w:p>
    <w:p w14:paraId="21C3BD6A" w14:textId="77777777" w:rsidR="001B09B5" w:rsidRPr="001B09B5" w:rsidRDefault="001B09B5" w:rsidP="001B09B5">
      <w:permStart w:id="974730357" w:edGrp="everyone"/>
      <w:r w:rsidRPr="001B09B5">
        <w:t>No comments in this regard.</w:t>
      </w:r>
    </w:p>
    <w:permEnd w:id="974730357"/>
    <w:p w14:paraId="307CFCEA" w14:textId="77777777" w:rsidR="00667FF6" w:rsidRDefault="00667FF6" w:rsidP="00667FF6">
      <w:r>
        <w:lastRenderedPageBreak/>
        <w:t>&lt;ESMA_QUESTION_EADC_6&gt;</w:t>
      </w:r>
    </w:p>
    <w:p w14:paraId="45FF66BD" w14:textId="77777777" w:rsidR="00667FF6" w:rsidRDefault="00667FF6" w:rsidP="00667FF6"/>
    <w:p w14:paraId="7215304E" w14:textId="40D71168" w:rsidR="00667FF6" w:rsidRDefault="00667FF6" w:rsidP="00DB686B">
      <w:pPr>
        <w:pStyle w:val="Questionstyle"/>
        <w:numPr>
          <w:ilvl w:val="0"/>
          <w:numId w:val="14"/>
        </w:numPr>
      </w:pPr>
      <w:r>
        <w:t>Beyond holding currency for liquidity purposes, do you think UCITS should be permitted to acquire or hold foreign currency also for investment purposes, taking into account the high volatility and devaluation/depreciation of some currencies? Where relevant, please distinguish between direct and indirect investments.</w:t>
      </w:r>
    </w:p>
    <w:p w14:paraId="31EB23C3" w14:textId="77777777" w:rsidR="00667FF6" w:rsidRDefault="00667FF6" w:rsidP="00667FF6">
      <w:r>
        <w:t>&lt;ESMA_QUESTION_EADC_7&gt;</w:t>
      </w:r>
    </w:p>
    <w:p w14:paraId="4362E0A9" w14:textId="77777777" w:rsidR="001B09B5" w:rsidRPr="001B09B5" w:rsidRDefault="001B09B5" w:rsidP="001B09B5">
      <w:permStart w:id="12191390" w:edGrp="everyone"/>
      <w:r w:rsidRPr="001B09B5">
        <w:t>No comments in this regard.</w:t>
      </w:r>
    </w:p>
    <w:permEnd w:id="12191390"/>
    <w:p w14:paraId="1D468445" w14:textId="77777777" w:rsidR="00667FF6" w:rsidRDefault="00667FF6" w:rsidP="00667FF6">
      <w:r>
        <w:t>&lt;ESMA_QUESTION_EADC_7&gt;</w:t>
      </w:r>
    </w:p>
    <w:p w14:paraId="354CFACC" w14:textId="77777777" w:rsidR="00667FF6" w:rsidRDefault="00667FF6" w:rsidP="00667FF6"/>
    <w:p w14:paraId="653E32A2" w14:textId="77777777" w:rsidR="00667FF6" w:rsidRDefault="00667FF6" w:rsidP="00DB686B">
      <w:pPr>
        <w:pStyle w:val="Questionstyle"/>
        <w:numPr>
          <w:ilvl w:val="0"/>
          <w:numId w:val="14"/>
        </w:numPr>
      </w:pPr>
      <w:r>
        <w:t>Have you observed any recurring or significant issues with the interpretation or consistent application of the 10% limit set out in the UCITS Directive for investments in transferable securities and money market instruments other than those referred to in Article 50(1) of the UCITS Directive? If so, please explain the issues and how you would propose to address them in the UCITS EAD with a view to improving investor protection, clarity and supervisory convergence.</w:t>
      </w:r>
    </w:p>
    <w:p w14:paraId="1E29587B" w14:textId="77777777" w:rsidR="00667FF6" w:rsidRDefault="00667FF6" w:rsidP="00667FF6">
      <w:r>
        <w:t>&lt;ESMA_QUESTION_EADC_8&gt;</w:t>
      </w:r>
    </w:p>
    <w:p w14:paraId="12BA5123" w14:textId="77777777" w:rsidR="001B09B5" w:rsidRPr="001B09B5" w:rsidRDefault="001B09B5" w:rsidP="001B09B5">
      <w:permStart w:id="1602386857" w:edGrp="everyone"/>
      <w:r w:rsidRPr="001B09B5">
        <w:t>Although there is not a problem regarding interpretation divergence as ESMA has given an opinion on the matter, we would like to highlight the relevance of including in the 10% limit open-ended CIS that do not meet the requirements of Article 50(1)(e) of the UCITS Directive by either amending Article 50(2)(a) of the UCITS Directive or of Article 2(2) EAD, or via the amendment of ESMA’s opinion. This would allow for investing in units/shares of other types of Funds, which already have a strict general regulation at management level, such as EU’s AIFs, or specific regulation at product level, such as ELTIFs.</w:t>
      </w:r>
    </w:p>
    <w:p w14:paraId="4CA42093" w14:textId="77777777" w:rsidR="001B09B5" w:rsidRPr="001B09B5" w:rsidRDefault="001B09B5" w:rsidP="001B09B5">
      <w:r w:rsidRPr="001B09B5">
        <w:t>It should also be possible to include in this 10% CISs with exposure to non-eligible underlying assets for UCITS (commodities, crypto-assets, catastrophe bonds) that allow indirect access to a type of asset that requires professional experience and management, particularly when dealing with ETFs listed in regulated markets of EU jurisdictions or those of countries like the US. The limitations would be established via diversification and transparency requirements regarding investor information.</w:t>
      </w:r>
    </w:p>
    <w:p w14:paraId="5D403236" w14:textId="77777777" w:rsidR="001B09B5" w:rsidRPr="001B09B5" w:rsidRDefault="001B09B5" w:rsidP="001B09B5">
      <w:pPr>
        <w:rPr>
          <w:b/>
          <w:bCs/>
        </w:rPr>
      </w:pPr>
      <w:r w:rsidRPr="001B09B5">
        <w:lastRenderedPageBreak/>
        <w:t xml:space="preserve">If the above is considered appropriate, the option of directly investing in this type of assets within the same percentage </w:t>
      </w:r>
      <w:r w:rsidRPr="001B09B5">
        <w:rPr>
          <w:b/>
        </w:rPr>
        <w:t>could also be evaluated.</w:t>
      </w:r>
    </w:p>
    <w:permEnd w:id="1602386857"/>
    <w:p w14:paraId="720FFABA" w14:textId="77777777" w:rsidR="00667FF6" w:rsidRDefault="00667FF6" w:rsidP="00667FF6">
      <w:r>
        <w:t>&lt;ESMA_QUESTION_EADC_8&gt;</w:t>
      </w:r>
    </w:p>
    <w:p w14:paraId="6A129E5D" w14:textId="77777777" w:rsidR="00667FF6" w:rsidRDefault="00667FF6" w:rsidP="00667FF6"/>
    <w:p w14:paraId="67524C18" w14:textId="0AFAC158" w:rsidR="00667FF6" w:rsidRDefault="00667FF6" w:rsidP="00DB686B">
      <w:pPr>
        <w:pStyle w:val="Questionstyle"/>
        <w:numPr>
          <w:ilvl w:val="0"/>
          <w:numId w:val="14"/>
        </w:numPr>
      </w:pPr>
      <w:r>
        <w:t>Are the ‘transferable security’ criteria set out in the UCITS EAD adequate and clear enough? If not, please describe any recurring or significant issues that you have observed and how you would propose to amend the UCITS EAD to improve investor protection, clarity and supervisory convergence.</w:t>
      </w:r>
    </w:p>
    <w:p w14:paraId="5B3E2DA7" w14:textId="77777777" w:rsidR="00667FF6" w:rsidRDefault="00667FF6" w:rsidP="00667FF6">
      <w:r>
        <w:t>&lt;ESMA_QUESTION_EADC_9&gt;</w:t>
      </w:r>
    </w:p>
    <w:p w14:paraId="0BD49735" w14:textId="77777777" w:rsidR="00230958" w:rsidRPr="00230958" w:rsidRDefault="00230958" w:rsidP="00230958">
      <w:permStart w:id="1226657538" w:edGrp="everyone"/>
      <w:r w:rsidRPr="00230958">
        <w:t>The criteria established regarding the asset transfer concept are considered appropriate.</w:t>
      </w:r>
    </w:p>
    <w:permEnd w:id="1226657538"/>
    <w:p w14:paraId="362436C7" w14:textId="77777777" w:rsidR="00667FF6" w:rsidRDefault="00667FF6" w:rsidP="00667FF6">
      <w:r>
        <w:t>&lt;ESMA_QUESTION_EADC_9&gt;</w:t>
      </w:r>
    </w:p>
    <w:p w14:paraId="2656408B" w14:textId="77777777" w:rsidR="00667FF6" w:rsidRDefault="00667FF6" w:rsidP="00667FF6"/>
    <w:p w14:paraId="55F6DC93" w14:textId="75E394F8" w:rsidR="00667FF6" w:rsidRDefault="00667FF6" w:rsidP="00DB686B">
      <w:pPr>
        <w:pStyle w:val="Questionstyle"/>
        <w:numPr>
          <w:ilvl w:val="0"/>
          <w:numId w:val="14"/>
        </w:numPr>
      </w:pPr>
      <w:r>
        <w:t>How are the valuation and risk management-related criteria set out in the UCITS EAD interpreted and applied in practice, in particular the need for (1) risks to be “adequately captured” by the risk management process and (2) having “reliable” valuation/prices. Please describe any recurring or significant issues that you have observed with the interpretation or consistent application of these criteria and how you would propose to amend the UCITS EAD to improve investor protection, clarity and supervisory convergence.</w:t>
      </w:r>
    </w:p>
    <w:p w14:paraId="7A78E990" w14:textId="77777777" w:rsidR="00667FF6" w:rsidRDefault="00667FF6" w:rsidP="00667FF6">
      <w:r>
        <w:t>&lt;ESMA_QUESTION_EADC_10&gt;</w:t>
      </w:r>
    </w:p>
    <w:p w14:paraId="27AE76B8" w14:textId="77777777" w:rsidR="00230958" w:rsidRPr="00230958" w:rsidRDefault="00230958" w:rsidP="00230958">
      <w:permStart w:id="1286214635" w:edGrp="everyone"/>
      <w:r w:rsidRPr="00230958">
        <w:t>The valuation and risk management criteria should remain outside the valuation of the eligibility of market traded transferable securities. See the answer to question 5.</w:t>
      </w:r>
    </w:p>
    <w:permEnd w:id="1286214635"/>
    <w:p w14:paraId="596ED339" w14:textId="77777777" w:rsidR="00667FF6" w:rsidRDefault="00667FF6" w:rsidP="00667FF6">
      <w:r>
        <w:t>&lt;ESMA_QUESTION_EADC_10&gt;</w:t>
      </w:r>
    </w:p>
    <w:p w14:paraId="0BAA1A76" w14:textId="77777777" w:rsidR="00667FF6" w:rsidRDefault="00667FF6" w:rsidP="00667FF6"/>
    <w:p w14:paraId="17C5D1CC" w14:textId="6F44228F" w:rsidR="00667FF6" w:rsidRDefault="00667FF6" w:rsidP="00DB686B">
      <w:pPr>
        <w:pStyle w:val="Questionstyle"/>
        <w:numPr>
          <w:ilvl w:val="0"/>
          <w:numId w:val="14"/>
        </w:numPr>
      </w:pPr>
      <w:r>
        <w:t>Are the UCITS EAD provisions on investments in financial instruments backed by, or linked to the performance of assets other than those listed in Article 50(1) of the UCITS Directive adequate and clear enough? Please describe any recurring or significant issues that you have observed in this respect and how you would propose to amend the UCITS EAD to improve investor protection, clarity and supervisory convergence.</w:t>
      </w:r>
    </w:p>
    <w:p w14:paraId="1B0E4A0A" w14:textId="77777777" w:rsidR="00667FF6" w:rsidRDefault="00667FF6" w:rsidP="00667FF6">
      <w:r>
        <w:lastRenderedPageBreak/>
        <w:t>&lt;ESMA_QUESTION_EADC_11&gt;</w:t>
      </w:r>
    </w:p>
    <w:p w14:paraId="0D92CA86" w14:textId="77777777" w:rsidR="00230958" w:rsidRPr="00230958" w:rsidRDefault="00230958" w:rsidP="00230958">
      <w:permStart w:id="704664972" w:edGrp="everyone"/>
      <w:r w:rsidRPr="00230958">
        <w:rPr>
          <w:b/>
        </w:rPr>
        <w:t xml:space="preserve">One of the priority issues is the need to harmonise whether there is the obligation to perform a </w:t>
      </w:r>
      <w:r w:rsidRPr="00230958">
        <w:rPr>
          <w:b/>
          <w:bCs/>
        </w:rPr>
        <w:t>look-through</w:t>
      </w:r>
      <w:r w:rsidRPr="00230958">
        <w:rPr>
          <w:b/>
          <w:i/>
        </w:rPr>
        <w:t xml:space="preserve"> </w:t>
      </w:r>
      <w:r w:rsidRPr="00230958">
        <w:rPr>
          <w:b/>
        </w:rPr>
        <w:t>or not, it being in the general interest to establish common criteria on when this should be performed and when not</w:t>
      </w:r>
      <w:r w:rsidRPr="00230958">
        <w:t xml:space="preserve">. Thus, the greater or lesser flexibility with which each jurisdiction currently applies this principle implies a greater or lesser possibility of obtaining indirect exposure (via derivatives, indices, delta-one instruments or other CISs) to underlying assets not eligible per se for UCITS. </w:t>
      </w:r>
    </w:p>
    <w:p w14:paraId="1432EDFF" w14:textId="77777777" w:rsidR="00230958" w:rsidRPr="00230958" w:rsidRDefault="00230958" w:rsidP="00230958">
      <w:r w:rsidRPr="00230958">
        <w:t>See the answer to question 13.</w:t>
      </w:r>
    </w:p>
    <w:permEnd w:id="704664972"/>
    <w:p w14:paraId="0F547A6E" w14:textId="77777777" w:rsidR="00667FF6" w:rsidRDefault="00667FF6" w:rsidP="00667FF6">
      <w:r>
        <w:t>&lt;ESMA_QUESTION_EADC_11&gt;</w:t>
      </w:r>
    </w:p>
    <w:p w14:paraId="36E977FF" w14:textId="77777777" w:rsidR="00667FF6" w:rsidRDefault="00667FF6" w:rsidP="00667FF6"/>
    <w:p w14:paraId="35AD47A8" w14:textId="19BAFAEA" w:rsidR="00667FF6" w:rsidRDefault="00667FF6" w:rsidP="00DB686B">
      <w:pPr>
        <w:pStyle w:val="Questionstyle"/>
        <w:numPr>
          <w:ilvl w:val="0"/>
          <w:numId w:val="14"/>
        </w:numPr>
      </w:pPr>
      <w:r>
        <w:t>Is the concept of « embedded » derivatives set out in the UCITS EAD adequate and clear enough? Please describe any recurring or significant issues that you have observed with the interpretation or consistent application of this concept and how you would propose to amend UCITS EAD to improve investor protection, clarity and supervisory convergence.</w:t>
      </w:r>
    </w:p>
    <w:p w14:paraId="53A2BF96" w14:textId="77777777" w:rsidR="00667FF6" w:rsidRDefault="00667FF6" w:rsidP="00667FF6">
      <w:r>
        <w:t>&lt;ESMA_QUESTION_EADC_12&gt;</w:t>
      </w:r>
    </w:p>
    <w:p w14:paraId="357EC265" w14:textId="77777777" w:rsidR="00230958" w:rsidRPr="00230958" w:rsidRDefault="00230958" w:rsidP="00230958">
      <w:permStart w:id="624035433" w:edGrp="everyone"/>
      <w:r w:rsidRPr="00230958">
        <w:t>We have no knowledge of the existence of any problem regarding the embedded derivatives concept.</w:t>
      </w:r>
    </w:p>
    <w:permEnd w:id="624035433"/>
    <w:p w14:paraId="0AE10AA5" w14:textId="77777777" w:rsidR="00667FF6" w:rsidRDefault="00667FF6" w:rsidP="00667FF6">
      <w:r>
        <w:t>&lt;ESMA_QUESTION_EADC_12&gt;</w:t>
      </w:r>
    </w:p>
    <w:p w14:paraId="76621B7A" w14:textId="77777777" w:rsidR="00667FF6" w:rsidRDefault="00667FF6" w:rsidP="00667FF6"/>
    <w:p w14:paraId="2CC518B9" w14:textId="77777777" w:rsidR="00667FF6" w:rsidRDefault="00667FF6" w:rsidP="00DB686B">
      <w:pPr>
        <w:pStyle w:val="Questionstyle"/>
        <w:numPr>
          <w:ilvl w:val="0"/>
          <w:numId w:val="14"/>
        </w:numPr>
      </w:pPr>
      <w:r>
        <w:t>Linked to Q11 and Q12, ESMA is aware of diverging interpretations on the treatment of delta-one instruments under the EAD, taking into account that they might provide UCITS with exposures to asset classes that are not eligible for direct investment (see also Section 3.2). How would you propose to amend the UCITS EAD to improve investor protection, clarity and supervisory convergence? Please provide details on the assessment of the eligibility of different types of delta-one instruments, identify the issues per product and provide data to support the reasoning.</w:t>
      </w:r>
    </w:p>
    <w:p w14:paraId="20523F5C" w14:textId="77777777" w:rsidR="00667FF6" w:rsidRDefault="00667FF6" w:rsidP="00667FF6">
      <w:r>
        <w:t>&lt;ESMA_QUESTION_EADC_13&gt;</w:t>
      </w:r>
    </w:p>
    <w:p w14:paraId="07F21E9A" w14:textId="77777777" w:rsidR="00230958" w:rsidRPr="00230958" w:rsidRDefault="00230958" w:rsidP="00230958">
      <w:permStart w:id="1487874619" w:edGrp="everyone"/>
      <w:r w:rsidRPr="00230958">
        <w:t>For greater legal certainty, it is necessary to determine the situations in which the Management Companies must look through the asset and when not.</w:t>
      </w:r>
    </w:p>
    <w:p w14:paraId="6E8CA46D" w14:textId="77777777" w:rsidR="00230958" w:rsidRPr="00230958" w:rsidRDefault="00230958" w:rsidP="00230958"/>
    <w:p w14:paraId="4CE3CFF1" w14:textId="622293F0" w:rsidR="00230958" w:rsidRPr="00230958" w:rsidRDefault="00230958" w:rsidP="00230958">
      <w:r w:rsidRPr="00230958">
        <w:t>In this sense, even though any additional criterion to invest in Delta-one ETPs is more restrictive than that set out in the Directive, in the case that the actual drafting of the EAD regarding this was to be reviewed or specified even further, the Spanish supervisor’s criteria  of considering eligible for UCITS those ETPs that are traded daily and whose market prices are determined via third-party trading operations, would seem a reasonable option in order not to have to look through the underlying asset</w:t>
      </w:r>
      <w:r w:rsidRPr="00230958">
        <w:rPr>
          <w:vertAlign w:val="superscript"/>
        </w:rPr>
        <w:footnoteReference w:id="3"/>
      </w:r>
      <w:r w:rsidRPr="00230958">
        <w:t>.</w:t>
      </w:r>
    </w:p>
    <w:permEnd w:id="1487874619"/>
    <w:p w14:paraId="7EE4CE59" w14:textId="77777777" w:rsidR="00667FF6" w:rsidRDefault="00667FF6" w:rsidP="00667FF6">
      <w:r>
        <w:t>&lt;ESMA_QUESTION_EADC_13&gt;</w:t>
      </w:r>
    </w:p>
    <w:p w14:paraId="2ACD3334" w14:textId="77777777" w:rsidR="00667FF6" w:rsidRDefault="00667FF6" w:rsidP="00667FF6"/>
    <w:p w14:paraId="1D3229EF" w14:textId="5B55D227" w:rsidR="00667FF6" w:rsidRDefault="00667FF6" w:rsidP="00DB686B">
      <w:pPr>
        <w:pStyle w:val="Questionstyle"/>
        <w:numPr>
          <w:ilvl w:val="0"/>
          <w:numId w:val="14"/>
        </w:numPr>
      </w:pPr>
      <w:r>
        <w:t>Have you observed any recurring or significant issues with the interpretation or consistent application of the rules on UCITS investments in other UCITS and alternative investment funds (AIFs)? In this context, have you observed any issues in terms of the clarity, interaction and logical consistency between (1) the rules on investments in UCITS and other open-ended funds set out in the UCITS Directive and (2) the provisions on UCITS investments in closed ended funds set out in the UCITS EAD? Please describe any recurring or significant issues that you have observed in this respect and how you would propose to amend the relevant rules to improve investor protection, clarity and supervisory convergence. Where relevant, please distinguish between different types of AIFs (e.g. closed-ended, open-ended), investment strategies (real estate, hedge fund, private equity, venture capital etc.) and location (e.g. EU, non-EU, specific countries). In this context, please also share views on whether there is a need to update the legal wording used in the UCITS EAD and UCITS Directive given the fact that e.g. they refer to ‘open-ended’ and ‘closed ended funds’, whereas it might seem preferable to use the notion of ‘AIFs’ by now given the subsequent introduction of the AIFMD in 2011.</w:t>
      </w:r>
    </w:p>
    <w:p w14:paraId="287F79B6" w14:textId="77777777" w:rsidR="00667FF6" w:rsidRDefault="00667FF6" w:rsidP="00667FF6">
      <w:r>
        <w:t>&lt;ESMA_QUESTION_EADC_14&gt;</w:t>
      </w:r>
    </w:p>
    <w:p w14:paraId="342C9C7F" w14:textId="77777777" w:rsidR="00230958" w:rsidRPr="00230958" w:rsidRDefault="00230958" w:rsidP="00230958">
      <w:permStart w:id="1362129429" w:edGrp="everyone"/>
      <w:r w:rsidRPr="00230958">
        <w:t xml:space="preserve">The current distinction made by the EAD between Open-Ended Funds and Closed-Ended Funds, so that only the former are within the 10% of Article 50(2)(a), as they are compared to transferable assets, does not seem to make sense from the point of view of being eligible for investment by UCITS. Thus, the current regulatory framework prevents the investment by UCITS in units/shares of other types of Funds, simply for being Open-Ended Funds, which </w:t>
      </w:r>
      <w:r w:rsidRPr="00230958">
        <w:lastRenderedPageBreak/>
        <w:t xml:space="preserve">already have a strict general regulation at management level such as open-ended AIFs of the EU or specific regulation at product level such as ELTIFs, while allowing investment in venture capital vehicles in non-EU jurisdictions (if certain requirements are fulfilled) which, in many cases, may have lower liquidity than Open-Ended Funds. </w:t>
      </w:r>
    </w:p>
    <w:p w14:paraId="7851A4AA" w14:textId="77777777" w:rsidR="00230958" w:rsidRPr="00230958" w:rsidRDefault="00230958" w:rsidP="00230958">
      <w:r w:rsidRPr="00230958">
        <w:t>Therefore, including a reference to AIFs in Article 50(2)(a), without distinguishing between Closed-Ended and Open-Ended Funds, would be more reasonable than the current drafting of Article 2(2) of the EAD. This reference should be accompanied by the chance to invest in Funds similar to AIFs (regarding issues such as manager supervision, valuation availability, etc.) of non-EU jurisdictions.</w:t>
      </w:r>
    </w:p>
    <w:p w14:paraId="49801A68" w14:textId="77777777" w:rsidR="00230958" w:rsidRPr="00230958" w:rsidRDefault="00230958" w:rsidP="00230958">
      <w:r w:rsidRPr="00230958">
        <w:t xml:space="preserve">Likewise, exposure via ETFs to certain assets not eligible per se for UCITS (commodities, crypto-assets, etc..) should be allowed in this percentage, as long as they are ETFs admitted to trading in EU regulated markets or from jurisdictions offering a similar protection level (e.g., the US). From an economic point of view they are similar to the marketable securities of Article 50(1)(a) of the UCITS Directive but by being considered CISs and not transferable securities according to the Directive and not being similar to UCITS (due, among others, to their underlying asset), are currently outside the investment realm of UCITS. </w:t>
      </w:r>
    </w:p>
    <w:p w14:paraId="5A7D30A8" w14:textId="77777777" w:rsidR="00230958" w:rsidRPr="00230958" w:rsidRDefault="00230958" w:rsidP="00230958">
      <w:r w:rsidRPr="00230958">
        <w:t>See the answer to question 15.</w:t>
      </w:r>
    </w:p>
    <w:permEnd w:id="1362129429"/>
    <w:p w14:paraId="1A4BA964" w14:textId="77777777" w:rsidR="00667FF6" w:rsidRDefault="00667FF6" w:rsidP="00667FF6">
      <w:r>
        <w:t>&lt;ESMA_QUESTION_EADC_14&gt;</w:t>
      </w:r>
    </w:p>
    <w:p w14:paraId="63AE0E82" w14:textId="77777777" w:rsidR="00667FF6" w:rsidRDefault="00667FF6" w:rsidP="00667FF6"/>
    <w:p w14:paraId="276F7F5F" w14:textId="77777777" w:rsidR="00667FF6" w:rsidRDefault="00667FF6" w:rsidP="00DB686B">
      <w:pPr>
        <w:pStyle w:val="Questionstyle"/>
        <w:numPr>
          <w:ilvl w:val="0"/>
          <w:numId w:val="14"/>
        </w:numPr>
      </w:pPr>
      <w:r>
        <w:t>More specifically, have you observed any recurring or significant issues with the interpretation or consistent application of the rules on UCITS investments in (1) EU ETFs and (2) non-EU ETFs? Please describe any issues that you have observed in this respect and how you would propose to amend the relevant rules to improve investor protection, clarity and supervisory convergence.</w:t>
      </w:r>
    </w:p>
    <w:p w14:paraId="7B7639CC" w14:textId="77777777" w:rsidR="00667FF6" w:rsidRDefault="00667FF6" w:rsidP="00667FF6">
      <w:r>
        <w:t>&lt;ESMA_QUESTION_EADC_15&gt;</w:t>
      </w:r>
    </w:p>
    <w:p w14:paraId="35B70537" w14:textId="77777777" w:rsidR="00230958" w:rsidRPr="00230958" w:rsidRDefault="00230958" w:rsidP="00230958">
      <w:permStart w:id="493775816" w:edGrp="everyone"/>
      <w:r w:rsidRPr="00230958">
        <w:t>Spanish UCITS Funds cannot invest in ETFs of States not belonging to the European Union.</w:t>
      </w:r>
    </w:p>
    <w:p w14:paraId="15FA7C20" w14:textId="77777777" w:rsidR="00230958" w:rsidRPr="00230958" w:rsidRDefault="00230958" w:rsidP="00230958">
      <w:r w:rsidRPr="00230958">
        <w:t>ETFs have the same consideration as CISs in such a way that their eligibility is governed by  Article 50(1)(e) of the UCITS directive. In the case of non-UCITS ETFs, for instance US ETFs, there are many cases in which they would not comply with requirement 3 (“</w:t>
      </w:r>
      <w:r w:rsidRPr="00230958">
        <w:rPr>
          <w:i/>
        </w:rPr>
        <w:t>3. The rules on investment arrangements, asset segregation, indebtedness, leverage and uncovered sales are similar to those of the Spanish legislation contained in Section 1 of Chapter I of Title III.”</w:t>
      </w:r>
      <w:r w:rsidRPr="00230958">
        <w:t xml:space="preserve">) and would therefore not be eligible for investment pursuant to Article 50(1)(e) of the UCITS </w:t>
      </w:r>
      <w:r w:rsidRPr="00230958">
        <w:lastRenderedPageBreak/>
        <w:t>directive. Add to that the fact that neither are they considered eligible within Article 50(2)(a), which only allows for Closed-Ended Funds, remaining outside the investment realm of UCITS despite being financial instruments with a very similar operation (regarding liquidity and daily valuation) to that of securities traded in secondary markets.</w:t>
      </w:r>
    </w:p>
    <w:p w14:paraId="3C88B59A" w14:textId="77777777" w:rsidR="00230958" w:rsidRPr="00230958" w:rsidRDefault="00230958" w:rsidP="00230958">
      <w:r w:rsidRPr="00230958">
        <w:t>This makes it necessary for:</w:t>
      </w:r>
    </w:p>
    <w:p w14:paraId="49D383EB" w14:textId="77777777" w:rsidR="00230958" w:rsidRPr="00230958" w:rsidRDefault="00230958" w:rsidP="00230958">
      <w:pPr>
        <w:numPr>
          <w:ilvl w:val="1"/>
          <w:numId w:val="16"/>
        </w:numPr>
      </w:pPr>
      <w:r w:rsidRPr="00230958">
        <w:t xml:space="preserve">These requirements to be changed/relaxed to allow for investment in non-EU ETFs by being considered listed transferable securities, in the same manner as that foreseen in the Eligible Assets Directive for closed-ended funds, as indicated in the general comments; and  </w:t>
      </w:r>
    </w:p>
    <w:p w14:paraId="5278B266" w14:textId="77777777" w:rsidR="00230958" w:rsidRPr="00230958" w:rsidRDefault="00230958" w:rsidP="00230958">
      <w:pPr>
        <w:numPr>
          <w:ilvl w:val="1"/>
          <w:numId w:val="16"/>
        </w:numPr>
      </w:pPr>
      <w:r w:rsidRPr="00230958">
        <w:t xml:space="preserve">These requirements to be harmonised. </w:t>
      </w:r>
    </w:p>
    <w:p w14:paraId="4E72BE67" w14:textId="77777777" w:rsidR="00230958" w:rsidRPr="00230958" w:rsidRDefault="00230958" w:rsidP="00230958">
      <w:r w:rsidRPr="00230958">
        <w:t>Consequently,</w:t>
      </w:r>
      <w:r w:rsidRPr="00230958">
        <w:rPr>
          <w:b/>
        </w:rPr>
        <w:t xml:space="preserve"> it is proposed that ETFs traded in certain non-EU regulated markets (e.g., the US) that do not comply with the criteria of Article 50(1)(e)(ii) (diversification and leverage), may be considered eligible assets </w:t>
      </w:r>
      <w:r w:rsidRPr="00230958">
        <w:t>of Article 50(1)(a) of the UCITS Directive or, at least, included within the 10% of Article 50(2)(a).</w:t>
      </w:r>
    </w:p>
    <w:permEnd w:id="493775816"/>
    <w:p w14:paraId="2FCB81E2" w14:textId="77777777" w:rsidR="00667FF6" w:rsidRDefault="00667FF6" w:rsidP="00667FF6">
      <w:r>
        <w:t>&lt;ESMA_QUESTION_EADC_15&gt;</w:t>
      </w:r>
    </w:p>
    <w:p w14:paraId="2D428B94" w14:textId="77777777" w:rsidR="00667FF6" w:rsidRDefault="00667FF6" w:rsidP="00667FF6"/>
    <w:p w14:paraId="6CF16EE3" w14:textId="09BA8660" w:rsidR="00667FF6" w:rsidRDefault="00667FF6" w:rsidP="00DB686B">
      <w:pPr>
        <w:pStyle w:val="Questionstyle"/>
        <w:numPr>
          <w:ilvl w:val="0"/>
          <w:numId w:val="14"/>
        </w:numPr>
      </w:pPr>
      <w:r>
        <w:t>How would you propose to amend the UCITS EAD to improve investor protection, clarity and supervisory convergence with respect to the Efficient Portfolio Management (EPM)-related issues identified in the following ESMA reports: (1) Peer Review on the ESMA Guidelines on ETFs and other UCITS issues; (2) Follow-up Peer Review on the ETF Guidelines; and (3) CSA on costs and fees. In this context, ESMA is interested in also gathering evidence and views on how to best address the uneven market practices with respect to securities lending fees described in the aforementioned ESMA reports with a view to better protect investors from being overcharged.</w:t>
      </w:r>
    </w:p>
    <w:p w14:paraId="0537F2EA" w14:textId="77777777" w:rsidR="00667FF6" w:rsidRDefault="00667FF6" w:rsidP="00667FF6">
      <w:r>
        <w:t>&lt;ESMA_QUESTION_EADC_16&gt;</w:t>
      </w:r>
    </w:p>
    <w:p w14:paraId="033B30F8" w14:textId="77777777" w:rsidR="00230958" w:rsidRPr="00230958" w:rsidRDefault="00230958" w:rsidP="00230958">
      <w:permStart w:id="1032210024" w:edGrp="everyone"/>
      <w:r w:rsidRPr="00230958">
        <w:t>Awaiting the corresponding regulatory development, this operation is not permitted in Spain.</w:t>
      </w:r>
    </w:p>
    <w:permEnd w:id="1032210024"/>
    <w:p w14:paraId="09F73C64" w14:textId="77777777" w:rsidR="00667FF6" w:rsidRDefault="00667FF6" w:rsidP="00667FF6">
      <w:r>
        <w:t>&lt;ESMA_QUESTION_EADC_16&gt;</w:t>
      </w:r>
    </w:p>
    <w:p w14:paraId="6CD480E6" w14:textId="77777777" w:rsidR="00667FF6" w:rsidRDefault="00667FF6" w:rsidP="00667FF6"/>
    <w:p w14:paraId="2F61D6B7" w14:textId="43620DB9" w:rsidR="00667FF6" w:rsidRDefault="00667FF6" w:rsidP="00DB686B">
      <w:pPr>
        <w:pStyle w:val="Questionstyle"/>
        <w:numPr>
          <w:ilvl w:val="0"/>
          <w:numId w:val="14"/>
        </w:numPr>
      </w:pPr>
      <w:r>
        <w:t xml:space="preserve">Would you see merit in linking or replacing the notion of EPM techniques set out in the UCITS Directive and UCITS EAD with the notion of securities </w:t>
      </w:r>
      <w:r>
        <w:lastRenderedPageBreak/>
        <w:t>financing transaction (SFT) set out in the SFTR? Beyond the notions of EPM and SFT, are there any other notions or issues raising concerns in terms of transversal consistency between the UCITS and SFTR frameworks?</w:t>
      </w:r>
    </w:p>
    <w:p w14:paraId="5776F854" w14:textId="77777777" w:rsidR="00667FF6" w:rsidRDefault="00667FF6" w:rsidP="00667FF6">
      <w:r>
        <w:t>&lt;ESMA_QUESTION_EADC_17&gt;</w:t>
      </w:r>
    </w:p>
    <w:p w14:paraId="76D3DE9A" w14:textId="77777777" w:rsidR="00230958" w:rsidRPr="00230958" w:rsidRDefault="00230958" w:rsidP="00230958">
      <w:permStart w:id="589041498" w:edGrp="everyone"/>
      <w:r w:rsidRPr="00230958">
        <w:t>No comments in this regard.</w:t>
      </w:r>
    </w:p>
    <w:permEnd w:id="589041498"/>
    <w:p w14:paraId="47A34CC0" w14:textId="77777777" w:rsidR="00667FF6" w:rsidRDefault="00667FF6" w:rsidP="00667FF6">
      <w:r>
        <w:t>&lt;ESMA_QUESTION_EADC_17&gt;</w:t>
      </w:r>
    </w:p>
    <w:p w14:paraId="5EC440C2" w14:textId="77777777" w:rsidR="00667FF6" w:rsidRDefault="00667FF6" w:rsidP="00667FF6"/>
    <w:p w14:paraId="29F5389B" w14:textId="7E9A699E" w:rsidR="00667FF6" w:rsidRDefault="00667FF6" w:rsidP="00DB686B">
      <w:pPr>
        <w:pStyle w:val="Questionstyle"/>
        <w:numPr>
          <w:ilvl w:val="0"/>
          <w:numId w:val="14"/>
        </w:numPr>
      </w:pPr>
      <w:r>
        <w:t>Apart from the definitions and concepts covered above, are there any other definitions, notions or concepts used in the UCITS EAD that may require updates, further clarification or better consistency with definitions and concepts used in other pieces of EU financial legislation, e.g. MiFID II, EMIR, Benchmark Regulation and MMFR? If so, please provide details on the issues you have observed and how you would propose to clarify or link the relevant definitions or concepts.</w:t>
      </w:r>
    </w:p>
    <w:p w14:paraId="3F895BE3" w14:textId="77777777" w:rsidR="00667FF6" w:rsidRDefault="00667FF6" w:rsidP="00667FF6">
      <w:r>
        <w:t>&lt;ESMA_QUESTION_EADC_18&gt;</w:t>
      </w:r>
    </w:p>
    <w:p w14:paraId="05F58E5E" w14:textId="77777777" w:rsidR="00230958" w:rsidRPr="00230958" w:rsidRDefault="00230958" w:rsidP="00230958">
      <w:permStart w:id="1158356501" w:edGrp="everyone"/>
      <w:r w:rsidRPr="00230958">
        <w:t>The review of the Directive should take the chance to align the definition of concepts such as regulated market or financial instruments with those set out in Directive 2014/65/EU of the European Parliament and of the Council of 15 May 2014 on markets in financial instruments and amending Directive 2002/92/EC and Directive 2011/61/EU (MiFID II), acknowledging the possibility of investing in Emission allowances consisting of units recognised for the purposes of compliance with the requirements of Directive 2003/87/EC (Emissions Trading Scheme).</w:t>
      </w:r>
    </w:p>
    <w:p w14:paraId="5994550F" w14:textId="77777777" w:rsidR="00230958" w:rsidRPr="00230958" w:rsidRDefault="00230958" w:rsidP="00230958">
      <w:r w:rsidRPr="00230958">
        <w:t xml:space="preserve">On the other hand, although the UCITS Directive sets out a series of requirements regarding the use of benchmarks by UCITS, with the inclusion in the European financial legislation framework of the Regulation which seeks </w:t>
      </w:r>
      <w:r w:rsidRPr="00230958">
        <w:rPr>
          <w:i/>
          <w:iCs/>
        </w:rPr>
        <w:t>to ensure the accuracy and integrity of indices used as benchmarks in financial instruments and financial contracts, or to measure the performance of investment funds in the Union</w:t>
      </w:r>
      <w:r w:rsidRPr="00230958">
        <w:t>, in those cases in which the administrator and/or index are authorised or registered in accordance with the Benchmark Regulation, the removal of additional charges regarding their governance and transparency (e.g., Articles 9(b) and (c) EAD</w:t>
      </w:r>
      <w:r w:rsidRPr="00230958">
        <w:rPr>
          <w:vertAlign w:val="superscript"/>
        </w:rPr>
        <w:footnoteReference w:id="4"/>
      </w:r>
      <w:r w:rsidRPr="00230958">
        <w:t xml:space="preserve">) should be considered whenever exceeded by the specific regulations set out that are directly applicable. </w:t>
      </w:r>
    </w:p>
    <w:permEnd w:id="1158356501"/>
    <w:p w14:paraId="223CC270" w14:textId="77777777" w:rsidR="00667FF6" w:rsidRDefault="00667FF6" w:rsidP="00667FF6">
      <w:r>
        <w:lastRenderedPageBreak/>
        <w:t>&lt;ESMA_QUESTION_EADC_18&gt;</w:t>
      </w:r>
    </w:p>
    <w:p w14:paraId="0FFC0C58" w14:textId="77777777" w:rsidR="00667FF6" w:rsidRDefault="00667FF6" w:rsidP="00667FF6"/>
    <w:p w14:paraId="537254A6" w14:textId="77777777" w:rsidR="00667FF6" w:rsidRDefault="00667FF6" w:rsidP="00DB686B">
      <w:pPr>
        <w:pStyle w:val="Questionstyle"/>
        <w:numPr>
          <w:ilvl w:val="0"/>
          <w:numId w:val="14"/>
        </w:numPr>
      </w:pPr>
      <w:r>
        <w:t>Are there any national rules, guidance, definitions or concepts in national regulatory frameworks that go beyond (‘gold-plating’), diverge or are more detailed than what is set out in the UCITS EAD? If so, please elaborate whether these are causing any recurring or significant practical issues or challenges.</w:t>
      </w:r>
    </w:p>
    <w:p w14:paraId="6426457C" w14:textId="77777777" w:rsidR="00667FF6" w:rsidRDefault="00667FF6" w:rsidP="00667FF6">
      <w:r>
        <w:t>&lt;ESMA_QUESTION_EADC_19&gt;</w:t>
      </w:r>
    </w:p>
    <w:p w14:paraId="4E9FA4AD" w14:textId="77777777" w:rsidR="00230958" w:rsidRPr="00230958" w:rsidRDefault="00230958" w:rsidP="00230958">
      <w:permStart w:id="784558918" w:edGrp="everyone"/>
      <w:r w:rsidRPr="00230958">
        <w:t xml:space="preserve">The inclusion of additional rules, together with the diverging interpretations of the regulations, are always detrimental to the existence of an adequate level playing field in the market and homogeneous investor protection throughout the Union. </w:t>
      </w:r>
    </w:p>
    <w:p w14:paraId="2DAAFC7F" w14:textId="77777777" w:rsidR="00230958" w:rsidRPr="00230958" w:rsidRDefault="00230958" w:rsidP="00230958">
      <w:r w:rsidRPr="00230958">
        <w:t>Due to this, setting additional requirements in a common market that do not appear in the regulation works against those managers with the strictest rules (e.g., in the case of Spain dealing with financial indexes, the lack of development of securities lending).</w:t>
      </w:r>
    </w:p>
    <w:p w14:paraId="4CEEBC30" w14:textId="111AA1BB" w:rsidR="00230958" w:rsidRPr="00230958" w:rsidRDefault="00230958" w:rsidP="00230958">
      <w:r w:rsidRPr="00230958">
        <w:lastRenderedPageBreak/>
        <w:t>To this effect, the proposal is that the revision serves for a full harmonisation by means of: (i) turning the Directive into a Regulation; or (ii) including an explicit forecast in the revision of the Directive that foresees that the Member States must not set additional requirements or more detailed rules than those foreseen in the Directive.</w:t>
      </w:r>
      <w:r w:rsidRPr="00230958">
        <w:rPr>
          <w:vertAlign w:val="superscript"/>
        </w:rPr>
        <w:footnoteReference w:id="5"/>
      </w:r>
      <w:r w:rsidRPr="00230958">
        <w:t>.</w:t>
      </w:r>
    </w:p>
    <w:permEnd w:id="784558918"/>
    <w:p w14:paraId="014C3237" w14:textId="77777777" w:rsidR="00667FF6" w:rsidRDefault="00667FF6" w:rsidP="00667FF6">
      <w:r>
        <w:t>&lt;ESMA_QUESTION_EADC_19&gt;</w:t>
      </w:r>
    </w:p>
    <w:p w14:paraId="632F0E31" w14:textId="77777777" w:rsidR="00667FF6" w:rsidRDefault="00667FF6" w:rsidP="00667FF6"/>
    <w:p w14:paraId="1F406012" w14:textId="53EE10DD" w:rsidR="00DE0869" w:rsidRPr="00DE0869" w:rsidRDefault="00667FF6" w:rsidP="00DB686B">
      <w:pPr>
        <w:pStyle w:val="Questionstyle"/>
        <w:numPr>
          <w:ilvl w:val="0"/>
          <w:numId w:val="14"/>
        </w:numPr>
      </w:pPr>
      <w:r>
        <w:t xml:space="preserve">Please fill in the table </w:t>
      </w:r>
      <w:r w:rsidR="005A6012">
        <w:t xml:space="preserve">in </w:t>
      </w:r>
      <w:r w:rsidR="00A258F7">
        <w:t xml:space="preserve">the </w:t>
      </w:r>
      <w:r w:rsidR="005A6012">
        <w:t xml:space="preserve">Annex </w:t>
      </w:r>
      <w:r w:rsidR="00336C52">
        <w:t>to</w:t>
      </w:r>
      <w:r w:rsidR="001F768F">
        <w:t xml:space="preserve"> this</w:t>
      </w:r>
      <w:r w:rsidR="00DB686B">
        <w:t xml:space="preserve"> document </w:t>
      </w:r>
      <w:r>
        <w:t>on the merits of allowing direct or indirect UCITS exposures to the asset classes listed therein, taking into account the instructions provided in</w:t>
      </w:r>
      <w:r w:rsidR="00DB686B">
        <w:t xml:space="preserve"> </w:t>
      </w:r>
      <w:r w:rsidR="00A258F7">
        <w:t xml:space="preserve">the </w:t>
      </w:r>
      <w:r w:rsidR="00B1309C">
        <w:t xml:space="preserve">same </w:t>
      </w:r>
      <w:r w:rsidR="008B5F45">
        <w:t>Annex</w:t>
      </w:r>
      <w:r>
        <w:t>. Please assess and provide evidence on the merits of such exposures in light of their risks and benefits taking into account the characteristics of the underlying markets (e.g. availability of reliable valuation information, liquidity, safekeeping). To substantiate your position, please fill the table with any available data and evidence (e.g. on liquidity or valuation of the relevant asset classes and underlying markets). ESMA acknowledges that the availability of data on direct/indirect exposures to some of the asset classes listed in this table is limited and would welcome receiving any available data (whether on individual market participants and products or market-wide) and even rough estimates that help to understand the practical relevance of the relevant asset class for UCITS and the possible impact of any future policy measures.</w:t>
      </w:r>
    </w:p>
    <w:p w14:paraId="03B2518F" w14:textId="77777777" w:rsidR="00667FF6" w:rsidRDefault="00667FF6" w:rsidP="00667FF6">
      <w:r>
        <w:t>&lt;ESMA_QUESTION_EADC_20&gt;</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8"/>
        <w:gridCol w:w="1555"/>
        <w:gridCol w:w="2012"/>
        <w:gridCol w:w="1532"/>
        <w:gridCol w:w="1691"/>
      </w:tblGrid>
      <w:tr w:rsidR="00230958" w:rsidRPr="00230958" w14:paraId="2C83F220" w14:textId="77777777" w:rsidTr="000B38DF">
        <w:trPr>
          <w:trHeight w:val="1017"/>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62CFC0D6" w14:textId="77777777" w:rsidR="00230958" w:rsidRPr="00230958" w:rsidRDefault="00230958" w:rsidP="00230958">
            <w:permStart w:id="1828006997" w:edGrp="everyone"/>
            <w:r w:rsidRPr="00230958">
              <w:t>Asset classes ​</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5725C5BB" w14:textId="77777777" w:rsidR="00230958" w:rsidRPr="00230958" w:rsidRDefault="00230958" w:rsidP="00230958">
            <w:r w:rsidRPr="00230958">
              <w:t>Arguments for direct investment</w:t>
            </w:r>
          </w:p>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5F1F77AA" w14:textId="77777777" w:rsidR="00230958" w:rsidRPr="00230958" w:rsidRDefault="00230958" w:rsidP="00230958">
            <w:r w:rsidRPr="00230958">
              <w:t>Arguments for indirect investment</w:t>
            </w: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553EA1B4" w14:textId="77777777" w:rsidR="00230958" w:rsidRPr="00230958" w:rsidRDefault="00230958" w:rsidP="00230958">
            <w:r w:rsidRPr="00230958">
              <w:t>Current exposure</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5ECE5446" w14:textId="77777777" w:rsidR="00230958" w:rsidRPr="00230958" w:rsidRDefault="00230958" w:rsidP="00230958">
            <w:r w:rsidRPr="00230958">
              <w:t>Additional comments​</w:t>
            </w:r>
          </w:p>
        </w:tc>
      </w:tr>
      <w:tr w:rsidR="00230958" w:rsidRPr="00230958" w14:paraId="51E4CAD1"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5CEC704B" w14:textId="59141F09" w:rsidR="00230958" w:rsidRPr="00230958" w:rsidRDefault="00230958" w:rsidP="00230958">
            <w:r w:rsidRPr="00230958">
              <w:t xml:space="preserve">1 </w:t>
            </w:r>
            <w:r w:rsidR="00A229A8" w:rsidRPr="00A229A8">
              <w:t>Loans</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759CCFB3" w14:textId="77777777" w:rsidR="00230958" w:rsidRPr="00230958" w:rsidRDefault="00230958" w:rsidP="00230958"/>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1BD8F9CB" w14:textId="77777777" w:rsidR="00230958" w:rsidRPr="00230958" w:rsidRDefault="00230958" w:rsidP="00230958">
            <w:r w:rsidRPr="00230958">
              <w:t xml:space="preserve">​(1) Via another open-ended or closed-ended CIS/AIF: Allows investment by means of </w:t>
            </w:r>
            <w:r w:rsidRPr="00230958">
              <w:lastRenderedPageBreak/>
              <w:t>professional management;</w:t>
            </w:r>
          </w:p>
          <w:p w14:paraId="6DF3ACA5" w14:textId="77777777" w:rsidR="00230958" w:rsidRPr="00230958" w:rsidRDefault="00230958" w:rsidP="00230958">
            <w:r w:rsidRPr="00230958">
              <w:t>(2) Access to unconventional assets that allow for diversification and negative correlation of the portfolio;</w:t>
            </w: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38333638"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1FB3DAFC" w14:textId="77777777" w:rsidR="00230958" w:rsidRPr="00230958" w:rsidRDefault="00230958" w:rsidP="00230958">
            <w:r w:rsidRPr="00230958">
              <w:t xml:space="preserve">​Review the restrictive interpretation and allow for the inclusion in at least Article 50(2)(a) of the UCITS Directive, </w:t>
            </w:r>
            <w:r w:rsidRPr="00230958">
              <w:lastRenderedPageBreak/>
              <w:t>of both open-ended and closed-ended AIFs.</w:t>
            </w:r>
          </w:p>
        </w:tc>
      </w:tr>
      <w:tr w:rsidR="00230958" w:rsidRPr="00230958" w14:paraId="4822C14A" w14:textId="77777777" w:rsidTr="000B38DF">
        <w:trPr>
          <w:trHeight w:val="1017"/>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51458286" w14:textId="527C15BA" w:rsidR="00230958" w:rsidRPr="00230958" w:rsidRDefault="00230958" w:rsidP="00230958">
            <w:r w:rsidRPr="00230958">
              <w:lastRenderedPageBreak/>
              <w:t xml:space="preserve">2 </w:t>
            </w:r>
            <w:r w:rsidR="00B8621F" w:rsidRPr="00B8621F">
              <w:t>Catastrophe bonds (‘Cat bonds’)</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72AD3D45" w14:textId="77777777" w:rsidR="00230958" w:rsidRPr="00230958" w:rsidRDefault="00230958" w:rsidP="00230958">
            <w:r w:rsidRPr="00230958">
              <w:t>​(1) Allow only when the manager has the capacity and the means to value the investment in this type of asset.</w:t>
            </w:r>
          </w:p>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7B148429" w14:textId="77777777" w:rsidR="00230958" w:rsidRPr="00230958" w:rsidRDefault="00230958" w:rsidP="00230958">
            <w:r w:rsidRPr="00230958">
              <w:t>(1) Via Funds: Allows investment by means of professional management;</w:t>
            </w:r>
          </w:p>
          <w:p w14:paraId="5D1F2216" w14:textId="77777777" w:rsidR="00230958" w:rsidRPr="00230958" w:rsidRDefault="00230958" w:rsidP="00230958">
            <w:r w:rsidRPr="00230958">
              <w:t>(2) Access to unconventional assets that allow for diversification and negative correlation of the portfolio;</w:t>
            </w: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0E6B9650"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50723941" w14:textId="77777777" w:rsidR="00230958" w:rsidRPr="00230958" w:rsidRDefault="00230958" w:rsidP="00230958">
            <w:r w:rsidRPr="00230958">
              <w:t>Indirect investment via Funds would require the revision of Article 50(2)(a) of the UCITS Directive.</w:t>
            </w:r>
          </w:p>
          <w:p w14:paraId="490B4350" w14:textId="77777777" w:rsidR="00230958" w:rsidRPr="00230958" w:rsidRDefault="00230958" w:rsidP="00230958"/>
          <w:p w14:paraId="50221F97" w14:textId="77777777" w:rsidR="00230958" w:rsidRPr="00230958" w:rsidRDefault="00230958" w:rsidP="00230958"/>
        </w:tc>
      </w:tr>
      <w:tr w:rsidR="00230958" w:rsidRPr="00230958" w14:paraId="64EC049C" w14:textId="77777777" w:rsidTr="000B38DF">
        <w:trPr>
          <w:trHeight w:val="1017"/>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785E2120" w14:textId="77777777" w:rsidR="00230958" w:rsidRPr="00230958" w:rsidRDefault="00230958" w:rsidP="00230958">
            <w:r w:rsidRPr="00230958">
              <w:t>3 Contingent convertible bonds (“CoCo bonds”)​</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4E29C262" w14:textId="77777777" w:rsidR="00230958" w:rsidRPr="00230958" w:rsidRDefault="00230958" w:rsidP="00230958">
            <w:r w:rsidRPr="00230958">
              <w:t xml:space="preserve">​(1) Issuers with high credit rating (2) good profitability, </w:t>
            </w:r>
          </w:p>
          <w:p w14:paraId="331309E3" w14:textId="77777777" w:rsidR="00230958" w:rsidRPr="00230958" w:rsidRDefault="00230958" w:rsidP="00230958">
            <w:r w:rsidRPr="00230958">
              <w:t>(2) There are risk management teams capable of valuing and managing them.</w:t>
            </w:r>
          </w:p>
          <w:p w14:paraId="7C6F0C99" w14:textId="77777777" w:rsidR="00230958" w:rsidRPr="00230958" w:rsidRDefault="00230958" w:rsidP="00230958">
            <w:r w:rsidRPr="00230958">
              <w:t>(3) Assets with market maturity.</w:t>
            </w:r>
          </w:p>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4B434031" w14:textId="77777777" w:rsidR="00230958" w:rsidRPr="00230958" w:rsidRDefault="0023095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6E028651"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71E7CE8E" w14:textId="77777777" w:rsidR="00230958" w:rsidRPr="00230958" w:rsidRDefault="00230958" w:rsidP="00230958"/>
        </w:tc>
      </w:tr>
      <w:tr w:rsidR="00A229A8" w:rsidRPr="00230958" w14:paraId="379D999A" w14:textId="77777777" w:rsidTr="000B38DF">
        <w:trPr>
          <w:trHeight w:val="1017"/>
        </w:trPr>
        <w:tc>
          <w:tcPr>
            <w:tcW w:w="1698" w:type="dxa"/>
            <w:tcBorders>
              <w:top w:val="single" w:sz="6" w:space="0" w:color="000000"/>
              <w:left w:val="single" w:sz="6" w:space="0" w:color="000000"/>
              <w:bottom w:val="single" w:sz="6" w:space="0" w:color="000000"/>
              <w:right w:val="single" w:sz="6" w:space="0" w:color="000000"/>
            </w:tcBorders>
            <w:shd w:val="clear" w:color="auto" w:fill="auto"/>
          </w:tcPr>
          <w:p w14:paraId="39ADE6DF" w14:textId="6B9C66E7" w:rsidR="00A229A8" w:rsidRPr="00230958" w:rsidRDefault="00A229A8" w:rsidP="00230958">
            <w:r>
              <w:lastRenderedPageBreak/>
              <w:t>4 Unrated bonds</w:t>
            </w:r>
          </w:p>
        </w:tc>
        <w:tc>
          <w:tcPr>
            <w:tcW w:w="1555" w:type="dxa"/>
            <w:tcBorders>
              <w:top w:val="single" w:sz="6" w:space="0" w:color="000000"/>
              <w:left w:val="single" w:sz="6" w:space="0" w:color="000000"/>
              <w:bottom w:val="single" w:sz="6" w:space="0" w:color="000000"/>
              <w:right w:val="single" w:sz="6" w:space="0" w:color="000000"/>
            </w:tcBorders>
            <w:shd w:val="clear" w:color="auto" w:fill="auto"/>
          </w:tcPr>
          <w:p w14:paraId="5F7EC297" w14:textId="77777777" w:rsidR="00A229A8" w:rsidRPr="00230958" w:rsidRDefault="00A229A8" w:rsidP="00230958"/>
        </w:tc>
        <w:tc>
          <w:tcPr>
            <w:tcW w:w="2012" w:type="dxa"/>
            <w:tcBorders>
              <w:top w:val="single" w:sz="6" w:space="0" w:color="000000"/>
              <w:left w:val="single" w:sz="6" w:space="0" w:color="000000"/>
              <w:bottom w:val="single" w:sz="6" w:space="0" w:color="000000"/>
              <w:right w:val="single" w:sz="6" w:space="0" w:color="000000"/>
            </w:tcBorders>
            <w:shd w:val="clear" w:color="auto" w:fill="auto"/>
          </w:tcPr>
          <w:p w14:paraId="1CFC02EF" w14:textId="77777777" w:rsidR="00A229A8" w:rsidRPr="00230958" w:rsidRDefault="00A229A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tcPr>
          <w:p w14:paraId="0B0949C4" w14:textId="77777777" w:rsidR="00A229A8" w:rsidRPr="00230958" w:rsidRDefault="00A229A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tcPr>
          <w:p w14:paraId="7E5FADDB" w14:textId="77777777" w:rsidR="00A229A8" w:rsidRPr="00230958" w:rsidRDefault="00A229A8" w:rsidP="00230958"/>
        </w:tc>
      </w:tr>
      <w:tr w:rsidR="00230958" w:rsidRPr="00230958" w14:paraId="42080151" w14:textId="77777777" w:rsidTr="000B38DF">
        <w:trPr>
          <w:trHeight w:val="1017"/>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4D79CB95" w14:textId="1B003D9E" w:rsidR="00230958" w:rsidRPr="00230958" w:rsidRDefault="00A229A8" w:rsidP="00230958">
            <w:r>
              <w:t>5</w:t>
            </w:r>
            <w:r w:rsidR="00230958" w:rsidRPr="00230958">
              <w:t xml:space="preserve"> Distressed securities</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5483F715" w14:textId="77777777" w:rsidR="00230958" w:rsidRPr="00230958" w:rsidRDefault="00230958" w:rsidP="00230958"/>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65AAC64E" w14:textId="77777777" w:rsidR="00230958" w:rsidRPr="00230958" w:rsidRDefault="00230958" w:rsidP="00230958">
            <w:r w:rsidRPr="00230958">
              <w:t>(1) Via another CIS (AIF): Allows investment by means of professional management;</w:t>
            </w:r>
          </w:p>
          <w:p w14:paraId="63868AD5" w14:textId="77777777" w:rsidR="00230958" w:rsidRPr="00230958" w:rsidRDefault="00230958" w:rsidP="00230958">
            <w:r w:rsidRPr="00230958">
              <w:t>(2) Access to unconventional assets that allow for diversification and negative correlation of the portfolio;</w:t>
            </w: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3B88E7D1"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0E321FFC" w14:textId="77777777" w:rsidR="00230958" w:rsidRPr="00230958" w:rsidRDefault="00230958" w:rsidP="00230958"/>
          <w:p w14:paraId="3401BEF8" w14:textId="77777777" w:rsidR="00230958" w:rsidRPr="00230958" w:rsidRDefault="00230958" w:rsidP="00230958">
            <w:r w:rsidRPr="00230958">
              <w:t>(1) the restrictive interpretation and allow for the inclusion in at least Article 50(2)(a) of the UCITS Directive, of both open-ended and closed-ended AIFs.</w:t>
            </w:r>
          </w:p>
        </w:tc>
      </w:tr>
      <w:tr w:rsidR="00230958" w:rsidRPr="00230958" w14:paraId="247AA90D" w14:textId="77777777" w:rsidTr="000B38DF">
        <w:trPr>
          <w:trHeight w:val="1017"/>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4827565E" w14:textId="7A7BEEB9" w:rsidR="00230958" w:rsidRPr="00230958" w:rsidRDefault="00A229A8" w:rsidP="00230958">
            <w:r>
              <w:t>6</w:t>
            </w:r>
            <w:r w:rsidR="00230958" w:rsidRPr="00230958">
              <w:t xml:space="preserve"> </w:t>
            </w:r>
            <w:r>
              <w:t>Unlisted equities</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28293B1A" w14:textId="77777777" w:rsidR="00230958" w:rsidRPr="00230958" w:rsidRDefault="00230958" w:rsidP="00230958">
            <w:r w:rsidRPr="00230958">
              <w:t>​(1) Portfolio diversification;</w:t>
            </w:r>
          </w:p>
          <w:p w14:paraId="50CD1DF3" w14:textId="77777777" w:rsidR="00230958" w:rsidRPr="00230958" w:rsidRDefault="00230958" w:rsidP="00230958">
            <w:r w:rsidRPr="00230958">
              <w:t>(2) Exposure to non-traditional assets.</w:t>
            </w:r>
          </w:p>
          <w:p w14:paraId="6802D462" w14:textId="77777777" w:rsidR="00230958" w:rsidRPr="00230958" w:rsidRDefault="00230958" w:rsidP="00230958"/>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4F9A9D06" w14:textId="77777777" w:rsidR="00230958" w:rsidRPr="00230958" w:rsidRDefault="00230958" w:rsidP="00230958">
            <w:r w:rsidRPr="00230958">
              <w:t>​(1) Portfolio diversification;</w:t>
            </w:r>
          </w:p>
          <w:p w14:paraId="7986DED2" w14:textId="77777777" w:rsidR="00230958" w:rsidRPr="00230958" w:rsidRDefault="00230958" w:rsidP="00230958">
            <w:r w:rsidRPr="00230958">
              <w:t>(2) Exposure to non-traditional assets.</w:t>
            </w:r>
          </w:p>
          <w:p w14:paraId="461F10DB" w14:textId="77777777" w:rsidR="00230958" w:rsidRPr="00230958" w:rsidRDefault="0023095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30D6710F"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2DBC1B93" w14:textId="77777777" w:rsidR="00230958" w:rsidRPr="00230958" w:rsidRDefault="00230958" w:rsidP="00230958">
            <w:r w:rsidRPr="00230958">
              <w:t>Harmonise the criteria for investment in unlisted securities</w:t>
            </w:r>
          </w:p>
        </w:tc>
      </w:tr>
      <w:tr w:rsidR="00230958" w:rsidRPr="00230958" w14:paraId="74842AA6"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10B4189D" w14:textId="3E78F6E1" w:rsidR="00230958" w:rsidRPr="00230958" w:rsidRDefault="00A229A8" w:rsidP="00230958">
            <w:r>
              <w:t>7</w:t>
            </w:r>
            <w:r w:rsidR="00230958" w:rsidRPr="00230958">
              <w:t xml:space="preserve"> Crypto-assets</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6820FE0C" w14:textId="77777777" w:rsidR="00230958" w:rsidRPr="00230958" w:rsidRDefault="00230958" w:rsidP="00230958"/>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54BF0958" w14:textId="543DDFF7" w:rsidR="00230958" w:rsidRPr="00230958" w:rsidRDefault="00230958" w:rsidP="00230958">
            <w:r w:rsidRPr="00230958">
              <w:t>​</w:t>
            </w:r>
            <w:r w:rsidR="00E369C3">
              <w:t>a</w:t>
            </w:r>
            <w:r w:rsidRPr="00230958">
              <w:t xml:space="preserve">) Via other closed-ended and open-ended CISs/AIFs: </w:t>
            </w:r>
          </w:p>
          <w:p w14:paraId="3FD65FE4" w14:textId="77777777" w:rsidR="00230958" w:rsidRPr="00230958" w:rsidRDefault="00230958" w:rsidP="00230958">
            <w:r w:rsidRPr="00230958">
              <w:t>(1) Allows for investment via professional and specialised risk management;</w:t>
            </w:r>
          </w:p>
          <w:p w14:paraId="1E298F63" w14:textId="77777777" w:rsidR="00230958" w:rsidRPr="00230958" w:rsidRDefault="00230958" w:rsidP="00230958">
            <w:r w:rsidRPr="00230958">
              <w:t>(2) Portfolio diversification;</w:t>
            </w:r>
          </w:p>
          <w:p w14:paraId="3B6E8F79" w14:textId="77777777" w:rsidR="00230958" w:rsidRPr="00230958" w:rsidRDefault="00230958" w:rsidP="00230958">
            <w:r w:rsidRPr="00230958">
              <w:t>(3) Exposure to non-traditional assets.</w:t>
            </w:r>
          </w:p>
          <w:p w14:paraId="1B82EBE0" w14:textId="77777777" w:rsidR="00230958" w:rsidRPr="00230958" w:rsidRDefault="00230958" w:rsidP="00230958">
            <w:r w:rsidRPr="00230958">
              <w:lastRenderedPageBreak/>
              <w:t>b) Via ETPs:</w:t>
            </w:r>
          </w:p>
          <w:p w14:paraId="089FBED4" w14:textId="77777777" w:rsidR="00230958" w:rsidRPr="00230958" w:rsidRDefault="00230958" w:rsidP="00230958">
            <w:r w:rsidRPr="00230958">
              <w:t>(1) No embedded derivative;</w:t>
            </w:r>
          </w:p>
          <w:p w14:paraId="7368854F" w14:textId="77777777" w:rsidR="00230958" w:rsidRPr="00230958" w:rsidRDefault="00230958" w:rsidP="00230958">
            <w:r w:rsidRPr="00230958">
              <w:t>(2) Portfolio diversification;</w:t>
            </w:r>
          </w:p>
          <w:p w14:paraId="0BCF0DAE" w14:textId="77777777" w:rsidR="00230958" w:rsidRPr="00230958" w:rsidRDefault="00230958" w:rsidP="00230958">
            <w:r w:rsidRPr="00230958">
              <w:t>(3) Exposure to non-traditional assets.</w:t>
            </w: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214C87EE"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10078663" w14:textId="77777777" w:rsidR="00230958" w:rsidRPr="00230958" w:rsidRDefault="00230958" w:rsidP="00230958">
            <w:r w:rsidRPr="00230958">
              <w:t>​(1) Deemed financial instruments by MiCA;</w:t>
            </w:r>
          </w:p>
          <w:p w14:paraId="0BBB3E0A" w14:textId="77777777" w:rsidR="00230958" w:rsidRPr="00230958" w:rsidRDefault="00230958" w:rsidP="00230958">
            <w:r w:rsidRPr="00230958">
              <w:t>(2) Specific risk management;</w:t>
            </w:r>
          </w:p>
          <w:p w14:paraId="2947B058" w14:textId="77777777" w:rsidR="00230958" w:rsidRPr="00230958" w:rsidRDefault="00230958" w:rsidP="00230958">
            <w:r w:rsidRPr="00230958">
              <w:t xml:space="preserve">(3) Specialised depositary; </w:t>
            </w:r>
          </w:p>
          <w:p w14:paraId="3E44E7FA" w14:textId="77777777" w:rsidR="00230958" w:rsidRPr="00230958" w:rsidRDefault="00230958" w:rsidP="00230958">
            <w:r w:rsidRPr="00230958">
              <w:t>(4) Allows for inclusion in the 10% of Article 50(2)(a) of the UCITS Directive.</w:t>
            </w:r>
          </w:p>
        </w:tc>
      </w:tr>
      <w:tr w:rsidR="00230958" w:rsidRPr="00230958" w14:paraId="6C10DAF0"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0D65116D" w14:textId="0674D87D" w:rsidR="00230958" w:rsidRPr="00230958" w:rsidRDefault="00A229A8" w:rsidP="00A229A8">
            <w:r>
              <w:t xml:space="preserve">8 </w:t>
            </w:r>
            <w:r w:rsidR="00230958" w:rsidRPr="00230958">
              <w:t>Commodities​</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795A4475" w14:textId="77777777" w:rsidR="00230958" w:rsidRPr="00230958" w:rsidRDefault="00230958" w:rsidP="00230958"/>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17012FBF" w14:textId="77777777" w:rsidR="00230958" w:rsidRPr="00230958" w:rsidRDefault="00230958" w:rsidP="00230958">
            <w:r w:rsidRPr="00230958">
              <w:t>(1) Exposure via traded securities apart from delta-one e.g., ETFs;</w:t>
            </w:r>
          </w:p>
          <w:p w14:paraId="239173F3" w14:textId="77777777" w:rsidR="00230958" w:rsidRPr="00230958" w:rsidRDefault="00230958" w:rsidP="00230958">
            <w:r w:rsidRPr="00230958">
              <w:t>(2) Portfolio diversification;</w:t>
            </w:r>
          </w:p>
          <w:p w14:paraId="1E1A08A5" w14:textId="77777777" w:rsidR="00230958" w:rsidRPr="00230958" w:rsidRDefault="00230958" w:rsidP="00230958">
            <w:r w:rsidRPr="00230958">
              <w:t>(3) Exposure to non-traditional assets.</w:t>
            </w:r>
          </w:p>
          <w:p w14:paraId="67CA73D6" w14:textId="77777777" w:rsidR="00230958" w:rsidRPr="00230958" w:rsidRDefault="00230958" w:rsidP="00230958">
            <w:r w:rsidRPr="00230958">
              <w:t>(4) Assets traded with a trading volume;</w:t>
            </w:r>
          </w:p>
          <w:p w14:paraId="5CCAC709" w14:textId="77777777" w:rsidR="00230958" w:rsidRPr="00230958" w:rsidRDefault="00230958" w:rsidP="00230958">
            <w:r w:rsidRPr="00230958">
              <w:t>(5) Via indices, in accordance with that stated in the ESMA Guidelines on ETFs and other UCITS issues.</w:t>
            </w:r>
          </w:p>
          <w:p w14:paraId="6A428C7E" w14:textId="77777777" w:rsidR="00230958" w:rsidRPr="00230958" w:rsidRDefault="00230958" w:rsidP="00230958"/>
          <w:p w14:paraId="1614B104" w14:textId="77777777" w:rsidR="00230958" w:rsidRPr="00230958" w:rsidRDefault="0023095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32D7A7DE"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164FB915" w14:textId="77777777" w:rsidR="00230958" w:rsidRPr="00230958" w:rsidRDefault="00230958" w:rsidP="00230958">
            <w:r w:rsidRPr="00230958">
              <w:t>(1) Settlement by differences;</w:t>
            </w:r>
          </w:p>
          <w:p w14:paraId="0B7C0E68" w14:textId="77777777" w:rsidR="00230958" w:rsidRPr="00230958" w:rsidRDefault="00230958" w:rsidP="00230958">
            <w:r w:rsidRPr="00230958">
              <w:t>(2) Principle of commodity risk diversification; it is not acceptable for a UCITS to invest exclusively in different securities that are</w:t>
            </w:r>
          </w:p>
          <w:p w14:paraId="314172F7" w14:textId="77777777" w:rsidR="00230958" w:rsidRPr="00230958" w:rsidRDefault="00230958" w:rsidP="00230958">
            <w:r w:rsidRPr="00230958">
              <w:t>linked to the profitability of the same underlying asset;</w:t>
            </w:r>
          </w:p>
          <w:p w14:paraId="36E436A3" w14:textId="77777777" w:rsidR="00230958" w:rsidRPr="00230958" w:rsidRDefault="00230958" w:rsidP="00230958">
            <w:r w:rsidRPr="00230958">
              <w:t>(3) Assets with market maturity.</w:t>
            </w:r>
          </w:p>
        </w:tc>
      </w:tr>
      <w:tr w:rsidR="00230958" w:rsidRPr="00230958" w14:paraId="535B4304"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5DAC0D37" w14:textId="2C2DAF36" w:rsidR="00230958" w:rsidRPr="00230958" w:rsidRDefault="00A229A8" w:rsidP="00230958">
            <w:r>
              <w:t>9</w:t>
            </w:r>
            <w:r w:rsidR="00230958" w:rsidRPr="00230958">
              <w:t xml:space="preserve"> </w:t>
            </w:r>
            <w:r w:rsidR="00B8621F" w:rsidRPr="00B8621F">
              <w:t>Exchange-traded commodities (‘ETCs’)</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2C83E3B4" w14:textId="77777777" w:rsidR="00230958" w:rsidRPr="00230958" w:rsidRDefault="00230958" w:rsidP="00230958">
            <w:r w:rsidRPr="00230958">
              <w:t>​(1) Exposure to non-traditional assets via traded securities;</w:t>
            </w:r>
          </w:p>
          <w:p w14:paraId="5AC3395F" w14:textId="77777777" w:rsidR="00230958" w:rsidRPr="00230958" w:rsidRDefault="00230958" w:rsidP="00230958">
            <w:r w:rsidRPr="00230958">
              <w:lastRenderedPageBreak/>
              <w:t>(2) Portfolio diversification;</w:t>
            </w:r>
          </w:p>
          <w:p w14:paraId="0E7CC835" w14:textId="77777777" w:rsidR="00230958" w:rsidRPr="00230958" w:rsidRDefault="00230958" w:rsidP="00230958">
            <w:r w:rsidRPr="00230958">
              <w:t>(3) Traded securities with a high trading volume;</w:t>
            </w:r>
          </w:p>
          <w:p w14:paraId="641952CC" w14:textId="77777777" w:rsidR="00230958" w:rsidRPr="00230958" w:rsidRDefault="00230958" w:rsidP="00230958">
            <w:r w:rsidRPr="00230958">
              <w:t>(4) Reduction in replication costs.</w:t>
            </w:r>
          </w:p>
        </w:tc>
        <w:tc>
          <w:tcPr>
            <w:tcW w:w="2012" w:type="dxa"/>
            <w:tcBorders>
              <w:top w:val="single" w:sz="6" w:space="0" w:color="000000"/>
              <w:left w:val="single" w:sz="6" w:space="0" w:color="000000"/>
              <w:bottom w:val="single" w:sz="6" w:space="0" w:color="000000"/>
              <w:right w:val="single" w:sz="6" w:space="0" w:color="000000"/>
            </w:tcBorders>
            <w:shd w:val="clear" w:color="auto" w:fill="auto"/>
          </w:tcPr>
          <w:p w14:paraId="3A8A4921" w14:textId="77777777" w:rsidR="00230958" w:rsidRPr="00230958" w:rsidRDefault="0023095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tcPr>
          <w:p w14:paraId="66245BD7"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1BE433AE" w14:textId="77777777" w:rsidR="00230958" w:rsidRPr="00230958" w:rsidRDefault="00230958" w:rsidP="00230958">
            <w:r w:rsidRPr="00230958">
              <w:t xml:space="preserve">As long as: </w:t>
            </w:r>
          </w:p>
          <w:p w14:paraId="1C9F5542" w14:textId="77777777" w:rsidR="00230958" w:rsidRPr="00230958" w:rsidRDefault="00230958" w:rsidP="00230958">
            <w:r w:rsidRPr="00230958">
              <w:t xml:space="preserve">(1) there is daily trading; (2) the market </w:t>
            </w:r>
          </w:p>
          <w:p w14:paraId="27967D8D" w14:textId="77777777" w:rsidR="00230958" w:rsidRPr="00230958" w:rsidRDefault="00230958" w:rsidP="00230958">
            <w:r w:rsidRPr="00230958">
              <w:lastRenderedPageBreak/>
              <w:t>price is determined based on sale transactions performed by third parties.</w:t>
            </w:r>
          </w:p>
        </w:tc>
      </w:tr>
      <w:tr w:rsidR="00230958" w:rsidRPr="00230958" w14:paraId="387A611C"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6F26E484" w14:textId="39CD2B7C" w:rsidR="00230958" w:rsidRPr="00230958" w:rsidRDefault="00A229A8" w:rsidP="00230958">
            <w:r>
              <w:lastRenderedPageBreak/>
              <w:t>10</w:t>
            </w:r>
            <w:r w:rsidR="00230958" w:rsidRPr="00230958">
              <w:t xml:space="preserve"> Real estate</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421983A7" w14:textId="77777777" w:rsidR="00230958" w:rsidRPr="00230958" w:rsidRDefault="00230958" w:rsidP="00230958"/>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67DC867E" w14:textId="77777777" w:rsidR="00230958" w:rsidRPr="00230958" w:rsidRDefault="00230958" w:rsidP="00230958">
            <w:r w:rsidRPr="00230958">
              <w:t xml:space="preserve">1) Exposure via traded securities; </w:t>
            </w:r>
          </w:p>
          <w:p w14:paraId="12206E09" w14:textId="77777777" w:rsidR="00230958" w:rsidRPr="00230958" w:rsidRDefault="00230958" w:rsidP="00230958">
            <w:r w:rsidRPr="00230958">
              <w:t>(2) Portfolio diversification;</w:t>
            </w:r>
          </w:p>
          <w:p w14:paraId="012A1615" w14:textId="77777777" w:rsidR="00230958" w:rsidRPr="00230958" w:rsidRDefault="00230958" w:rsidP="00230958">
            <w:r w:rsidRPr="00230958">
              <w:t>(3) Exposure to non-traditional assets.</w:t>
            </w:r>
          </w:p>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469DC9B1"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2E4F6FA2" w14:textId="77777777" w:rsidR="00230958" w:rsidRPr="00230958" w:rsidRDefault="00230958" w:rsidP="00230958"/>
        </w:tc>
      </w:tr>
      <w:tr w:rsidR="00230958" w:rsidRPr="00230958" w14:paraId="2EC214A9"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49EC3F0C" w14:textId="29BFDD44" w:rsidR="00230958" w:rsidRPr="00230958" w:rsidRDefault="00230958" w:rsidP="00230958">
            <w:r w:rsidRPr="00230958">
              <w:t xml:space="preserve">11 </w:t>
            </w:r>
            <w:r w:rsidR="00A229A8" w:rsidRPr="00A229A8">
              <w:t>Real Estate Investment Trusts (‘REITs’)</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073B7AF7" w14:textId="77777777" w:rsidR="00230958" w:rsidRPr="00230958" w:rsidRDefault="00230958" w:rsidP="00230958">
            <w:r w:rsidRPr="00230958">
              <w:t xml:space="preserve">​(1) They are traded securities; </w:t>
            </w:r>
          </w:p>
          <w:p w14:paraId="0FE913C6" w14:textId="77777777" w:rsidR="00230958" w:rsidRPr="00230958" w:rsidRDefault="00230958" w:rsidP="00230958">
            <w:r w:rsidRPr="00230958">
              <w:t>(2) Portfolio diversification;</w:t>
            </w:r>
          </w:p>
          <w:p w14:paraId="7BA855B0" w14:textId="77777777" w:rsidR="00230958" w:rsidRPr="00230958" w:rsidRDefault="00230958" w:rsidP="00230958">
            <w:r w:rsidRPr="00230958">
              <w:t>(3) Exposure to non-traditional assets.</w:t>
            </w:r>
          </w:p>
        </w:tc>
        <w:tc>
          <w:tcPr>
            <w:tcW w:w="2012" w:type="dxa"/>
            <w:tcBorders>
              <w:top w:val="single" w:sz="6" w:space="0" w:color="000000"/>
              <w:left w:val="single" w:sz="6" w:space="0" w:color="000000"/>
              <w:bottom w:val="single" w:sz="6" w:space="0" w:color="000000"/>
              <w:right w:val="single" w:sz="6" w:space="0" w:color="000000"/>
            </w:tcBorders>
            <w:shd w:val="clear" w:color="auto" w:fill="auto"/>
          </w:tcPr>
          <w:p w14:paraId="03EC3B13" w14:textId="77777777" w:rsidR="00230958" w:rsidRPr="00230958" w:rsidRDefault="0023095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18A2FE61"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400584BD" w14:textId="77777777" w:rsidR="00230958" w:rsidRPr="00230958" w:rsidRDefault="00230958" w:rsidP="00230958"/>
        </w:tc>
      </w:tr>
      <w:tr w:rsidR="00230958" w:rsidRPr="00230958" w14:paraId="64B760DE"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669F749A" w14:textId="07F12388" w:rsidR="00230958" w:rsidRPr="00230958" w:rsidRDefault="00230958" w:rsidP="00230958">
            <w:r w:rsidRPr="00230958">
              <w:t xml:space="preserve">12 </w:t>
            </w:r>
            <w:r w:rsidR="00A229A8" w:rsidRPr="00A229A8">
              <w:t>Special Purpose Acquisition Companies (‘SPACs’)</w:t>
            </w:r>
            <w:r w:rsidRPr="00230958">
              <w:t>​</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0E4936A7" w14:textId="77777777" w:rsidR="00230958" w:rsidRPr="00230958" w:rsidRDefault="00230958" w:rsidP="00230958">
            <w:r w:rsidRPr="00230958">
              <w:t xml:space="preserve">​(1) They are traded securities; </w:t>
            </w:r>
          </w:p>
          <w:p w14:paraId="29C25E11" w14:textId="77777777" w:rsidR="00230958" w:rsidRPr="00230958" w:rsidRDefault="00230958" w:rsidP="00230958">
            <w:r w:rsidRPr="00230958">
              <w:t>(2) Portfolio diversification;</w:t>
            </w:r>
          </w:p>
          <w:p w14:paraId="209F6AE6" w14:textId="77777777" w:rsidR="00230958" w:rsidRPr="00230958" w:rsidRDefault="00230958" w:rsidP="00230958">
            <w:r w:rsidRPr="00230958">
              <w:lastRenderedPageBreak/>
              <w:t>(3) Exposure to non-traditional assets.</w:t>
            </w:r>
          </w:p>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1ED4C04A" w14:textId="77777777" w:rsidR="00230958" w:rsidRPr="00230958" w:rsidRDefault="0023095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62E19C57"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04379E0F" w14:textId="77777777" w:rsidR="00230958" w:rsidRPr="00230958" w:rsidRDefault="00230958" w:rsidP="00230958"/>
        </w:tc>
      </w:tr>
      <w:tr w:rsidR="00230958" w:rsidRPr="00230958" w14:paraId="638AACD1"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6A0C000F" w14:textId="3DFF3C05" w:rsidR="00230958" w:rsidRPr="00230958" w:rsidRDefault="00230958" w:rsidP="00230958">
            <w:r w:rsidRPr="00230958">
              <w:t xml:space="preserve">13 </w:t>
            </w:r>
            <w:r w:rsidR="00A229A8" w:rsidRPr="00A229A8">
              <w:t>EU AIFs</w:t>
            </w:r>
            <w:r w:rsidR="00A229A8" w:rsidRPr="00A229A8">
              <w:rPr>
                <w:vertAlign w:val="superscript"/>
              </w:rPr>
              <w:footnoteReference w:id="6"/>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696B305D" w14:textId="77777777" w:rsidR="00230958" w:rsidRPr="00230958" w:rsidRDefault="00230958" w:rsidP="00230958">
            <w:r w:rsidRPr="00230958">
              <w:t>​(1) Via another closed-ended or open-ended CIS/AIF: Allows for investment in professional and regulated management;</w:t>
            </w:r>
          </w:p>
          <w:p w14:paraId="502B55B9" w14:textId="77777777" w:rsidR="00230958" w:rsidRPr="00230958" w:rsidRDefault="00230958" w:rsidP="00230958">
            <w:r w:rsidRPr="00230958">
              <w:t>(2) Access to unconventional assets that allow for diversification and negative correlation of the portfolio;</w:t>
            </w:r>
          </w:p>
          <w:p w14:paraId="2984704D" w14:textId="77777777" w:rsidR="00230958" w:rsidRPr="00230958" w:rsidRDefault="00230958" w:rsidP="00230958">
            <w:r w:rsidRPr="00230958">
              <w:t xml:space="preserve">(3) Limited leverage; </w:t>
            </w:r>
          </w:p>
          <w:p w14:paraId="58D5087F" w14:textId="77777777" w:rsidR="00230958" w:rsidRPr="00230958" w:rsidRDefault="00230958" w:rsidP="00230958">
            <w:r w:rsidRPr="00230958">
              <w:t>(4) Assets under custody;</w:t>
            </w:r>
          </w:p>
          <w:p w14:paraId="7FB3D7C2" w14:textId="77777777" w:rsidR="00230958" w:rsidRPr="00230958" w:rsidRDefault="00230958" w:rsidP="00230958">
            <w:r w:rsidRPr="00230958">
              <w:t>(5) Report to the supervisor.</w:t>
            </w:r>
          </w:p>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316935B3" w14:textId="77777777" w:rsidR="00230958" w:rsidRPr="00230958" w:rsidRDefault="00230958" w:rsidP="00230958">
            <w:r w:rsidRPr="00230958">
              <w:t>​(</w:t>
            </w:r>
          </w:p>
          <w:p w14:paraId="2C3DD032" w14:textId="77777777" w:rsidR="00230958" w:rsidRPr="00230958" w:rsidRDefault="0023095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5A68E288"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04C7697B" w14:textId="77777777" w:rsidR="00230958" w:rsidRPr="00230958" w:rsidRDefault="00230958" w:rsidP="00230958">
            <w:r w:rsidRPr="00230958">
              <w:t>​Review the restrictive interpretation and allow for the inclusion in at least Article 50(2)(a) of the UCITS Directive, of both open-ended and closed-ended AIFs.</w:t>
            </w:r>
          </w:p>
          <w:p w14:paraId="712640A3" w14:textId="77777777" w:rsidR="00230958" w:rsidRPr="00230958" w:rsidRDefault="00230958" w:rsidP="00230958"/>
        </w:tc>
      </w:tr>
      <w:tr w:rsidR="00230958" w:rsidRPr="00230958" w14:paraId="31EA0127"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5A14B4A7" w14:textId="77777777" w:rsidR="00230958" w:rsidRPr="00230958" w:rsidRDefault="00230958" w:rsidP="00230958">
            <w:r w:rsidRPr="00230958">
              <w:t>14 Non-EU AIFs​</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676345A1" w14:textId="77777777" w:rsidR="00230958" w:rsidRPr="00230958" w:rsidRDefault="00230958" w:rsidP="00230958">
            <w:r w:rsidRPr="00230958">
              <w:t>US ETFs</w:t>
            </w:r>
          </w:p>
          <w:p w14:paraId="66731EF5" w14:textId="77777777" w:rsidR="00230958" w:rsidRPr="00230958" w:rsidRDefault="00230958" w:rsidP="00230958">
            <w:r w:rsidRPr="00230958">
              <w:t>(1) Traded securities;</w:t>
            </w:r>
          </w:p>
          <w:p w14:paraId="6977854D" w14:textId="77777777" w:rsidR="00230958" w:rsidRPr="00230958" w:rsidRDefault="00230958" w:rsidP="00230958">
            <w:r w:rsidRPr="00230958">
              <w:t>(2) Portfolio diversification;</w:t>
            </w:r>
          </w:p>
          <w:p w14:paraId="2941D52F" w14:textId="77777777" w:rsidR="00230958" w:rsidRPr="00230958" w:rsidRDefault="00230958" w:rsidP="00230958">
            <w:r w:rsidRPr="00230958">
              <w:lastRenderedPageBreak/>
              <w:t>(3) Access and exposure to US market with high liquidity.</w:t>
            </w:r>
          </w:p>
          <w:p w14:paraId="5D9C295D" w14:textId="77777777" w:rsidR="00230958" w:rsidRPr="00230958" w:rsidRDefault="00230958" w:rsidP="00230958"/>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4AEBC4F4" w14:textId="77777777" w:rsidR="00230958" w:rsidRPr="00230958" w:rsidRDefault="0023095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51EF9B42"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70240BEA" w14:textId="77777777" w:rsidR="00230958" w:rsidRPr="00230958" w:rsidRDefault="00230958" w:rsidP="00230958">
            <w:r w:rsidRPr="00230958">
              <w:t xml:space="preserve">Allow foreign ETFs, when not fulfilling the criteria of Article 50(1)(e) of the UCITS Directive, inasmuch traded </w:t>
            </w:r>
            <w:r w:rsidRPr="00230958">
              <w:lastRenderedPageBreak/>
              <w:t>securities can be considered securities and not CIS.</w:t>
            </w:r>
          </w:p>
        </w:tc>
      </w:tr>
      <w:tr w:rsidR="00230958" w:rsidRPr="00230958" w14:paraId="02ADF8AF"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793AF36E" w14:textId="77777777" w:rsidR="00230958" w:rsidRPr="00230958" w:rsidRDefault="00230958" w:rsidP="00230958">
            <w:r w:rsidRPr="00230958">
              <w:lastRenderedPageBreak/>
              <w:t xml:space="preserve">15 Emission allowances </w:t>
            </w:r>
          </w:p>
        </w:tc>
        <w:tc>
          <w:tcPr>
            <w:tcW w:w="1555" w:type="dxa"/>
            <w:tcBorders>
              <w:top w:val="single" w:sz="6" w:space="0" w:color="000000"/>
              <w:left w:val="single" w:sz="6" w:space="0" w:color="000000"/>
              <w:bottom w:val="single" w:sz="6" w:space="0" w:color="000000"/>
              <w:right w:val="single" w:sz="6" w:space="0" w:color="000000"/>
            </w:tcBorders>
            <w:shd w:val="clear" w:color="auto" w:fill="auto"/>
          </w:tcPr>
          <w:p w14:paraId="6599C0FD" w14:textId="77777777" w:rsidR="00230958" w:rsidRPr="00230958" w:rsidRDefault="00230958" w:rsidP="00230958"/>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568D97D4" w14:textId="77777777" w:rsidR="00230958" w:rsidRPr="00230958" w:rsidRDefault="00230958" w:rsidP="00230958">
            <w:r w:rsidRPr="00230958">
              <w:t>(1) Financial instrument according to MiFID II (Annex I, section C,11));</w:t>
            </w:r>
          </w:p>
          <w:p w14:paraId="11068BC4" w14:textId="77777777" w:rsidR="00230958" w:rsidRPr="00230958" w:rsidRDefault="00230958" w:rsidP="00230958">
            <w:r w:rsidRPr="00230958">
              <w:t>(2) Access to unconventional assets that allow for diversification and negative correlation of the portfolio.</w:t>
            </w:r>
          </w:p>
          <w:p w14:paraId="432C9952" w14:textId="77777777" w:rsidR="00230958" w:rsidRPr="00230958" w:rsidRDefault="0023095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2102C4B2"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02409558" w14:textId="77777777" w:rsidR="00230958" w:rsidRPr="00230958" w:rsidRDefault="00230958" w:rsidP="00230958">
            <w:r w:rsidRPr="00230958">
              <w:t>The EU Emissions Trading Scheme is the main tool of the EU to reduce greenhouse gas emissions.</w:t>
            </w:r>
          </w:p>
        </w:tc>
      </w:tr>
      <w:tr w:rsidR="00230958" w:rsidRPr="00230958" w14:paraId="1EA442EA"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672A0F64" w14:textId="77777777" w:rsidR="00230958" w:rsidRPr="00230958" w:rsidRDefault="00230958" w:rsidP="00230958">
            <w:r w:rsidRPr="00230958">
              <w:t xml:space="preserve">16 Delta-one assets​ </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539D5A8C" w14:textId="77777777" w:rsidR="00230958" w:rsidRPr="00230958" w:rsidRDefault="00230958" w:rsidP="00230958">
            <w:r w:rsidRPr="00230958">
              <w:t xml:space="preserve">​(1) They are traded securities; </w:t>
            </w:r>
          </w:p>
          <w:p w14:paraId="56A77C48" w14:textId="77777777" w:rsidR="00230958" w:rsidRPr="00230958" w:rsidRDefault="00230958" w:rsidP="00230958">
            <w:r w:rsidRPr="00230958">
              <w:t>(2) No embedded derivative</w:t>
            </w:r>
          </w:p>
          <w:p w14:paraId="7257C4AC" w14:textId="77777777" w:rsidR="00230958" w:rsidRPr="00230958" w:rsidRDefault="00230958" w:rsidP="00230958">
            <w:r w:rsidRPr="00230958">
              <w:t>(3) They allow for portfolio diversification;</w:t>
            </w:r>
          </w:p>
          <w:p w14:paraId="2C20F79E" w14:textId="77777777" w:rsidR="00230958" w:rsidRPr="00230958" w:rsidRDefault="00230958" w:rsidP="00230958">
            <w:r w:rsidRPr="00230958">
              <w:t>(4) Exposure to non-traditional assets.</w:t>
            </w:r>
          </w:p>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07C82911" w14:textId="77777777" w:rsidR="00230958" w:rsidRPr="00230958" w:rsidRDefault="0023095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24DC1B4A"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2B0F9C82" w14:textId="77777777" w:rsidR="00230958" w:rsidRPr="00230958" w:rsidRDefault="00230958" w:rsidP="00230958">
            <w:r w:rsidRPr="00230958">
              <w:t xml:space="preserve">As long as: </w:t>
            </w:r>
          </w:p>
          <w:p w14:paraId="1789E41A" w14:textId="77777777" w:rsidR="00E369C3" w:rsidRDefault="00230958" w:rsidP="00230958">
            <w:r w:rsidRPr="00230958">
              <w:t xml:space="preserve">(1) there is daily trading; </w:t>
            </w:r>
          </w:p>
          <w:p w14:paraId="787E4183" w14:textId="4A82155D" w:rsidR="00230958" w:rsidRPr="00230958" w:rsidRDefault="00230958" w:rsidP="00E369C3">
            <w:r w:rsidRPr="00230958">
              <w:t>(2) the market</w:t>
            </w:r>
            <w:r w:rsidR="00E369C3">
              <w:t xml:space="preserve"> </w:t>
            </w:r>
            <w:r w:rsidRPr="00230958">
              <w:t>price is determined based on sale transactions performed by third parties.</w:t>
            </w:r>
          </w:p>
        </w:tc>
      </w:tr>
      <w:tr w:rsidR="00230958" w:rsidRPr="00230958" w14:paraId="202B702D"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1EA7DC75" w14:textId="491F5A33" w:rsidR="00230958" w:rsidRPr="00230958" w:rsidRDefault="00230958" w:rsidP="00230958">
            <w:r w:rsidRPr="00230958">
              <w:t xml:space="preserve">17 </w:t>
            </w:r>
            <w:r w:rsidR="00A229A8" w:rsidRPr="00A229A8">
              <w:t>Exchange-traded notes (‘ETNs’)</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28C138FD" w14:textId="77777777" w:rsidR="00230958" w:rsidRPr="00230958" w:rsidRDefault="00230958" w:rsidP="00230958">
            <w:bookmarkStart w:id="1" w:name="_Hlk169073011"/>
            <w:r w:rsidRPr="00230958">
              <w:t>​(1) Exposure to non-traditional assets via traded securities;</w:t>
            </w:r>
          </w:p>
          <w:p w14:paraId="17B41C80" w14:textId="77777777" w:rsidR="00230958" w:rsidRPr="00230958" w:rsidRDefault="00230958" w:rsidP="00230958">
            <w:r w:rsidRPr="00230958">
              <w:lastRenderedPageBreak/>
              <w:t>(2) Portfolio diversification;</w:t>
            </w:r>
          </w:p>
          <w:p w14:paraId="73B62520" w14:textId="77777777" w:rsidR="00230958" w:rsidRPr="00230958" w:rsidRDefault="00230958" w:rsidP="00230958">
            <w:r w:rsidRPr="00230958">
              <w:t>(3) Traded securities with a high trading volume;</w:t>
            </w:r>
          </w:p>
          <w:p w14:paraId="2DBB3988" w14:textId="77777777" w:rsidR="00230958" w:rsidRPr="00230958" w:rsidRDefault="00230958" w:rsidP="00230958">
            <w:r w:rsidRPr="00230958">
              <w:t>(4) Reduction in replication costs.</w:t>
            </w:r>
            <w:bookmarkEnd w:id="1"/>
          </w:p>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029AE875" w14:textId="77777777" w:rsidR="00230958" w:rsidRPr="00230958" w:rsidRDefault="0023095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0BD48003"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723FACB6" w14:textId="77777777" w:rsidR="00230958" w:rsidRPr="00230958" w:rsidRDefault="00230958" w:rsidP="00230958">
            <w:r w:rsidRPr="00230958">
              <w:t xml:space="preserve">As long as: </w:t>
            </w:r>
          </w:p>
          <w:p w14:paraId="23D79C99" w14:textId="77777777" w:rsidR="00E369C3" w:rsidRDefault="00230958" w:rsidP="00230958">
            <w:r w:rsidRPr="00230958">
              <w:t xml:space="preserve">(1) there is daily trading; </w:t>
            </w:r>
          </w:p>
          <w:p w14:paraId="78F6691D" w14:textId="7B66DB8F" w:rsidR="00230958" w:rsidRPr="00230958" w:rsidRDefault="00230958" w:rsidP="00E369C3">
            <w:r w:rsidRPr="00230958">
              <w:t>(2) the market</w:t>
            </w:r>
            <w:r w:rsidR="00E369C3">
              <w:t xml:space="preserve"> </w:t>
            </w:r>
            <w:r w:rsidRPr="00230958">
              <w:t xml:space="preserve">price is determined </w:t>
            </w:r>
            <w:r w:rsidRPr="00230958">
              <w:lastRenderedPageBreak/>
              <w:t>based on sale transactions performed by third parties.</w:t>
            </w:r>
          </w:p>
        </w:tc>
      </w:tr>
      <w:tr w:rsidR="00230958" w:rsidRPr="00230958" w14:paraId="208D8990"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3D7B44E4" w14:textId="68443786" w:rsidR="00230958" w:rsidRPr="00230958" w:rsidRDefault="00230958" w:rsidP="00230958">
            <w:r w:rsidRPr="00230958">
              <w:lastRenderedPageBreak/>
              <w:t xml:space="preserve">18 </w:t>
            </w:r>
            <w:r w:rsidR="00A229A8" w:rsidRPr="00A229A8">
              <w:t>Asset-backed securities (‘ABS’) including mortgage-backed securities (‘MBS’)</w:t>
            </w:r>
            <w:r w:rsidRPr="00230958">
              <w:t>​</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3D0EB0CD" w14:textId="77777777" w:rsidR="00230958" w:rsidRPr="00230958" w:rsidRDefault="00230958" w:rsidP="00230958"/>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77A1775E" w14:textId="77777777" w:rsidR="00230958" w:rsidRPr="00230958" w:rsidRDefault="0023095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086D5B9F"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666089A6" w14:textId="77777777" w:rsidR="00230958" w:rsidRPr="00230958" w:rsidRDefault="00230958" w:rsidP="00230958">
            <w:r w:rsidRPr="00230958">
              <w:t>​Relaxation of the requirements to encourage their appeal.</w:t>
            </w:r>
          </w:p>
        </w:tc>
      </w:tr>
      <w:tr w:rsidR="00230958" w:rsidRPr="00230958" w14:paraId="2F6FD854" w14:textId="77777777" w:rsidTr="000B38DF">
        <w:trPr>
          <w:trHeight w:val="583"/>
        </w:trPr>
        <w:tc>
          <w:tcPr>
            <w:tcW w:w="1698" w:type="dxa"/>
            <w:tcBorders>
              <w:top w:val="single" w:sz="6" w:space="0" w:color="000000"/>
              <w:left w:val="single" w:sz="6" w:space="0" w:color="000000"/>
              <w:bottom w:val="single" w:sz="6" w:space="0" w:color="000000"/>
              <w:right w:val="single" w:sz="6" w:space="0" w:color="000000"/>
            </w:tcBorders>
            <w:shd w:val="clear" w:color="auto" w:fill="auto"/>
            <w:hideMark/>
          </w:tcPr>
          <w:p w14:paraId="70E30E22" w14:textId="1C04A08D" w:rsidR="00230958" w:rsidRPr="00230958" w:rsidRDefault="00230958" w:rsidP="00230958">
            <w:r w:rsidRPr="00230958">
              <w:t xml:space="preserve">19 </w:t>
            </w:r>
            <w:r w:rsidR="00A229A8" w:rsidRPr="00A229A8">
              <w:t>Other relevant asset classes (please specify)</w:t>
            </w:r>
          </w:p>
        </w:tc>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51A230BA" w14:textId="77777777" w:rsidR="00230958" w:rsidRPr="00230958" w:rsidRDefault="00230958" w:rsidP="00230958">
            <w:r w:rsidRPr="00230958">
              <w:t>​ADRs</w:t>
            </w:r>
          </w:p>
        </w:tc>
        <w:tc>
          <w:tcPr>
            <w:tcW w:w="2012" w:type="dxa"/>
            <w:tcBorders>
              <w:top w:val="single" w:sz="6" w:space="0" w:color="000000"/>
              <w:left w:val="single" w:sz="6" w:space="0" w:color="000000"/>
              <w:bottom w:val="single" w:sz="6" w:space="0" w:color="000000"/>
              <w:right w:val="single" w:sz="6" w:space="0" w:color="000000"/>
            </w:tcBorders>
            <w:shd w:val="clear" w:color="auto" w:fill="auto"/>
            <w:hideMark/>
          </w:tcPr>
          <w:p w14:paraId="56342B82" w14:textId="77777777" w:rsidR="00230958" w:rsidRPr="00230958" w:rsidRDefault="00230958" w:rsidP="00230958"/>
        </w:tc>
        <w:tc>
          <w:tcPr>
            <w:tcW w:w="1532" w:type="dxa"/>
            <w:tcBorders>
              <w:top w:val="single" w:sz="6" w:space="0" w:color="000000"/>
              <w:left w:val="single" w:sz="6" w:space="0" w:color="000000"/>
              <w:bottom w:val="single" w:sz="6" w:space="0" w:color="000000"/>
              <w:right w:val="single" w:sz="6" w:space="0" w:color="000000"/>
            </w:tcBorders>
            <w:shd w:val="clear" w:color="auto" w:fill="auto"/>
            <w:hideMark/>
          </w:tcPr>
          <w:p w14:paraId="2A75EF32" w14:textId="77777777" w:rsidR="00230958" w:rsidRPr="00230958" w:rsidRDefault="00230958" w:rsidP="00230958"/>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14:paraId="09662A42" w14:textId="77777777" w:rsidR="00230958" w:rsidRPr="00230958" w:rsidRDefault="00230958" w:rsidP="00230958">
            <w:r w:rsidRPr="00230958">
              <w:t>​Certificate representing a marketable security.</w:t>
            </w:r>
          </w:p>
        </w:tc>
      </w:tr>
    </w:tbl>
    <w:permEnd w:id="1828006997"/>
    <w:p w14:paraId="01D62D2E" w14:textId="77777777" w:rsidR="00667FF6" w:rsidRDefault="00667FF6" w:rsidP="00667FF6">
      <w:r>
        <w:t>&lt;ESMA_QUESTION_EADC_20&gt;</w:t>
      </w:r>
    </w:p>
    <w:p w14:paraId="108FF8FC" w14:textId="77777777" w:rsidR="00667FF6" w:rsidRDefault="00667FF6" w:rsidP="00667FF6"/>
    <w:p w14:paraId="7E4F82A9" w14:textId="77777777" w:rsidR="00667FF6" w:rsidRDefault="00667FF6" w:rsidP="00DB686B">
      <w:pPr>
        <w:pStyle w:val="Questionstyle"/>
        <w:numPr>
          <w:ilvl w:val="0"/>
          <w:numId w:val="14"/>
        </w:numPr>
      </w:pPr>
      <w:r>
        <w:t>Please elaborate and provide evidence on how indirect exposures to the aforementioned asset classes (e.g. through delta-one instruments, ETNs, derivatives) increase or decrease costs and/or risks borne by UCITS and their investors compared to direct investments.</w:t>
      </w:r>
    </w:p>
    <w:p w14:paraId="4B547731" w14:textId="77777777" w:rsidR="00667FF6" w:rsidRDefault="00667FF6" w:rsidP="00667FF6">
      <w:r>
        <w:t>&lt;ESMA_QUESTION_EADC_21&gt;</w:t>
      </w:r>
    </w:p>
    <w:p w14:paraId="17781542" w14:textId="77777777" w:rsidR="00230958" w:rsidRPr="00230958" w:rsidRDefault="00230958" w:rsidP="00230958">
      <w:permStart w:id="199050040" w:edGrp="everyone"/>
      <w:r w:rsidRPr="00230958">
        <w:t>Indirect investment allows for investment:</w:t>
      </w:r>
    </w:p>
    <w:p w14:paraId="0BD733B4" w14:textId="77777777" w:rsidR="00230958" w:rsidRPr="00230958" w:rsidRDefault="00230958" w:rsidP="00230958">
      <w:pPr>
        <w:numPr>
          <w:ilvl w:val="0"/>
          <w:numId w:val="18"/>
        </w:numPr>
      </w:pPr>
      <w:r w:rsidRPr="00230958">
        <w:rPr>
          <w:b/>
        </w:rPr>
        <w:t>Via open-ended or closed-ended AIFs</w:t>
      </w:r>
      <w:r w:rsidRPr="00230958">
        <w:t>: access by means of professional and regulated management to unconventional assets, which allow for diversification, de-correlation of the portfolio and with limited leverage.</w:t>
      </w:r>
    </w:p>
    <w:p w14:paraId="59E748B2" w14:textId="77777777" w:rsidR="00230958" w:rsidRPr="00230958" w:rsidRDefault="00230958" w:rsidP="00230958">
      <w:pPr>
        <w:numPr>
          <w:ilvl w:val="0"/>
          <w:numId w:val="18"/>
        </w:numPr>
      </w:pPr>
      <w:r w:rsidRPr="00230958">
        <w:rPr>
          <w:b/>
          <w:bCs/>
        </w:rPr>
        <w:lastRenderedPageBreak/>
        <w:t>Via</w:t>
      </w:r>
      <w:r w:rsidRPr="00230958">
        <w:t xml:space="preserve"> </w:t>
      </w:r>
      <w:r w:rsidRPr="00230958">
        <w:rPr>
          <w:b/>
        </w:rPr>
        <w:t>derivatives</w:t>
      </w:r>
      <w:r w:rsidRPr="00230958">
        <w:t>: as long as they are settled by differences and the diversification limits are respected, gaining exposure to unconventional assets (e.g., gold or oil futures) with market depth and volume, once again allowing diversification and de-correlation of the portfolio.</w:t>
      </w:r>
    </w:p>
    <w:p w14:paraId="18DCB95F" w14:textId="77777777" w:rsidR="00230958" w:rsidRPr="00230958" w:rsidRDefault="00230958" w:rsidP="00230958">
      <w:pPr>
        <w:numPr>
          <w:ilvl w:val="0"/>
          <w:numId w:val="18"/>
        </w:numPr>
      </w:pPr>
      <w:r w:rsidRPr="00230958">
        <w:rPr>
          <w:b/>
        </w:rPr>
        <w:t>Via indices</w:t>
      </w:r>
      <w:r w:rsidRPr="00230958">
        <w:t>: financial instruments under regulation, investment in markets, commodities, other different financial instrument, as long as they respect the diversification limits.</w:t>
      </w:r>
    </w:p>
    <w:p w14:paraId="66C029C8" w14:textId="77777777" w:rsidR="00230958" w:rsidRPr="00230958" w:rsidRDefault="00230958" w:rsidP="00230958">
      <w:pPr>
        <w:numPr>
          <w:ilvl w:val="0"/>
          <w:numId w:val="18"/>
        </w:numPr>
      </w:pPr>
      <w:r w:rsidRPr="00230958">
        <w:rPr>
          <w:b/>
          <w:bCs/>
        </w:rPr>
        <w:t>Via</w:t>
      </w:r>
      <w:r w:rsidRPr="00230958">
        <w:t xml:space="preserve"> </w:t>
      </w:r>
      <w:r w:rsidRPr="00230958">
        <w:rPr>
          <w:b/>
          <w:bCs/>
        </w:rPr>
        <w:t>exchange-traded products</w:t>
      </w:r>
      <w:r w:rsidRPr="00230958">
        <w:rPr>
          <w:b/>
        </w:rPr>
        <w:t xml:space="preserve"> (ETPs)</w:t>
      </w:r>
      <w:r w:rsidRPr="00230958">
        <w:t>: exposure to non-traditional assets via traded securities, limits on portfolio diversification, without leverage and reducing the replication costs.</w:t>
      </w:r>
    </w:p>
    <w:permEnd w:id="199050040"/>
    <w:p w14:paraId="3DAB01B2" w14:textId="77777777" w:rsidR="00667FF6" w:rsidRDefault="00667FF6" w:rsidP="00667FF6">
      <w:r>
        <w:t>&lt;ESMA_QUESTION_EADC_21&gt;</w:t>
      </w:r>
    </w:p>
    <w:p w14:paraId="646CDAF6" w14:textId="77777777" w:rsidR="00667FF6" w:rsidRDefault="00667FF6" w:rsidP="00667FF6"/>
    <w:p w14:paraId="3F190348" w14:textId="002D0356" w:rsidR="00667FF6" w:rsidRDefault="00667FF6" w:rsidP="00DB686B">
      <w:pPr>
        <w:pStyle w:val="Questionstyle"/>
        <w:numPr>
          <w:ilvl w:val="0"/>
          <w:numId w:val="14"/>
        </w:numPr>
      </w:pPr>
      <w:r>
        <w:t>Under the EAD, should a look-through approach be required to determine the eligibility of assets? Please explain your position taking into account the aforementioned risks and benefits of UCITS gaining exposures to asset classes that are not directly investible as well as the increased/decreased costs associated with such indirect investments. A look-through approach would aim to ensure that the list of eligible asset classes set out in the UCITS Level 1 Directive would be deemed exhaustive and reduce risk of circumvention by gaining indirect exposures to ineligible asset classes via instruments such as delta-one instruments, exchange-traded products or derivatives. Where possible, please provide views, data or estimates on the possible impact of such a possible policy measure.</w:t>
      </w:r>
    </w:p>
    <w:p w14:paraId="3D9FBAEC" w14:textId="77777777" w:rsidR="00667FF6" w:rsidRDefault="00667FF6" w:rsidP="00667FF6">
      <w:r>
        <w:t>&lt;ESMA_QUESTION_EADC_22&gt;</w:t>
      </w:r>
    </w:p>
    <w:p w14:paraId="23F19A47" w14:textId="77777777" w:rsidR="003D7835" w:rsidRPr="003D7835" w:rsidRDefault="003D7835" w:rsidP="003D7835">
      <w:permStart w:id="1004748421" w:edGrp="everyone"/>
      <w:r w:rsidRPr="003D7835">
        <w:t xml:space="preserve">For greater legal certainty, it is necessary to determine the situations in which the Management Companies must look through the asset and when not. </w:t>
      </w:r>
    </w:p>
    <w:p w14:paraId="6B8B77F0" w14:textId="77777777" w:rsidR="003D7835" w:rsidRPr="003D7835" w:rsidRDefault="003D7835" w:rsidP="003D7835">
      <w:r w:rsidRPr="003D7835">
        <w:t>Specifically:</w:t>
      </w:r>
    </w:p>
    <w:p w14:paraId="6CE5E65F" w14:textId="77777777" w:rsidR="003D7835" w:rsidRPr="003D7835" w:rsidRDefault="003D7835" w:rsidP="003D7835">
      <w:pPr>
        <w:numPr>
          <w:ilvl w:val="0"/>
          <w:numId w:val="19"/>
        </w:numPr>
        <w:rPr>
          <w:b/>
          <w:bCs/>
        </w:rPr>
      </w:pPr>
      <w:r w:rsidRPr="003D7835">
        <w:rPr>
          <w:b/>
        </w:rPr>
        <w:t>UCITS</w:t>
      </w:r>
      <w:r w:rsidRPr="003D7835">
        <w:t xml:space="preserve">: Considering that the UCITS passport application consists in the located in a Member State UCITs to be able to market their units in the remaining Member States without the latter being able to submit these bodies or their units to any other provision (except for those which in these States do not depend on the same matters regulated by the Directive in question); </w:t>
      </w:r>
      <w:r w:rsidRPr="003D7835">
        <w:rPr>
          <w:u w:val="single"/>
        </w:rPr>
        <w:t xml:space="preserve">the Management Companies should not have the obligation to </w:t>
      </w:r>
      <w:r w:rsidRPr="003D7835">
        <w:rPr>
          <w:u w:val="single"/>
        </w:rPr>
        <w:lastRenderedPageBreak/>
        <w:t>perform an additional look through on the eligibility of these vehicles, beyond that required for diversification or investment policy issues</w:t>
      </w:r>
      <w:r w:rsidRPr="003D7835">
        <w:rPr>
          <w:b/>
        </w:rPr>
        <w:t xml:space="preserve">. </w:t>
      </w:r>
    </w:p>
    <w:p w14:paraId="4AC3BC67" w14:textId="77777777" w:rsidR="003D7835" w:rsidRPr="003D7835" w:rsidRDefault="003D7835" w:rsidP="003D7835">
      <w:pPr>
        <w:numPr>
          <w:ilvl w:val="0"/>
          <w:numId w:val="19"/>
        </w:numPr>
        <w:rPr>
          <w:b/>
          <w:bCs/>
        </w:rPr>
      </w:pPr>
      <w:r w:rsidRPr="003D7835">
        <w:rPr>
          <w:b/>
        </w:rPr>
        <w:t>Financial indices</w:t>
      </w:r>
    </w:p>
    <w:p w14:paraId="2137D071" w14:textId="3232219C" w:rsidR="003D7835" w:rsidRPr="003D7835" w:rsidRDefault="003D7835" w:rsidP="0080191B">
      <w:pPr>
        <w:numPr>
          <w:ilvl w:val="0"/>
          <w:numId w:val="19"/>
        </w:numPr>
      </w:pPr>
      <w:r w:rsidRPr="003D7835">
        <w:rPr>
          <w:b/>
        </w:rPr>
        <w:t>Delta-one without embedded derivative:</w:t>
      </w:r>
      <w:r w:rsidRPr="003D7835">
        <w:t xml:space="preserve"> The Spanish supervisor’s criteria seems appropriate, i.e. that when the following requirements are fulfilled: (i) daily trading; (ii) the market price is determined by third-party trading transactions, no look-through should be performed.</w:t>
      </w:r>
    </w:p>
    <w:permEnd w:id="1004748421"/>
    <w:p w14:paraId="36473833" w14:textId="77777777" w:rsidR="00667FF6" w:rsidRDefault="00667FF6" w:rsidP="00667FF6">
      <w:r>
        <w:t>&lt;ESMA_QUESTION_EADC_22&gt;</w:t>
      </w:r>
    </w:p>
    <w:p w14:paraId="6543CA60" w14:textId="77777777" w:rsidR="00667FF6" w:rsidRDefault="00667FF6" w:rsidP="00667FF6"/>
    <w:p w14:paraId="74B7BA82" w14:textId="77777777" w:rsidR="00667FF6" w:rsidRDefault="00667FF6" w:rsidP="00DB686B">
      <w:pPr>
        <w:pStyle w:val="Questionstyle"/>
        <w:numPr>
          <w:ilvl w:val="0"/>
          <w:numId w:val="14"/>
        </w:numPr>
      </w:pPr>
      <w:r>
        <w:t>What are the risks and benefits of UCITS investments in securities issued by securitisation vehicles? Please share evidence and experiences on current market practices and views on a possible need for legislative clarifications or amendments.</w:t>
      </w:r>
    </w:p>
    <w:p w14:paraId="477B142C" w14:textId="77777777" w:rsidR="00667FF6" w:rsidRDefault="00667FF6" w:rsidP="00667FF6">
      <w:r>
        <w:t>&lt;ESMA_QUESTION_EADC_23&gt;</w:t>
      </w:r>
    </w:p>
    <w:p w14:paraId="40474C0C" w14:textId="77777777" w:rsidR="003D7835" w:rsidRPr="003D7835" w:rsidRDefault="003D7835" w:rsidP="003D7835">
      <w:permStart w:id="1208368603" w:edGrp="everyone"/>
      <w:r w:rsidRPr="003D7835">
        <w:t>Only if the requirements for investment in securitizations, such as the originator having to permanently withhold an economic interest of at least 5% and others, imposing excessive due diligence, were relaxed, would it be appealing to invest in this type of security. </w:t>
      </w:r>
    </w:p>
    <w:p w14:paraId="6B580DBD" w14:textId="77777777" w:rsidR="003D7835" w:rsidRPr="003D7835" w:rsidRDefault="003D7835" w:rsidP="003D7835">
      <w:r w:rsidRPr="003D7835">
        <w:t xml:space="preserve">Thus, investments in securitizations involves performing due diligence, both beforehand and on an ongoing basis while the investment is maintained, allowing managers to obtain information and appropriate knowledge on the securitizations considered. </w:t>
      </w:r>
    </w:p>
    <w:p w14:paraId="17CA5274" w14:textId="77777777" w:rsidR="003D7835" w:rsidRPr="003D7835" w:rsidRDefault="003D7835" w:rsidP="003D7835">
      <w:r w:rsidRPr="003D7835">
        <w:t>This is a complex and costly process, using up many resources within Management Companies, whose obligations have been intensely increased in the past years (by means of including ESG, ICT risks and other data intensive controls and actions) simultaneously to a continued trend of reducing management fees charged for the vehicles managed.</w:t>
      </w:r>
    </w:p>
    <w:p w14:paraId="25F0A972" w14:textId="77777777" w:rsidR="003D7835" w:rsidRPr="003D7835" w:rsidRDefault="003D7835" w:rsidP="003D7835">
      <w:r w:rsidRPr="003D7835">
        <w:t>As a result of all this, relaxing these due diligence requirements is essential in order to reactivate the investments by Funds (both UCITS and AIF, since the AIFM Directive</w:t>
      </w:r>
      <w:r w:rsidRPr="003D7835">
        <w:rPr>
          <w:vertAlign w:val="superscript"/>
        </w:rPr>
        <w:footnoteReference w:id="7"/>
      </w:r>
      <w:r w:rsidRPr="003D7835">
        <w:t xml:space="preserve"> is that which comprises these due diligence requirements) in this type of asset.</w:t>
      </w:r>
    </w:p>
    <w:p w14:paraId="6F0E2E20" w14:textId="77777777" w:rsidR="003D7835" w:rsidRPr="003D7835" w:rsidRDefault="003D7835" w:rsidP="003D7835">
      <w:r w:rsidRPr="003D7835">
        <w:lastRenderedPageBreak/>
        <w:t>Another element which, to a lesser extent than the aforementioned due diligence requirements, hinders investment in securitizations is the valuation. In this way, the valuation procedures state that, in the absence of a representative market price, the entities will contrast the valuations by obtaining quotes from independent third parties. This service entails a cost for the entities which, without being the main reason for this, contributes to the lack of investor appetite for them.</w:t>
      </w:r>
    </w:p>
    <w:permEnd w:id="1208368603"/>
    <w:p w14:paraId="3E326846" w14:textId="77777777" w:rsidR="00667FF6" w:rsidRDefault="00667FF6" w:rsidP="00667FF6">
      <w:r>
        <w:t>&lt;ESMA_QUESTION_EADC_23&gt;</w:t>
      </w:r>
    </w:p>
    <w:p w14:paraId="2ED70AE4" w14:textId="77777777" w:rsidR="00667FF6" w:rsidRDefault="00667FF6" w:rsidP="00667FF6"/>
    <w:p w14:paraId="0AC98EEB" w14:textId="77777777" w:rsidR="00667FF6" w:rsidRDefault="00667FF6" w:rsidP="00DB686B">
      <w:pPr>
        <w:pStyle w:val="Questionstyle"/>
        <w:numPr>
          <w:ilvl w:val="0"/>
          <w:numId w:val="14"/>
        </w:numPr>
      </w:pPr>
      <w:r>
        <w:t>What are the risks and benefits of permitting UCITS to build up short positions through the use of (embedded) derivatives, delta-one instruments or other instruments/tools? Please share evidence and experiences on current market practice and views on a possible need for legislative clarifications or amendments.</w:t>
      </w:r>
    </w:p>
    <w:p w14:paraId="717C88C9" w14:textId="77777777" w:rsidR="00667FF6" w:rsidRDefault="00667FF6" w:rsidP="00667FF6">
      <w:r>
        <w:t>&lt;ESMA_QUESTION_EADC_24&gt;</w:t>
      </w:r>
    </w:p>
    <w:p w14:paraId="0070F2E2" w14:textId="77777777" w:rsidR="00320D72" w:rsidRPr="00320D72" w:rsidRDefault="00320D72" w:rsidP="00320D72">
      <w:permStart w:id="160252285" w:edGrp="everyone"/>
      <w:r w:rsidRPr="00320D72">
        <w:t>No comments in this regard.</w:t>
      </w:r>
    </w:p>
    <w:permEnd w:id="160252285"/>
    <w:p w14:paraId="63C4C4A9" w14:textId="77777777" w:rsidR="00667FF6" w:rsidRDefault="00667FF6" w:rsidP="00667FF6">
      <w:r>
        <w:t>&lt;ESMA_QUESTION_EADC_24&gt;</w:t>
      </w:r>
    </w:p>
    <w:p w14:paraId="0EB97D56" w14:textId="77777777" w:rsidR="00667FF6" w:rsidRDefault="00667FF6" w:rsidP="00667FF6"/>
    <w:p w14:paraId="7D09FBF8" w14:textId="77777777" w:rsidR="00667FF6" w:rsidRDefault="00667FF6" w:rsidP="00DB686B">
      <w:pPr>
        <w:pStyle w:val="Questionstyle"/>
        <w:numPr>
          <w:ilvl w:val="0"/>
          <w:numId w:val="14"/>
        </w:numPr>
      </w:pPr>
      <w:r>
        <w:t>Apart from the topics covered in the above sections, have you observed any other issues with respect to the interpretation or consistent application of the UCITS EAD? If so, please describe the issues and how you would propose to revise the UCITS EAD or UCITS Directive with a view to improve investor protection, clarity and supervisory convergence.</w:t>
      </w:r>
    </w:p>
    <w:p w14:paraId="03144DFC" w14:textId="77777777" w:rsidR="00667FF6" w:rsidRDefault="00667FF6" w:rsidP="00667FF6">
      <w:r>
        <w:t>&lt;ESMA_QUESTION_EADC_25&gt;</w:t>
      </w:r>
    </w:p>
    <w:p w14:paraId="6608F21D" w14:textId="77777777" w:rsidR="00320D72" w:rsidRPr="00320D72" w:rsidRDefault="00320D72" w:rsidP="00320D72">
      <w:permStart w:id="478484191" w:edGrp="everyone"/>
      <w:r w:rsidRPr="00320D72">
        <w:t>In relation with the investment framework foreseen in the UCITS Directive, the following additional matters arise to improve the eligible assets framework:</w:t>
      </w:r>
    </w:p>
    <w:p w14:paraId="003D394D" w14:textId="77777777" w:rsidR="00320D72" w:rsidRPr="00320D72" w:rsidRDefault="00320D72" w:rsidP="00320D72">
      <w:pPr>
        <w:numPr>
          <w:ilvl w:val="0"/>
          <w:numId w:val="20"/>
        </w:numPr>
      </w:pPr>
      <w:r w:rsidRPr="00320D72">
        <w:t>The amendment of Article 50(2)(a), for this to act as a discretionary coefficient for investment in financial assets that do not comply with one of the requirements foreseen for each type of assets envisaged in Article 50(1), together with indirect investment in assets per se no eligible for UCITS.</w:t>
      </w:r>
    </w:p>
    <w:p w14:paraId="47CBEEA0" w14:textId="77777777" w:rsidR="00320D72" w:rsidRPr="00320D72" w:rsidRDefault="00320D72" w:rsidP="00320D72">
      <w:pPr>
        <w:numPr>
          <w:ilvl w:val="0"/>
          <w:numId w:val="20"/>
        </w:numPr>
      </w:pPr>
      <w:r w:rsidRPr="00320D72">
        <w:lastRenderedPageBreak/>
        <w:t xml:space="preserve">The removal of the obligation to diversify into 6 issuances, when investing more than 35% in public debt of the same issuer, stated in the last paragraph of Article 54 of the UCITS Directive. </w:t>
      </w:r>
    </w:p>
    <w:p w14:paraId="758E5E0B" w14:textId="77777777" w:rsidR="00320D72" w:rsidRPr="00320D72" w:rsidRDefault="00320D72" w:rsidP="00320D72">
      <w:r w:rsidRPr="00320D72">
        <w:t>Both matters are extensively developed in section a) of the general comments.</w:t>
      </w:r>
    </w:p>
    <w:permEnd w:id="478484191"/>
    <w:p w14:paraId="56E7500F" w14:textId="77777777" w:rsidR="00667FF6" w:rsidRDefault="00667FF6" w:rsidP="00667FF6">
      <w:r>
        <w:t>&lt;ESMA_QUESTION_EADC_25&gt;</w:t>
      </w:r>
    </w:p>
    <w:p w14:paraId="02F72279" w14:textId="77777777" w:rsidR="00667FF6" w:rsidRDefault="00667FF6" w:rsidP="00667FF6"/>
    <w:p w14:paraId="5DF23952" w14:textId="77777777" w:rsidR="00667FF6" w:rsidRDefault="00667FF6" w:rsidP="00667FF6"/>
    <w:p w14:paraId="30524E68" w14:textId="77777777" w:rsidR="00667FF6" w:rsidRPr="00667FF6" w:rsidRDefault="00667FF6" w:rsidP="00667FF6">
      <w:pPr>
        <w:rPr>
          <w:lang w:val="fr-BE"/>
        </w:rPr>
      </w:pPr>
    </w:p>
    <w:p w14:paraId="04595985" w14:textId="3EBFBF7B" w:rsidR="00B15C0B" w:rsidRPr="00C5469A" w:rsidRDefault="00B15C0B" w:rsidP="00B15C0B"/>
    <w:sectPr w:rsidR="00B15C0B" w:rsidRPr="00C5469A"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8729C" w14:textId="77777777" w:rsidR="00462824" w:rsidRDefault="00462824" w:rsidP="007E7997">
      <w:pPr>
        <w:spacing w:line="240" w:lineRule="auto"/>
      </w:pPr>
      <w:r>
        <w:separator/>
      </w:r>
    </w:p>
  </w:endnote>
  <w:endnote w:type="continuationSeparator" w:id="0">
    <w:p w14:paraId="71848F05" w14:textId="77777777" w:rsidR="00462824" w:rsidRDefault="00462824" w:rsidP="007E7997">
      <w:pPr>
        <w:spacing w:line="240" w:lineRule="auto"/>
      </w:pPr>
      <w:r>
        <w:continuationSeparator/>
      </w:r>
    </w:p>
  </w:endnote>
  <w:endnote w:type="continuationNotice" w:id="1">
    <w:p w14:paraId="25F1FE12" w14:textId="77777777" w:rsidR="00462824" w:rsidRDefault="00462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1B4F" w:themeColor="text1" w:themeShade="80"/>
        <w:sz w:val="16"/>
        <w:szCs w:val="16"/>
      </w:rPr>
      <w:id w:val="-1421483652"/>
      <w:docPartObj>
        <w:docPartGallery w:val="Page Numbers (Bottom of Page)"/>
        <w:docPartUnique/>
      </w:docPartObj>
    </w:sdtPr>
    <w:sdtEndPr/>
    <w:sdtContent>
      <w:p w14:paraId="70AFCDE4" w14:textId="77777777" w:rsidR="00045BA9" w:rsidRDefault="00045BA9" w:rsidP="002533FC">
        <w:pPr>
          <w:rPr>
            <w:i/>
            <w:iCs/>
          </w:rPr>
        </w:pPr>
      </w:p>
      <w:p w14:paraId="237A920D" w14:textId="56870BC6" w:rsidR="00787413" w:rsidRPr="004E5FF8" w:rsidRDefault="0043139E" w:rsidP="004E5FF8">
        <w:pPr>
          <w:pStyle w:val="Piedepgina"/>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ipervnculo"/>
              <w:rFonts w:ascii="Arial" w:hAnsi="Arial" w:cs="Arial"/>
              <w:sz w:val="15"/>
              <w:szCs w:val="15"/>
              <w:lang w:val="fr-FR"/>
            </w:rPr>
            <w:t>www.esma.</w:t>
          </w:r>
          <w:r w:rsidRPr="00A8626B">
            <w:rPr>
              <w:rStyle w:val="Hipervnculo"/>
              <w:sz w:val="15"/>
              <w:szCs w:val="15"/>
              <w:lang w:val="fr-BE"/>
            </w:rPr>
            <w:t>europa</w:t>
          </w:r>
          <w:r w:rsidRPr="00A8626B">
            <w:rPr>
              <w:rStyle w:val="Hipervnculo"/>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ep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DF5A9" w14:textId="77777777" w:rsidR="00462824" w:rsidRDefault="00462824" w:rsidP="007E7997">
      <w:pPr>
        <w:spacing w:line="240" w:lineRule="auto"/>
      </w:pPr>
      <w:r>
        <w:separator/>
      </w:r>
    </w:p>
  </w:footnote>
  <w:footnote w:type="continuationSeparator" w:id="0">
    <w:p w14:paraId="61C0E917" w14:textId="77777777" w:rsidR="00462824" w:rsidRDefault="00462824" w:rsidP="007E7997">
      <w:pPr>
        <w:spacing w:line="240" w:lineRule="auto"/>
      </w:pPr>
      <w:r>
        <w:continuationSeparator/>
      </w:r>
    </w:p>
  </w:footnote>
  <w:footnote w:type="continuationNotice" w:id="1">
    <w:p w14:paraId="61DA64BC" w14:textId="77777777" w:rsidR="00462824" w:rsidRDefault="00462824">
      <w:pPr>
        <w:spacing w:after="0" w:line="240" w:lineRule="auto"/>
      </w:pPr>
    </w:p>
  </w:footnote>
  <w:footnote w:id="2">
    <w:p w14:paraId="46A01384" w14:textId="77777777" w:rsidR="000C4F5B" w:rsidRPr="00CC25C3" w:rsidRDefault="000C4F5B" w:rsidP="000C4F5B">
      <w:pPr>
        <w:pStyle w:val="Textonotapie"/>
        <w:rPr>
          <w:rFonts w:ascii="Arial Narrow" w:hAnsi="Arial Narrow" w:cs="Arial"/>
          <w:sz w:val="18"/>
          <w:szCs w:val="18"/>
        </w:rPr>
      </w:pPr>
      <w:r>
        <w:rPr>
          <w:rStyle w:val="Refdenotaalpie"/>
          <w:rFonts w:ascii="Arial Narrow" w:hAnsi="Arial Narrow"/>
          <w:sz w:val="18"/>
          <w:szCs w:val="18"/>
        </w:rPr>
        <w:footnoteRef/>
      </w:r>
      <w:r>
        <w:rPr>
          <w:rFonts w:ascii="Arial Narrow" w:hAnsi="Arial Narrow"/>
          <w:sz w:val="18"/>
        </w:rPr>
        <w:t xml:space="preserve"> </w:t>
      </w:r>
      <w:r>
        <w:t>I</w:t>
      </w:r>
      <w:r>
        <w:rPr>
          <w:rFonts w:ascii="Arial Narrow" w:hAnsi="Arial Narrow"/>
          <w:sz w:val="18"/>
        </w:rPr>
        <w:t xml:space="preserve">n particular, the Benchmark Regulation requires:(i) Taking adequate steps to identify and to prevent or manage conflicts of interest between themselves and, among others, the users </w:t>
      </w:r>
      <w:r>
        <w:rPr>
          <w:rFonts w:ascii="Arial Narrow" w:hAnsi="Arial Narrow"/>
        </w:rPr>
        <w:t xml:space="preserve">(with CISs among these) (Article 4(1)); (ii) The provision of a benchmark shall be operationally separated from any part of an </w:t>
      </w:r>
      <w:r>
        <w:rPr>
          <w:rFonts w:ascii="Arial Narrow" w:hAnsi="Arial Narrow"/>
          <w:b/>
          <w:bCs/>
        </w:rPr>
        <w:t>administrator's business</w:t>
      </w:r>
      <w:r>
        <w:rPr>
          <w:rFonts w:ascii="Arial Narrow" w:hAnsi="Arial Narrow"/>
        </w:rPr>
        <w:t xml:space="preserve"> that may create an actual or potential conflict of interest</w:t>
      </w:r>
      <w:r>
        <w:rPr>
          <w:rFonts w:ascii="Arial Narrow" w:hAnsi="Arial Narrow"/>
          <w:sz w:val="18"/>
        </w:rPr>
        <w:t xml:space="preserve"> (Article 4(2); (iii) As benchmark administrators under the BMR, these entities are subject to the supervision of the competent supervisory authority (the CNMV in Spain) (Articles 34 to 36). The aforementioned articles are not modified by the amendment text adopted by the European Parliament on 24 April,</w:t>
      </w:r>
    </w:p>
  </w:footnote>
  <w:footnote w:id="3">
    <w:p w14:paraId="5AAD261E" w14:textId="77777777" w:rsidR="00230958" w:rsidRPr="00CC25C3" w:rsidRDefault="00230958" w:rsidP="00230958">
      <w:pPr>
        <w:pStyle w:val="Textonotapie"/>
        <w:rPr>
          <w:rFonts w:ascii="Arial Narrow" w:hAnsi="Arial Narrow"/>
          <w:sz w:val="18"/>
          <w:szCs w:val="18"/>
        </w:rPr>
      </w:pPr>
      <w:r>
        <w:rPr>
          <w:rStyle w:val="Refdenotaalpie"/>
          <w:rFonts w:ascii="Arial Narrow" w:hAnsi="Arial Narrow"/>
          <w:sz w:val="18"/>
          <w:szCs w:val="18"/>
        </w:rPr>
        <w:footnoteRef/>
      </w:r>
      <w:r>
        <w:rPr>
          <w:rFonts w:ascii="Arial Narrow" w:hAnsi="Arial Narrow"/>
          <w:sz w:val="18"/>
        </w:rPr>
        <w:t xml:space="preserve"> Question 39 of the questions and answers document on the regulation of CISs, CCPs and other closed-ended collective investment vehicles.</w:t>
      </w:r>
    </w:p>
  </w:footnote>
  <w:footnote w:id="4">
    <w:p w14:paraId="2A9011BE" w14:textId="77777777" w:rsidR="00230958" w:rsidRPr="00CC25C3" w:rsidRDefault="00230958" w:rsidP="00230958">
      <w:pPr>
        <w:pStyle w:val="Textonotapie"/>
        <w:rPr>
          <w:rFonts w:ascii="Arial Narrow" w:hAnsi="Arial Narrow" w:cs="Arial"/>
          <w:sz w:val="18"/>
          <w:szCs w:val="18"/>
        </w:rPr>
      </w:pPr>
      <w:r>
        <w:rPr>
          <w:rStyle w:val="Refdenotaalpie"/>
          <w:rFonts w:ascii="Arial Narrow" w:hAnsi="Arial Narrow"/>
          <w:sz w:val="18"/>
          <w:szCs w:val="18"/>
        </w:rPr>
        <w:footnoteRef/>
      </w:r>
      <w:r>
        <w:rPr>
          <w:rFonts w:ascii="Arial Narrow" w:hAnsi="Arial Narrow"/>
          <w:sz w:val="18"/>
        </w:rPr>
        <w:t xml:space="preserve"> Article 9 EAD:</w:t>
      </w:r>
    </w:p>
    <w:p w14:paraId="74057213" w14:textId="77777777" w:rsidR="00230958" w:rsidRPr="00CC25C3" w:rsidRDefault="00230958" w:rsidP="00230958">
      <w:pPr>
        <w:pStyle w:val="Textonotapie"/>
        <w:rPr>
          <w:rFonts w:ascii="Arial Narrow" w:hAnsi="Arial Narrow" w:cs="Arial"/>
          <w:sz w:val="18"/>
          <w:szCs w:val="18"/>
        </w:rPr>
      </w:pPr>
    </w:p>
    <w:p w14:paraId="0FF62AC2" w14:textId="77777777" w:rsidR="00230958" w:rsidRPr="00020FAF" w:rsidRDefault="00230958" w:rsidP="00230958">
      <w:pPr>
        <w:pStyle w:val="Textonotapie"/>
        <w:rPr>
          <w:rFonts w:ascii="Arial Narrow" w:hAnsi="Arial Narrow" w:cs="Arial"/>
          <w:i/>
          <w:iCs/>
          <w:color w:val="171717"/>
          <w:sz w:val="18"/>
          <w:szCs w:val="18"/>
        </w:rPr>
      </w:pPr>
      <w:r>
        <w:rPr>
          <w:rFonts w:ascii="Arial Narrow" w:hAnsi="Arial Narrow"/>
          <w:i/>
          <w:color w:val="171717"/>
          <w:sz w:val="18"/>
        </w:rPr>
        <w:t>Article 19(1)(g) of Directive 85/611/EEC Financial indices</w:t>
      </w:r>
    </w:p>
    <w:p w14:paraId="71D2FEA9" w14:textId="77777777" w:rsidR="00230958" w:rsidRPr="00020FAF" w:rsidRDefault="00230958" w:rsidP="00230958">
      <w:pPr>
        <w:pStyle w:val="Textonotapie"/>
        <w:rPr>
          <w:rFonts w:ascii="Arial Narrow" w:hAnsi="Arial Narrow" w:cs="Arial"/>
          <w:i/>
          <w:iCs/>
          <w:color w:val="171717"/>
          <w:sz w:val="18"/>
          <w:szCs w:val="18"/>
        </w:rPr>
      </w:pPr>
    </w:p>
    <w:p w14:paraId="46807D59" w14:textId="77777777" w:rsidR="00230958" w:rsidRPr="00020FAF" w:rsidRDefault="00230958" w:rsidP="00230958">
      <w:pPr>
        <w:pStyle w:val="Textonotapie"/>
        <w:rPr>
          <w:rFonts w:ascii="Arial Narrow" w:hAnsi="Arial Narrow" w:cs="Arial"/>
          <w:i/>
          <w:iCs/>
          <w:color w:val="171717"/>
          <w:sz w:val="18"/>
          <w:szCs w:val="18"/>
        </w:rPr>
      </w:pPr>
      <w:r>
        <w:rPr>
          <w:rFonts w:ascii="Arial Narrow" w:hAnsi="Arial Narrow"/>
          <w:i/>
          <w:color w:val="171717"/>
          <w:sz w:val="18"/>
        </w:rPr>
        <w:t>1.  The reference in point (g) of Article 19(1) of Directive 85/611/EEC to financial indices shall be understood as a reference to indices which fulfil the following criteria:</w:t>
      </w:r>
    </w:p>
    <w:p w14:paraId="4A55A529" w14:textId="77777777" w:rsidR="00230958" w:rsidRPr="00020FAF" w:rsidRDefault="00230958" w:rsidP="00230958">
      <w:pPr>
        <w:pStyle w:val="Textonotapie"/>
        <w:rPr>
          <w:rFonts w:ascii="Arial Narrow" w:hAnsi="Arial Narrow" w:cs="Arial"/>
          <w:i/>
          <w:iCs/>
          <w:color w:val="171717"/>
          <w:sz w:val="18"/>
          <w:szCs w:val="18"/>
        </w:rPr>
      </w:pPr>
    </w:p>
    <w:p w14:paraId="52ADE9F7" w14:textId="77777777" w:rsidR="00230958" w:rsidRPr="00020FAF" w:rsidRDefault="00230958" w:rsidP="00230958">
      <w:pPr>
        <w:pStyle w:val="Textonotapie"/>
        <w:rPr>
          <w:rFonts w:ascii="Arial Narrow" w:hAnsi="Arial Narrow" w:cs="Arial"/>
          <w:i/>
          <w:iCs/>
          <w:color w:val="171717"/>
          <w:sz w:val="18"/>
          <w:szCs w:val="18"/>
        </w:rPr>
      </w:pPr>
      <w:r>
        <w:rPr>
          <w:rFonts w:ascii="Arial Narrow" w:hAnsi="Arial Narrow"/>
          <w:i/>
          <w:color w:val="171717"/>
          <w:sz w:val="18"/>
        </w:rPr>
        <w:t>a) they are sufficiently diversified, in that the following criteria are fulfilled:</w:t>
      </w:r>
    </w:p>
    <w:p w14:paraId="74F57AED" w14:textId="77777777" w:rsidR="00230958" w:rsidRDefault="00230958" w:rsidP="00230958">
      <w:pPr>
        <w:pStyle w:val="Textonotapie"/>
        <w:rPr>
          <w:rFonts w:ascii="Arial Narrow" w:hAnsi="Arial Narrow" w:cs="Arial"/>
          <w:i/>
          <w:iCs/>
          <w:color w:val="171717"/>
          <w:sz w:val="18"/>
          <w:szCs w:val="18"/>
        </w:rPr>
      </w:pPr>
    </w:p>
    <w:p w14:paraId="0879B9E8" w14:textId="77777777" w:rsidR="00230958" w:rsidRPr="00020FAF" w:rsidRDefault="00230958" w:rsidP="00230958">
      <w:pPr>
        <w:pStyle w:val="Textonotapie"/>
        <w:rPr>
          <w:rFonts w:ascii="Arial Narrow" w:hAnsi="Arial Narrow" w:cs="Arial"/>
          <w:i/>
          <w:iCs/>
          <w:color w:val="171717"/>
          <w:sz w:val="18"/>
          <w:szCs w:val="18"/>
        </w:rPr>
      </w:pPr>
      <w:r>
        <w:rPr>
          <w:rFonts w:ascii="Arial Narrow" w:hAnsi="Arial Narrow"/>
          <w:i/>
          <w:color w:val="171717"/>
          <w:sz w:val="18"/>
        </w:rPr>
        <w:t>i)  the index is composed in such a way that price movements or trading activities regarding one component do not unduly influence the performance of the whole index;</w:t>
      </w:r>
    </w:p>
    <w:p w14:paraId="40DDAAA9" w14:textId="77777777" w:rsidR="00230958" w:rsidRPr="00020FAF" w:rsidRDefault="00230958" w:rsidP="00230958">
      <w:pPr>
        <w:pStyle w:val="Textonotapie"/>
        <w:rPr>
          <w:rFonts w:ascii="Arial Narrow" w:hAnsi="Arial Narrow" w:cs="Arial"/>
          <w:i/>
          <w:iCs/>
          <w:color w:val="171717"/>
          <w:sz w:val="18"/>
          <w:szCs w:val="18"/>
        </w:rPr>
      </w:pPr>
      <w:r>
        <w:rPr>
          <w:rFonts w:ascii="Arial Narrow" w:hAnsi="Arial Narrow"/>
          <w:i/>
          <w:color w:val="171717"/>
          <w:sz w:val="18"/>
        </w:rPr>
        <w:t>ii) where the index is composed of assets referred to in Article 19(1) of Directive 85/611/EEC, its composition is at least diversified in accordance with Article 22a of that Directive;</w:t>
      </w:r>
    </w:p>
    <w:p w14:paraId="12E8E3C6" w14:textId="77777777" w:rsidR="00230958" w:rsidRPr="00020FAF" w:rsidRDefault="00230958" w:rsidP="00230958">
      <w:pPr>
        <w:pStyle w:val="Textonotapie"/>
        <w:rPr>
          <w:rFonts w:ascii="Arial Narrow" w:hAnsi="Arial Narrow" w:cs="Arial"/>
          <w:i/>
          <w:iCs/>
          <w:sz w:val="18"/>
          <w:szCs w:val="18"/>
        </w:rPr>
      </w:pPr>
      <w:r>
        <w:rPr>
          <w:rFonts w:ascii="Arial Narrow" w:hAnsi="Arial Narrow"/>
          <w:i/>
          <w:sz w:val="18"/>
        </w:rPr>
        <w:t>iii) where the index is composed of assets other than those referred to in Article 19(1) of Directive 85/611/EEC, it is diversified in a way which is equivalent to that provided for in Article 22a of that Directive;</w:t>
      </w:r>
    </w:p>
    <w:p w14:paraId="0B76D642" w14:textId="77777777" w:rsidR="00230958" w:rsidRPr="00020FAF" w:rsidRDefault="00230958" w:rsidP="00230958">
      <w:pPr>
        <w:pStyle w:val="Textonotapie"/>
        <w:rPr>
          <w:rFonts w:ascii="Arial Narrow" w:hAnsi="Arial Narrow" w:cs="Arial"/>
          <w:i/>
          <w:iCs/>
          <w:sz w:val="18"/>
          <w:szCs w:val="18"/>
        </w:rPr>
      </w:pPr>
    </w:p>
    <w:p w14:paraId="690665B6" w14:textId="77777777" w:rsidR="00230958" w:rsidRPr="00020FAF" w:rsidRDefault="00230958" w:rsidP="00230958">
      <w:pPr>
        <w:pStyle w:val="Textonotapie"/>
        <w:rPr>
          <w:rFonts w:ascii="Arial Narrow" w:hAnsi="Arial Narrow" w:cs="Arial"/>
          <w:i/>
          <w:iCs/>
          <w:sz w:val="18"/>
          <w:szCs w:val="18"/>
        </w:rPr>
      </w:pPr>
      <w:r>
        <w:rPr>
          <w:rFonts w:ascii="Arial Narrow" w:hAnsi="Arial Narrow"/>
          <w:i/>
          <w:iCs/>
          <w:sz w:val="18"/>
        </w:rPr>
        <w:t>b) they represent an adequate benchmark for the market to which they refer, in that the following criteria are fulfilled:</w:t>
      </w:r>
    </w:p>
    <w:p w14:paraId="3578D8C0" w14:textId="77777777" w:rsidR="00230958" w:rsidRPr="00020FAF" w:rsidRDefault="00230958" w:rsidP="00230958">
      <w:pPr>
        <w:pStyle w:val="Textonotapie"/>
        <w:rPr>
          <w:rFonts w:ascii="Arial Narrow" w:hAnsi="Arial Narrow" w:cs="Arial"/>
          <w:i/>
          <w:iCs/>
          <w:sz w:val="18"/>
          <w:szCs w:val="18"/>
        </w:rPr>
      </w:pPr>
    </w:p>
    <w:p w14:paraId="78200B39" w14:textId="77777777" w:rsidR="00230958" w:rsidRPr="00020FAF" w:rsidRDefault="00230958" w:rsidP="00230958">
      <w:pPr>
        <w:pStyle w:val="Textonotapie"/>
        <w:rPr>
          <w:rFonts w:ascii="Arial Narrow" w:hAnsi="Arial Narrow" w:cs="Arial"/>
          <w:i/>
          <w:iCs/>
          <w:sz w:val="18"/>
          <w:szCs w:val="18"/>
        </w:rPr>
      </w:pPr>
      <w:r>
        <w:rPr>
          <w:rFonts w:ascii="Arial Narrow" w:hAnsi="Arial Narrow"/>
          <w:i/>
          <w:sz w:val="18"/>
        </w:rPr>
        <w:t>i)  the index measures the performance of a representative group of underlyings in a relevant and appropriate way;</w:t>
      </w:r>
    </w:p>
    <w:p w14:paraId="005B82DF" w14:textId="77777777" w:rsidR="00230958" w:rsidRPr="00020FAF" w:rsidRDefault="00230958" w:rsidP="00230958">
      <w:pPr>
        <w:pStyle w:val="Textonotapie"/>
        <w:rPr>
          <w:rFonts w:ascii="Arial Narrow" w:hAnsi="Arial Narrow" w:cs="Arial"/>
          <w:i/>
          <w:iCs/>
          <w:sz w:val="18"/>
          <w:szCs w:val="18"/>
        </w:rPr>
      </w:pPr>
      <w:r>
        <w:rPr>
          <w:rFonts w:ascii="Arial Narrow" w:hAnsi="Arial Narrow"/>
          <w:i/>
          <w:sz w:val="18"/>
        </w:rPr>
        <w:t>ii) the index is revised or rebalanced periodically to ensure that it continues to reflect the markets to which it refers following criteria which are publicly available;</w:t>
      </w:r>
    </w:p>
    <w:p w14:paraId="51B84D8C" w14:textId="77777777" w:rsidR="00230958" w:rsidRPr="00020FAF" w:rsidRDefault="00230958" w:rsidP="00230958">
      <w:pPr>
        <w:pStyle w:val="Textonotapie"/>
        <w:rPr>
          <w:rFonts w:ascii="Arial Narrow" w:hAnsi="Arial Narrow" w:cs="Arial"/>
          <w:i/>
          <w:iCs/>
          <w:sz w:val="18"/>
          <w:szCs w:val="18"/>
        </w:rPr>
      </w:pPr>
      <w:r>
        <w:rPr>
          <w:rFonts w:ascii="Arial Narrow" w:hAnsi="Arial Narrow"/>
          <w:i/>
          <w:sz w:val="18"/>
        </w:rPr>
        <w:t>(iii) the underlyings are sufficiently liquid, which allows users to replicate the index, if necessary;</w:t>
      </w:r>
    </w:p>
    <w:p w14:paraId="2683D7F8" w14:textId="77777777" w:rsidR="00230958" w:rsidRPr="00020FAF" w:rsidRDefault="00230958" w:rsidP="00230958">
      <w:pPr>
        <w:pStyle w:val="Textonotapie"/>
        <w:rPr>
          <w:rFonts w:ascii="Arial Narrow" w:hAnsi="Arial Narrow" w:cs="Arial"/>
          <w:i/>
          <w:iCs/>
          <w:sz w:val="18"/>
          <w:szCs w:val="18"/>
        </w:rPr>
      </w:pPr>
    </w:p>
    <w:p w14:paraId="2B00FA5F" w14:textId="77777777" w:rsidR="00230958" w:rsidRPr="00020FAF" w:rsidRDefault="00230958" w:rsidP="00230958">
      <w:pPr>
        <w:pStyle w:val="Textonotapie"/>
        <w:rPr>
          <w:rFonts w:ascii="Arial Narrow" w:hAnsi="Arial Narrow" w:cs="Arial"/>
          <w:i/>
          <w:iCs/>
          <w:sz w:val="18"/>
          <w:szCs w:val="18"/>
        </w:rPr>
      </w:pPr>
      <w:r>
        <w:rPr>
          <w:rFonts w:ascii="Arial Narrow" w:hAnsi="Arial Narrow"/>
          <w:i/>
          <w:sz w:val="18"/>
        </w:rPr>
        <w:t>(c) they are published in an appropriate manner, in that the following criteria are fulfilled:</w:t>
      </w:r>
    </w:p>
    <w:p w14:paraId="5F91C79B" w14:textId="77777777" w:rsidR="00230958" w:rsidRPr="00020FAF" w:rsidRDefault="00230958" w:rsidP="00230958">
      <w:pPr>
        <w:pStyle w:val="Textonotapie"/>
        <w:rPr>
          <w:rFonts w:ascii="Arial Narrow" w:hAnsi="Arial Narrow" w:cs="Arial"/>
          <w:i/>
          <w:iCs/>
          <w:sz w:val="18"/>
          <w:szCs w:val="18"/>
        </w:rPr>
      </w:pPr>
    </w:p>
    <w:p w14:paraId="76A36EE1" w14:textId="77777777" w:rsidR="00230958" w:rsidRPr="00020FAF" w:rsidRDefault="00230958" w:rsidP="00230958">
      <w:pPr>
        <w:pStyle w:val="Textonotapie"/>
        <w:rPr>
          <w:rFonts w:ascii="Arial Narrow" w:hAnsi="Arial Narrow" w:cs="Arial"/>
          <w:i/>
          <w:iCs/>
          <w:sz w:val="18"/>
          <w:szCs w:val="18"/>
        </w:rPr>
      </w:pPr>
      <w:r>
        <w:rPr>
          <w:rFonts w:ascii="Arial Narrow" w:hAnsi="Arial Narrow"/>
          <w:i/>
          <w:sz w:val="18"/>
        </w:rPr>
        <w:t>(i) their publication process relies on sound procedures to collect prices and to calculate and to subsequently publish the index value, including pricing procedures for components where a market price is not available;</w:t>
      </w:r>
    </w:p>
    <w:p w14:paraId="76E1AB51" w14:textId="77777777" w:rsidR="00230958" w:rsidRPr="00020FAF" w:rsidRDefault="00230958" w:rsidP="00230958">
      <w:pPr>
        <w:pStyle w:val="Textonotapie"/>
        <w:rPr>
          <w:rFonts w:ascii="Arial Narrow" w:hAnsi="Arial Narrow" w:cs="Arial"/>
          <w:i/>
          <w:iCs/>
          <w:sz w:val="18"/>
          <w:szCs w:val="18"/>
        </w:rPr>
      </w:pPr>
      <w:r>
        <w:rPr>
          <w:rFonts w:ascii="Arial Narrow" w:hAnsi="Arial Narrow"/>
          <w:i/>
          <w:sz w:val="18"/>
        </w:rPr>
        <w:t>(ii) material information on matters such as index calculation, rebalancing methodologies, index changes or any operational difficulties in providing timely or accurate information is provided on a wide and timely basis</w:t>
      </w:r>
    </w:p>
    <w:p w14:paraId="4A762CC0" w14:textId="77777777" w:rsidR="00230958" w:rsidRPr="00CC25C3" w:rsidRDefault="00230958" w:rsidP="00230958">
      <w:pPr>
        <w:pStyle w:val="Textonotapie"/>
        <w:rPr>
          <w:rFonts w:ascii="Arial Narrow" w:hAnsi="Arial Narrow"/>
          <w:sz w:val="18"/>
          <w:szCs w:val="18"/>
        </w:rPr>
      </w:pPr>
    </w:p>
  </w:footnote>
  <w:footnote w:id="5">
    <w:p w14:paraId="7DB66DAD" w14:textId="77777777" w:rsidR="00230958" w:rsidRPr="00CC25C3" w:rsidRDefault="00230958" w:rsidP="00230958">
      <w:pPr>
        <w:pStyle w:val="Textonotapie"/>
        <w:rPr>
          <w:rFonts w:ascii="Arial Narrow" w:hAnsi="Arial Narrow"/>
          <w:sz w:val="18"/>
          <w:szCs w:val="18"/>
        </w:rPr>
      </w:pPr>
      <w:r>
        <w:rPr>
          <w:rStyle w:val="Refdenotaalpie"/>
          <w:rFonts w:ascii="Arial Narrow" w:hAnsi="Arial Narrow"/>
          <w:sz w:val="18"/>
          <w:szCs w:val="18"/>
        </w:rPr>
        <w:footnoteRef/>
      </w:r>
      <w:r>
        <w:rPr>
          <w:rFonts w:ascii="Arial Narrow" w:hAnsi="Arial Narrow"/>
          <w:sz w:val="18"/>
        </w:rPr>
        <w:t xml:space="preserve"> An example of this limitation is included in Recital 99 of Directive 2006/123/EC of the European Parliament and of the Council of 12 December 2006 on services in the internal market.</w:t>
      </w:r>
    </w:p>
  </w:footnote>
  <w:footnote w:id="6">
    <w:p w14:paraId="03AE557A" w14:textId="77777777" w:rsidR="00A229A8" w:rsidRPr="00332B8C" w:rsidRDefault="00A229A8" w:rsidP="00A229A8">
      <w:pPr>
        <w:pStyle w:val="Textonotapie"/>
        <w:rPr>
          <w:rFonts w:ascii="Arial" w:hAnsi="Arial" w:cs="Arial"/>
        </w:rPr>
      </w:pPr>
      <w:r w:rsidRPr="00332B8C">
        <w:rPr>
          <w:rFonts w:cs="Arial"/>
          <w:sz w:val="20"/>
        </w:rPr>
        <w:footnoteRef/>
      </w:r>
      <w:r w:rsidRPr="00332B8C">
        <w:rPr>
          <w:rFonts w:ascii="Arial" w:hAnsi="Arial" w:cs="Arial"/>
        </w:rPr>
        <w:t xml:space="preserve"> Where relevant, please distinguish between different types of AIFs (e.g. open-ended, closed-ended) and investment strategies (e.g. real estate, private equity, hedge funds). </w:t>
      </w:r>
    </w:p>
  </w:footnote>
  <w:footnote w:id="7">
    <w:p w14:paraId="0E0C7CA9" w14:textId="77777777" w:rsidR="003D7835" w:rsidRDefault="003D7835" w:rsidP="003D7835">
      <w:pPr>
        <w:pStyle w:val="Textonotapie"/>
      </w:pPr>
      <w:r>
        <w:rPr>
          <w:rStyle w:val="Refdenotaalpie"/>
        </w:rPr>
        <w:footnoteRef/>
      </w:r>
      <w:r>
        <w:t xml:space="preserve"> </w:t>
      </w:r>
      <w:r>
        <w:rPr>
          <w:rFonts w:ascii="Arial Narrow" w:hAnsi="Arial Narrow"/>
          <w:sz w:val="18"/>
        </w:rPr>
        <w:t>Directive 2011/61/EU of the European Parliament and of the Council of 8 June 2011 on alternative investment fund managers and amending Directives 2003/41/EC and 2009/65/EC and Regulations (EC) 1060/2009 and (EU) 1095/2010.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E930342" w:rsidR="00D77369" w:rsidRPr="008858FE" w:rsidRDefault="00D77369" w:rsidP="008858FE">
    <w:pPr>
      <w:pStyle w:val="Encabezado"/>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67FF6">
      <w:t xml:space="preserve">7 May </w:t>
    </w:r>
    <w:r w:rsidR="00282901">
      <w:t>202</w:t>
    </w:r>
    <w:r w:rsidR="00667FF6">
      <w:t>4</w:t>
    </w:r>
  </w:p>
  <w:p w14:paraId="471D4524" w14:textId="24711CA4" w:rsidR="004E5FF8" w:rsidRDefault="00B03969" w:rsidP="00BD20AC">
    <w:pPr>
      <w:pStyle w:val="Encabezado"/>
    </w:pPr>
    <w:r w:rsidRPr="00B03969">
      <w:t>ESMA</w:t>
    </w:r>
    <w:r w:rsidR="00667FF6">
      <w:t xml:space="preserve"> </w:t>
    </w:r>
    <w:r w:rsidR="00667FF6" w:rsidRPr="00667FF6">
      <w:t>34-1270380148-103</w:t>
    </w:r>
    <w:r w:rsidR="00BD20AC">
      <w:t>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FB72" w14:textId="122D2DD4" w:rsidR="006A44DA" w:rsidRDefault="006A44DA" w:rsidP="0043139E">
    <w:pPr>
      <w:pStyle w:val="Encabezado"/>
    </w:pPr>
  </w:p>
  <w:p w14:paraId="6A43EA5E" w14:textId="4A830C83" w:rsidR="00AD0B10" w:rsidRDefault="00AD0B10" w:rsidP="0043139E">
    <w:pPr>
      <w:pStyle w:val="Encabezado"/>
    </w:pPr>
  </w:p>
  <w:p w14:paraId="2083DACE" w14:textId="77777777" w:rsidR="00AD0B10" w:rsidRPr="0043139E" w:rsidRDefault="00AD0B10" w:rsidP="0043139E">
    <w:pPr>
      <w:pStyle w:val="Encabezado"/>
    </w:pPr>
  </w:p>
  <w:p w14:paraId="140A363C" w14:textId="77777777" w:rsidR="006A44DA" w:rsidRPr="0043139E" w:rsidRDefault="006A44DA" w:rsidP="0043139E">
    <w:pPr>
      <w:pStyle w:val="Encabezado"/>
    </w:pPr>
  </w:p>
  <w:p w14:paraId="66CF4BF9" w14:textId="4F625EE8" w:rsidR="006A44DA" w:rsidRPr="0043139E" w:rsidRDefault="008858FE" w:rsidP="0043139E">
    <w:pPr>
      <w:pStyle w:val="Encabezado"/>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Encabezado"/>
    </w:pPr>
  </w:p>
  <w:p w14:paraId="70942C9C" w14:textId="77777777" w:rsidR="00672010" w:rsidRPr="0043139E" w:rsidRDefault="00672010" w:rsidP="0043139E">
    <w:pPr>
      <w:pStyle w:val="Encabezado"/>
    </w:pPr>
  </w:p>
  <w:p w14:paraId="7F8040EC" w14:textId="77777777" w:rsidR="0018540C" w:rsidRPr="0043139E" w:rsidRDefault="0018540C" w:rsidP="0043139E">
    <w:pPr>
      <w:pStyle w:val="Encabezado"/>
    </w:pPr>
  </w:p>
  <w:p w14:paraId="76479F6F" w14:textId="77777777" w:rsidR="00CA565A" w:rsidRPr="0043139E" w:rsidRDefault="00CA565A" w:rsidP="0043139E">
    <w:pPr>
      <w:pStyle w:val="Encabezado"/>
    </w:pPr>
  </w:p>
  <w:p w14:paraId="34BC4F59" w14:textId="77777777" w:rsidR="00CA565A" w:rsidRPr="0043139E" w:rsidRDefault="00CA565A" w:rsidP="0043139E">
    <w:pPr>
      <w:pStyle w:val="Encabezado"/>
    </w:pPr>
  </w:p>
  <w:p w14:paraId="373CE412" w14:textId="77777777" w:rsidR="0018540C" w:rsidRPr="0043139E" w:rsidRDefault="0018540C" w:rsidP="0043139E">
    <w:pPr>
      <w:pStyle w:val="Encabezado"/>
    </w:pPr>
  </w:p>
  <w:p w14:paraId="36065F1B" w14:textId="154438DA" w:rsidR="0018540C" w:rsidRDefault="0018540C" w:rsidP="0043139E">
    <w:pPr>
      <w:pStyle w:val="Encabezado"/>
    </w:pPr>
  </w:p>
  <w:p w14:paraId="7545C91A" w14:textId="77777777" w:rsidR="0043139E" w:rsidRPr="0043139E" w:rsidRDefault="0043139E" w:rsidP="004313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D944" w14:textId="77777777" w:rsidR="006A44DA" w:rsidRDefault="006A44DA">
    <w:pPr>
      <w:pStyle w:val="Encabezado"/>
    </w:pPr>
  </w:p>
  <w:p w14:paraId="410BE8FC" w14:textId="77777777" w:rsidR="006A44DA" w:rsidRDefault="006A44DA">
    <w:pPr>
      <w:pStyle w:val="Encabezado"/>
    </w:pPr>
  </w:p>
  <w:p w14:paraId="00F5D8E1" w14:textId="77777777" w:rsidR="006A44DA" w:rsidRDefault="006A44DA">
    <w:pPr>
      <w:pStyle w:val="Encabezado"/>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Encabezado"/>
    </w:pPr>
  </w:p>
  <w:p w14:paraId="76D78551" w14:textId="45227A06" w:rsidR="00AD0B10" w:rsidRDefault="00AD0B10" w:rsidP="00AD0B10">
    <w:pPr>
      <w:pStyle w:val="Encabezado"/>
    </w:pPr>
  </w:p>
  <w:p w14:paraId="56B00CEC" w14:textId="77777777" w:rsidR="00AD0B10" w:rsidRPr="0043139E" w:rsidRDefault="00AD0B10" w:rsidP="00AD0B10">
    <w:pPr>
      <w:pStyle w:val="Encabezado"/>
    </w:pPr>
  </w:p>
  <w:p w14:paraId="68227DE6" w14:textId="77777777" w:rsidR="00AD0B10" w:rsidRPr="0043139E" w:rsidRDefault="00AD0B10" w:rsidP="00AD0B10">
    <w:pPr>
      <w:pStyle w:val="Encabezado"/>
    </w:pPr>
  </w:p>
  <w:p w14:paraId="0E44DBD1" w14:textId="77777777" w:rsidR="00AD0B10" w:rsidRPr="0043139E" w:rsidRDefault="00AD0B10" w:rsidP="00AD0B10">
    <w:pPr>
      <w:pStyle w:val="Encabezado"/>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cabezado"/>
    </w:pPr>
  </w:p>
  <w:p w14:paraId="706EF268" w14:textId="77777777" w:rsidR="00AD0B10" w:rsidRPr="0043139E" w:rsidRDefault="00AD0B10" w:rsidP="00AD0B10">
    <w:pPr>
      <w:pStyle w:val="Encabezado"/>
    </w:pPr>
  </w:p>
  <w:p w14:paraId="6B568202" w14:textId="77777777" w:rsidR="00AD0B10" w:rsidRPr="0043139E" w:rsidRDefault="00AD0B10" w:rsidP="00AD0B10">
    <w:pPr>
      <w:pStyle w:val="Encabezado"/>
    </w:pPr>
  </w:p>
  <w:p w14:paraId="70C66BCD" w14:textId="77777777" w:rsidR="00AD0B10" w:rsidRPr="0043139E" w:rsidRDefault="00AD0B10" w:rsidP="00AD0B10">
    <w:pPr>
      <w:pStyle w:val="Encabezado"/>
    </w:pPr>
  </w:p>
  <w:p w14:paraId="07229907" w14:textId="77777777" w:rsidR="00AD0B10" w:rsidRPr="0043139E" w:rsidRDefault="00AD0B10" w:rsidP="00AD0B10">
    <w:pPr>
      <w:pStyle w:val="Encabezado"/>
    </w:pPr>
  </w:p>
  <w:p w14:paraId="55555744" w14:textId="77777777" w:rsidR="00AD0B10" w:rsidRPr="0043139E" w:rsidRDefault="00AD0B10" w:rsidP="00AD0B10">
    <w:pPr>
      <w:pStyle w:val="Encabezado"/>
    </w:pPr>
  </w:p>
  <w:p w14:paraId="4601AE9C" w14:textId="77777777" w:rsidR="00AD0B10" w:rsidRDefault="00AD0B10" w:rsidP="00AD0B10">
    <w:pPr>
      <w:pStyle w:val="Encabezado"/>
    </w:pPr>
  </w:p>
  <w:p w14:paraId="49946785" w14:textId="77777777" w:rsidR="00AD0B10" w:rsidRPr="0043139E" w:rsidRDefault="00AD0B10" w:rsidP="00AD0B10">
    <w:pPr>
      <w:pStyle w:val="Encabezado"/>
    </w:pPr>
  </w:p>
  <w:p w14:paraId="72BAD19F" w14:textId="77777777" w:rsidR="008858FE" w:rsidRPr="00AD0B10" w:rsidRDefault="008858FE" w:rsidP="00AD0B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639A9"/>
    <w:multiLevelType w:val="hybridMultilevel"/>
    <w:tmpl w:val="89482DF4"/>
    <w:lvl w:ilvl="0" w:tplc="3468E652">
      <w:start w:val="1"/>
      <w:numFmt w:val="lowerRoman"/>
      <w:lvlText w:val="%1)"/>
      <w:lvlJc w:val="left"/>
      <w:pPr>
        <w:ind w:left="720" w:hanging="360"/>
      </w:pPr>
      <w:rPr>
        <w:rFonts w:hint="default"/>
        <w:color w:val="409EFF" w:themeColor="text2" w:themeTint="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86121"/>
    <w:multiLevelType w:val="hybridMultilevel"/>
    <w:tmpl w:val="8910D1B0"/>
    <w:lvl w:ilvl="0" w:tplc="FFFFFFFF">
      <w:start w:val="1"/>
      <w:numFmt w:val="lowerRoman"/>
      <w:lvlText w:val="%1)"/>
      <w:lvlJc w:val="left"/>
      <w:pPr>
        <w:ind w:left="720" w:hanging="360"/>
      </w:pPr>
      <w:rPr>
        <w:rFonts w:hint="default"/>
      </w:rPr>
    </w:lvl>
    <w:lvl w:ilvl="1" w:tplc="8F92742A">
      <w:start w:val="1"/>
      <w:numFmt w:val="lowerRoman"/>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E244C"/>
    <w:multiLevelType w:val="hybridMultilevel"/>
    <w:tmpl w:val="B2A056F2"/>
    <w:lvl w:ilvl="0" w:tplc="0C0A0005">
      <w:start w:val="1"/>
      <w:numFmt w:val="bullet"/>
      <w:lvlText w:val=""/>
      <w:lvlJc w:val="left"/>
      <w:pPr>
        <w:ind w:left="360" w:hanging="360"/>
      </w:pPr>
      <w:rPr>
        <w:rFonts w:ascii="Wingdings" w:hAnsi="Wingdings" w:cs="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EA61840"/>
    <w:multiLevelType w:val="hybridMultilevel"/>
    <w:tmpl w:val="6624CD50"/>
    <w:lvl w:ilvl="0" w:tplc="30EC5BE8">
      <w:start w:val="1"/>
      <w:numFmt w:val="bullet"/>
      <w:pStyle w:val="Prrafodelista"/>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D1101"/>
    <w:multiLevelType w:val="multilevel"/>
    <w:tmpl w:val="647663A2"/>
    <w:lvl w:ilvl="0">
      <w:start w:val="1"/>
      <w:numFmt w:val="decimal"/>
      <w:pStyle w:val="Ttulo1"/>
      <w:lvlText w:val="%1"/>
      <w:lvlJc w:val="left"/>
      <w:pPr>
        <w:ind w:left="4686" w:hanging="432"/>
      </w:pPr>
    </w:lvl>
    <w:lvl w:ilvl="1">
      <w:start w:val="1"/>
      <w:numFmt w:val="decimal"/>
      <w:pStyle w:val="Ttulo2"/>
      <w:lvlText w:val="%1.%2"/>
      <w:lvlJc w:val="left"/>
      <w:pPr>
        <w:ind w:left="8230"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4F0FF2"/>
    <w:multiLevelType w:val="hybridMultilevel"/>
    <w:tmpl w:val="C51668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F7208A3"/>
    <w:multiLevelType w:val="hybridMultilevel"/>
    <w:tmpl w:val="BC5EE006"/>
    <w:lvl w:ilvl="0" w:tplc="A5927CDE">
      <w:start w:val="7"/>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423801430">
    <w:abstractNumId w:val="14"/>
  </w:num>
  <w:num w:numId="2" w16cid:durableId="1144354351">
    <w:abstractNumId w:val="7"/>
  </w:num>
  <w:num w:numId="3" w16cid:durableId="1006909420">
    <w:abstractNumId w:val="12"/>
  </w:num>
  <w:num w:numId="4" w16cid:durableId="569996677">
    <w:abstractNumId w:val="6"/>
  </w:num>
  <w:num w:numId="5" w16cid:durableId="807014924">
    <w:abstractNumId w:val="0"/>
  </w:num>
  <w:num w:numId="6" w16cid:durableId="310985182">
    <w:abstractNumId w:val="8"/>
  </w:num>
  <w:num w:numId="7" w16cid:durableId="492061559">
    <w:abstractNumId w:val="15"/>
  </w:num>
  <w:num w:numId="8" w16cid:durableId="2063743978">
    <w:abstractNumId w:val="3"/>
  </w:num>
  <w:num w:numId="9" w16cid:durableId="1378703109">
    <w:abstractNumId w:val="13"/>
  </w:num>
  <w:num w:numId="10" w16cid:durableId="632100844">
    <w:abstractNumId w:val="11"/>
  </w:num>
  <w:num w:numId="11" w16cid:durableId="1573200029">
    <w:abstractNumId w:val="10"/>
  </w:num>
  <w:num w:numId="12" w16cid:durableId="1587836858">
    <w:abstractNumId w:val="10"/>
    <w:lvlOverride w:ilvl="0">
      <w:startOverride w:val="1"/>
    </w:lvlOverride>
  </w:num>
  <w:num w:numId="13" w16cid:durableId="1548224532">
    <w:abstractNumId w:val="2"/>
  </w:num>
  <w:num w:numId="14" w16cid:durableId="501431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9531666">
    <w:abstractNumId w:val="4"/>
  </w:num>
  <w:num w:numId="17" w16cid:durableId="508175931">
    <w:abstractNumId w:val="17"/>
  </w:num>
  <w:num w:numId="18" w16cid:durableId="578904863">
    <w:abstractNumId w:val="16"/>
  </w:num>
  <w:num w:numId="19" w16cid:durableId="972054779">
    <w:abstractNumId w:val="5"/>
  </w:num>
  <w:num w:numId="20" w16cid:durableId="20756735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nnydkVRpkIDi1nG0yBaAOhsWlc5Ozk2cfGgI0xzGgw9B+9mjrsPky3NRq+3MmQN6fUOXcIDSYF4yl3c8YJZA==" w:salt="XLRoLlSEie4cU7yFeSZJS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5363"/>
    <w:rsid w:val="00025631"/>
    <w:rsid w:val="00025A7F"/>
    <w:rsid w:val="00025C8C"/>
    <w:rsid w:val="00026016"/>
    <w:rsid w:val="0002607B"/>
    <w:rsid w:val="00026E1C"/>
    <w:rsid w:val="000271F8"/>
    <w:rsid w:val="000275A0"/>
    <w:rsid w:val="000275BD"/>
    <w:rsid w:val="000279E9"/>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B7C84"/>
    <w:rsid w:val="000C009C"/>
    <w:rsid w:val="000C0745"/>
    <w:rsid w:val="000C07C6"/>
    <w:rsid w:val="000C08C5"/>
    <w:rsid w:val="000C0AF3"/>
    <w:rsid w:val="000C0CE0"/>
    <w:rsid w:val="000C1066"/>
    <w:rsid w:val="000C11BC"/>
    <w:rsid w:val="000C1CB2"/>
    <w:rsid w:val="000C1E78"/>
    <w:rsid w:val="000C380D"/>
    <w:rsid w:val="000C3858"/>
    <w:rsid w:val="000C3B2A"/>
    <w:rsid w:val="000C3FEB"/>
    <w:rsid w:val="000C40F1"/>
    <w:rsid w:val="000C4CAD"/>
    <w:rsid w:val="000C4F5B"/>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1BE"/>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9B5"/>
    <w:rsid w:val="001B0AE5"/>
    <w:rsid w:val="001B0EFC"/>
    <w:rsid w:val="001B0FDF"/>
    <w:rsid w:val="001B0FE0"/>
    <w:rsid w:val="001B172E"/>
    <w:rsid w:val="001B187F"/>
    <w:rsid w:val="001B1DD9"/>
    <w:rsid w:val="001B1DEB"/>
    <w:rsid w:val="001B2151"/>
    <w:rsid w:val="001B22E3"/>
    <w:rsid w:val="001B2388"/>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958"/>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54A"/>
    <w:rsid w:val="00253719"/>
    <w:rsid w:val="002537CE"/>
    <w:rsid w:val="002539FF"/>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25"/>
    <w:rsid w:val="002D3881"/>
    <w:rsid w:val="002D3ADD"/>
    <w:rsid w:val="002D3D91"/>
    <w:rsid w:val="002D425B"/>
    <w:rsid w:val="002D557C"/>
    <w:rsid w:val="002D5768"/>
    <w:rsid w:val="002D6291"/>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B3B"/>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D72"/>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33"/>
    <w:rsid w:val="00352A2C"/>
    <w:rsid w:val="00352DA9"/>
    <w:rsid w:val="00353629"/>
    <w:rsid w:val="00353E8B"/>
    <w:rsid w:val="003540E9"/>
    <w:rsid w:val="00354133"/>
    <w:rsid w:val="00355569"/>
    <w:rsid w:val="0035556C"/>
    <w:rsid w:val="003564FA"/>
    <w:rsid w:val="00356903"/>
    <w:rsid w:val="00356CAF"/>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D7835"/>
    <w:rsid w:val="003E014B"/>
    <w:rsid w:val="003E038A"/>
    <w:rsid w:val="003E0405"/>
    <w:rsid w:val="003E0CF9"/>
    <w:rsid w:val="003E1371"/>
    <w:rsid w:val="003E196A"/>
    <w:rsid w:val="003E2368"/>
    <w:rsid w:val="003E24CC"/>
    <w:rsid w:val="003E2717"/>
    <w:rsid w:val="003E2E2E"/>
    <w:rsid w:val="003E3AC0"/>
    <w:rsid w:val="003E3C5D"/>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E07"/>
    <w:rsid w:val="004C4E65"/>
    <w:rsid w:val="004C5070"/>
    <w:rsid w:val="004C5846"/>
    <w:rsid w:val="004C5959"/>
    <w:rsid w:val="004C59B8"/>
    <w:rsid w:val="004C5B35"/>
    <w:rsid w:val="004C5DDC"/>
    <w:rsid w:val="004C5E29"/>
    <w:rsid w:val="004C6917"/>
    <w:rsid w:val="004C6B8C"/>
    <w:rsid w:val="004C6EA9"/>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BEE"/>
    <w:rsid w:val="004F4117"/>
    <w:rsid w:val="004F4161"/>
    <w:rsid w:val="004F4296"/>
    <w:rsid w:val="004F452E"/>
    <w:rsid w:val="004F4E23"/>
    <w:rsid w:val="004F4EB7"/>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B01"/>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05D"/>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903A2"/>
    <w:rsid w:val="005906A5"/>
    <w:rsid w:val="00590CB3"/>
    <w:rsid w:val="00590F50"/>
    <w:rsid w:val="00591402"/>
    <w:rsid w:val="0059173E"/>
    <w:rsid w:val="00591B6D"/>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4F2"/>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591"/>
    <w:rsid w:val="006D7696"/>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703"/>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AC"/>
    <w:rsid w:val="00754C78"/>
    <w:rsid w:val="0075532F"/>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4C1"/>
    <w:rsid w:val="007979BE"/>
    <w:rsid w:val="00797A44"/>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198E"/>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523"/>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82C"/>
    <w:rsid w:val="00813A7F"/>
    <w:rsid w:val="00813AE8"/>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38D"/>
    <w:rsid w:val="008536EB"/>
    <w:rsid w:val="00853B1A"/>
    <w:rsid w:val="00853B56"/>
    <w:rsid w:val="00854AAE"/>
    <w:rsid w:val="00854CA0"/>
    <w:rsid w:val="0085559D"/>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2B"/>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2DCB"/>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3EB"/>
    <w:rsid w:val="008D1A97"/>
    <w:rsid w:val="008D2642"/>
    <w:rsid w:val="008D3190"/>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20A8"/>
    <w:rsid w:val="00902FED"/>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E4"/>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29A8"/>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147"/>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335"/>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79"/>
    <w:rsid w:val="00B04283"/>
    <w:rsid w:val="00B05096"/>
    <w:rsid w:val="00B05427"/>
    <w:rsid w:val="00B05441"/>
    <w:rsid w:val="00B05B62"/>
    <w:rsid w:val="00B05C99"/>
    <w:rsid w:val="00B07101"/>
    <w:rsid w:val="00B07463"/>
    <w:rsid w:val="00B078A8"/>
    <w:rsid w:val="00B07994"/>
    <w:rsid w:val="00B103D7"/>
    <w:rsid w:val="00B10921"/>
    <w:rsid w:val="00B114F0"/>
    <w:rsid w:val="00B11AC2"/>
    <w:rsid w:val="00B11EFB"/>
    <w:rsid w:val="00B123ED"/>
    <w:rsid w:val="00B13011"/>
    <w:rsid w:val="00B1309C"/>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1F"/>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E3B"/>
    <w:rsid w:val="00C64929"/>
    <w:rsid w:val="00C64E25"/>
    <w:rsid w:val="00C65438"/>
    <w:rsid w:val="00C6639C"/>
    <w:rsid w:val="00C6665B"/>
    <w:rsid w:val="00C668F5"/>
    <w:rsid w:val="00C67A23"/>
    <w:rsid w:val="00C67E40"/>
    <w:rsid w:val="00C7017B"/>
    <w:rsid w:val="00C702A3"/>
    <w:rsid w:val="00C71855"/>
    <w:rsid w:val="00C71B41"/>
    <w:rsid w:val="00C71F8B"/>
    <w:rsid w:val="00C72837"/>
    <w:rsid w:val="00C72ACF"/>
    <w:rsid w:val="00C72E8C"/>
    <w:rsid w:val="00C730E2"/>
    <w:rsid w:val="00C7334B"/>
    <w:rsid w:val="00C7367B"/>
    <w:rsid w:val="00C73789"/>
    <w:rsid w:val="00C73BB2"/>
    <w:rsid w:val="00C73DBB"/>
    <w:rsid w:val="00C73EAC"/>
    <w:rsid w:val="00C74093"/>
    <w:rsid w:val="00C744A9"/>
    <w:rsid w:val="00C7477F"/>
    <w:rsid w:val="00C748E1"/>
    <w:rsid w:val="00C762CA"/>
    <w:rsid w:val="00C76449"/>
    <w:rsid w:val="00C76DAC"/>
    <w:rsid w:val="00C76F8B"/>
    <w:rsid w:val="00C77394"/>
    <w:rsid w:val="00C775F7"/>
    <w:rsid w:val="00C77E5F"/>
    <w:rsid w:val="00C77F8C"/>
    <w:rsid w:val="00C80DDB"/>
    <w:rsid w:val="00C81029"/>
    <w:rsid w:val="00C81169"/>
    <w:rsid w:val="00C8126F"/>
    <w:rsid w:val="00C8292C"/>
    <w:rsid w:val="00C83F8E"/>
    <w:rsid w:val="00C84820"/>
    <w:rsid w:val="00C84A0F"/>
    <w:rsid w:val="00C84BC2"/>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71"/>
    <w:rsid w:val="00CC0204"/>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BD6"/>
    <w:rsid w:val="00CC6D74"/>
    <w:rsid w:val="00CC7117"/>
    <w:rsid w:val="00CC71F2"/>
    <w:rsid w:val="00CC7C5C"/>
    <w:rsid w:val="00CD04DC"/>
    <w:rsid w:val="00CD0789"/>
    <w:rsid w:val="00CD0D42"/>
    <w:rsid w:val="00CD1538"/>
    <w:rsid w:val="00CD2066"/>
    <w:rsid w:val="00CD4080"/>
    <w:rsid w:val="00CD47B2"/>
    <w:rsid w:val="00CD522E"/>
    <w:rsid w:val="00CD55CD"/>
    <w:rsid w:val="00CD587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17D"/>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EBA"/>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4F8D"/>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7B69"/>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E1E"/>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5D9D"/>
    <w:rsid w:val="00DB686B"/>
    <w:rsid w:val="00DB766B"/>
    <w:rsid w:val="00DB7745"/>
    <w:rsid w:val="00DB77CE"/>
    <w:rsid w:val="00DB7A97"/>
    <w:rsid w:val="00DC02C4"/>
    <w:rsid w:val="00DC057B"/>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8DB"/>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803"/>
    <w:rsid w:val="00E34F5E"/>
    <w:rsid w:val="00E3532C"/>
    <w:rsid w:val="00E35DB3"/>
    <w:rsid w:val="00E36415"/>
    <w:rsid w:val="00E366E2"/>
    <w:rsid w:val="00E368D4"/>
    <w:rsid w:val="00E369C3"/>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E97"/>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D8B"/>
    <w:rsid w:val="00F06455"/>
    <w:rsid w:val="00F06948"/>
    <w:rsid w:val="00F06B25"/>
    <w:rsid w:val="00F06B7D"/>
    <w:rsid w:val="00F07237"/>
    <w:rsid w:val="00F0727B"/>
    <w:rsid w:val="00F079D4"/>
    <w:rsid w:val="00F07C34"/>
    <w:rsid w:val="00F10049"/>
    <w:rsid w:val="00F1049F"/>
    <w:rsid w:val="00F108D4"/>
    <w:rsid w:val="00F11564"/>
    <w:rsid w:val="00F11B63"/>
    <w:rsid w:val="00F11FB1"/>
    <w:rsid w:val="00F123D7"/>
    <w:rsid w:val="00F12EC9"/>
    <w:rsid w:val="00F13439"/>
    <w:rsid w:val="00F141D6"/>
    <w:rsid w:val="00F14539"/>
    <w:rsid w:val="00F14E67"/>
    <w:rsid w:val="00F15217"/>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Ttulo1">
    <w:name w:val="heading 1"/>
    <w:basedOn w:val="Normal"/>
    <w:next w:val="Normal"/>
    <w:link w:val="Ttulo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tulo2">
    <w:name w:val="heading 2"/>
    <w:basedOn w:val="Normal"/>
    <w:next w:val="Normal"/>
    <w:link w:val="Ttulo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tulo3">
    <w:name w:val="heading 3"/>
    <w:basedOn w:val="Normal"/>
    <w:next w:val="Normal"/>
    <w:link w:val="Ttulo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tulo4">
    <w:name w:val="heading 4"/>
    <w:basedOn w:val="Normal"/>
    <w:next w:val="Normal"/>
    <w:link w:val="Ttulo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tulo5">
    <w:name w:val="heading 5"/>
    <w:basedOn w:val="Normal"/>
    <w:next w:val="Normal"/>
    <w:link w:val="Ttulo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tulo6">
    <w:name w:val="heading 6"/>
    <w:basedOn w:val="Normal"/>
    <w:next w:val="Normal"/>
    <w:link w:val="Ttulo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tulo7">
    <w:name w:val="heading 7"/>
    <w:basedOn w:val="Normal"/>
    <w:next w:val="Normal"/>
    <w:link w:val="Ttulo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tulo8">
    <w:name w:val="heading 8"/>
    <w:basedOn w:val="Normal"/>
    <w:next w:val="Normal"/>
    <w:link w:val="Ttulo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tulo9">
    <w:name w:val="heading 9"/>
    <w:basedOn w:val="Normal"/>
    <w:next w:val="Normal"/>
    <w:link w:val="Ttulo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B6B12"/>
    <w:pPr>
      <w:spacing w:after="0" w:line="240" w:lineRule="auto"/>
    </w:pPr>
    <w:rPr>
      <w:lang w:val="en-GB"/>
    </w:rPr>
  </w:style>
  <w:style w:type="character" w:customStyle="1" w:styleId="Ttulo4Car">
    <w:name w:val="Título 4 Car"/>
    <w:basedOn w:val="Fuentedeprrafopredeter"/>
    <w:link w:val="Ttu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tulo3Car">
    <w:name w:val="Título 3 Car"/>
    <w:basedOn w:val="Fuentedeprrafopredeter"/>
    <w:link w:val="Ttu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tulo1Car">
    <w:name w:val="Título 1 Car"/>
    <w:basedOn w:val="Fuentedeprrafopredeter"/>
    <w:link w:val="Ttulo1"/>
    <w:uiPriority w:val="9"/>
    <w:rsid w:val="0082744A"/>
    <w:rPr>
      <w:rFonts w:asciiTheme="majorHAnsi" w:eastAsiaTheme="majorEastAsia" w:hAnsiTheme="majorHAnsi" w:cstheme="majorBidi"/>
      <w:b/>
      <w:color w:val="00379F" w:themeColor="text1"/>
      <w:sz w:val="32"/>
      <w:szCs w:val="32"/>
      <w:lang w:val="en-GB"/>
    </w:rPr>
  </w:style>
  <w:style w:type="character" w:customStyle="1" w:styleId="Ttulo2Car">
    <w:name w:val="Título 2 Car"/>
    <w:basedOn w:val="Fuentedeprrafopredeter"/>
    <w:link w:val="Ttu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Fuentedeprrafopredeter"/>
    <w:link w:val="Subtitle1"/>
    <w:rsid w:val="003C4EB5"/>
    <w:rPr>
      <w:rFonts w:cs="Times New Roman"/>
      <w:b/>
      <w:sz w:val="20"/>
      <w:szCs w:val="24"/>
      <w:lang w:val="en-GB" w:eastAsia="de-DE"/>
    </w:rPr>
  </w:style>
  <w:style w:type="paragraph" w:customStyle="1" w:styleId="Title1">
    <w:name w:val="Title 1"/>
    <w:basedOn w:val="Prrafodelista"/>
    <w:link w:val="Title1Char"/>
    <w:qFormat/>
    <w:rsid w:val="00F205B9"/>
    <w:pPr>
      <w:numPr>
        <w:numId w:val="0"/>
      </w:numPr>
      <w:ind w:left="792" w:hanging="432"/>
    </w:pPr>
    <w:rPr>
      <w:b/>
      <w:color w:val="00379F" w:themeColor="text1"/>
      <w:sz w:val="28"/>
    </w:rPr>
  </w:style>
  <w:style w:type="character" w:customStyle="1" w:styleId="Title1Char">
    <w:name w:val="Title 1 Char"/>
    <w:basedOn w:val="Fuentedeprrafopredeter"/>
    <w:link w:val="Title1"/>
    <w:rsid w:val="00F205B9"/>
    <w:rPr>
      <w:rFonts w:asciiTheme="majorHAnsi" w:hAnsiTheme="majorHAnsi" w:cstheme="majorHAnsi"/>
      <w:b/>
      <w:color w:val="00379F" w:themeColor="text1"/>
      <w:sz w:val="28"/>
      <w:szCs w:val="22"/>
      <w:lang w:val="pt-PT"/>
    </w:rPr>
  </w:style>
  <w:style w:type="paragraph" w:styleId="Prrafodelista">
    <w:name w:val="List Paragraph"/>
    <w:aliases w:val="Paragraphe EI,Paragraphe de liste1,EC"/>
    <w:basedOn w:val="Normal"/>
    <w:link w:val="PrrafodelistaC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rrafodelista"/>
    <w:link w:val="Title3Char"/>
    <w:autoRedefine/>
    <w:rsid w:val="00F205B9"/>
    <w:pPr>
      <w:numPr>
        <w:ilvl w:val="3"/>
        <w:numId w:val="4"/>
      </w:numPr>
    </w:pPr>
  </w:style>
  <w:style w:type="character" w:customStyle="1" w:styleId="Title3Char">
    <w:name w:val="Title 3 Char"/>
    <w:basedOn w:val="Fuentedeprrafopredeter"/>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Fuentedeprrafopredeter"/>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Fuentedeprrafopredeter"/>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Fuentedeprrafopredeter"/>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Fuentedeprrafopredeter"/>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Fuentedeprrafopredeter"/>
    <w:link w:val="Introductionheading"/>
    <w:rsid w:val="00044C5A"/>
    <w:rPr>
      <w:rFonts w:ascii="Arial" w:eastAsia="Times New Roman" w:hAnsi="Arial" w:cs="Times New Roman"/>
      <w:b/>
      <w:sz w:val="28"/>
      <w:szCs w:val="24"/>
      <w:lang w:val="en-GB" w:eastAsia="de-DE"/>
    </w:rPr>
  </w:style>
  <w:style w:type="character" w:customStyle="1" w:styleId="Ttulo5Car">
    <w:name w:val="Título 5 Car"/>
    <w:basedOn w:val="Fuentedeprrafopredeter"/>
    <w:link w:val="Ttu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oindependiente">
    <w:name w:val="Body Text"/>
    <w:basedOn w:val="Normal"/>
    <w:link w:val="TextoindependienteCar"/>
    <w:uiPriority w:val="99"/>
    <w:semiHidden/>
    <w:unhideWhenUsed/>
    <w:rsid w:val="00044C5A"/>
  </w:style>
  <w:style w:type="character" w:customStyle="1" w:styleId="TextoindependienteCar">
    <w:name w:val="Texto independiente Car"/>
    <w:basedOn w:val="Fuentedeprrafopredeter"/>
    <w:link w:val="Textoindependiente"/>
    <w:uiPriority w:val="99"/>
    <w:semiHidden/>
    <w:rsid w:val="00044C5A"/>
    <w:rPr>
      <w:rFonts w:ascii="Arial" w:eastAsiaTheme="minorEastAsia" w:hAnsi="Arial"/>
    </w:rPr>
  </w:style>
  <w:style w:type="paragraph" w:styleId="Textoindependienteprimerasangra">
    <w:name w:val="Body Text First Indent"/>
    <w:basedOn w:val="Textoindependiente"/>
    <w:link w:val="TextoindependienteprimerasangraCar"/>
    <w:uiPriority w:val="99"/>
    <w:semiHidden/>
    <w:unhideWhenUsed/>
    <w:rsid w:val="00044C5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44C5A"/>
    <w:rPr>
      <w:rFonts w:ascii="Arial" w:eastAsiaTheme="minorEastAsia" w:hAnsi="Arial"/>
    </w:rPr>
  </w:style>
  <w:style w:type="character" w:customStyle="1" w:styleId="Ttulo6Car">
    <w:name w:val="Título 6 Car"/>
    <w:basedOn w:val="Fuentedeprrafopredeter"/>
    <w:link w:val="Ttu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tulo">
    <w:name w:val="Title"/>
    <w:basedOn w:val="Normal"/>
    <w:next w:val="Normal"/>
    <w:link w:val="Ttulo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tuloCar">
    <w:name w:val="Título Car"/>
    <w:basedOn w:val="Fuentedeprrafopredeter"/>
    <w:link w:val="Ttu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tulo">
    <w:name w:val="Subtitle"/>
    <w:basedOn w:val="Normal"/>
    <w:next w:val="Normal"/>
    <w:link w:val="Subttulo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tuloCar">
    <w:name w:val="Subtítulo Car"/>
    <w:basedOn w:val="Fuentedeprrafopredeter"/>
    <w:link w:val="Subttulo"/>
    <w:uiPriority w:val="11"/>
    <w:rsid w:val="0082744A"/>
    <w:rPr>
      <w:rFonts w:asciiTheme="majorHAnsi" w:eastAsiaTheme="majorEastAsia" w:hAnsiTheme="majorHAnsi" w:cstheme="majorBidi"/>
      <w:sz w:val="28"/>
      <w:szCs w:val="24"/>
      <w:lang w:val="en-GB"/>
    </w:rPr>
  </w:style>
  <w:style w:type="character" w:customStyle="1" w:styleId="Ttulo7Car">
    <w:name w:val="Título 7 Car"/>
    <w:basedOn w:val="Fuentedeprrafopredeter"/>
    <w:link w:val="Ttu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tulo8Car">
    <w:name w:val="Título 8 Car"/>
    <w:basedOn w:val="Fuentedeprrafopredeter"/>
    <w:link w:val="Ttu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tulo9Car">
    <w:name w:val="Título 9 Car"/>
    <w:basedOn w:val="Fuentedeprrafopredeter"/>
    <w:link w:val="Ttulo9"/>
    <w:uiPriority w:val="9"/>
    <w:semiHidden/>
    <w:rsid w:val="00AA054E"/>
    <w:rPr>
      <w:rFonts w:asciiTheme="majorHAnsi" w:eastAsiaTheme="majorEastAsia" w:hAnsiTheme="majorHAnsi" w:cstheme="majorBidi"/>
      <w:b/>
      <w:bCs/>
      <w:i/>
      <w:iCs/>
      <w:color w:val="007EFF" w:themeColor="text2"/>
      <w:sz w:val="22"/>
      <w:lang w:val="en-GB"/>
    </w:rPr>
  </w:style>
  <w:style w:type="paragraph" w:styleId="Descripci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Textoennegrita">
    <w:name w:val="Strong"/>
    <w:basedOn w:val="Fuentedeprrafopredeter"/>
    <w:uiPriority w:val="22"/>
    <w:qFormat/>
    <w:rsid w:val="00AA054E"/>
    <w:rPr>
      <w:b/>
      <w:bCs/>
    </w:rPr>
  </w:style>
  <w:style w:type="character" w:styleId="nfasis">
    <w:name w:val="Emphasis"/>
    <w:basedOn w:val="Fuentedeprrafopredeter"/>
    <w:uiPriority w:val="20"/>
    <w:qFormat/>
    <w:rsid w:val="00AA054E"/>
    <w:rPr>
      <w:i/>
      <w:iCs/>
    </w:rPr>
  </w:style>
  <w:style w:type="paragraph" w:styleId="Cita">
    <w:name w:val="Quote"/>
    <w:basedOn w:val="Normal"/>
    <w:next w:val="Normal"/>
    <w:link w:val="CitaCar"/>
    <w:uiPriority w:val="29"/>
    <w:qFormat/>
    <w:rsid w:val="00AA054E"/>
    <w:pPr>
      <w:spacing w:before="160"/>
      <w:ind w:left="720" w:right="720"/>
    </w:pPr>
    <w:rPr>
      <w:i/>
      <w:iCs/>
      <w:color w:val="0055F7" w:themeColor="text1" w:themeTint="BF"/>
    </w:rPr>
  </w:style>
  <w:style w:type="character" w:customStyle="1" w:styleId="CitaCar">
    <w:name w:val="Cita Car"/>
    <w:basedOn w:val="Fuentedeprrafopredeter"/>
    <w:link w:val="Cita"/>
    <w:uiPriority w:val="29"/>
    <w:rsid w:val="00AA054E"/>
    <w:rPr>
      <w:i/>
      <w:iCs/>
      <w:color w:val="0055F7" w:themeColor="text1" w:themeTint="BF"/>
    </w:rPr>
  </w:style>
  <w:style w:type="paragraph" w:styleId="Citadestacada">
    <w:name w:val="Intense Quote"/>
    <w:basedOn w:val="Normal"/>
    <w:next w:val="Normal"/>
    <w:link w:val="Citadestacada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destacadaCar">
    <w:name w:val="Cita destacada Car"/>
    <w:basedOn w:val="Fuentedeprrafopredeter"/>
    <w:link w:val="Citadestacada"/>
    <w:uiPriority w:val="30"/>
    <w:rsid w:val="00AA054E"/>
    <w:rPr>
      <w:rFonts w:asciiTheme="majorHAnsi" w:eastAsiaTheme="majorEastAsia" w:hAnsiTheme="majorHAnsi" w:cstheme="majorBidi"/>
      <w:color w:val="34009F" w:themeColor="accent1"/>
      <w:sz w:val="28"/>
      <w:szCs w:val="28"/>
    </w:rPr>
  </w:style>
  <w:style w:type="character" w:styleId="nfasissutil">
    <w:name w:val="Subtle Emphasis"/>
    <w:basedOn w:val="Fuentedeprrafopredeter"/>
    <w:uiPriority w:val="19"/>
    <w:qFormat/>
    <w:rsid w:val="00AA054E"/>
    <w:rPr>
      <w:i/>
      <w:iCs/>
      <w:color w:val="0055F7" w:themeColor="text1" w:themeTint="BF"/>
    </w:rPr>
  </w:style>
  <w:style w:type="character" w:styleId="nfasisintenso">
    <w:name w:val="Intense Emphasis"/>
    <w:basedOn w:val="Fuentedeprrafopredeter"/>
    <w:uiPriority w:val="21"/>
    <w:qFormat/>
    <w:rsid w:val="00AA054E"/>
    <w:rPr>
      <w:b/>
      <w:bCs/>
      <w:i/>
      <w:iCs/>
    </w:rPr>
  </w:style>
  <w:style w:type="character" w:styleId="Referenciasutil">
    <w:name w:val="Subtle Reference"/>
    <w:basedOn w:val="Fuentedeprrafopredeter"/>
    <w:uiPriority w:val="31"/>
    <w:qFormat/>
    <w:rsid w:val="00AA054E"/>
    <w:rPr>
      <w:smallCaps/>
      <w:color w:val="0055F7" w:themeColor="text1" w:themeTint="BF"/>
      <w:u w:val="single" w:color="4E8BFF" w:themeColor="text1" w:themeTint="80"/>
    </w:rPr>
  </w:style>
  <w:style w:type="character" w:styleId="Referenciaintensa">
    <w:name w:val="Intense Reference"/>
    <w:basedOn w:val="Fuentedeprrafopredeter"/>
    <w:uiPriority w:val="32"/>
    <w:qFormat/>
    <w:rsid w:val="00AA054E"/>
    <w:rPr>
      <w:b/>
      <w:bCs/>
      <w:smallCaps/>
      <w:spacing w:val="5"/>
      <w:u w:val="single"/>
    </w:rPr>
  </w:style>
  <w:style w:type="character" w:styleId="Ttulodellibro">
    <w:name w:val="Book Title"/>
    <w:basedOn w:val="Fuentedeprrafopredeter"/>
    <w:uiPriority w:val="33"/>
    <w:qFormat/>
    <w:rsid w:val="00AA054E"/>
    <w:rPr>
      <w:b/>
      <w:bCs/>
      <w:smallCaps/>
    </w:rPr>
  </w:style>
  <w:style w:type="paragraph" w:styleId="TtuloTDC">
    <w:name w:val="TOC Heading"/>
    <w:basedOn w:val="Ttulo1"/>
    <w:next w:val="Normal"/>
    <w:uiPriority w:val="39"/>
    <w:unhideWhenUsed/>
    <w:qFormat/>
    <w:rsid w:val="00F205B9"/>
    <w:pPr>
      <w:numPr>
        <w:numId w:val="0"/>
      </w:numPr>
      <w:outlineLvl w:val="9"/>
    </w:pPr>
  </w:style>
  <w:style w:type="character" w:customStyle="1" w:styleId="SinespaciadoCar">
    <w:name w:val="Sin espaciado Car"/>
    <w:basedOn w:val="Fuentedeprrafopredeter"/>
    <w:link w:val="Sinespaciado"/>
    <w:uiPriority w:val="1"/>
    <w:rsid w:val="005B6B12"/>
    <w:rPr>
      <w:lang w:val="en-GB"/>
    </w:rPr>
  </w:style>
  <w:style w:type="paragraph" w:styleId="Encabezado">
    <w:name w:val="header"/>
    <w:basedOn w:val="Normal"/>
    <w:link w:val="Encabezado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cabezadoCar">
    <w:name w:val="Encabezado Car"/>
    <w:basedOn w:val="Fuentedeprrafopredeter"/>
    <w:link w:val="Encabezado"/>
    <w:rsid w:val="00AF6B1E"/>
    <w:rPr>
      <w:color w:val="001B4F" w:themeColor="text1" w:themeShade="80"/>
      <w:sz w:val="16"/>
      <w:lang w:val="en-GB"/>
    </w:rPr>
  </w:style>
  <w:style w:type="paragraph" w:styleId="Piedepgina">
    <w:name w:val="footer"/>
    <w:basedOn w:val="Normal"/>
    <w:link w:val="Piedepgina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epginaCar">
    <w:name w:val="Pie de página Car"/>
    <w:basedOn w:val="Fuentedeprrafopredeter"/>
    <w:link w:val="Piedepgina"/>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D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DC2">
    <w:name w:val="toc 2"/>
    <w:basedOn w:val="TDC1"/>
    <w:next w:val="Normal"/>
    <w:uiPriority w:val="39"/>
    <w:unhideWhenUsed/>
    <w:qFormat/>
    <w:rsid w:val="00F205B9"/>
    <w:pPr>
      <w:framePr w:wrap="around"/>
      <w:tabs>
        <w:tab w:val="right" w:leader="dot" w:pos="440"/>
      </w:tabs>
      <w:ind w:left="220"/>
    </w:pPr>
  </w:style>
  <w:style w:type="paragraph" w:styleId="TDC3">
    <w:name w:val="toc 3"/>
    <w:basedOn w:val="TDC1"/>
    <w:next w:val="Normal"/>
    <w:uiPriority w:val="39"/>
    <w:unhideWhenUsed/>
    <w:qFormat/>
    <w:rsid w:val="00AD0B10"/>
    <w:pPr>
      <w:framePr w:wrap="around"/>
      <w:ind w:left="442"/>
    </w:pPr>
  </w:style>
  <w:style w:type="character" w:styleId="Hipervnculo">
    <w:name w:val="Hyperlink"/>
    <w:basedOn w:val="Fuentedeprrafopredeter"/>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Fuentedeprrafopredeter"/>
    <w:link w:val="Questionstyle"/>
    <w:rsid w:val="00DB686B"/>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Fuentedeprrafopredeter"/>
    <w:link w:val="Listing2"/>
    <w:rsid w:val="00DF3785"/>
    <w:rPr>
      <w:lang w:val="en-GB"/>
    </w:rPr>
  </w:style>
  <w:style w:type="table" w:styleId="Tablaconcuadrcula">
    <w:name w:val="Table Grid"/>
    <w:basedOn w:val="Tabla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0534"/>
    <w:pPr>
      <w:spacing w:after="0" w:line="240" w:lineRule="auto"/>
    </w:pPr>
  </w:style>
  <w:style w:type="character" w:customStyle="1" w:styleId="TextonotaalfinalCar">
    <w:name w:val="Texto nota al final Car"/>
    <w:basedOn w:val="Fuentedeprrafopredeter"/>
    <w:link w:val="Textonotaalfinal"/>
    <w:uiPriority w:val="99"/>
    <w:semiHidden/>
    <w:rsid w:val="00B50534"/>
    <w:rPr>
      <w:lang w:val="en-GB"/>
    </w:rPr>
  </w:style>
  <w:style w:type="character" w:styleId="Refdenotaalfinal">
    <w:name w:val="endnote reference"/>
    <w:basedOn w:val="Fuentedeprrafopredeter"/>
    <w:uiPriority w:val="99"/>
    <w:semiHidden/>
    <w:unhideWhenUsed/>
    <w:rsid w:val="00B50534"/>
    <w:rPr>
      <w:vertAlign w:val="superscript"/>
    </w:rPr>
  </w:style>
  <w:style w:type="paragraph" w:styleId="Textonotapie">
    <w:name w:val="footnote text"/>
    <w:basedOn w:val="Normal"/>
    <w:link w:val="TextonotapieCar"/>
    <w:autoRedefine/>
    <w:uiPriority w:val="99"/>
    <w:unhideWhenUsed/>
    <w:qFormat/>
    <w:rsid w:val="007A1A9D"/>
    <w:pPr>
      <w:spacing w:after="0" w:line="240" w:lineRule="auto"/>
    </w:pPr>
    <w:rPr>
      <w:sz w:val="16"/>
    </w:rPr>
  </w:style>
  <w:style w:type="character" w:customStyle="1" w:styleId="TextonotapieCar">
    <w:name w:val="Texto nota pie Car"/>
    <w:basedOn w:val="Fuentedeprrafopredeter"/>
    <w:link w:val="Textonotapie"/>
    <w:uiPriority w:val="99"/>
    <w:rsid w:val="007A1A9D"/>
    <w:rPr>
      <w:color w:val="181818" w:themeColor="background1" w:themeShade="1A"/>
      <w:sz w:val="16"/>
      <w:lang w:val="en-GB"/>
    </w:rPr>
  </w:style>
  <w:style w:type="character" w:styleId="Refdenotaalpie">
    <w:name w:val="footnote reference"/>
    <w:basedOn w:val="Fuentedeprrafopredeter"/>
    <w:uiPriority w:val="99"/>
    <w:semiHidden/>
    <w:unhideWhenUsed/>
    <w:qFormat/>
    <w:rsid w:val="00A91D91"/>
    <w:rPr>
      <w:rFonts w:asciiTheme="majorHAnsi" w:hAnsiTheme="majorHAnsi"/>
      <w:sz w:val="16"/>
      <w:vertAlign w:val="superscript"/>
    </w:rPr>
  </w:style>
  <w:style w:type="paragraph" w:customStyle="1" w:styleId="Footnote">
    <w:name w:val="Footnote"/>
    <w:basedOn w:val="Textonotapie"/>
    <w:link w:val="FootnoteChar"/>
    <w:qFormat/>
    <w:rsid w:val="00672C04"/>
    <w:pPr>
      <w:ind w:left="454" w:hanging="454"/>
    </w:pPr>
    <w:rPr>
      <w:lang w:val="nl-BE"/>
    </w:rPr>
  </w:style>
  <w:style w:type="character" w:customStyle="1" w:styleId="FootnoteChar">
    <w:name w:val="Footnote Char"/>
    <w:basedOn w:val="TextonotapieCar"/>
    <w:link w:val="Footnote"/>
    <w:rsid w:val="00672C04"/>
    <w:rPr>
      <w:color w:val="181818" w:themeColor="background1" w:themeShade="1A"/>
      <w:sz w:val="16"/>
      <w:lang w:val="en-GB"/>
    </w:rPr>
  </w:style>
  <w:style w:type="table" w:customStyle="1" w:styleId="GridTable4-Accent11">
    <w:name w:val="Grid Table 4 - Accent 11"/>
    <w:basedOn w:val="Tabla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odeglobo">
    <w:name w:val="Balloon Text"/>
    <w:basedOn w:val="Normal"/>
    <w:link w:val="TextodegloboCar"/>
    <w:uiPriority w:val="99"/>
    <w:semiHidden/>
    <w:unhideWhenUsed/>
    <w:rsid w:val="007151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1BF"/>
    <w:rPr>
      <w:rFonts w:ascii="Tahoma" w:hAnsi="Tahoma" w:cs="Tahoma"/>
      <w:sz w:val="16"/>
      <w:szCs w:val="16"/>
      <w:lang w:val="en-GB"/>
    </w:rPr>
  </w:style>
  <w:style w:type="paragraph" w:styleId="TDC4">
    <w:name w:val="toc 4"/>
    <w:basedOn w:val="TDC1"/>
    <w:next w:val="Normal"/>
    <w:uiPriority w:val="39"/>
    <w:unhideWhenUsed/>
    <w:qFormat/>
    <w:rsid w:val="00F205B9"/>
    <w:pPr>
      <w:framePr w:wrap="around"/>
      <w:ind w:left="660"/>
    </w:pPr>
  </w:style>
  <w:style w:type="character" w:styleId="Refdecomentario">
    <w:name w:val="annotation reference"/>
    <w:basedOn w:val="Fuentedeprrafopredeter"/>
    <w:uiPriority w:val="99"/>
    <w:semiHidden/>
    <w:unhideWhenUsed/>
    <w:rsid w:val="00D33C31"/>
    <w:rPr>
      <w:sz w:val="16"/>
      <w:szCs w:val="16"/>
    </w:rPr>
  </w:style>
  <w:style w:type="paragraph" w:styleId="Textocomentario">
    <w:name w:val="annotation text"/>
    <w:basedOn w:val="Normal"/>
    <w:link w:val="TextocomentarioCar"/>
    <w:uiPriority w:val="99"/>
    <w:unhideWhenUsed/>
    <w:rsid w:val="00D33C31"/>
    <w:pPr>
      <w:spacing w:line="240" w:lineRule="auto"/>
    </w:pPr>
    <w:rPr>
      <w:sz w:val="20"/>
    </w:rPr>
  </w:style>
  <w:style w:type="character" w:customStyle="1" w:styleId="TextocomentarioCar">
    <w:name w:val="Texto comentario Car"/>
    <w:basedOn w:val="Fuentedeprrafopredeter"/>
    <w:link w:val="Textocomentario"/>
    <w:uiPriority w:val="99"/>
    <w:rsid w:val="00D33C31"/>
    <w:rPr>
      <w:lang w:val="en-GB"/>
    </w:rPr>
  </w:style>
  <w:style w:type="paragraph" w:styleId="Asuntodelcomentario">
    <w:name w:val="annotation subject"/>
    <w:basedOn w:val="Textocomentario"/>
    <w:next w:val="Textocomentario"/>
    <w:link w:val="AsuntodelcomentarioCar"/>
    <w:uiPriority w:val="99"/>
    <w:semiHidden/>
    <w:unhideWhenUsed/>
    <w:rsid w:val="00D33C31"/>
    <w:rPr>
      <w:b/>
      <w:bCs/>
    </w:rPr>
  </w:style>
  <w:style w:type="character" w:customStyle="1" w:styleId="AsuntodelcomentarioCar">
    <w:name w:val="Asunto del comentario Car"/>
    <w:basedOn w:val="TextocomentarioCar"/>
    <w:link w:val="Asuntodelcomentario"/>
    <w:uiPriority w:val="99"/>
    <w:semiHidden/>
    <w:rsid w:val="00D33C31"/>
    <w:rPr>
      <w:b/>
      <w:bCs/>
      <w:lang w:val="en-GB"/>
    </w:rPr>
  </w:style>
  <w:style w:type="character" w:styleId="Mencinsinresolver">
    <w:name w:val="Unresolved Mention"/>
    <w:basedOn w:val="Fuentedeprrafopredeter"/>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Textoennegrita"/>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cabezado"/>
    <w:qFormat/>
    <w:rsid w:val="00AF6B1E"/>
  </w:style>
  <w:style w:type="paragraph" w:customStyle="1" w:styleId="Pageheader">
    <w:name w:val="Page header"/>
    <w:basedOn w:val="Encabezado"/>
    <w:next w:val="Encabezado"/>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DC5">
    <w:name w:val="toc 5"/>
    <w:basedOn w:val="Normal"/>
    <w:next w:val="Normal"/>
    <w:uiPriority w:val="39"/>
    <w:semiHidden/>
    <w:unhideWhenUsed/>
    <w:qFormat/>
    <w:rsid w:val="00F205B9"/>
    <w:pPr>
      <w:spacing w:after="100"/>
      <w:ind w:left="880"/>
    </w:pPr>
  </w:style>
  <w:style w:type="paragraph" w:styleId="TDC6">
    <w:name w:val="toc 6"/>
    <w:basedOn w:val="Normal"/>
    <w:next w:val="Normal"/>
    <w:uiPriority w:val="39"/>
    <w:semiHidden/>
    <w:unhideWhenUsed/>
    <w:qFormat/>
    <w:rsid w:val="00F205B9"/>
    <w:pPr>
      <w:spacing w:after="100"/>
      <w:ind w:left="1100"/>
    </w:pPr>
  </w:style>
  <w:style w:type="paragraph" w:styleId="TDC7">
    <w:name w:val="toc 7"/>
    <w:basedOn w:val="Normal"/>
    <w:next w:val="Normal"/>
    <w:uiPriority w:val="39"/>
    <w:semiHidden/>
    <w:unhideWhenUsed/>
    <w:qFormat/>
    <w:rsid w:val="00F205B9"/>
    <w:pPr>
      <w:spacing w:after="100"/>
      <w:ind w:left="1320"/>
    </w:pPr>
  </w:style>
  <w:style w:type="paragraph" w:styleId="TDC8">
    <w:name w:val="toc 8"/>
    <w:basedOn w:val="Normal"/>
    <w:next w:val="Normal"/>
    <w:uiPriority w:val="39"/>
    <w:semiHidden/>
    <w:unhideWhenUsed/>
    <w:qFormat/>
    <w:rsid w:val="00F205B9"/>
    <w:pPr>
      <w:spacing w:after="100"/>
      <w:ind w:left="1540"/>
    </w:pPr>
  </w:style>
  <w:style w:type="paragraph" w:styleId="TDC9">
    <w:name w:val="toc 9"/>
    <w:basedOn w:val="Normal"/>
    <w:next w:val="Normal"/>
    <w:uiPriority w:val="39"/>
    <w:semiHidden/>
    <w:unhideWhenUsed/>
    <w:qFormat/>
    <w:rsid w:val="00F205B9"/>
    <w:pPr>
      <w:spacing w:after="100"/>
      <w:ind w:left="1760"/>
    </w:pPr>
  </w:style>
  <w:style w:type="character" w:styleId="Hipervnculovisitado">
    <w:name w:val="FollowedHyperlink"/>
    <w:basedOn w:val="Fuentedeprrafopredeter"/>
    <w:uiPriority w:val="99"/>
    <w:semiHidden/>
    <w:unhideWhenUsed/>
    <w:rsid w:val="0043139E"/>
    <w:rPr>
      <w:color w:val="0174AF" w:themeColor="followedHyperlink"/>
      <w:u w:val="single"/>
    </w:rPr>
  </w:style>
  <w:style w:type="character" w:customStyle="1" w:styleId="PrrafodelistaCar">
    <w:name w:val="Párrafo de lista Car"/>
    <w:aliases w:val="Paragraphe EI Car,Paragraphe de liste1 Car,EC Car"/>
    <w:link w:val="Prrafodelista"/>
    <w:uiPriority w:val="34"/>
    <w:locked/>
    <w:rsid w:val="00EC6066"/>
    <w:rPr>
      <w:rFonts w:asciiTheme="majorHAnsi" w:hAnsiTheme="majorHAnsi" w:cstheme="majorHAnsi"/>
      <w:color w:val="181818" w:themeColor="background1" w:themeShade="1A"/>
      <w:sz w:val="22"/>
      <w:szCs w:val="22"/>
      <w:lang w:val="pt-PT"/>
    </w:rPr>
  </w:style>
  <w:style w:type="paragraph" w:styleId="Revisi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Fuentedeprrafopredeter"/>
    <w:rsid w:val="00061F32"/>
    <w:rPr>
      <w:rFonts w:ascii="Segoe UI" w:hAnsi="Segoe UI" w:cs="Segoe UI" w:hint="default"/>
      <w:sz w:val="18"/>
      <w:szCs w:val="18"/>
    </w:rPr>
  </w:style>
  <w:style w:type="character" w:customStyle="1" w:styleId="cf11">
    <w:name w:val="cf11"/>
    <w:basedOn w:val="Fuentedeprrafopredeter"/>
    <w:rsid w:val="00061F32"/>
    <w:rPr>
      <w:rFonts w:ascii="Segoe UI" w:hAnsi="Segoe UI" w:cs="Segoe UI" w:hint="default"/>
      <w:color w:val="333333"/>
      <w:sz w:val="18"/>
      <w:szCs w:val="18"/>
      <w:shd w:val="clear" w:color="auto" w:fill="FFFFFF"/>
    </w:rPr>
  </w:style>
  <w:style w:type="character" w:styleId="Mencionar">
    <w:name w:val="Mention"/>
    <w:basedOn w:val="Fuentedeprrafopredeter"/>
    <w:uiPriority w:val="99"/>
    <w:unhideWhenUsed/>
    <w:rsid w:val="00251F26"/>
    <w:rPr>
      <w:color w:val="2B579A"/>
      <w:shd w:val="clear" w:color="auto" w:fill="E1DFDD"/>
    </w:rPr>
  </w:style>
  <w:style w:type="character" w:styleId="Textodelmarcadordeposicin">
    <w:name w:val="Placeholder Text"/>
    <w:basedOn w:val="Fuentedeprrafopredeter"/>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jpeg"/><Relationship Id="rId18" Type="http://schemas.openxmlformats.org/officeDocument/2006/relationships/hyperlink" Target="https://www.esma.europa.eu/about-esma/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ma.europa.eu/press-news/consultations/call-evidence-review-ucits-eligible-assets-directi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xtodelmarcadordeposicin"/>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Textodelmarcadordeposicin"/>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D3BDB"/>
    <w:rsid w:val="00171343"/>
    <w:rsid w:val="002539FF"/>
    <w:rsid w:val="002826FB"/>
    <w:rsid w:val="002F71C9"/>
    <w:rsid w:val="003C3A27"/>
    <w:rsid w:val="003E2607"/>
    <w:rsid w:val="004E4CF9"/>
    <w:rsid w:val="00747575"/>
    <w:rsid w:val="00813189"/>
    <w:rsid w:val="008222A0"/>
    <w:rsid w:val="00836D47"/>
    <w:rsid w:val="0087748B"/>
    <w:rsid w:val="00967557"/>
    <w:rsid w:val="00993561"/>
    <w:rsid w:val="009B6B9C"/>
    <w:rsid w:val="009C794D"/>
    <w:rsid w:val="00A408D7"/>
    <w:rsid w:val="00AC6273"/>
    <w:rsid w:val="00B078A8"/>
    <w:rsid w:val="00B22006"/>
    <w:rsid w:val="00C336E8"/>
    <w:rsid w:val="00F01F95"/>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254</Value>
      <Value>5</Value>
      <Value>33</Value>
      <Value>6</Value>
      <Value>345</Value>
      <Value>54</Value>
    </TaxCatchAll>
    <_dlc_DocId xmlns="d0fb0f98-34f9-4d57-9559-eb8efd17aa5e">ESMA34-1270380148-1033</_dlc_DocId>
    <_dlc_DocIdUrl xmlns="d0fb0f98-34f9-4d57-9559-eb8efd17aa5e">
      <Url>https://securitiesandmarketsauth.sharepoint.com/sites/sherpa-ivm/_layouts/15/DocIdRedir.aspx?ID=ESMA34-1270380148-1033</Url>
      <Description>ESMA34-1270380148-1033</Description>
    </_dlc_DocIdUrl>
    <_dlc_DocIdPersistId xmlns="d0fb0f98-34f9-4d57-9559-eb8efd17aa5e" xsi:nil="true"/>
    <MeetingDate xmlns="d0fb0f98-34f9-4d57-9559-eb8efd17aa5e" xsi:nil="true"/>
    <Year xmlns="d0fb0f98-34f9-4d57-9559-eb8efd17aa5e">2023</Year>
    <SharedWithUsers xmlns="d0fb0f98-34f9-4d57-9559-eb8efd17aa5e">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k9db3a09612944c49e649e0ff38a506b>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oa4fe03ffd8943c1880fe290404e8de7>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8F54A-A86B-41B6-A72A-7F928FC2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6992b194-ece9-4b26-973e-e25c2ee2cdcd"/>
    <ds:schemaRef ds:uri="http://schemas.openxmlformats.org/package/2006/metadata/core-properties"/>
    <ds:schemaRef ds:uri="http://purl.org/dc/elements/1.1/"/>
    <ds:schemaRef ds:uri="http://www.w3.org/XML/1998/namespace"/>
    <ds:schemaRef ds:uri="d0fb0f98-34f9-4d57-9559-eb8efd17aa5e"/>
    <ds:schemaRef ds:uri="http://purl.org/dc/dcmitype/"/>
  </ds:schemaRefs>
</ds:datastoreItem>
</file>

<file path=customXml/itemProps3.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6144</Words>
  <Characters>33797</Characters>
  <Application>Microsoft Office Word</Application>
  <DocSecurity>8</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CNMV</cp:lastModifiedBy>
  <cp:revision>10</cp:revision>
  <cp:lastPrinted>2023-09-09T09:53:00Z</cp:lastPrinted>
  <dcterms:created xsi:type="dcterms:W3CDTF">2024-07-10T12:53:00Z</dcterms:created>
  <dcterms:modified xsi:type="dcterms:W3CDTF">2024-07-15T08:49:00Z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8f87ab28-9cc0-4a5f-bef3-0462a96fe99e</vt:lpwstr>
  </property>
  <property fmtid="{D5CDD505-2E9C-101B-9397-08002B2CF9AE}" pid="8" name="EsmaAudience">
    <vt:lpwstr>345;#Post-Trading Standing Committee|b4466ad1-2610-4bb4-b77e-13cd08e75663</vt:lpwstr>
  </property>
  <property fmtid="{D5CDD505-2E9C-101B-9397-08002B2CF9AE}" pid="9" name="Topic">
    <vt:lpwstr>254</vt:lpwstr>
  </property>
  <property fmtid="{D5CDD505-2E9C-101B-9397-08002B2CF9AE}" pid="10" name="ConfidentialityLevel">
    <vt:lpwstr>6;#Regular|07f1e362-856b-423d-bea6-a14079762141</vt:lpwstr>
  </property>
  <property fmtid="{D5CDD505-2E9C-101B-9397-08002B2CF9AE}" pid="11" name="DocumentType">
    <vt:lpwstr>54;#Call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5</vt:lpwstr>
  </property>
  <property fmtid="{D5CDD505-2E9C-101B-9397-08002B2CF9AE}" pid="15" name="SubTopic">
    <vt:lpwstr>323;#CSDR General - T + 1|a5a376d4-84eb-4354-ab81-b0766b380093</vt:lpwstr>
  </property>
  <property fmtid="{D5CDD505-2E9C-101B-9397-08002B2CF9AE}" pid="16" name="TeamTopic">
    <vt:lpwstr>33;#UCITS|a853cb80-aed9-44bd-ac2a-0e80b5a444d7</vt:lpwstr>
  </property>
</Properties>
</file>