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7592A37E" w14:textId="30C4D00D" w:rsidR="00FA64BE" w:rsidRPr="00FA64BE" w:rsidRDefault="00FA64BE" w:rsidP="00FA64BE">
                <w:pPr>
                  <w:pStyle w:val="Title"/>
                  <w:rPr>
                    <w:sz w:val="48"/>
                    <w:szCs w:val="48"/>
                  </w:rPr>
                </w:pPr>
                <w:r w:rsidRPr="00FA64BE">
                  <w:rPr>
                    <w:sz w:val="48"/>
                    <w:szCs w:val="48"/>
                  </w:rPr>
                  <w:t xml:space="preserve">Reply form </w:t>
                </w:r>
              </w:p>
              <w:p w14:paraId="096E5E5D" w14:textId="77777777" w:rsidR="00FA64BE" w:rsidRPr="00FA64BE" w:rsidRDefault="00FA64BE" w:rsidP="00FA64BE"/>
              <w:p w14:paraId="0665DB26" w14:textId="2280934F" w:rsidR="006A5E48" w:rsidRPr="00FA64BE" w:rsidRDefault="00FA64BE" w:rsidP="00FA64BE">
                <w:pPr>
                  <w:pStyle w:val="Title"/>
                  <w:spacing w:line="276" w:lineRule="auto"/>
                  <w:ind w:right="854"/>
                  <w:rPr>
                    <w:rFonts w:asciiTheme="minorHAnsi" w:hAnsiTheme="minorHAnsi" w:cstheme="minorHAnsi"/>
                    <w:sz w:val="24"/>
                    <w:szCs w:val="24"/>
                  </w:rPr>
                </w:pPr>
                <w:r w:rsidRPr="00FA64BE">
                  <w:rPr>
                    <w:rFonts w:cs="Arial"/>
                    <w:bCs/>
                    <w:color w:val="auto"/>
                    <w:sz w:val="24"/>
                    <w:szCs w:val="24"/>
                  </w:rPr>
                  <w:t>on</w:t>
                </w:r>
                <w:r w:rsidRPr="00FA64BE">
                  <w:rPr>
                    <w:rFonts w:cs="Arial"/>
                    <w:color w:val="auto"/>
                    <w:sz w:val="24"/>
                    <w:szCs w:val="24"/>
                  </w:rPr>
                  <w:t xml:space="preserve"> </w:t>
                </w:r>
                <w:r w:rsidRPr="00FA64BE">
                  <w:rPr>
                    <w:rFonts w:cs="Arial"/>
                    <w:bCs/>
                    <w:color w:val="auto"/>
                    <w:sz w:val="24"/>
                    <w:szCs w:val="24"/>
                  </w:rPr>
                  <w:t>the Consultation Paper</w:t>
                </w:r>
                <w:r w:rsidR="005664AB">
                  <w:rPr>
                    <w:rFonts w:cs="Arial"/>
                    <w:bCs/>
                    <w:color w:val="auto"/>
                    <w:sz w:val="24"/>
                    <w:szCs w:val="24"/>
                  </w:rPr>
                  <w:t xml:space="preserve"> on</w:t>
                </w:r>
                <w:r w:rsidRPr="00FA64BE">
                  <w:rPr>
                    <w:rFonts w:cs="Arial"/>
                    <w:bCs/>
                    <w:color w:val="auto"/>
                    <w:sz w:val="24"/>
                    <w:szCs w:val="24"/>
                  </w:rPr>
                  <w:t xml:space="preserve"> </w:t>
                </w:r>
                <w:r w:rsidR="003B26BA">
                  <w:rPr>
                    <w:rFonts w:cs="Arial"/>
                    <w:bCs/>
                    <w:color w:val="auto"/>
                    <w:sz w:val="24"/>
                    <w:szCs w:val="24"/>
                  </w:rPr>
                  <w:t>technical standards on the European Green Bonds Regulation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Heading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44628D87">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5"/>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7DECF" id="Freeform: Shape 8" o:spid="_x0000_s1026" style="position:absolute;margin-left:0;margin-top:91.1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BeG6vX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6"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2F7053DB"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37311D">
            <w:rPr>
              <w:rFonts w:asciiTheme="minorHAnsi" w:eastAsiaTheme="minorEastAsia" w:hAnsiTheme="minorHAnsi" w:cstheme="minorBidi"/>
              <w:b/>
              <w:sz w:val="18"/>
              <w:szCs w:val="16"/>
              <w:lang w:eastAsia="en-US"/>
            </w:rPr>
            <w:t>14 June</w:t>
          </w:r>
          <w:r w:rsidR="002C76AE" w:rsidRPr="00A76C98">
            <w:rPr>
              <w:rFonts w:asciiTheme="minorHAnsi" w:eastAsiaTheme="minorEastAsia" w:hAnsiTheme="minorHAnsi" w:cstheme="minorBidi"/>
              <w:b/>
              <w:sz w:val="18"/>
              <w:szCs w:val="16"/>
              <w:lang w:eastAsia="en-US"/>
            </w:rPr>
            <w:t xml:space="preserve"> 202</w:t>
          </w:r>
          <w:r w:rsidR="003D1099">
            <w:rPr>
              <w:rFonts w:asciiTheme="minorHAnsi" w:eastAsiaTheme="minorEastAsia" w:hAnsiTheme="minorHAnsi" w:cstheme="minorBidi"/>
              <w:b/>
              <w:sz w:val="18"/>
              <w:szCs w:val="16"/>
              <w:lang w:eastAsia="en-US"/>
            </w:rPr>
            <w:t>4</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20E6626F"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B26BA">
            <w:rPr>
              <w:rFonts w:eastAsiaTheme="minorEastAsia" w:cstheme="minorBidi"/>
              <w:sz w:val="18"/>
              <w:szCs w:val="16"/>
              <w:lang w:eastAsia="en-US"/>
            </w:rPr>
            <w:t>EUGB</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7E29AB30"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B26BA">
            <w:rPr>
              <w:rFonts w:eastAsiaTheme="minorEastAsia" w:cstheme="minorBidi"/>
              <w:sz w:val="18"/>
              <w:szCs w:val="16"/>
              <w:lang w:eastAsia="en-US"/>
            </w:rPr>
            <w:t>EUGB</w:t>
          </w:r>
          <w:r w:rsidRPr="00A409C2">
            <w:rPr>
              <w:rFonts w:eastAsiaTheme="minorEastAsia" w:cstheme="minorBidi"/>
              <w:sz w:val="18"/>
              <w:szCs w:val="16"/>
              <w:lang w:eastAsia="en-US"/>
            </w:rPr>
            <w:t>_nameofrespondent_RESPONSEFORM. For example, for a respondent named ABCD, the response form would be entitled ESMA_</w:t>
          </w:r>
          <w:r w:rsidR="0037311D">
            <w:rPr>
              <w:rFonts w:eastAsiaTheme="minorEastAsia" w:cstheme="minorBidi"/>
              <w:sz w:val="18"/>
              <w:szCs w:val="16"/>
              <w:lang w:eastAsia="en-US"/>
            </w:rPr>
            <w:t>EUGB</w:t>
          </w:r>
          <w:r w:rsidRPr="00A409C2">
            <w:rPr>
              <w:rFonts w:eastAsiaTheme="minorEastAsia" w:cstheme="minorBidi"/>
              <w:sz w:val="18"/>
              <w:szCs w:val="16"/>
              <w:lang w:eastAsia="en-US"/>
            </w:rPr>
            <w:t>_ABCD_RESPONSEFORM.</w:t>
          </w:r>
        </w:p>
        <w:p w14:paraId="28EEA743" w14:textId="2B8D6968"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Consultation Paper </w:t>
          </w:r>
          <w:r w:rsidR="003B26BA" w:rsidRPr="003B26BA">
            <w:rPr>
              <w:rFonts w:eastAsiaTheme="minorEastAsia" w:cstheme="minorBidi"/>
              <w:sz w:val="18"/>
              <w:szCs w:val="16"/>
              <w:lang w:eastAsia="en-US"/>
            </w:rPr>
            <w:t>on technical standards on the European Green Bonds Regulation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lastRenderedPageBreak/>
            <w:t xml:space="preserve">Information on data protection can be found at </w:t>
          </w:r>
          <w:hyperlink r:id="rId17"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8"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41318A91" w:rsidR="00C85C8B" w:rsidRDefault="0037311D" w:rsidP="008279D3">
      <w:pPr>
        <w:pStyle w:val="Heading1"/>
        <w:numPr>
          <w:ilvl w:val="0"/>
          <w:numId w:val="0"/>
        </w:numPr>
        <w:spacing w:line="276" w:lineRule="auto"/>
        <w:rPr>
          <w:rFonts w:asciiTheme="minorHAnsi" w:hAnsiTheme="minorHAnsi" w:cstheme="minorHAnsi"/>
          <w:sz w:val="20"/>
          <w:szCs w:val="20"/>
        </w:rPr>
      </w:pPr>
      <w:r w:rsidRPr="0037311D">
        <w:rPr>
          <w:rFonts w:ascii="Arial" w:eastAsia="Times New Roman" w:hAnsi="Arial" w:cs="Arial"/>
          <w:b w:val="0"/>
          <w:sz w:val="18"/>
          <w:szCs w:val="18"/>
          <w:lang w:eastAsia="it-IT"/>
        </w:rPr>
        <w:t>All interested stakeholders are invited to respond to this consultation paper. In particular, ESMA invites entities that intend to apply for registration as external reviewers, second party opinion providers, issuers, issuer associations and financial market participants who have or intend to issue or invest in green bonds or sustainability-linked bonds</w:t>
      </w:r>
      <w:r w:rsidR="00FA64BE" w:rsidRPr="00FA64BE">
        <w:rPr>
          <w:rFonts w:ascii="Arial" w:eastAsia="Times New Roman" w:hAnsi="Arial" w:cs="Arial"/>
          <w:b w:val="0"/>
          <w:sz w:val="18"/>
          <w:szCs w:val="18"/>
          <w:lang w:eastAsia="it-IT"/>
        </w:rPr>
        <w:t xml:space="preserve">.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shd w:val="clear" w:color="auto" w:fill="auto"/>
              </w:tcPr>
              <w:p w14:paraId="1B67440D" w14:textId="05B39151" w:rsidR="00C85C8B" w:rsidRPr="00B16706" w:rsidRDefault="00D4471C" w:rsidP="00C85C8B">
                <w:pPr>
                  <w:rPr>
                    <w:rFonts w:ascii="Arial" w:hAnsi="Arial" w:cs="Arial"/>
                    <w:color w:val="808080"/>
                    <w:sz w:val="16"/>
                    <w:szCs w:val="20"/>
                    <w:lang w:eastAsia="de-DE"/>
                  </w:rPr>
                </w:pPr>
                <w:r>
                  <w:rPr>
                    <w:rFonts w:ascii="Arial" w:hAnsi="Arial" w:cs="Arial"/>
                    <w:color w:val="808080"/>
                    <w:sz w:val="16"/>
                    <w:szCs w:val="20"/>
                    <w:lang w:eastAsia="de-DE"/>
                  </w:rPr>
                  <w:t>KPMG International</w:t>
                </w:r>
              </w:p>
            </w:tc>
          </w:sdtContent>
        </w:sdt>
      </w:tr>
      <w:tr w:rsidR="00C85C8B" w:rsidRPr="00B16706" w14:paraId="216F3E57" w14:textId="77777777" w:rsidTr="00C16775">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1BCFF79C" w:rsidR="00C85C8B" w:rsidRPr="00B16706" w:rsidRDefault="00067E1E"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D4471C">
                  <w:rPr>
                    <w:rFonts w:ascii="Arial" w:hAnsi="Arial" w:cs="Arial"/>
                    <w:sz w:val="16"/>
                    <w:szCs w:val="20"/>
                    <w:lang w:eastAsia="de-DE"/>
                  </w:rPr>
                  <w:t>Audit/Legal/Individual</w:t>
                </w:r>
              </w:sdtContent>
            </w:sdt>
          </w:p>
        </w:tc>
      </w:tr>
      <w:tr w:rsidR="00C85C8B" w:rsidRPr="00B16706" w14:paraId="0D216581" w14:textId="77777777" w:rsidTr="00C16775">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511A3048" w:rsidR="00C85C8B" w:rsidRPr="00B16706" w:rsidRDefault="0037311D"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0CE59EAF" w:rsidR="00C85C8B" w:rsidRPr="00B16706" w:rsidRDefault="00135209" w:rsidP="00C85C8B">
                <w:pPr>
                  <w:rPr>
                    <w:rFonts w:ascii="Arial" w:hAnsi="Arial" w:cs="Arial"/>
                    <w:sz w:val="16"/>
                    <w:szCs w:val="20"/>
                    <w:lang w:eastAsia="de-DE"/>
                  </w:rPr>
                </w:pPr>
                <w:r>
                  <w:rPr>
                    <w:rFonts w:ascii="Arial" w:hAnsi="Arial" w:cs="Arial"/>
                    <w:sz w:val="16"/>
                    <w:szCs w:val="20"/>
                    <w:lang w:eastAsia="de-DE"/>
                  </w:rPr>
                  <w:t>International</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p w14:paraId="14C3989A" w14:textId="77777777" w:rsidR="001B1B48" w:rsidRDefault="001B1B48">
      <w:pPr>
        <w:spacing w:after="120" w:line="264" w:lineRule="auto"/>
        <w:rPr>
          <w:rFonts w:ascii="Arial" w:hAnsi="Arial" w:cs="Arial"/>
          <w:b/>
          <w:sz w:val="22"/>
          <w:szCs w:val="22"/>
          <w:lang w:val="en-US" w:eastAsia="en-US"/>
        </w:rPr>
      </w:pPr>
    </w:p>
    <w:bookmarkEnd w:id="0"/>
    <w:p w14:paraId="5B87C99A" w14:textId="24383D33" w:rsidR="001B1B48" w:rsidRPr="001B1B48" w:rsidRDefault="0037311D" w:rsidP="001B1B48">
      <w:pPr>
        <w:numPr>
          <w:ilvl w:val="0"/>
          <w:numId w:val="31"/>
        </w:numPr>
        <w:spacing w:after="240" w:line="259" w:lineRule="auto"/>
        <w:ind w:left="851" w:hanging="851"/>
        <w:jc w:val="both"/>
        <w:rPr>
          <w:rFonts w:ascii="Arial" w:hAnsi="Arial" w:cs="Arial"/>
          <w:b/>
          <w:sz w:val="22"/>
          <w:szCs w:val="22"/>
          <w:lang w:val="en-US" w:eastAsia="en-US"/>
        </w:rPr>
      </w:pPr>
      <w:r w:rsidRPr="0037311D">
        <w:rPr>
          <w:rFonts w:ascii="Arial" w:hAnsi="Arial" w:cs="Arial"/>
          <w:b/>
          <w:sz w:val="22"/>
          <w:szCs w:val="22"/>
          <w:lang w:val="en-US" w:eastAsia="en-US"/>
        </w:rPr>
        <w:t>Do you agree with ESMA’s proposals to specify the criteria to assess the sufficiently good repute, skill, professional qualifications and experience of senior management and members of the board of an external reviewer?</w:t>
      </w:r>
    </w:p>
    <w:p w14:paraId="034DFB41" w14:textId="7DE25C3A"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_1&gt;</w:t>
      </w:r>
    </w:p>
    <w:p w14:paraId="323D50A6" w14:textId="77777777" w:rsidR="006F7AB9" w:rsidRPr="006F7AB9" w:rsidRDefault="006F7AB9" w:rsidP="003A4BED">
      <w:pPr>
        <w:spacing w:after="120" w:line="276" w:lineRule="auto"/>
        <w:rPr>
          <w:rFonts w:ascii="Arial" w:hAnsi="Arial" w:cs="Arial"/>
          <w:color w:val="202124"/>
          <w:sz w:val="22"/>
          <w:szCs w:val="22"/>
        </w:rPr>
      </w:pPr>
      <w:r w:rsidRPr="006F7AB9">
        <w:rPr>
          <w:rFonts w:ascii="Arial" w:hAnsi="Arial" w:cs="Arial"/>
          <w:color w:val="202124"/>
          <w:sz w:val="22"/>
          <w:szCs w:val="22"/>
        </w:rPr>
        <w:t>While we understand the approach taken by ESMA to set out specific criteria to enable comparable assessments of external reviewers’ suitability, we have certain</w:t>
      </w:r>
      <w:r w:rsidRPr="006F7AB9" w:rsidDel="00DE4CA5">
        <w:rPr>
          <w:rFonts w:ascii="Arial" w:hAnsi="Arial" w:cs="Arial"/>
          <w:color w:val="202124"/>
          <w:sz w:val="22"/>
          <w:szCs w:val="22"/>
        </w:rPr>
        <w:t xml:space="preserve"> </w:t>
      </w:r>
      <w:r w:rsidRPr="006F7AB9">
        <w:rPr>
          <w:rFonts w:ascii="Arial" w:hAnsi="Arial" w:cs="Arial"/>
          <w:color w:val="202124"/>
          <w:sz w:val="22"/>
          <w:szCs w:val="22"/>
        </w:rPr>
        <w:t xml:space="preserve">concerns over the detailed and extensive nature of the information requested. In our view, a more proportionate and cost-effective approach would be to focus on those senior managers and board members with specific responsibilities for supervising the external review work. This should still provide a sufficient level of comfort on the suitability of management. Alternatively, the scope of information to be provided could be lessened for all senior management and board members. This could be limited to information that is essential for the determination of suitability, e.g. without requiring criminal records or detailed fit and proper declarations for all senior management and board members. </w:t>
      </w:r>
    </w:p>
    <w:p w14:paraId="754BB3AA" w14:textId="77777777" w:rsidR="006F7AB9" w:rsidRPr="006F7AB9" w:rsidRDefault="006F7AB9" w:rsidP="003A4BED">
      <w:pPr>
        <w:spacing w:after="120" w:line="276" w:lineRule="auto"/>
        <w:rPr>
          <w:rFonts w:ascii="Arial" w:hAnsi="Arial" w:cs="Arial"/>
          <w:color w:val="000000" w:themeColor="text1"/>
          <w:kern w:val="24"/>
          <w:sz w:val="22"/>
          <w:szCs w:val="22"/>
        </w:rPr>
      </w:pPr>
      <w:r w:rsidRPr="006F7AB9">
        <w:rPr>
          <w:rFonts w:ascii="Arial" w:hAnsi="Arial" w:cs="Arial"/>
          <w:color w:val="202124"/>
          <w:sz w:val="22"/>
          <w:szCs w:val="22"/>
        </w:rPr>
        <w:t xml:space="preserve">We note that for audit firms undertaking external reviews, the EU Statutory Audit Directive includes overarching provisions in relation to ‘good repute’ (Article 4) as a condition of approval (Article 3(4)) or withdrawal of approval (Article 5). Senior management and members of the board therefore already obliged to meet ‘good repute’ requirements. </w:t>
      </w:r>
    </w:p>
    <w:p w14:paraId="38524F57" w14:textId="066716EA" w:rsidR="001B1B48" w:rsidRPr="001B1B48" w:rsidRDefault="001B1B48" w:rsidP="004B2E17">
      <w:pPr>
        <w:spacing w:after="120" w:line="276" w:lineRule="auto"/>
        <w:jc w:val="both"/>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_1&gt;</w:t>
      </w:r>
    </w:p>
    <w:p w14:paraId="48BA7F7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B7ECCA" w14:textId="57EA1954" w:rsidR="001B1B48" w:rsidRPr="001B1B48" w:rsidRDefault="0037311D" w:rsidP="42EC885E">
      <w:pPr>
        <w:numPr>
          <w:ilvl w:val="0"/>
          <w:numId w:val="31"/>
        </w:numPr>
        <w:spacing w:after="240" w:line="259" w:lineRule="auto"/>
        <w:ind w:left="851" w:hanging="851"/>
        <w:jc w:val="both"/>
        <w:rPr>
          <w:rFonts w:ascii="Arial" w:hAnsi="Arial" w:cs="Arial"/>
          <w:b/>
          <w:sz w:val="22"/>
          <w:szCs w:val="22"/>
          <w:lang w:val="en-US" w:eastAsia="en-US"/>
        </w:rPr>
      </w:pPr>
      <w:r w:rsidRPr="0037311D">
        <w:rPr>
          <w:rFonts w:ascii="Arial" w:hAnsi="Arial" w:cs="Arial"/>
          <w:b/>
          <w:sz w:val="22"/>
          <w:szCs w:val="22"/>
          <w:lang w:val="en-US" w:eastAsia="en-US"/>
        </w:rPr>
        <w:t>Do you agree with ESMA’s proposals to specify the criteria to assess the sufficiency of the number of analysts, employees and persons directly involved in the assessment activities and of their level of knowledge, experience and training?</w:t>
      </w:r>
    </w:p>
    <w:p w14:paraId="6C03D9F2" w14:textId="06B52983"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_2&gt;</w:t>
      </w:r>
    </w:p>
    <w:p w14:paraId="546548B2" w14:textId="77777777" w:rsidR="004273EF" w:rsidRPr="003A4BED" w:rsidRDefault="004273EF" w:rsidP="003A4BED">
      <w:pPr>
        <w:spacing w:after="120" w:line="276" w:lineRule="auto"/>
        <w:rPr>
          <w:rFonts w:ascii="Arial" w:hAnsi="Arial" w:cs="Arial"/>
          <w:color w:val="202124"/>
          <w:sz w:val="22"/>
          <w:szCs w:val="22"/>
        </w:rPr>
      </w:pPr>
      <w:r w:rsidRPr="003A4BED">
        <w:rPr>
          <w:rFonts w:ascii="Arial" w:hAnsi="Arial" w:cs="Arial"/>
          <w:color w:val="202124"/>
          <w:sz w:val="22"/>
          <w:szCs w:val="22"/>
        </w:rPr>
        <w:t xml:space="preserve">Our view is that the information requested both in relation to sufficiency (number of analysts, employees and other persons involved) and suitability (knowledge, experience and training), could be streamlined to focus on the collective suitability of the entire engagement team, given also that team composition may change over the course of an assessment (which happens often, in our experience). </w:t>
      </w:r>
    </w:p>
    <w:p w14:paraId="4CA2BF70" w14:textId="77777777" w:rsidR="004273EF" w:rsidRPr="003A4BED" w:rsidRDefault="004273EF" w:rsidP="003A4BED">
      <w:pPr>
        <w:spacing w:after="120" w:line="276" w:lineRule="auto"/>
        <w:rPr>
          <w:rFonts w:ascii="Arial" w:hAnsi="Arial" w:cs="Arial"/>
          <w:color w:val="202124"/>
          <w:sz w:val="22"/>
          <w:szCs w:val="22"/>
        </w:rPr>
      </w:pPr>
      <w:r w:rsidRPr="003A4BED">
        <w:rPr>
          <w:rFonts w:ascii="Arial" w:hAnsi="Arial" w:cs="Arial"/>
          <w:color w:val="202124"/>
          <w:sz w:val="22"/>
          <w:szCs w:val="22"/>
        </w:rPr>
        <w:t>In line with our comments on encouraging interoperability between existing regulatory frameworks (see answer to Q4 below), we observe that, for audit firms undertaking external reviews, the Statutory Audit Directive includes related provisions (i.e., Article 24b on organisation of the work). These requirements are further elaborated by the International Standard on Quality Management (ISQM1) and are also addressed in the CEAOB’s CAIM ISQM1 (i.e. ‘Human Resources’ section).</w:t>
      </w:r>
    </w:p>
    <w:p w14:paraId="578EB98F" w14:textId="5D7C8C01"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lastRenderedPageBreak/>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_2&gt;</w:t>
      </w:r>
    </w:p>
    <w:p w14:paraId="19719837"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E933B9" w14:textId="45366144" w:rsidR="001B1B48" w:rsidRPr="001B1B48" w:rsidRDefault="0037311D" w:rsidP="001B1B48">
      <w:pPr>
        <w:numPr>
          <w:ilvl w:val="0"/>
          <w:numId w:val="31"/>
        </w:numPr>
        <w:spacing w:after="240" w:line="259" w:lineRule="auto"/>
        <w:ind w:left="851" w:hanging="851"/>
        <w:jc w:val="both"/>
        <w:rPr>
          <w:rFonts w:ascii="Arial" w:hAnsi="Arial" w:cs="Arial"/>
          <w:b/>
          <w:sz w:val="22"/>
          <w:szCs w:val="22"/>
          <w:lang w:val="en-US" w:eastAsia="en-US"/>
        </w:rPr>
      </w:pPr>
      <w:r w:rsidRPr="0037311D">
        <w:rPr>
          <w:rFonts w:ascii="Arial" w:hAnsi="Arial" w:cs="Arial"/>
          <w:b/>
          <w:sz w:val="22"/>
          <w:szCs w:val="22"/>
          <w:lang w:val="en-US" w:eastAsia="en-US"/>
        </w:rPr>
        <w:t xml:space="preserve">Do you agree with ESMA’s proposals to specify the criteria to assess the sound and prudent management of the external reviewer? </w:t>
      </w:r>
    </w:p>
    <w:p w14:paraId="4E720D75" w14:textId="44986E39"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_3&gt;</w:t>
      </w:r>
    </w:p>
    <w:p w14:paraId="597B2935" w14:textId="77777777" w:rsidR="00766026" w:rsidRPr="00766026" w:rsidRDefault="00766026" w:rsidP="00766026">
      <w:pPr>
        <w:spacing w:after="120" w:line="276" w:lineRule="auto"/>
        <w:rPr>
          <w:rFonts w:ascii="Arial" w:hAnsi="Arial" w:cs="Arial"/>
          <w:color w:val="202124"/>
          <w:sz w:val="22"/>
          <w:szCs w:val="22"/>
        </w:rPr>
      </w:pPr>
      <w:r w:rsidRPr="00766026">
        <w:rPr>
          <w:rFonts w:ascii="Arial" w:hAnsi="Arial" w:cs="Arial"/>
          <w:color w:val="202124"/>
          <w:sz w:val="22"/>
          <w:szCs w:val="22"/>
        </w:rPr>
        <w:t xml:space="preserve">Under the international professional standards (i.e. International Standard on Assurance Engagements (ISAE) 3000) which we must apply to assurance services, we treat EU green bond pre-issuance and post-issuance external reviews as assurance services. As such, we are already required to meet existing regulatory requirements and apply consistent professional standards, including with regard to independence and conflicts of interest – and are subject to supervision. These include, under the Statutory Audit Directive, Article 21 on professional ethics and scepticism, and Article 22 on independence and objectivity. </w:t>
      </w:r>
    </w:p>
    <w:p w14:paraId="64E8B749" w14:textId="77777777" w:rsidR="00766026" w:rsidRPr="00766026" w:rsidRDefault="00766026" w:rsidP="00766026">
      <w:pPr>
        <w:spacing w:after="120" w:line="276" w:lineRule="auto"/>
        <w:rPr>
          <w:rFonts w:ascii="Arial" w:hAnsi="Arial" w:cs="Arial"/>
          <w:color w:val="202124"/>
          <w:sz w:val="22"/>
          <w:szCs w:val="22"/>
        </w:rPr>
      </w:pPr>
      <w:r w:rsidRPr="00766026">
        <w:rPr>
          <w:rFonts w:ascii="Arial" w:hAnsi="Arial" w:cs="Arial"/>
          <w:color w:val="202124"/>
          <w:sz w:val="22"/>
          <w:szCs w:val="22"/>
        </w:rPr>
        <w:t xml:space="preserve">In addition, all audit firms performing assurance engagements need to undertake an annual evaluation of their system of quality management, following ISQM1 – as applied in the EU via the Statutory Audit Directive (Article 24a).  </w:t>
      </w:r>
    </w:p>
    <w:p w14:paraId="4ECC4DFA" w14:textId="77777777" w:rsidR="00766026" w:rsidRPr="00766026" w:rsidRDefault="00766026" w:rsidP="00766026">
      <w:pPr>
        <w:spacing w:after="120" w:line="276" w:lineRule="auto"/>
        <w:rPr>
          <w:rFonts w:ascii="Arial" w:hAnsi="Arial" w:cs="Arial"/>
          <w:color w:val="202124"/>
          <w:sz w:val="22"/>
          <w:szCs w:val="22"/>
        </w:rPr>
      </w:pPr>
      <w:r w:rsidRPr="00766026">
        <w:rPr>
          <w:rFonts w:ascii="Arial" w:hAnsi="Arial" w:cs="Arial"/>
          <w:color w:val="202124"/>
          <w:sz w:val="22"/>
          <w:szCs w:val="22"/>
        </w:rPr>
        <w:t xml:space="preserve">We strongly encourage ESMA to consider an approach based on interoperability, whereby reliance can be placed on existing standards (as referred to above and throughout this document) setting out similar provisions on sound and prudent management, particularly where these are supervised by national competent authorities in the EU. Such an approach could also leverage provisions in the Statutory Audit Directive relating to the regulatory cooperation between national competent authorities and relevant European Supervisory Authorities (Article 36). </w:t>
      </w:r>
    </w:p>
    <w:p w14:paraId="5E4A0A54" w14:textId="499F8896" w:rsidR="00766026" w:rsidRPr="00766026" w:rsidRDefault="00766026" w:rsidP="00766026">
      <w:pPr>
        <w:spacing w:after="120" w:line="276" w:lineRule="auto"/>
        <w:rPr>
          <w:rFonts w:ascii="Arial" w:hAnsi="Arial" w:cs="Arial"/>
          <w:color w:val="202124"/>
          <w:sz w:val="22"/>
          <w:szCs w:val="22"/>
        </w:rPr>
      </w:pPr>
      <w:r w:rsidRPr="00766026">
        <w:rPr>
          <w:rFonts w:ascii="Arial" w:hAnsi="Arial" w:cs="Arial"/>
          <w:color w:val="202124"/>
          <w:sz w:val="22"/>
          <w:szCs w:val="22"/>
        </w:rPr>
        <w:t>In addition, the information requested in the related draft RTS (e.g. the disclosure of recent meeting minutes of the governance bodies, including the board and committees) raises significant practical and confidentiality concerns. Some of the information requested would appear to be more appropriate / applicable to entities other than external reviewers, (i.e. disaster-recovery record keeping which may be demanded of financial institutions).</w:t>
      </w:r>
    </w:p>
    <w:p w14:paraId="77645EA9" w14:textId="2F1BF31A"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_3&gt;</w:t>
      </w:r>
    </w:p>
    <w:p w14:paraId="60907BC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21E91081" w14:textId="52EF048A" w:rsidR="001B1B48" w:rsidRPr="0037311D" w:rsidRDefault="0037311D" w:rsidP="001B1B48">
      <w:pPr>
        <w:numPr>
          <w:ilvl w:val="0"/>
          <w:numId w:val="31"/>
        </w:numPr>
        <w:spacing w:after="240" w:line="259" w:lineRule="auto"/>
        <w:ind w:left="851" w:hanging="851"/>
        <w:jc w:val="both"/>
        <w:rPr>
          <w:rFonts w:ascii="Arial" w:hAnsi="Arial" w:cs="Arial"/>
          <w:b/>
          <w:sz w:val="22"/>
          <w:szCs w:val="22"/>
          <w:lang w:val="en-US" w:eastAsia="en-US"/>
        </w:rPr>
      </w:pPr>
      <w:r w:rsidRPr="0037311D">
        <w:rPr>
          <w:rFonts w:ascii="Arial" w:hAnsi="Arial" w:cs="Arial"/>
          <w:b/>
          <w:sz w:val="22"/>
          <w:szCs w:val="22"/>
          <w:lang w:val="en-US" w:eastAsia="en-US"/>
        </w:rPr>
        <w:t>Do you agree with ESMA’s proposals to specify the criteria to assess that any actual or potential conflicts of interest are properly identified, eliminated or managed, and disclosed in a transparent manner by the external reviewer?</w:t>
      </w:r>
    </w:p>
    <w:p w14:paraId="052AF9D6" w14:textId="7468E3B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_4&gt;</w:t>
      </w:r>
    </w:p>
    <w:p w14:paraId="28028C05" w14:textId="77777777" w:rsidR="00E81590" w:rsidRPr="005713CE" w:rsidRDefault="00E81590" w:rsidP="005713CE">
      <w:pPr>
        <w:spacing w:after="120" w:line="276" w:lineRule="auto"/>
        <w:rPr>
          <w:rFonts w:ascii="Arial" w:hAnsi="Arial" w:cs="Arial"/>
          <w:color w:val="202124"/>
          <w:sz w:val="22"/>
          <w:szCs w:val="22"/>
        </w:rPr>
      </w:pPr>
      <w:r w:rsidRPr="005713CE">
        <w:rPr>
          <w:rFonts w:ascii="Arial" w:hAnsi="Arial" w:cs="Arial"/>
          <w:color w:val="202124"/>
          <w:sz w:val="22"/>
          <w:szCs w:val="22"/>
        </w:rPr>
        <w:t xml:space="preserve">We acknowledge the importance of ensuring independence in reviewing green bonds, including the avoidance of conflicts of interest. However, to limit the duplications between and potential inconsistencies with many of the proposed requirements for potential external reviewers with existing rules and standards (as noted above), a more interoperable framework could be set up for external reviewers already meeting EU regulatory registration </w:t>
      </w:r>
      <w:r w:rsidRPr="005713CE">
        <w:rPr>
          <w:rFonts w:ascii="Arial" w:hAnsi="Arial" w:cs="Arial"/>
          <w:color w:val="202124"/>
          <w:sz w:val="22"/>
          <w:szCs w:val="22"/>
        </w:rPr>
        <w:lastRenderedPageBreak/>
        <w:t>and/or accreditation requirements, to be supervised, for example, by national competent authorities.</w:t>
      </w:r>
    </w:p>
    <w:p w14:paraId="04C276C9" w14:textId="77777777" w:rsidR="00E81590" w:rsidRPr="005713CE" w:rsidRDefault="00E81590" w:rsidP="005713CE">
      <w:pPr>
        <w:spacing w:after="120" w:line="276" w:lineRule="auto"/>
        <w:rPr>
          <w:rFonts w:ascii="Arial" w:hAnsi="Arial" w:cs="Arial"/>
          <w:color w:val="000000" w:themeColor="text1"/>
          <w:kern w:val="24"/>
          <w:sz w:val="22"/>
          <w:szCs w:val="20"/>
        </w:rPr>
      </w:pPr>
      <w:r w:rsidRPr="005713CE">
        <w:rPr>
          <w:rFonts w:ascii="Arial" w:hAnsi="Arial" w:cs="Arial"/>
          <w:color w:val="000000" w:themeColor="text1"/>
          <w:kern w:val="24"/>
          <w:sz w:val="22"/>
          <w:szCs w:val="20"/>
        </w:rPr>
        <w:t>For instance, the EU audit framework already requires that member states have effective systems of investigations (and sanctioning powers) in place (Statutory Audit Directive, Article 30), ensuring that audit firms are subject to public oversight (Statutory Audit Directive, Article 32) – with additional powers granted to competent authorities in the case of PIE auditors (i.e., Audit Regulation, Article 23 and Article 26). The Committee of Audit Oversight Bodies (CEAOB) Inspection Subgroup, which includes a representative from ESMA, further promotes common methodological support for the inspection of audit firms, via the development of Common Audit Inspection Methodologies (CAIM) including a comprehensive mapping of applicable ethical and independence rules and standards (</w:t>
      </w:r>
      <w:hyperlink r:id="rId19" w:history="1">
        <w:r w:rsidRPr="005713CE">
          <w:rPr>
            <w:rStyle w:val="Hyperlink"/>
            <w:rFonts w:ascii="Arial" w:hAnsi="Arial" w:cs="Arial"/>
            <w:sz w:val="22"/>
            <w:szCs w:val="22"/>
          </w:rPr>
          <w:t>Common audit inspection methodology - Risk Assessment Process (europa.eu)</w:t>
        </w:r>
      </w:hyperlink>
      <w:r w:rsidRPr="005713CE">
        <w:rPr>
          <w:rFonts w:ascii="Arial" w:hAnsi="Arial" w:cs="Arial"/>
          <w:sz w:val="22"/>
          <w:szCs w:val="22"/>
        </w:rPr>
        <w:t>).</w:t>
      </w:r>
    </w:p>
    <w:p w14:paraId="33539DC4" w14:textId="77777777" w:rsidR="00E81590" w:rsidRPr="005713CE" w:rsidRDefault="00E81590" w:rsidP="005713CE">
      <w:pPr>
        <w:spacing w:after="120" w:line="276" w:lineRule="auto"/>
        <w:rPr>
          <w:rFonts w:ascii="Arial" w:hAnsi="Arial" w:cs="Arial"/>
          <w:color w:val="202124"/>
          <w:sz w:val="22"/>
          <w:szCs w:val="22"/>
        </w:rPr>
      </w:pPr>
      <w:r w:rsidRPr="005713CE">
        <w:rPr>
          <w:rFonts w:ascii="Arial" w:hAnsi="Arial" w:cs="Arial"/>
          <w:color w:val="202124"/>
          <w:sz w:val="22"/>
          <w:szCs w:val="22"/>
        </w:rPr>
        <w:t xml:space="preserve">As it stands, the approach set out in the draft RTS, focuses on the review and evaluation of external reviewers’ policies in relation to conflicts of policy by ESMA, rather than defining clear requirements which can then be assessed by national competent authorities for compliance during regulatory inspections. This will encompass a wide range of potentially diverging policies and procedures, including those required of more regulated entities such as audit firms, as well as those developed individually by less regulated entities.  </w:t>
      </w:r>
    </w:p>
    <w:p w14:paraId="29D82A24" w14:textId="77777777" w:rsidR="00E81590" w:rsidRPr="005713CE" w:rsidRDefault="00E81590" w:rsidP="005713CE">
      <w:pPr>
        <w:spacing w:after="120" w:line="276" w:lineRule="auto"/>
        <w:rPr>
          <w:rFonts w:ascii="Arial" w:hAnsi="Arial" w:cs="Arial"/>
          <w:color w:val="202124"/>
          <w:sz w:val="22"/>
          <w:szCs w:val="22"/>
        </w:rPr>
      </w:pPr>
      <w:r w:rsidRPr="005713CE">
        <w:rPr>
          <w:rFonts w:ascii="Arial" w:hAnsi="Arial" w:cs="Arial"/>
          <w:color w:val="202124"/>
          <w:sz w:val="22"/>
          <w:szCs w:val="22"/>
        </w:rPr>
        <w:t xml:space="preserve">The draft RTS also requests a substantive amount of information relating to conflicts of interest (including policies, up-to-date inventories of existing and potential conflicts of interest, proposed mitigation measures) – as well as information on other policies (i.e. reporting and whistleblowing, remuneration, third party transactions, outside business activities, hospitality and gifts). These policies may differ between external reviewers, requiring ESMA to assess the suitability of the information provided during the registration process. </w:t>
      </w:r>
    </w:p>
    <w:p w14:paraId="64D57AEC" w14:textId="77777777" w:rsidR="00E81590" w:rsidRPr="005713CE" w:rsidRDefault="00E81590" w:rsidP="005713CE">
      <w:pPr>
        <w:spacing w:after="120" w:line="276" w:lineRule="auto"/>
        <w:rPr>
          <w:rFonts w:ascii="Arial" w:hAnsi="Arial" w:cs="Arial"/>
          <w:color w:val="202124"/>
          <w:sz w:val="22"/>
          <w:szCs w:val="22"/>
        </w:rPr>
      </w:pPr>
      <w:r w:rsidRPr="005713CE">
        <w:rPr>
          <w:rFonts w:ascii="Arial" w:hAnsi="Arial" w:cs="Arial"/>
          <w:color w:val="202124"/>
          <w:sz w:val="22"/>
          <w:szCs w:val="22"/>
        </w:rPr>
        <w:t xml:space="preserve">We believe the proposed requirements set out in the RTS could be simplified, thereby reducing administrative demands on and compliance challenges for external reviewers. A more proportional, consistent, cost-effective and less duplicative approach could be based on interoperability mapping with existing rules and standards that serve to demonstrate compliance with the objectives of the draft RTS. We note, for instance that PIE audit firms already provide a significant level of mandated information both directly to national competent authorities through supervisory process as well as publicly in their Transparency Reports, as required by the EU Audit Regulation (Article 13). </w:t>
      </w:r>
    </w:p>
    <w:p w14:paraId="6CD99363" w14:textId="77777777" w:rsidR="00E81590" w:rsidRPr="005713CE" w:rsidRDefault="00E81590" w:rsidP="005713CE">
      <w:pPr>
        <w:spacing w:after="120" w:line="276" w:lineRule="auto"/>
        <w:rPr>
          <w:rFonts w:ascii="Arial" w:hAnsi="Arial" w:cs="Arial"/>
          <w:color w:val="202124"/>
          <w:sz w:val="22"/>
          <w:szCs w:val="22"/>
        </w:rPr>
      </w:pPr>
      <w:r w:rsidRPr="005713CE">
        <w:rPr>
          <w:rFonts w:ascii="Arial" w:hAnsi="Arial" w:cs="Arial"/>
          <w:color w:val="202124"/>
          <w:sz w:val="22"/>
          <w:szCs w:val="22"/>
        </w:rPr>
        <w:t xml:space="preserve">Other references could include:  </w:t>
      </w:r>
    </w:p>
    <w:p w14:paraId="71F82D21" w14:textId="77777777" w:rsidR="00E81590" w:rsidRPr="005713CE" w:rsidRDefault="00E81590" w:rsidP="005713CE">
      <w:pPr>
        <w:pStyle w:val="ListParagraph"/>
        <w:numPr>
          <w:ilvl w:val="0"/>
          <w:numId w:val="33"/>
        </w:numPr>
        <w:tabs>
          <w:tab w:val="clear" w:pos="0"/>
          <w:tab w:val="clear" w:pos="142"/>
          <w:tab w:val="clear" w:pos="284"/>
          <w:tab w:val="clear" w:pos="567"/>
        </w:tabs>
        <w:autoSpaceDE/>
        <w:autoSpaceDN/>
        <w:adjustRightInd/>
        <w:spacing w:after="120" w:line="276" w:lineRule="auto"/>
        <w:ind w:left="714" w:hanging="357"/>
        <w:jc w:val="left"/>
        <w:rPr>
          <w:rFonts w:ascii="Arial" w:hAnsi="Arial" w:cs="Arial"/>
          <w:color w:val="000000" w:themeColor="text1"/>
          <w:kern w:val="24"/>
        </w:rPr>
      </w:pPr>
      <w:r w:rsidRPr="005713CE">
        <w:rPr>
          <w:rFonts w:ascii="Arial" w:hAnsi="Arial" w:cs="Arial"/>
          <w:color w:val="000000" w:themeColor="text1"/>
          <w:kern w:val="24"/>
        </w:rPr>
        <w:t>Statutory Audit Directive - Article 22 on independence and objectivity; Article 22b on preparation for the statutory audit and assessment of threats to independence; Article 24a on internal organisation of statutory auditors and audit firms (including an annual evaluation of internal quality control systems);</w:t>
      </w:r>
    </w:p>
    <w:p w14:paraId="58E8480B" w14:textId="77777777" w:rsidR="00E81590" w:rsidRPr="005713CE" w:rsidRDefault="00E81590" w:rsidP="005713CE">
      <w:pPr>
        <w:pStyle w:val="ListParagraph"/>
        <w:numPr>
          <w:ilvl w:val="0"/>
          <w:numId w:val="33"/>
        </w:numPr>
        <w:tabs>
          <w:tab w:val="clear" w:pos="0"/>
          <w:tab w:val="clear" w:pos="142"/>
          <w:tab w:val="clear" w:pos="284"/>
          <w:tab w:val="clear" w:pos="567"/>
        </w:tabs>
        <w:autoSpaceDE/>
        <w:autoSpaceDN/>
        <w:adjustRightInd/>
        <w:spacing w:after="120" w:line="276" w:lineRule="auto"/>
        <w:ind w:left="714" w:hanging="357"/>
        <w:jc w:val="left"/>
        <w:rPr>
          <w:rFonts w:ascii="Arial" w:hAnsi="Arial" w:cs="Arial"/>
          <w:color w:val="000000" w:themeColor="text1"/>
          <w:kern w:val="24"/>
        </w:rPr>
      </w:pPr>
      <w:r w:rsidRPr="005713CE">
        <w:rPr>
          <w:rFonts w:ascii="Arial" w:hAnsi="Arial" w:cs="Arial"/>
          <w:color w:val="000000" w:themeColor="text1"/>
          <w:kern w:val="24"/>
        </w:rPr>
        <w:t>ISQM1 – which already requires audit firms (that are also external reviewers) to undertake annual evaluations of their system of quality management and is implemented via the EU Statutory Audit Directive (Article 24a) across the EU;</w:t>
      </w:r>
    </w:p>
    <w:p w14:paraId="6220ADFA" w14:textId="77777777" w:rsidR="00E81590" w:rsidRPr="005713CE" w:rsidRDefault="00E81590" w:rsidP="005713CE">
      <w:pPr>
        <w:pStyle w:val="ListParagraph"/>
        <w:numPr>
          <w:ilvl w:val="0"/>
          <w:numId w:val="33"/>
        </w:numPr>
        <w:tabs>
          <w:tab w:val="clear" w:pos="0"/>
          <w:tab w:val="clear" w:pos="142"/>
          <w:tab w:val="clear" w:pos="284"/>
          <w:tab w:val="clear" w:pos="567"/>
        </w:tabs>
        <w:autoSpaceDE/>
        <w:autoSpaceDN/>
        <w:adjustRightInd/>
        <w:spacing w:after="120" w:line="276" w:lineRule="auto"/>
        <w:ind w:left="714" w:hanging="357"/>
        <w:jc w:val="left"/>
        <w:rPr>
          <w:rFonts w:ascii="Arial" w:hAnsi="Arial" w:cs="Arial"/>
          <w:color w:val="000000" w:themeColor="text1"/>
          <w:kern w:val="24"/>
        </w:rPr>
      </w:pPr>
      <w:r w:rsidRPr="005713CE">
        <w:rPr>
          <w:rFonts w:ascii="Arial" w:hAnsi="Arial" w:cs="Arial"/>
          <w:color w:val="000000" w:themeColor="text1"/>
          <w:kern w:val="24"/>
        </w:rPr>
        <w:lastRenderedPageBreak/>
        <w:t>IESBA Code of Ethics – with specific reference to Part 4B which comprises the independence standards for assurance engagements, including dealing with conflicts of interest; and</w:t>
      </w:r>
    </w:p>
    <w:p w14:paraId="1ABF43D0" w14:textId="77777777" w:rsidR="00E81590" w:rsidRPr="005713CE" w:rsidRDefault="00E81590" w:rsidP="005713CE">
      <w:pPr>
        <w:pStyle w:val="ListParagraph"/>
        <w:numPr>
          <w:ilvl w:val="0"/>
          <w:numId w:val="33"/>
        </w:numPr>
        <w:tabs>
          <w:tab w:val="clear" w:pos="0"/>
          <w:tab w:val="clear" w:pos="142"/>
          <w:tab w:val="clear" w:pos="284"/>
          <w:tab w:val="clear" w:pos="567"/>
        </w:tabs>
        <w:autoSpaceDE/>
        <w:autoSpaceDN/>
        <w:adjustRightInd/>
        <w:spacing w:after="120" w:line="276" w:lineRule="auto"/>
        <w:ind w:left="714" w:hanging="357"/>
        <w:jc w:val="left"/>
        <w:rPr>
          <w:rFonts w:ascii="Arial" w:hAnsi="Arial" w:cs="Arial"/>
          <w:color w:val="000000" w:themeColor="text1"/>
          <w:kern w:val="24"/>
        </w:rPr>
      </w:pPr>
      <w:r w:rsidRPr="005713CE">
        <w:rPr>
          <w:rFonts w:ascii="Arial" w:hAnsi="Arial" w:cs="Arial"/>
          <w:color w:val="000000" w:themeColor="text1"/>
          <w:kern w:val="24"/>
        </w:rPr>
        <w:t xml:space="preserve">Other local standards that set out similar criteria. </w:t>
      </w:r>
    </w:p>
    <w:p w14:paraId="36993CEF" w14:textId="77777777" w:rsidR="00E81590" w:rsidRPr="005713CE" w:rsidRDefault="00E81590" w:rsidP="005713CE">
      <w:pPr>
        <w:spacing w:after="120" w:line="276" w:lineRule="auto"/>
        <w:rPr>
          <w:rFonts w:ascii="Arial" w:hAnsi="Arial" w:cs="Arial"/>
          <w:color w:val="202124"/>
          <w:sz w:val="22"/>
          <w:szCs w:val="22"/>
        </w:rPr>
      </w:pPr>
      <w:r w:rsidRPr="005713CE">
        <w:rPr>
          <w:rFonts w:ascii="Arial" w:hAnsi="Arial" w:cs="Arial"/>
          <w:color w:val="202124"/>
          <w:sz w:val="22"/>
          <w:szCs w:val="22"/>
        </w:rPr>
        <w:t>The CEAOB CAIM ISQM1, adopted in 2022, includes a detailed overview of the different components to be inspected by national competent authorities, with reference to relevant laws and regulations. These include sections on risk assessment processes, governance and leadership, relevant ethical requirements, acceptance and continuance and resources.</w:t>
      </w:r>
    </w:p>
    <w:p w14:paraId="2FC36368" w14:textId="77777777" w:rsidR="00E81590" w:rsidRPr="005713CE" w:rsidRDefault="00E81590" w:rsidP="005713CE">
      <w:pPr>
        <w:spacing w:after="120" w:line="276" w:lineRule="auto"/>
        <w:rPr>
          <w:rFonts w:ascii="Arial" w:hAnsi="Arial" w:cs="Arial"/>
          <w:color w:val="202124"/>
          <w:sz w:val="22"/>
          <w:szCs w:val="22"/>
        </w:rPr>
      </w:pPr>
      <w:r w:rsidRPr="005713CE">
        <w:rPr>
          <w:rFonts w:ascii="Arial" w:hAnsi="Arial" w:cs="Arial"/>
          <w:color w:val="202124"/>
          <w:sz w:val="22"/>
          <w:szCs w:val="22"/>
        </w:rPr>
        <w:t xml:space="preserve">KPMG International’s policies and processes relating to client/engagement acceptance and continuance, are designed to help KPMG member firms identify and evaluate potential risks prior to accepting or continuing a client relationship, or performing a specific engagement (with reference to applicable laws and regulations). These include potential independence and conflict of interest issues using KPMG’s web-based global conflicts and independence checking system, Sentinel. Where client/engagement acceptance (or continuance) decisions pose significant risks to the KPMG network, additional internal approvals are required. </w:t>
      </w:r>
    </w:p>
    <w:p w14:paraId="0C783195" w14:textId="712C2873" w:rsidR="00D41DA1" w:rsidRDefault="005713CE" w:rsidP="005713CE">
      <w:pPr>
        <w:spacing w:after="120" w:line="276" w:lineRule="auto"/>
        <w:rPr>
          <w:rFonts w:ascii="Arial" w:hAnsi="Arial" w:cs="Arial"/>
          <w:sz w:val="22"/>
          <w:szCs w:val="22"/>
        </w:rPr>
      </w:pPr>
      <w:r w:rsidRPr="005713CE">
        <w:rPr>
          <w:rStyle w:val="ui-provider"/>
          <w:rFonts w:ascii="Arial" w:eastAsiaTheme="majorEastAsia" w:hAnsi="Arial" w:cs="Arial"/>
          <w:sz w:val="22"/>
          <w:szCs w:val="22"/>
        </w:rPr>
        <w:t xml:space="preserve">Further details on how KPMG meets the requirements of ISQM1 and the IESBA Code of Ethics, including managing conflicts of interest, can be found in </w:t>
      </w:r>
      <w:r w:rsidRPr="005713CE">
        <w:rPr>
          <w:rFonts w:ascii="Arial" w:eastAsiaTheme="majorEastAsia" w:hAnsi="Arial" w:cs="Arial"/>
          <w:sz w:val="22"/>
          <w:szCs w:val="22"/>
        </w:rPr>
        <w:t>the latest KPMG International Transparency Report</w:t>
      </w:r>
      <w:r w:rsidRPr="005713CE">
        <w:rPr>
          <w:rStyle w:val="ui-provider"/>
          <w:rFonts w:ascii="Arial" w:eastAsiaTheme="majorEastAsia" w:hAnsi="Arial" w:cs="Arial"/>
          <w:sz w:val="22"/>
          <w:szCs w:val="22"/>
        </w:rPr>
        <w:t xml:space="preserve"> (</w:t>
      </w:r>
      <w:hyperlink r:id="rId20" w:history="1">
        <w:r w:rsidRPr="005713CE">
          <w:rPr>
            <w:rStyle w:val="Hyperlink"/>
            <w:rFonts w:ascii="Arial" w:hAnsi="Arial" w:cs="Arial"/>
            <w:sz w:val="22"/>
            <w:szCs w:val="22"/>
          </w:rPr>
          <w:t>Transparency Report 2023 (kpmg.com)</w:t>
        </w:r>
      </w:hyperlink>
      <w:r w:rsidRPr="005713CE">
        <w:rPr>
          <w:rFonts w:ascii="Arial" w:hAnsi="Arial" w:cs="Arial"/>
          <w:sz w:val="22"/>
          <w:szCs w:val="22"/>
        </w:rPr>
        <w:t>)</w:t>
      </w:r>
      <w:r w:rsidR="00D41DA1">
        <w:rPr>
          <w:rFonts w:ascii="Arial" w:hAnsi="Arial" w:cs="Arial"/>
          <w:sz w:val="22"/>
          <w:szCs w:val="22"/>
        </w:rPr>
        <w:t xml:space="preserve"> – </w:t>
      </w:r>
      <w:r w:rsidR="000C4422">
        <w:rPr>
          <w:rFonts w:ascii="Arial" w:hAnsi="Arial" w:cs="Arial"/>
          <w:sz w:val="22"/>
          <w:szCs w:val="22"/>
        </w:rPr>
        <w:t xml:space="preserve">with particular reference to </w:t>
      </w:r>
      <w:r w:rsidR="00D41DA1">
        <w:rPr>
          <w:rFonts w:ascii="Arial" w:hAnsi="Arial" w:cs="Arial"/>
          <w:sz w:val="22"/>
          <w:szCs w:val="22"/>
        </w:rPr>
        <w:t>the sections on</w:t>
      </w:r>
      <w:r w:rsidR="0091476D">
        <w:rPr>
          <w:rFonts w:ascii="Arial" w:hAnsi="Arial" w:cs="Arial"/>
          <w:sz w:val="22"/>
          <w:szCs w:val="22"/>
        </w:rPr>
        <w:t xml:space="preserve"> independence and ethics (</w:t>
      </w:r>
      <w:r w:rsidR="00D41DA1">
        <w:rPr>
          <w:rFonts w:ascii="Arial" w:hAnsi="Arial" w:cs="Arial"/>
          <w:sz w:val="22"/>
          <w:szCs w:val="22"/>
        </w:rPr>
        <w:t>pp. 22-25)</w:t>
      </w:r>
      <w:r w:rsidR="00F63744">
        <w:rPr>
          <w:rFonts w:ascii="Arial" w:hAnsi="Arial" w:cs="Arial"/>
          <w:sz w:val="22"/>
          <w:szCs w:val="22"/>
        </w:rPr>
        <w:t xml:space="preserve">, </w:t>
      </w:r>
      <w:r w:rsidR="006D2EFC">
        <w:rPr>
          <w:rFonts w:ascii="Arial" w:hAnsi="Arial" w:cs="Arial"/>
          <w:sz w:val="22"/>
          <w:szCs w:val="22"/>
        </w:rPr>
        <w:t>assessing risk to quality (</w:t>
      </w:r>
      <w:r w:rsidR="004E09F7">
        <w:rPr>
          <w:rFonts w:ascii="Arial" w:hAnsi="Arial" w:cs="Arial"/>
          <w:sz w:val="22"/>
          <w:szCs w:val="22"/>
        </w:rPr>
        <w:t>pp.2</w:t>
      </w:r>
      <w:r w:rsidR="006D2EFC">
        <w:rPr>
          <w:rFonts w:ascii="Arial" w:hAnsi="Arial" w:cs="Arial"/>
          <w:sz w:val="22"/>
          <w:szCs w:val="22"/>
        </w:rPr>
        <w:t>9)</w:t>
      </w:r>
      <w:r w:rsidR="00F63744">
        <w:rPr>
          <w:rFonts w:ascii="Arial" w:hAnsi="Arial" w:cs="Arial"/>
          <w:sz w:val="22"/>
          <w:szCs w:val="22"/>
        </w:rPr>
        <w:t xml:space="preserve">, monitoring </w:t>
      </w:r>
      <w:r w:rsidR="00553A03">
        <w:rPr>
          <w:rFonts w:ascii="Arial" w:hAnsi="Arial" w:cs="Arial"/>
          <w:sz w:val="22"/>
          <w:szCs w:val="22"/>
        </w:rPr>
        <w:t>quality (p.30-32).</w:t>
      </w:r>
    </w:p>
    <w:p w14:paraId="3AF2B284" w14:textId="77777777" w:rsidR="005713CE" w:rsidRPr="005713CE" w:rsidRDefault="005713CE" w:rsidP="005713CE">
      <w:pPr>
        <w:spacing w:after="120" w:line="276" w:lineRule="auto"/>
        <w:rPr>
          <w:rFonts w:ascii="Arial" w:hAnsi="Arial" w:cs="Arial"/>
          <w:color w:val="202124"/>
          <w:sz w:val="22"/>
          <w:szCs w:val="22"/>
        </w:rPr>
      </w:pPr>
      <w:r w:rsidRPr="005713CE">
        <w:rPr>
          <w:rFonts w:ascii="Arial" w:hAnsi="Arial" w:cs="Arial"/>
          <w:color w:val="202124"/>
          <w:sz w:val="22"/>
          <w:szCs w:val="22"/>
        </w:rPr>
        <w:t xml:space="preserve">Given the likelihood that policies and inventories will change – along with information on governance structures, senior management and organisational arrangements (i.e. continuity and regularity, confidentiality and security, administrative and accounting procedures) – it would be appropriate to set up an ongoing process for external reviewers to submit updates to ESMA.   </w:t>
      </w:r>
    </w:p>
    <w:p w14:paraId="2F0C894F" w14:textId="0F77D705"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_4&gt;</w:t>
      </w:r>
    </w:p>
    <w:p w14:paraId="0EFC77F0"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0691FCAC" w14:textId="05D8C4C4" w:rsidR="001B1B48" w:rsidRPr="001B1B48" w:rsidRDefault="0037311D" w:rsidP="36725D5C">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agree with ESMA’s proposals to specify the criteria for assessing the appropriateness of the knowledge, experience and training of the persons referred to in Article 28(1)?</w:t>
      </w:r>
    </w:p>
    <w:p w14:paraId="2996F4BA" w14:textId="237E7811"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_5&gt;</w:t>
      </w:r>
    </w:p>
    <w:p w14:paraId="1CA7D94F" w14:textId="77777777" w:rsidR="00B45001" w:rsidRPr="00B45001" w:rsidRDefault="00B45001" w:rsidP="00B45001">
      <w:pPr>
        <w:spacing w:after="120" w:line="276" w:lineRule="auto"/>
        <w:rPr>
          <w:rFonts w:ascii="Arial" w:hAnsi="Arial" w:cs="Arial"/>
          <w:color w:val="202124"/>
          <w:sz w:val="22"/>
          <w:szCs w:val="22"/>
        </w:rPr>
      </w:pPr>
      <w:r w:rsidRPr="00B45001">
        <w:rPr>
          <w:rFonts w:ascii="Arial" w:hAnsi="Arial" w:cs="Arial"/>
          <w:color w:val="202124"/>
          <w:sz w:val="22"/>
          <w:szCs w:val="22"/>
        </w:rPr>
        <w:t>The draft RTS sets out very detailed requirements with regards to the information requested for external review teams. There is scope for streamlining, for instance by clarifying whether the frequency of the process of assessment (knowledge, experience and training) is annual, or more often. It would also be helpful if ESMA could clarify why such information is required from senior management and the board. Again, we reiterate our view that a more proportionate and cost-effective approach would be to focus on those senior managers and board members with specific responsibilities for supervising the external review work (see Q1).</w:t>
      </w:r>
    </w:p>
    <w:p w14:paraId="6E487CFE" w14:textId="77777777" w:rsidR="00B45001" w:rsidRPr="00B45001" w:rsidRDefault="00B45001" w:rsidP="00B45001">
      <w:pPr>
        <w:spacing w:after="120" w:line="276" w:lineRule="auto"/>
        <w:rPr>
          <w:rFonts w:ascii="Arial" w:hAnsi="Arial" w:cs="Arial"/>
          <w:color w:val="202124"/>
          <w:sz w:val="22"/>
          <w:szCs w:val="22"/>
        </w:rPr>
      </w:pPr>
      <w:r w:rsidRPr="00B45001">
        <w:rPr>
          <w:rFonts w:ascii="Arial" w:hAnsi="Arial" w:cs="Arial"/>
          <w:color w:val="202124"/>
          <w:sz w:val="22"/>
          <w:szCs w:val="22"/>
        </w:rPr>
        <w:lastRenderedPageBreak/>
        <w:t xml:space="preserve">With reference to audit firms, we note that ISQM1 (paragraph 32a) includes requirements relating to human resources. In addition, one of the five fundamental principles of the IESBA Code of Ethics (section 113) is the principle of professional competence and due care in order to provide attestation services to the public. </w:t>
      </w:r>
    </w:p>
    <w:p w14:paraId="6DF01F8C" w14:textId="77777777" w:rsidR="00B45001" w:rsidRPr="00B45001" w:rsidRDefault="00B45001" w:rsidP="00B45001">
      <w:pPr>
        <w:spacing w:after="120" w:line="276" w:lineRule="auto"/>
        <w:rPr>
          <w:rFonts w:ascii="Arial" w:hAnsi="Arial" w:cs="Arial"/>
          <w:color w:val="202124"/>
          <w:sz w:val="22"/>
          <w:szCs w:val="22"/>
        </w:rPr>
      </w:pPr>
      <w:r w:rsidRPr="00B45001">
        <w:rPr>
          <w:rFonts w:ascii="Arial" w:hAnsi="Arial" w:cs="Arial"/>
          <w:color w:val="202124"/>
          <w:sz w:val="22"/>
          <w:szCs w:val="22"/>
        </w:rPr>
        <w:t xml:space="preserve">Rather than requiring information for each individual involved in the engagement team, including analysts which are often brought in and subsequently taken out of engagement teams particularly as assignments progress / the scope of the assignment changes, it would be preferable to focus on the individual responsible for issuing the external review – as is generally the case for audit and assurance engagements. </w:t>
      </w:r>
    </w:p>
    <w:p w14:paraId="2FF720B1" w14:textId="77777777" w:rsidR="00B45001" w:rsidRPr="00B45001" w:rsidRDefault="00B45001" w:rsidP="00B45001">
      <w:pPr>
        <w:spacing w:after="120" w:line="276" w:lineRule="auto"/>
        <w:rPr>
          <w:rFonts w:ascii="Arial" w:hAnsi="Arial" w:cs="Arial"/>
          <w:color w:val="202124"/>
          <w:sz w:val="22"/>
          <w:szCs w:val="22"/>
        </w:rPr>
      </w:pPr>
      <w:r w:rsidRPr="00B45001">
        <w:rPr>
          <w:rFonts w:ascii="Arial" w:hAnsi="Arial" w:cs="Arial"/>
          <w:color w:val="202124"/>
          <w:sz w:val="22"/>
          <w:szCs w:val="22"/>
        </w:rPr>
        <w:t xml:space="preserve">Furthermore, it would be more straightforward for the RTS requirements to focus on the training process, supported with appropriate evidence, alongside focus on the responsible individual, rather than disclose training records for each person in the engagement team. </w:t>
      </w:r>
    </w:p>
    <w:p w14:paraId="2A15B62C" w14:textId="7E520D4D"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_5&gt;</w:t>
      </w:r>
    </w:p>
    <w:p w14:paraId="1DFA7AC5" w14:textId="77777777" w:rsidR="001B1B48" w:rsidRPr="0037311D" w:rsidRDefault="001B1B48" w:rsidP="001B1B48">
      <w:pPr>
        <w:spacing w:after="160" w:line="259" w:lineRule="auto"/>
        <w:rPr>
          <w:rFonts w:ascii="Arial" w:hAnsi="Arial" w:cs="Arial"/>
          <w:b/>
          <w:bCs/>
          <w:sz w:val="22"/>
          <w:szCs w:val="22"/>
          <w:lang w:val="en-US" w:eastAsia="en-US"/>
        </w:rPr>
      </w:pPr>
    </w:p>
    <w:p w14:paraId="2D44A7AB" w14:textId="06B27615" w:rsidR="001B1B48" w:rsidRPr="001B1B48" w:rsidRDefault="0037311D" w:rsidP="36725D5C">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agree with ESMA’s proposals to specify the criteria for assessing the reliability and capacity of a third-party service provider?</w:t>
      </w:r>
    </w:p>
    <w:p w14:paraId="3DE10544" w14:textId="5798EA6B"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_6&gt;</w:t>
      </w:r>
    </w:p>
    <w:p w14:paraId="7E88D602" w14:textId="77777777" w:rsidR="0046758E" w:rsidRPr="0046758E" w:rsidRDefault="0046758E" w:rsidP="0046758E">
      <w:pPr>
        <w:spacing w:after="120" w:line="276" w:lineRule="auto"/>
        <w:rPr>
          <w:rFonts w:ascii="Arial" w:hAnsi="Arial" w:cs="Arial"/>
          <w:color w:val="202124"/>
          <w:sz w:val="22"/>
          <w:szCs w:val="22"/>
        </w:rPr>
      </w:pPr>
      <w:r w:rsidRPr="0046758E">
        <w:rPr>
          <w:rFonts w:ascii="Arial" w:hAnsi="Arial" w:cs="Arial"/>
          <w:color w:val="202124"/>
          <w:sz w:val="22"/>
          <w:szCs w:val="22"/>
        </w:rPr>
        <w:t xml:space="preserve">We consider that these criteria could also be streamlined to ensure the manageability of the process. We note that the external reviewer will / is likely to maintain ultimate responsibility for the outcomes of the assessment. Again, in line with our previous comments on interoperability of regulatory frameworks, we note that the Statutory Audit Directive already includes provisions regarding the outsourcing of audit functions (Article 24a). </w:t>
      </w:r>
    </w:p>
    <w:p w14:paraId="3BB73569" w14:textId="2645A9AE" w:rsidR="0046758E" w:rsidRPr="0046758E" w:rsidRDefault="0046758E" w:rsidP="0046758E">
      <w:pPr>
        <w:spacing w:after="120" w:line="276" w:lineRule="auto"/>
        <w:rPr>
          <w:rFonts w:ascii="Arial" w:hAnsi="Arial" w:cs="Arial"/>
          <w:color w:val="202124"/>
          <w:sz w:val="22"/>
          <w:szCs w:val="22"/>
        </w:rPr>
      </w:pPr>
      <w:r w:rsidRPr="0046758E">
        <w:rPr>
          <w:rFonts w:ascii="Arial" w:hAnsi="Arial" w:cs="Arial"/>
          <w:color w:val="202124"/>
          <w:sz w:val="22"/>
          <w:szCs w:val="22"/>
        </w:rPr>
        <w:t xml:space="preserve">The definition of a third-party service provider would merit further clarification, including with regard to delivery service centres that may be used by networks to undertake certain activities. </w:t>
      </w:r>
    </w:p>
    <w:p w14:paraId="4F153845" w14:textId="55230658"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_6&gt;</w:t>
      </w:r>
    </w:p>
    <w:p w14:paraId="7C1C9EC8"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71045830" w14:textId="34516325" w:rsidR="001B1B48" w:rsidRPr="001B1B48" w:rsidRDefault="0037311D" w:rsidP="36725D5C">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agree with ESMA’s proposals to specify the criteria for assessing that the internal control of an external reviewer is not materially impaired and ESMA’s ability to supervise is not limited?</w:t>
      </w:r>
    </w:p>
    <w:p w14:paraId="4EB81B41" w14:textId="6E15BC36"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_7&gt;</w:t>
      </w:r>
    </w:p>
    <w:p w14:paraId="07FA6329"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1214527182" w:edGrp="everyone"/>
      <w:r w:rsidRPr="001B1B48">
        <w:rPr>
          <w:rFonts w:ascii="Calibri" w:eastAsia="Calibri" w:hAnsi="Calibri"/>
          <w:kern w:val="2"/>
          <w:sz w:val="22"/>
          <w:szCs w:val="22"/>
          <w:lang w:eastAsia="en-US"/>
          <w14:ligatures w14:val="standardContextual"/>
        </w:rPr>
        <w:t>TYPE YOUR TEXT HERE</w:t>
      </w:r>
    </w:p>
    <w:permEnd w:id="1214527182"/>
    <w:p w14:paraId="2BBAC781" w14:textId="3A191055"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_7&gt;</w:t>
      </w:r>
    </w:p>
    <w:p w14:paraId="78A217F5"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
    <w:p w14:paraId="7D7E1487" w14:textId="362865D2" w:rsidR="0037311D" w:rsidRPr="001B1B48" w:rsidRDefault="0037311D" w:rsidP="0037311D">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lastRenderedPageBreak/>
        <w:t>Do you agree with the practicality and efficiency of ESMA’s proposals to specify the standard forms, templates and procedures for the provision of the information for an application for registration as an external reviewer?</w:t>
      </w:r>
    </w:p>
    <w:p w14:paraId="68E66910" w14:textId="28D55FB1"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8</w:t>
      </w:r>
      <w:r w:rsidRPr="001B1B48">
        <w:rPr>
          <w:rFonts w:ascii="Calibri" w:eastAsia="Calibri" w:hAnsi="Calibri"/>
          <w:kern w:val="2"/>
          <w:sz w:val="22"/>
          <w:szCs w:val="22"/>
          <w:lang w:eastAsia="en-US"/>
          <w14:ligatures w14:val="standardContextual"/>
        </w:rPr>
        <w:t>&gt;</w:t>
      </w:r>
    </w:p>
    <w:p w14:paraId="43B4F071" w14:textId="77777777" w:rsidR="00B207D3" w:rsidRPr="00B207D3" w:rsidRDefault="00B207D3" w:rsidP="00B207D3">
      <w:pPr>
        <w:spacing w:after="120" w:line="276" w:lineRule="auto"/>
        <w:rPr>
          <w:rFonts w:ascii="Arial" w:hAnsi="Arial" w:cs="Arial"/>
          <w:color w:val="202124"/>
          <w:sz w:val="22"/>
          <w:szCs w:val="22"/>
        </w:rPr>
      </w:pPr>
      <w:r w:rsidRPr="00B207D3">
        <w:rPr>
          <w:rFonts w:ascii="Arial" w:hAnsi="Arial" w:cs="Arial"/>
          <w:color w:val="202124"/>
          <w:sz w:val="22"/>
          <w:szCs w:val="22"/>
        </w:rPr>
        <w:t>We refer to our broader comments in relation to streamlining and avoiding duplication with existing regulatory requirements, as set out in our answers on the specific RTS above (Q1-7). Addressing these comments would also necessitate corresponding amendments to the standard forms, templates and procedures.</w:t>
      </w:r>
    </w:p>
    <w:p w14:paraId="08596894" w14:textId="4698A14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8</w:t>
      </w:r>
      <w:r w:rsidRPr="001B1B48">
        <w:rPr>
          <w:rFonts w:ascii="Calibri" w:eastAsia="Calibri" w:hAnsi="Calibri"/>
          <w:kern w:val="2"/>
          <w:sz w:val="22"/>
          <w:szCs w:val="22"/>
          <w:lang w:eastAsia="en-US"/>
          <w14:ligatures w14:val="standardContextual"/>
        </w:rPr>
        <w:t>&gt;</w:t>
      </w:r>
    </w:p>
    <w:p w14:paraId="62DB9B39"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
    <w:p w14:paraId="1DDED7AA" w14:textId="3217156E" w:rsidR="0037311D" w:rsidRPr="001B1B48" w:rsidRDefault="0037311D" w:rsidP="0037311D">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have any views or comments on the relevance of the information contained in Annex I to VII of the draft ITS?</w:t>
      </w:r>
    </w:p>
    <w:p w14:paraId="09045533" w14:textId="2C227CB0"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9</w:t>
      </w:r>
      <w:r w:rsidRPr="001B1B48">
        <w:rPr>
          <w:rFonts w:ascii="Calibri" w:eastAsia="Calibri" w:hAnsi="Calibri"/>
          <w:kern w:val="2"/>
          <w:sz w:val="22"/>
          <w:szCs w:val="22"/>
          <w:lang w:eastAsia="en-US"/>
          <w14:ligatures w14:val="standardContextual"/>
        </w:rPr>
        <w:t>&gt;</w:t>
      </w:r>
    </w:p>
    <w:p w14:paraId="6D2BB1CA" w14:textId="77777777" w:rsidR="00E84490" w:rsidRPr="00E84490" w:rsidRDefault="00E84490" w:rsidP="00E84490">
      <w:pPr>
        <w:spacing w:after="120" w:line="276" w:lineRule="auto"/>
        <w:rPr>
          <w:rFonts w:ascii="Arial" w:hAnsi="Arial" w:cs="Arial"/>
          <w:color w:val="202124"/>
          <w:sz w:val="22"/>
          <w:szCs w:val="22"/>
        </w:rPr>
      </w:pPr>
      <w:r w:rsidRPr="00E84490">
        <w:rPr>
          <w:rFonts w:ascii="Arial" w:hAnsi="Arial" w:cs="Arial"/>
          <w:color w:val="202124"/>
          <w:sz w:val="22"/>
          <w:szCs w:val="22"/>
        </w:rPr>
        <w:t xml:space="preserve">We refer to our broader comments on the individual RTS (Q1-7) and consequent impact on the ITS, as set out in Q8 above, including the Annexes. </w:t>
      </w:r>
    </w:p>
    <w:p w14:paraId="29DF1F12" w14:textId="68973675"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9</w:t>
      </w:r>
      <w:r w:rsidRPr="001B1B48">
        <w:rPr>
          <w:rFonts w:ascii="Calibri" w:eastAsia="Calibri" w:hAnsi="Calibri"/>
          <w:kern w:val="2"/>
          <w:sz w:val="22"/>
          <w:szCs w:val="22"/>
          <w:lang w:eastAsia="en-US"/>
          <w14:ligatures w14:val="standardContextual"/>
        </w:rPr>
        <w:t>&gt;</w:t>
      </w:r>
    </w:p>
    <w:p w14:paraId="6AD19D88"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
    <w:p w14:paraId="069569A3" w14:textId="287620C0" w:rsidR="0037311D" w:rsidRPr="001B1B48" w:rsidRDefault="0037311D" w:rsidP="0037311D">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have any comments on the CBA or impact assessments outlined under the preferred option?</w:t>
      </w:r>
    </w:p>
    <w:p w14:paraId="2D02562D" w14:textId="1A3C7298"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10</w:t>
      </w:r>
      <w:r w:rsidRPr="001B1B48">
        <w:rPr>
          <w:rFonts w:ascii="Calibri" w:eastAsia="Calibri" w:hAnsi="Calibri"/>
          <w:kern w:val="2"/>
          <w:sz w:val="22"/>
          <w:szCs w:val="22"/>
          <w:lang w:eastAsia="en-US"/>
          <w14:ligatures w14:val="standardContextual"/>
        </w:rPr>
        <w:t>&gt;</w:t>
      </w:r>
    </w:p>
    <w:p w14:paraId="4DB0CC85"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ermStart w:id="426528346" w:edGrp="everyone"/>
      <w:r w:rsidRPr="001B1B48">
        <w:rPr>
          <w:rFonts w:ascii="Calibri" w:eastAsia="Calibri" w:hAnsi="Calibri"/>
          <w:kern w:val="2"/>
          <w:sz w:val="22"/>
          <w:szCs w:val="22"/>
          <w:lang w:eastAsia="en-US"/>
          <w14:ligatures w14:val="standardContextual"/>
        </w:rPr>
        <w:t>TYPE YOUR TEXT HERE</w:t>
      </w:r>
    </w:p>
    <w:permEnd w:id="426528346"/>
    <w:p w14:paraId="12A2F1CC" w14:textId="76F05CA5"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10</w:t>
      </w:r>
      <w:r w:rsidRPr="001B1B48">
        <w:rPr>
          <w:rFonts w:ascii="Calibri" w:eastAsia="Calibri" w:hAnsi="Calibri"/>
          <w:kern w:val="2"/>
          <w:sz w:val="22"/>
          <w:szCs w:val="22"/>
          <w:lang w:eastAsia="en-US"/>
          <w14:ligatures w14:val="standardContextual"/>
        </w:rPr>
        <w:t>&gt;</w:t>
      </w:r>
    </w:p>
    <w:p w14:paraId="3B39AA2D"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
    <w:p w14:paraId="2E4244AF" w14:textId="7213C063" w:rsidR="0037311D" w:rsidRPr="001B1B48" w:rsidRDefault="0037311D" w:rsidP="0037311D">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have any quantitative information to provide on the estimated costs of the options considered and proposed by ESMA that would benefit the analysis?</w:t>
      </w:r>
    </w:p>
    <w:p w14:paraId="3F51BA3A" w14:textId="2236C1F2"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11</w:t>
      </w:r>
      <w:r w:rsidRPr="001B1B48">
        <w:rPr>
          <w:rFonts w:ascii="Calibri" w:eastAsia="Calibri" w:hAnsi="Calibri"/>
          <w:kern w:val="2"/>
          <w:sz w:val="22"/>
          <w:szCs w:val="22"/>
          <w:lang w:eastAsia="en-US"/>
          <w14:ligatures w14:val="standardContextual"/>
        </w:rPr>
        <w:t>&gt;</w:t>
      </w:r>
    </w:p>
    <w:p w14:paraId="3D6215F1"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ermStart w:id="86664522" w:edGrp="everyone"/>
      <w:r w:rsidRPr="001B1B48">
        <w:rPr>
          <w:rFonts w:ascii="Calibri" w:eastAsia="Calibri" w:hAnsi="Calibri"/>
          <w:kern w:val="2"/>
          <w:sz w:val="22"/>
          <w:szCs w:val="22"/>
          <w:lang w:eastAsia="en-US"/>
          <w14:ligatures w14:val="standardContextual"/>
        </w:rPr>
        <w:t>TYPE YOUR TEXT HERE</w:t>
      </w:r>
    </w:p>
    <w:permEnd w:id="86664522"/>
    <w:p w14:paraId="76F09457" w14:textId="4C9BCAF0"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11</w:t>
      </w:r>
      <w:r w:rsidRPr="001B1B48">
        <w:rPr>
          <w:rFonts w:ascii="Calibri" w:eastAsia="Calibri" w:hAnsi="Calibri"/>
          <w:kern w:val="2"/>
          <w:sz w:val="22"/>
          <w:szCs w:val="22"/>
          <w:lang w:eastAsia="en-US"/>
          <w14:ligatures w14:val="standardContextual"/>
        </w:rPr>
        <w:t>&gt;</w:t>
      </w:r>
    </w:p>
    <w:sectPr w:rsidR="0037311D" w:rsidRPr="001B1B48" w:rsidSect="00C85C8B">
      <w:headerReference w:type="default" r:id="rId21"/>
      <w:footerReference w:type="defaul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AE489" w14:textId="77777777" w:rsidR="001F6781" w:rsidRDefault="001F6781" w:rsidP="007E7997">
      <w:r>
        <w:separator/>
      </w:r>
    </w:p>
  </w:endnote>
  <w:endnote w:type="continuationSeparator" w:id="0">
    <w:p w14:paraId="5F50407A" w14:textId="77777777" w:rsidR="001F6781" w:rsidRDefault="001F6781" w:rsidP="007E7997">
      <w:r>
        <w:continuationSeparator/>
      </w:r>
    </w:p>
  </w:endnote>
  <w:endnote w:type="continuationNotice" w:id="1">
    <w:p w14:paraId="6C70D0E1" w14:textId="77777777" w:rsidR="001F6781" w:rsidRDefault="001F67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9999999">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727C0" w14:textId="77777777" w:rsidR="001F6781" w:rsidRDefault="001F6781" w:rsidP="007E7997">
      <w:r>
        <w:separator/>
      </w:r>
    </w:p>
  </w:footnote>
  <w:footnote w:type="continuationSeparator" w:id="0">
    <w:p w14:paraId="39BA53F4" w14:textId="77777777" w:rsidR="001F6781" w:rsidRDefault="001F6781" w:rsidP="007E7997">
      <w:r>
        <w:continuationSeparator/>
      </w:r>
    </w:p>
  </w:footnote>
  <w:footnote w:type="continuationNotice" w:id="1">
    <w:p w14:paraId="21E80747" w14:textId="77777777" w:rsidR="001F6781" w:rsidRDefault="001F67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923F5" w14:textId="6B0262F9"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A76C98">
      <w:rPr>
        <w:rFonts w:asciiTheme="minorHAnsi" w:eastAsiaTheme="minorEastAsia" w:hAnsiTheme="minorHAnsi" w:cstheme="minorBidi"/>
        <w:bCs/>
        <w:caps/>
        <w:noProof/>
        <w:color w:val="000000" w:themeColor="text1" w:themeShade="80"/>
        <w:sz w:val="16"/>
        <w:szCs w:val="20"/>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506349682" name="Picture 1506349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FC1B94">
      <w:rPr>
        <w:rFonts w:asciiTheme="minorHAnsi" w:eastAsiaTheme="minorEastAsia" w:hAnsiTheme="minorHAnsi" w:cstheme="minorBidi"/>
        <w:color w:val="000000" w:themeColor="text1" w:themeShade="80"/>
        <w:sz w:val="16"/>
        <w:szCs w:val="20"/>
        <w:lang w:eastAsia="en-US"/>
      </w:rPr>
      <w:t>2</w:t>
    </w:r>
    <w:r w:rsidR="003B56A7">
      <w:rPr>
        <w:rFonts w:asciiTheme="minorHAnsi" w:eastAsiaTheme="minorEastAsia" w:hAnsiTheme="minorHAnsi" w:cstheme="minorBidi"/>
        <w:color w:val="000000" w:themeColor="text1" w:themeShade="80"/>
        <w:sz w:val="16"/>
        <w:szCs w:val="20"/>
        <w:lang w:eastAsia="en-US"/>
      </w:rPr>
      <w:t>6</w:t>
    </w:r>
    <w:r w:rsidR="0037311D">
      <w:rPr>
        <w:rFonts w:asciiTheme="minorHAnsi" w:eastAsiaTheme="minorEastAsia" w:hAnsiTheme="minorHAnsi" w:cstheme="minorBidi"/>
        <w:color w:val="000000" w:themeColor="text1" w:themeShade="80"/>
        <w:sz w:val="16"/>
        <w:szCs w:val="20"/>
        <w:lang w:eastAsia="en-US"/>
      </w:rPr>
      <w:t xml:space="preserve"> March </w:t>
    </w:r>
    <w:r w:rsidRPr="00A76C98">
      <w:rPr>
        <w:rFonts w:asciiTheme="minorHAnsi" w:eastAsiaTheme="minorEastAsia" w:hAnsiTheme="minorHAnsi" w:cstheme="minorBidi"/>
        <w:color w:val="000000" w:themeColor="text1" w:themeShade="80"/>
        <w:sz w:val="16"/>
        <w:szCs w:val="20"/>
        <w:lang w:eastAsia="en-US"/>
      </w:rPr>
      <w:t>202</w:t>
    </w:r>
    <w:r w:rsidR="00835192">
      <w:rPr>
        <w:rFonts w:asciiTheme="minorHAnsi" w:eastAsiaTheme="minorEastAsia" w:hAnsiTheme="minorHAnsi" w:cstheme="minorBidi"/>
        <w:color w:val="000000" w:themeColor="text1" w:themeShade="80"/>
        <w:sz w:val="16"/>
        <w:szCs w:val="20"/>
        <w:lang w:eastAsia="en-US"/>
      </w:rPr>
      <w:t>4</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w:t>
    </w:r>
    <w:r w:rsidR="00373AB8">
      <w:rPr>
        <w:rFonts w:asciiTheme="minorHAnsi" w:eastAsiaTheme="minorEastAsia" w:hAnsiTheme="minorHAnsi" w:cstheme="minorBidi"/>
        <w:color w:val="000000" w:themeColor="text1" w:themeShade="80"/>
        <w:sz w:val="16"/>
        <w:szCs w:val="20"/>
        <w:lang w:eastAsia="en-US"/>
      </w:rPr>
      <w:t>84</w:t>
    </w:r>
    <w:r w:rsidR="0013090E" w:rsidRPr="0013090E">
      <w:rPr>
        <w:rFonts w:asciiTheme="minorHAnsi" w:eastAsiaTheme="minorEastAsia" w:hAnsiTheme="minorHAnsi" w:cstheme="minorBidi"/>
        <w:color w:val="000000" w:themeColor="text1" w:themeShade="80"/>
        <w:sz w:val="16"/>
        <w:szCs w:val="20"/>
        <w:lang w:eastAsia="en-US"/>
      </w:rPr>
      <w:t>-</w:t>
    </w:r>
    <w:r w:rsidR="00373AB8">
      <w:rPr>
        <w:rFonts w:asciiTheme="minorHAnsi" w:eastAsiaTheme="minorEastAsia" w:hAnsiTheme="minorHAnsi" w:cstheme="minorBidi"/>
        <w:color w:val="000000" w:themeColor="text1" w:themeShade="80"/>
        <w:sz w:val="16"/>
        <w:szCs w:val="20"/>
        <w:lang w:eastAsia="en-US"/>
      </w:rPr>
      <w:t>858037815-66</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2"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5CC36" id="Freeform: Shape 7" o:spid="_x0000_s1026" style="position:absolute;margin-left:70.85pt;margin-top:49.15pt;width:596.1pt;height:769.8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1"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9E7024"/>
    <w:multiLevelType w:val="hybridMultilevel"/>
    <w:tmpl w:val="9ACE7DEE"/>
    <w:lvl w:ilvl="0" w:tplc="9340A6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D2E1244"/>
    <w:multiLevelType w:val="multilevel"/>
    <w:tmpl w:val="12DAB834"/>
    <w:lvl w:ilvl="0">
      <w:start w:val="1"/>
      <w:numFmt w:val="decimal"/>
      <w:lvlText w:val="%1"/>
      <w:lvlJc w:val="left"/>
      <w:pPr>
        <w:tabs>
          <w:tab w:val="num" w:pos="700"/>
        </w:tabs>
        <w:ind w:left="700" w:hanging="340"/>
      </w:pPr>
      <w:rPr>
        <w:rFonts w:ascii="Arial" w:hAnsi="Arial" w:cs="Arial"/>
      </w:rPr>
    </w:lvl>
    <w:lvl w:ilvl="1">
      <w:start w:val="1"/>
      <w:numFmt w:val="lowerLetter"/>
      <w:lvlText w:val="•"/>
      <w:lvlJc w:val="left"/>
      <w:pPr>
        <w:tabs>
          <w:tab w:val="num" w:pos="1040"/>
        </w:tabs>
        <w:ind w:left="1040" w:hanging="340"/>
      </w:pPr>
      <w:rPr>
        <w:rFonts w:ascii="Arial" w:hAnsi="Arial" w:cs="Arial"/>
        <w:sz w:val="24"/>
      </w:rPr>
    </w:lvl>
    <w:lvl w:ilvl="2">
      <w:start w:val="1"/>
      <w:numFmt w:val="lowerRoman"/>
      <w:lvlText w:val="-"/>
      <w:lvlJc w:val="left"/>
      <w:pPr>
        <w:tabs>
          <w:tab w:val="num" w:pos="1380"/>
        </w:tabs>
        <w:ind w:left="1380" w:hanging="340"/>
      </w:pPr>
      <w:rPr>
        <w:rFonts w:ascii="9999999" w:hAnsi="9999999"/>
      </w:rPr>
    </w:lvl>
    <w:lvl w:ilvl="3">
      <w:start w:val="1"/>
      <w:numFmt w:val="decimal"/>
      <w:lvlText w:val="•"/>
      <w:lvlJc w:val="left"/>
      <w:pPr>
        <w:tabs>
          <w:tab w:val="num" w:pos="1721"/>
        </w:tabs>
        <w:ind w:left="1721" w:hanging="341"/>
      </w:pPr>
      <w:rPr>
        <w:rFonts w:ascii="Arial" w:hAnsi="Arial" w:cs="Arial"/>
      </w:rPr>
    </w:lvl>
    <w:lvl w:ilvl="4">
      <w:start w:val="1"/>
      <w:numFmt w:val="lowerLetter"/>
      <w:lvlText w:val="-"/>
      <w:lvlJc w:val="left"/>
      <w:pPr>
        <w:tabs>
          <w:tab w:val="num" w:pos="2061"/>
        </w:tabs>
        <w:ind w:left="2061" w:hanging="340"/>
      </w:pPr>
      <w:rPr>
        <w:rFonts w:ascii="9999999" w:hAnsi="9999999"/>
      </w:rPr>
    </w:lvl>
    <w:lvl w:ilvl="5">
      <w:start w:val="1"/>
      <w:numFmt w:val="lowerRoman"/>
      <w:lvlText w:val="•"/>
      <w:lvlJc w:val="left"/>
      <w:pPr>
        <w:tabs>
          <w:tab w:val="num" w:pos="2401"/>
        </w:tabs>
        <w:ind w:left="2401" w:hanging="340"/>
      </w:pPr>
      <w:rPr>
        <w:rFonts w:ascii="Arial" w:hAnsi="Arial" w:cs="Arial"/>
      </w:rPr>
    </w:lvl>
    <w:lvl w:ilvl="6">
      <w:start w:val="1"/>
      <w:numFmt w:val="decimal"/>
      <w:lvlText w:val="-"/>
      <w:lvlJc w:val="left"/>
      <w:pPr>
        <w:tabs>
          <w:tab w:val="num" w:pos="2741"/>
        </w:tabs>
        <w:ind w:left="2741" w:hanging="340"/>
      </w:pPr>
      <w:rPr>
        <w:rFonts w:ascii="9999999" w:hAnsi="9999999"/>
      </w:rPr>
    </w:lvl>
    <w:lvl w:ilvl="7">
      <w:start w:val="1"/>
      <w:numFmt w:val="lowerLetter"/>
      <w:lvlText w:val="•"/>
      <w:lvlJc w:val="left"/>
      <w:pPr>
        <w:tabs>
          <w:tab w:val="num" w:pos="3081"/>
        </w:tabs>
        <w:ind w:left="3081" w:hanging="340"/>
      </w:pPr>
      <w:rPr>
        <w:rFonts w:ascii="Arial" w:hAnsi="Arial" w:cs="Arial"/>
      </w:rPr>
    </w:lvl>
    <w:lvl w:ilvl="8">
      <w:start w:val="1"/>
      <w:numFmt w:val="lowerRoman"/>
      <w:lvlText w:val="-"/>
      <w:lvlJc w:val="left"/>
      <w:pPr>
        <w:tabs>
          <w:tab w:val="num" w:pos="3421"/>
        </w:tabs>
        <w:ind w:left="3421" w:hanging="340"/>
      </w:pPr>
      <w:rPr>
        <w:rFonts w:ascii="9999999" w:hAnsi="9999999"/>
      </w:rPr>
    </w:lvl>
  </w:abstractNum>
  <w:num w:numId="1" w16cid:durableId="1938975619">
    <w:abstractNumId w:val="3"/>
  </w:num>
  <w:num w:numId="2" w16cid:durableId="1495532731">
    <w:abstractNumId w:val="3"/>
  </w:num>
  <w:num w:numId="3" w16cid:durableId="994409496">
    <w:abstractNumId w:val="23"/>
  </w:num>
  <w:num w:numId="4" w16cid:durableId="1880320868">
    <w:abstractNumId w:val="4"/>
  </w:num>
  <w:num w:numId="5" w16cid:durableId="290864581">
    <w:abstractNumId w:val="13"/>
  </w:num>
  <w:num w:numId="6" w16cid:durableId="952590553">
    <w:abstractNumId w:val="25"/>
  </w:num>
  <w:num w:numId="7" w16cid:durableId="1159686949">
    <w:abstractNumId w:val="12"/>
  </w:num>
  <w:num w:numId="8" w16cid:durableId="765269892">
    <w:abstractNumId w:val="6"/>
  </w:num>
  <w:num w:numId="9" w16cid:durableId="1301960395">
    <w:abstractNumId w:val="9"/>
  </w:num>
  <w:num w:numId="10" w16cid:durableId="1228616548">
    <w:abstractNumId w:val="8"/>
  </w:num>
  <w:num w:numId="11" w16cid:durableId="2051027016">
    <w:abstractNumId w:val="7"/>
  </w:num>
  <w:num w:numId="12" w16cid:durableId="83380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6"/>
  </w:num>
  <w:num w:numId="15" w16cid:durableId="986476960">
    <w:abstractNumId w:val="20"/>
  </w:num>
  <w:num w:numId="16" w16cid:durableId="398749299">
    <w:abstractNumId w:val="24"/>
  </w:num>
  <w:num w:numId="17" w16cid:durableId="14076118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1"/>
  </w:num>
  <w:num w:numId="19" w16cid:durableId="558588771">
    <w:abstractNumId w:val="25"/>
  </w:num>
  <w:num w:numId="20" w16cid:durableId="1306933315">
    <w:abstractNumId w:val="11"/>
  </w:num>
  <w:num w:numId="21" w16cid:durableId="1623876054">
    <w:abstractNumId w:val="22"/>
  </w:num>
  <w:num w:numId="22" w16cid:durableId="783383837">
    <w:abstractNumId w:val="14"/>
  </w:num>
  <w:num w:numId="23" w16cid:durableId="2112964618">
    <w:abstractNumId w:val="19"/>
  </w:num>
  <w:num w:numId="24" w16cid:durableId="1958565453">
    <w:abstractNumId w:val="0"/>
  </w:num>
  <w:num w:numId="25" w16cid:durableId="1372725395">
    <w:abstractNumId w:val="18"/>
  </w:num>
  <w:num w:numId="26" w16cid:durableId="1686445133">
    <w:abstractNumId w:val="16"/>
  </w:num>
  <w:num w:numId="27" w16cid:durableId="1247768697">
    <w:abstractNumId w:val="10"/>
  </w:num>
  <w:num w:numId="28" w16cid:durableId="954170948">
    <w:abstractNumId w:val="1"/>
  </w:num>
  <w:num w:numId="29" w16cid:durableId="837424337">
    <w:abstractNumId w:val="17"/>
  </w:num>
  <w:num w:numId="30" w16cid:durableId="299657983">
    <w:abstractNumId w:val="5"/>
  </w:num>
  <w:num w:numId="31" w16cid:durableId="699822250">
    <w:abstractNumId w:val="15"/>
  </w:num>
  <w:num w:numId="32" w16cid:durableId="930161956">
    <w:abstractNumId w:val="27"/>
  </w:num>
  <w:num w:numId="33" w16cid:durableId="27040362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67E1E"/>
    <w:rsid w:val="00072BF9"/>
    <w:rsid w:val="00073DF9"/>
    <w:rsid w:val="00076DFB"/>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4A71"/>
    <w:rsid w:val="000A66FC"/>
    <w:rsid w:val="000A741E"/>
    <w:rsid w:val="000B1615"/>
    <w:rsid w:val="000B2AAF"/>
    <w:rsid w:val="000B2E26"/>
    <w:rsid w:val="000B5D3D"/>
    <w:rsid w:val="000C0CE0"/>
    <w:rsid w:val="000C2400"/>
    <w:rsid w:val="000C299C"/>
    <w:rsid w:val="000C406A"/>
    <w:rsid w:val="000C4422"/>
    <w:rsid w:val="000C5032"/>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209"/>
    <w:rsid w:val="001355E6"/>
    <w:rsid w:val="0013644A"/>
    <w:rsid w:val="00140762"/>
    <w:rsid w:val="00140BA6"/>
    <w:rsid w:val="00141946"/>
    <w:rsid w:val="00143DCA"/>
    <w:rsid w:val="00144AAD"/>
    <w:rsid w:val="001455E7"/>
    <w:rsid w:val="0014624E"/>
    <w:rsid w:val="00155BAB"/>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7AAF"/>
    <w:rsid w:val="001A1EF4"/>
    <w:rsid w:val="001A7046"/>
    <w:rsid w:val="001A710D"/>
    <w:rsid w:val="001A7E6F"/>
    <w:rsid w:val="001B0A77"/>
    <w:rsid w:val="001B1727"/>
    <w:rsid w:val="001B1B48"/>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1F6781"/>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C91"/>
    <w:rsid w:val="002A6C21"/>
    <w:rsid w:val="002A780E"/>
    <w:rsid w:val="002A7B84"/>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311D"/>
    <w:rsid w:val="0037358E"/>
    <w:rsid w:val="00373A3C"/>
    <w:rsid w:val="00373AB8"/>
    <w:rsid w:val="00373FCF"/>
    <w:rsid w:val="00376233"/>
    <w:rsid w:val="00380B30"/>
    <w:rsid w:val="00381784"/>
    <w:rsid w:val="00381EB0"/>
    <w:rsid w:val="00382A72"/>
    <w:rsid w:val="00382EBA"/>
    <w:rsid w:val="0038331A"/>
    <w:rsid w:val="0039135B"/>
    <w:rsid w:val="003A34E7"/>
    <w:rsid w:val="003A3CB1"/>
    <w:rsid w:val="003A3D55"/>
    <w:rsid w:val="003A4BED"/>
    <w:rsid w:val="003A73A4"/>
    <w:rsid w:val="003B102E"/>
    <w:rsid w:val="003B26BA"/>
    <w:rsid w:val="003B4E3D"/>
    <w:rsid w:val="003B56A7"/>
    <w:rsid w:val="003C167E"/>
    <w:rsid w:val="003C481D"/>
    <w:rsid w:val="003C4EB5"/>
    <w:rsid w:val="003D1099"/>
    <w:rsid w:val="003D2CED"/>
    <w:rsid w:val="003D344A"/>
    <w:rsid w:val="003D3BB8"/>
    <w:rsid w:val="003D72F4"/>
    <w:rsid w:val="003D7C07"/>
    <w:rsid w:val="003E13FD"/>
    <w:rsid w:val="003E1A5A"/>
    <w:rsid w:val="003E1C24"/>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42B3"/>
    <w:rsid w:val="00424A4F"/>
    <w:rsid w:val="00426D62"/>
    <w:rsid w:val="004273EF"/>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6758E"/>
    <w:rsid w:val="004708CA"/>
    <w:rsid w:val="004709E7"/>
    <w:rsid w:val="00470ADE"/>
    <w:rsid w:val="004712C7"/>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2E17"/>
    <w:rsid w:val="004B3553"/>
    <w:rsid w:val="004B5E92"/>
    <w:rsid w:val="004B6859"/>
    <w:rsid w:val="004C0A30"/>
    <w:rsid w:val="004C357C"/>
    <w:rsid w:val="004C3D18"/>
    <w:rsid w:val="004D0411"/>
    <w:rsid w:val="004D42B1"/>
    <w:rsid w:val="004D526F"/>
    <w:rsid w:val="004E0583"/>
    <w:rsid w:val="004E09F7"/>
    <w:rsid w:val="004E19C0"/>
    <w:rsid w:val="004E1C54"/>
    <w:rsid w:val="004E2C37"/>
    <w:rsid w:val="004E5285"/>
    <w:rsid w:val="004F0CF3"/>
    <w:rsid w:val="004F5740"/>
    <w:rsid w:val="004F58C9"/>
    <w:rsid w:val="005028B9"/>
    <w:rsid w:val="00503A3F"/>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47547"/>
    <w:rsid w:val="00551070"/>
    <w:rsid w:val="00552C8A"/>
    <w:rsid w:val="00553A03"/>
    <w:rsid w:val="00555156"/>
    <w:rsid w:val="0055535B"/>
    <w:rsid w:val="00560A96"/>
    <w:rsid w:val="005619CB"/>
    <w:rsid w:val="00561B71"/>
    <w:rsid w:val="00561F98"/>
    <w:rsid w:val="00564607"/>
    <w:rsid w:val="00565193"/>
    <w:rsid w:val="005664AB"/>
    <w:rsid w:val="005713CE"/>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13BF6"/>
    <w:rsid w:val="00616D27"/>
    <w:rsid w:val="0062043F"/>
    <w:rsid w:val="006234FE"/>
    <w:rsid w:val="00623840"/>
    <w:rsid w:val="006255EC"/>
    <w:rsid w:val="00625A25"/>
    <w:rsid w:val="0062736A"/>
    <w:rsid w:val="0063565E"/>
    <w:rsid w:val="00636E02"/>
    <w:rsid w:val="00640691"/>
    <w:rsid w:val="00641DB1"/>
    <w:rsid w:val="00642297"/>
    <w:rsid w:val="00644A34"/>
    <w:rsid w:val="006518E5"/>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5F1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2EFC"/>
    <w:rsid w:val="006D3F14"/>
    <w:rsid w:val="006D3FDF"/>
    <w:rsid w:val="006D6009"/>
    <w:rsid w:val="006D7D41"/>
    <w:rsid w:val="006E2F4D"/>
    <w:rsid w:val="006E3FDD"/>
    <w:rsid w:val="006E58FB"/>
    <w:rsid w:val="006E5D82"/>
    <w:rsid w:val="006E66B2"/>
    <w:rsid w:val="006E6C50"/>
    <w:rsid w:val="006E7A69"/>
    <w:rsid w:val="006E7DE4"/>
    <w:rsid w:val="006F53E8"/>
    <w:rsid w:val="006F5FB8"/>
    <w:rsid w:val="006F7AB9"/>
    <w:rsid w:val="0070017B"/>
    <w:rsid w:val="0070427E"/>
    <w:rsid w:val="00704D53"/>
    <w:rsid w:val="007056C3"/>
    <w:rsid w:val="00706072"/>
    <w:rsid w:val="00707744"/>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162F"/>
    <w:rsid w:val="00754844"/>
    <w:rsid w:val="00754B57"/>
    <w:rsid w:val="0075671D"/>
    <w:rsid w:val="0076002F"/>
    <w:rsid w:val="0076038B"/>
    <w:rsid w:val="00761744"/>
    <w:rsid w:val="00764582"/>
    <w:rsid w:val="00765FA3"/>
    <w:rsid w:val="00766026"/>
    <w:rsid w:val="00766961"/>
    <w:rsid w:val="00766B5A"/>
    <w:rsid w:val="0077026A"/>
    <w:rsid w:val="00770C33"/>
    <w:rsid w:val="007741C3"/>
    <w:rsid w:val="00777BE0"/>
    <w:rsid w:val="00777CFF"/>
    <w:rsid w:val="00780923"/>
    <w:rsid w:val="00781265"/>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0F3C"/>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1EB"/>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3CD4"/>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35C"/>
    <w:rsid w:val="008D59F9"/>
    <w:rsid w:val="008D5C28"/>
    <w:rsid w:val="008E00A6"/>
    <w:rsid w:val="008E2D26"/>
    <w:rsid w:val="008E4076"/>
    <w:rsid w:val="008E7DBA"/>
    <w:rsid w:val="008F1993"/>
    <w:rsid w:val="008F3386"/>
    <w:rsid w:val="008F3AD9"/>
    <w:rsid w:val="008F4642"/>
    <w:rsid w:val="008F4C29"/>
    <w:rsid w:val="008F4E00"/>
    <w:rsid w:val="008F6163"/>
    <w:rsid w:val="008F761D"/>
    <w:rsid w:val="00900D44"/>
    <w:rsid w:val="00902520"/>
    <w:rsid w:val="00906DC4"/>
    <w:rsid w:val="00911A61"/>
    <w:rsid w:val="0091457F"/>
    <w:rsid w:val="0091476D"/>
    <w:rsid w:val="0091729E"/>
    <w:rsid w:val="0093261E"/>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2611"/>
    <w:rsid w:val="00994303"/>
    <w:rsid w:val="0099526D"/>
    <w:rsid w:val="00996C8B"/>
    <w:rsid w:val="009A0054"/>
    <w:rsid w:val="009A0F6E"/>
    <w:rsid w:val="009A38D9"/>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947"/>
    <w:rsid w:val="00AA7461"/>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07D3"/>
    <w:rsid w:val="00B223B5"/>
    <w:rsid w:val="00B229AD"/>
    <w:rsid w:val="00B237BC"/>
    <w:rsid w:val="00B26EBB"/>
    <w:rsid w:val="00B27499"/>
    <w:rsid w:val="00B335C4"/>
    <w:rsid w:val="00B3369E"/>
    <w:rsid w:val="00B33D9A"/>
    <w:rsid w:val="00B40D81"/>
    <w:rsid w:val="00B424F5"/>
    <w:rsid w:val="00B43167"/>
    <w:rsid w:val="00B435BE"/>
    <w:rsid w:val="00B43A9D"/>
    <w:rsid w:val="00B45001"/>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3FF2"/>
    <w:rsid w:val="00B74CBA"/>
    <w:rsid w:val="00B74ED3"/>
    <w:rsid w:val="00B76480"/>
    <w:rsid w:val="00B768CF"/>
    <w:rsid w:val="00B81A44"/>
    <w:rsid w:val="00B85D12"/>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06F"/>
    <w:rsid w:val="00BF75CD"/>
    <w:rsid w:val="00C00D4F"/>
    <w:rsid w:val="00C00F1C"/>
    <w:rsid w:val="00C0346D"/>
    <w:rsid w:val="00C0358F"/>
    <w:rsid w:val="00C03BB0"/>
    <w:rsid w:val="00C041CF"/>
    <w:rsid w:val="00C0696A"/>
    <w:rsid w:val="00C11CFA"/>
    <w:rsid w:val="00C12034"/>
    <w:rsid w:val="00C1396B"/>
    <w:rsid w:val="00C16775"/>
    <w:rsid w:val="00C1698A"/>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63B"/>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1DA1"/>
    <w:rsid w:val="00D4471C"/>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3413"/>
    <w:rsid w:val="00DA426E"/>
    <w:rsid w:val="00DA4339"/>
    <w:rsid w:val="00DA4B1B"/>
    <w:rsid w:val="00DA4EFC"/>
    <w:rsid w:val="00DA648D"/>
    <w:rsid w:val="00DA6A7B"/>
    <w:rsid w:val="00DA726D"/>
    <w:rsid w:val="00DB1B8D"/>
    <w:rsid w:val="00DB2693"/>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4A40"/>
    <w:rsid w:val="00E76AF9"/>
    <w:rsid w:val="00E81590"/>
    <w:rsid w:val="00E84490"/>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4D18"/>
    <w:rsid w:val="00EC5B23"/>
    <w:rsid w:val="00EC5DED"/>
    <w:rsid w:val="00EC6BD8"/>
    <w:rsid w:val="00ED0356"/>
    <w:rsid w:val="00ED0D71"/>
    <w:rsid w:val="00ED3DCD"/>
    <w:rsid w:val="00ED3DD5"/>
    <w:rsid w:val="00ED56BE"/>
    <w:rsid w:val="00ED7457"/>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3744"/>
    <w:rsid w:val="00F648B2"/>
    <w:rsid w:val="00F67EBD"/>
    <w:rsid w:val="00F70EA4"/>
    <w:rsid w:val="00F77851"/>
    <w:rsid w:val="00F80FAB"/>
    <w:rsid w:val="00F81AAC"/>
    <w:rsid w:val="00F81E3B"/>
    <w:rsid w:val="00F827E1"/>
    <w:rsid w:val="00F927B5"/>
    <w:rsid w:val="00F94BD0"/>
    <w:rsid w:val="00F95403"/>
    <w:rsid w:val="00F96705"/>
    <w:rsid w:val="00F96750"/>
    <w:rsid w:val="00F9704D"/>
    <w:rsid w:val="00FA0166"/>
    <w:rsid w:val="00FA2400"/>
    <w:rsid w:val="00FA33E9"/>
    <w:rsid w:val="00FA492B"/>
    <w:rsid w:val="00FA55C8"/>
    <w:rsid w:val="00FA64BE"/>
    <w:rsid w:val="00FA74C6"/>
    <w:rsid w:val="00FB24ED"/>
    <w:rsid w:val="00FB29AF"/>
    <w:rsid w:val="00FB313D"/>
    <w:rsid w:val="00FB4003"/>
    <w:rsid w:val="00FB4EBA"/>
    <w:rsid w:val="00FB7086"/>
    <w:rsid w:val="00FC1B94"/>
    <w:rsid w:val="00FC6384"/>
    <w:rsid w:val="00FC6733"/>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12FC402E-3C4A-4D9E-A44D-1C36B76C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 w:type="character" w:customStyle="1" w:styleId="ui-provider">
    <w:name w:val="ui-provider"/>
    <w:basedOn w:val="DefaultParagraphFont"/>
    <w:rsid w:val="00E81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legal-notice"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assets.kpmg.com/content/dam/kpmg/xx/pdf/2023/12/transparency-report-2023-glob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finance.ec.europa.eu/document/download/03a5e4e8-ae72-4971-91e8-6404c6bc7087_en?filename=ceaob-caim-risk-assessment-process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DBD459A5770804CABE1A1C329448F51" ma:contentTypeVersion="6" ma:contentTypeDescription="Create a new document." ma:contentTypeScope="" ma:versionID="b06292bdff17e842c8e2278318371dc6">
  <xsd:schema xmlns:xsd="http://www.w3.org/2001/XMLSchema" xmlns:xs="http://www.w3.org/2001/XMLSchema" xmlns:p="http://schemas.microsoft.com/office/2006/metadata/properties" xmlns:ns2="0457e708-8397-4b4c-832c-98aca2c9d069" xmlns:ns3="5659f871-e56e-4bb5-aa5d-657cd2f9d189" targetNamespace="http://schemas.microsoft.com/office/2006/metadata/properties" ma:root="true" ma:fieldsID="fcc19741f15b83f8994bf120a8837080" ns2:_="" ns3:_="">
    <xsd:import namespace="0457e708-8397-4b4c-832c-98aca2c9d069"/>
    <xsd:import namespace="5659f871-e56e-4bb5-aa5d-657cd2f9d1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7e708-8397-4b4c-832c-98aca2c9d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59f871-e56e-4bb5-aa5d-657cd2f9d1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659f871-e56e-4bb5-aa5d-657cd2f9d189">
      <UserInfo>
        <DisplayName>Sailer, Christian</DisplayName>
        <AccountId>144</AccountId>
        <AccountType/>
      </UserInfo>
      <UserInfo>
        <DisplayName>Faber, Johan</DisplayName>
        <AccountId>78</AccountId>
        <AccountType/>
      </UserInfo>
      <UserInfo>
        <DisplayName>Hogan, Jon</DisplayName>
        <AccountId>15</AccountId>
        <AccountType/>
      </UserInfo>
      <UserInfo>
        <DisplayName>Pruvost, Bertrand</DisplayName>
        <AccountId>34</AccountId>
        <AccountType/>
      </UserInfo>
      <UserInfo>
        <DisplayName>Murray, Alasdair</DisplayName>
        <AccountId>42</AccountId>
        <AccountType/>
      </UserInfo>
      <UserInfo>
        <DisplayName>Jubels, Ramon</DisplayName>
        <AccountId>130</AccountId>
        <AccountType/>
      </UserInfo>
      <UserInfo>
        <DisplayName>Konigsburg, Dan A</DisplayName>
        <AccountId>13</AccountId>
        <AccountType/>
      </UserInfo>
      <UserInfo>
        <DisplayName>Di Feliciantonio, Susanna</DisplayName>
        <AccountId>17</AccountId>
        <AccountType/>
      </UserInfo>
    </SharedWithUsers>
  </documentManagement>
</p:properties>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3.xml><?xml version="1.0" encoding="utf-8"?>
<ds:datastoreItem xmlns:ds="http://schemas.openxmlformats.org/officeDocument/2006/customXml" ds:itemID="{2FE70FE4-7560-48F0-9927-10C785F13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7e708-8397-4b4c-832c-98aca2c9d069"/>
    <ds:schemaRef ds:uri="5659f871-e56e-4bb5-aa5d-657cd2f9d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5659f871-e56e-4bb5-aa5d-657cd2f9d189"/>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GuidelinesAndRecommendations_Template_Regular</Template>
  <TotalTime>0</TotalTime>
  <Pages>10</Pages>
  <Words>2735</Words>
  <Characters>15591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18290</CharactersWithSpaces>
  <SharedDoc>false</SharedDoc>
  <HLinks>
    <vt:vector size="18" baseType="variant">
      <vt:variant>
        <vt:i4>7733344</vt:i4>
      </vt:variant>
      <vt:variant>
        <vt:i4>3</vt:i4>
      </vt:variant>
      <vt:variant>
        <vt:i4>0</vt:i4>
      </vt:variant>
      <vt:variant>
        <vt:i4>5</vt:i4>
      </vt:variant>
      <vt:variant>
        <vt:lpwstr>http://www.esma.europa.eu/legal-notice</vt:lpwstr>
      </vt:variant>
      <vt:variant>
        <vt:lpwstr/>
      </vt:variant>
      <vt:variant>
        <vt:i4>3932286</vt:i4>
      </vt:variant>
      <vt:variant>
        <vt:i4>0</vt:i4>
      </vt:variant>
      <vt:variant>
        <vt:i4>0</vt:i4>
      </vt:variant>
      <vt:variant>
        <vt:i4>5</vt:i4>
      </vt:variant>
      <vt:variant>
        <vt:lpwstr>http://www.esma.europa.eu/</vt:lpwstr>
      </vt:variant>
      <vt:variant>
        <vt:lpwstr/>
      </vt:variant>
      <vt:variant>
        <vt:i4>7798878</vt:i4>
      </vt:variant>
      <vt:variant>
        <vt:i4>3</vt:i4>
      </vt:variant>
      <vt:variant>
        <vt:i4>0</vt:i4>
      </vt:variant>
      <vt:variant>
        <vt:i4>5</vt:i4>
      </vt:variant>
      <vt:variant>
        <vt:lpwstr>https://sherpa.esma.europa.eu/sites/MKT/SMK/_layouts/15/DocIdRedir.aspx?ID=ESMA70-156-1484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Di Feliciantonio, Susanna</cp:lastModifiedBy>
  <cp:revision>2</cp:revision>
  <cp:lastPrinted>2017-07-24T14:47:00Z</cp:lastPrinted>
  <dcterms:created xsi:type="dcterms:W3CDTF">2024-06-14T12:50:00Z</dcterms:created>
  <dcterms:modified xsi:type="dcterms:W3CDTF">2024-06-14T12:50:00Z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8;#Regular|07f1e362-856b-423d-bea6-a14079762141</vt:lpwstr>
  </property>
  <property fmtid="{D5CDD505-2E9C-101B-9397-08002B2CF9AE}" pid="4" name="ContentTypeId">
    <vt:lpwstr>0x0101005DBD459A5770804CABE1A1C329448F51</vt:lpwstr>
  </property>
  <property fmtid="{D5CDD505-2E9C-101B-9397-08002B2CF9AE}" pid="5" name="_dlc_DocIdItemGuid">
    <vt:lpwstr>5e7f37c3-0d59-40e2-8525-ac94f13a1ee3</vt:lpwstr>
  </property>
  <property fmtid="{D5CDD505-2E9C-101B-9397-08002B2CF9AE}" pid="6" name="DocumentType">
    <vt:lpwstr>86;#Report|78753201-1e9e-4a21-a088-6ff602b5c999</vt:lpwstr>
  </property>
  <property fmtid="{D5CDD505-2E9C-101B-9397-08002B2CF9AE}" pid="7" name="Topic">
    <vt:lpwstr>393;#European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400;#Trading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402;#Qualification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