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Ttulo"/>
                  <w:rPr>
                    <w:sz w:val="48"/>
                    <w:szCs w:val="48"/>
                  </w:rPr>
                </w:pPr>
                <w:r w:rsidRPr="00FA64BE">
                  <w:rPr>
                    <w:sz w:val="48"/>
                    <w:szCs w:val="48"/>
                  </w:rPr>
                  <w:t xml:space="preserve">Reply form </w:t>
                </w:r>
              </w:p>
              <w:p w14:paraId="096E5E5D" w14:textId="77777777" w:rsidR="00FA64BE" w:rsidRPr="00FA64BE" w:rsidRDefault="00FA64BE" w:rsidP="00FA64BE"/>
              <w:p w14:paraId="0665DB26" w14:textId="53FA1C52" w:rsidR="006A5E48" w:rsidRPr="00FA64BE" w:rsidRDefault="001201EE" w:rsidP="00FA64BE">
                <w:pPr>
                  <w:pStyle w:val="Ttulo"/>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 Consultation Paper</w:t>
                </w:r>
                <w:r>
                  <w:rPr>
                    <w:rFonts w:cs="Arial"/>
                    <w:bCs/>
                    <w:color w:val="auto"/>
                    <w:sz w:val="24"/>
                    <w:szCs w:val="24"/>
                  </w:rPr>
                  <w:t xml:space="preserve"> on </w:t>
                </w:r>
                <w:r w:rsidRPr="001201EE">
                  <w:rPr>
                    <w:rFonts w:cs="Arial"/>
                    <w:bCs/>
                    <w:color w:val="auto"/>
                    <w:sz w:val="24"/>
                    <w:szCs w:val="24"/>
                  </w:rPr>
                  <w:t>certain requirements of the Markets in Crypto Assets Regulation (MiCA) on detection and prevention of market abuse, investor protecti</w:t>
                </w:r>
                <w:r>
                  <w:rPr>
                    <w:rFonts w:cs="Arial"/>
                    <w:bCs/>
                    <w:color w:val="auto"/>
                    <w:sz w:val="24"/>
                    <w:szCs w:val="24"/>
                  </w:rPr>
                  <w:t>on and op</w:t>
                </w:r>
                <w:r w:rsidRPr="001201EE">
                  <w:rPr>
                    <w:rFonts w:cs="Arial"/>
                    <w:bCs/>
                    <w:color w:val="auto"/>
                    <w:sz w:val="24"/>
                    <w:szCs w:val="24"/>
                  </w:rPr>
                  <w:t>erational resilience – third consultation paper</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Ttulo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Ttulo2"/>
            <w:numPr>
              <w:ilvl w:val="0"/>
              <w:numId w:val="0"/>
            </w:numPr>
            <w:sectPr w:rsidR="00AF2EF7" w:rsidRPr="00B1670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D645"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06D8AC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w:t>
          </w:r>
          <w:r w:rsidR="00DA1E57">
            <w:rPr>
              <w:rFonts w:asciiTheme="minorHAnsi" w:eastAsiaTheme="minorEastAsia" w:hAnsiTheme="minorHAnsi" w:cstheme="minorBidi"/>
              <w:b/>
              <w:sz w:val="18"/>
              <w:szCs w:val="16"/>
              <w:lang w:eastAsia="en-US"/>
            </w:rPr>
            <w:t>5</w:t>
          </w:r>
          <w:r w:rsidR="002C76AE" w:rsidRPr="00A76C98">
            <w:rPr>
              <w:rFonts w:asciiTheme="minorHAnsi" w:eastAsiaTheme="minorEastAsia" w:hAnsiTheme="minorHAnsi" w:cstheme="minorBidi"/>
              <w:b/>
              <w:sz w:val="18"/>
              <w:szCs w:val="16"/>
              <w:lang w:eastAsia="en-US"/>
            </w:rPr>
            <w:t xml:space="preserve"> </w:t>
          </w:r>
          <w:r w:rsidR="00DA1E57">
            <w:rPr>
              <w:rFonts w:asciiTheme="minorHAnsi" w:eastAsiaTheme="minorEastAsia" w:hAnsiTheme="minorHAnsi" w:cstheme="minorBidi"/>
              <w:b/>
              <w:sz w:val="18"/>
              <w:szCs w:val="16"/>
              <w:lang w:eastAsia="en-US"/>
            </w:rPr>
            <w:t>June</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Prrafodelista"/>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41C5E387" w:rsidR="00B16706" w:rsidRPr="00A409C2" w:rsidRDefault="00B16706" w:rsidP="00A409C2">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1201EE">
            <w:rPr>
              <w:rFonts w:eastAsiaTheme="minorEastAsia" w:cstheme="minorBidi"/>
              <w:sz w:val="18"/>
              <w:szCs w:val="16"/>
              <w:lang w:eastAsia="en-US"/>
            </w:rPr>
            <w:t>4</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2C5E20B5" w:rsidR="00B16706" w:rsidRPr="00A409C2" w:rsidRDefault="00B16706" w:rsidP="00A409C2">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20"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1"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Ttulo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33AD0632" w:rsidR="00C85C8B" w:rsidRPr="00B16706" w:rsidRDefault="00E65068" w:rsidP="00C85C8B">
                <w:pPr>
                  <w:rPr>
                    <w:rFonts w:ascii="Arial" w:hAnsi="Arial" w:cs="Arial"/>
                    <w:color w:val="808080"/>
                    <w:sz w:val="16"/>
                    <w:szCs w:val="20"/>
                    <w:lang w:eastAsia="de-DE"/>
                  </w:rPr>
                </w:pPr>
                <w:proofErr w:type="spellStart"/>
                <w:r>
                  <w:rPr>
                    <w:rFonts w:ascii="Arial" w:hAnsi="Arial" w:cs="Arial"/>
                    <w:color w:val="808080"/>
                    <w:sz w:val="16"/>
                    <w:szCs w:val="20"/>
                    <w:lang w:eastAsia="de-DE"/>
                  </w:rPr>
                  <w:t>Onyze</w:t>
                </w:r>
                <w:proofErr w:type="spellEnd"/>
                <w:r>
                  <w:rPr>
                    <w:rFonts w:ascii="Arial" w:hAnsi="Arial" w:cs="Arial"/>
                    <w:color w:val="808080"/>
                    <w:sz w:val="16"/>
                    <w:szCs w:val="20"/>
                    <w:lang w:eastAsia="de-DE"/>
                  </w:rPr>
                  <w:t xml:space="preserve"> Digital Assets S.L.</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2E116CE" w:rsidR="00C85C8B" w:rsidRPr="00B16706" w:rsidRDefault="009E3235" w:rsidP="00C85C8B">
            <w:pPr>
              <w:rPr>
                <w:rFonts w:ascii="Arial" w:hAnsi="Arial" w:cs="Arial"/>
                <w:sz w:val="16"/>
                <w:szCs w:val="20"/>
                <w:lang w:eastAsia="de-DE"/>
              </w:rPr>
            </w:pPr>
            <w:r>
              <w:rPr>
                <w:rFonts w:ascii="Arial" w:hAnsi="Arial" w:cs="Arial"/>
                <w:sz w:val="16"/>
                <w:szCs w:val="20"/>
                <w:lang w:eastAsia="de-DE"/>
              </w:rPr>
              <w:t>Infrastructure, Custody and Exchange</w:t>
            </w:r>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01B07EC5" w:rsidR="00C85C8B" w:rsidRPr="00B16706" w:rsidRDefault="00806641"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5F92676A" w:rsidR="00C85C8B" w:rsidRPr="00B16706" w:rsidRDefault="00E65068" w:rsidP="00C85C8B">
                <w:pPr>
                  <w:rPr>
                    <w:rFonts w:ascii="Arial" w:hAnsi="Arial" w:cs="Arial"/>
                    <w:sz w:val="16"/>
                    <w:szCs w:val="20"/>
                    <w:lang w:eastAsia="de-DE"/>
                  </w:rPr>
                </w:pPr>
                <w:r>
                  <w:rPr>
                    <w:rFonts w:ascii="Arial" w:hAnsi="Arial" w:cs="Arial"/>
                    <w:sz w:val="16"/>
                    <w:szCs w:val="20"/>
                    <w:lang w:eastAsia="de-DE"/>
                  </w:rPr>
                  <w:t>Spain</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27A998A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analysis on the personal scope of Article 92 of MiCA?  Are there other types of entities in the crypto-asset markets that should be considered as a PPAET (e.g. miners/validators)? Do you believe that CASPs providing custody and administration of crypto-assets on behalf of clients should also be considered as PPAETs for the purpose of this RTS? Please elaborate.</w:t>
      </w:r>
    </w:p>
    <w:p w14:paraId="30515BD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08008534" w14:textId="77777777" w:rsidR="003E4DC5" w:rsidRPr="003E4DC5" w:rsidRDefault="003E4DC5" w:rsidP="003E4DC5">
      <w:pPr>
        <w:pStyle w:val="NormalWeb"/>
        <w:spacing w:before="0" w:beforeAutospacing="0" w:after="200" w:afterAutospacing="0"/>
        <w:rPr>
          <w:lang w:val="en-US" w:eastAsia="es-ES_tradnl"/>
        </w:rPr>
      </w:pPr>
      <w:permStart w:id="164779083" w:edGrp="everyone"/>
      <w:r>
        <w:rPr>
          <w:rFonts w:ascii="Arial" w:hAnsi="Arial" w:cs="Arial"/>
          <w:color w:val="000000"/>
          <w:sz w:val="22"/>
          <w:szCs w:val="22"/>
        </w:rPr>
        <w:t>CASPs that provide custody and crypto-asset management services for third parties, where the private keys are in control of the third party, should not be considered PPAET since the service provided places all the operational capabilities on the third party, it being a CASP that could be considered PPAET. </w:t>
      </w:r>
    </w:p>
    <w:p w14:paraId="1702DA62" w14:textId="77777777" w:rsidR="003E4DC5" w:rsidRDefault="003E4DC5" w:rsidP="003E4DC5">
      <w:pPr>
        <w:pStyle w:val="NormalWeb"/>
        <w:spacing w:before="0" w:beforeAutospacing="0" w:after="200" w:afterAutospacing="0"/>
      </w:pPr>
      <w:r>
        <w:rPr>
          <w:rFonts w:ascii="Arial" w:hAnsi="Arial" w:cs="Arial"/>
          <w:color w:val="000000"/>
          <w:sz w:val="22"/>
          <w:szCs w:val="22"/>
        </w:rPr>
        <w:t xml:space="preserve">The responsibilities associated with PPAET considerations should fall on the actors involved in the negotiation processes offered to third parties. In this way, the regulation promotes the competitiveness of the services and the necessary security in the infrastructure for the custody and administration of </w:t>
      </w:r>
      <w:proofErr w:type="spellStart"/>
      <w:r>
        <w:rPr>
          <w:rFonts w:ascii="Arial" w:hAnsi="Arial" w:cs="Arial"/>
          <w:color w:val="000000"/>
          <w:sz w:val="22"/>
          <w:szCs w:val="22"/>
        </w:rPr>
        <w:t>cryptoassets</w:t>
      </w:r>
      <w:proofErr w:type="spellEnd"/>
      <w:r>
        <w:rPr>
          <w:rFonts w:ascii="Arial" w:hAnsi="Arial" w:cs="Arial"/>
          <w:color w:val="000000"/>
          <w:sz w:val="22"/>
          <w:szCs w:val="22"/>
        </w:rPr>
        <w:t xml:space="preserve"> offered. </w:t>
      </w:r>
    </w:p>
    <w:p w14:paraId="59B2919B" w14:textId="071C04A6" w:rsidR="003E4DC5" w:rsidRDefault="003E4DC5" w:rsidP="003E4DC5">
      <w:pPr>
        <w:pStyle w:val="NormalWeb"/>
        <w:spacing w:before="0" w:beforeAutospacing="0" w:after="200" w:afterAutospacing="0"/>
      </w:pPr>
      <w:r>
        <w:rPr>
          <w:rFonts w:ascii="Arial" w:hAnsi="Arial" w:cs="Arial"/>
          <w:color w:val="000000"/>
          <w:sz w:val="22"/>
          <w:szCs w:val="22"/>
        </w:rPr>
        <w:t xml:space="preserve">Market abuse policies thus fall on the entities that have access to complete information on the transactions carried out within a </w:t>
      </w:r>
      <w:proofErr w:type="spellStart"/>
      <w:r>
        <w:rPr>
          <w:rFonts w:ascii="Arial" w:hAnsi="Arial" w:cs="Arial"/>
          <w:color w:val="000000"/>
          <w:sz w:val="22"/>
          <w:szCs w:val="22"/>
        </w:rPr>
        <w:t>cryptoasset</w:t>
      </w:r>
      <w:proofErr w:type="spellEnd"/>
      <w:r>
        <w:rPr>
          <w:rFonts w:ascii="Arial" w:hAnsi="Arial" w:cs="Arial"/>
          <w:color w:val="000000"/>
          <w:sz w:val="22"/>
          <w:szCs w:val="22"/>
        </w:rPr>
        <w:t xml:space="preserve"> market infrastructure.</w:t>
      </w:r>
    </w:p>
    <w:permEnd w:id="164779083"/>
    <w:p w14:paraId="0CCA3C42"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45766793" w14:textId="77777777" w:rsidR="001201EE" w:rsidRDefault="001201EE" w:rsidP="001201EE"/>
    <w:p w14:paraId="6A7043B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elements that should constitute appropriate arrangements, systems and procedures to detect and prevent market abuse? If not, please specify the article of the draft RTS and elaborate.</w:t>
      </w:r>
    </w:p>
    <w:p w14:paraId="6FE206F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4D31080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779051829" w:edGrp="everyone"/>
      <w:r w:rsidRPr="001201EE">
        <w:rPr>
          <w:rFonts w:asciiTheme="minorHAnsi" w:eastAsiaTheme="minorHAnsi" w:hAnsiTheme="minorHAnsi" w:cstheme="minorBidi"/>
          <w:kern w:val="2"/>
          <w:sz w:val="22"/>
          <w:szCs w:val="22"/>
          <w:lang w:eastAsia="en-US"/>
          <w14:ligatures w14:val="standardContextual"/>
        </w:rPr>
        <w:t>TYPE YOUR TEXT HERE</w:t>
      </w:r>
    </w:p>
    <w:permEnd w:id="779051829"/>
    <w:p w14:paraId="6D0D71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37D2771F" w14:textId="77777777" w:rsidR="001201EE" w:rsidRDefault="001201EE" w:rsidP="001201EE"/>
    <w:p w14:paraId="2030B11D"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STOR template as presented in the Annex of the RTS?</w:t>
      </w:r>
    </w:p>
    <w:p w14:paraId="070758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022C2945" w14:textId="1C64FBAC" w:rsidR="003E4DC5" w:rsidRPr="003E4DC5" w:rsidRDefault="003E4DC5" w:rsidP="003E4DC5">
      <w:pPr>
        <w:pStyle w:val="NormalWeb"/>
        <w:spacing w:before="0" w:beforeAutospacing="0" w:after="200" w:afterAutospacing="0"/>
        <w:rPr>
          <w:lang w:val="en-US" w:eastAsia="es-ES_tradnl"/>
        </w:rPr>
      </w:pPr>
      <w:permStart w:id="704521812" w:edGrp="everyone"/>
      <w:r>
        <w:rPr>
          <w:rFonts w:ascii="Arial" w:hAnsi="Arial" w:cs="Arial"/>
          <w:color w:val="000000"/>
          <w:sz w:val="22"/>
          <w:szCs w:val="22"/>
        </w:rPr>
        <w:t>It would be interesting that those who must comply with the requirements imposed on the PPAETs that must complete and submit STORs, include in the regulation that they receive annual feedback on the quality of the STORs submitted in the same way that the NCAs currently do with the SARs (Suspicious Activity Reporting) that the CASPs submit.</w:t>
      </w:r>
    </w:p>
    <w:permEnd w:id="704521812"/>
    <w:p w14:paraId="182D95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27D7BFA6" w14:textId="77777777" w:rsidR="001201EE" w:rsidRDefault="001201EE" w:rsidP="001201EE"/>
    <w:p w14:paraId="1ADFFA4E" w14:textId="77777777" w:rsidR="001201EE" w:rsidRPr="004D384C" w:rsidRDefault="001201EE" w:rsidP="001201EE">
      <w:pPr>
        <w:pStyle w:val="Questionstyle"/>
        <w:numPr>
          <w:ilvl w:val="0"/>
          <w:numId w:val="32"/>
        </w:numPr>
        <w:spacing w:after="240" w:line="259" w:lineRule="auto"/>
        <w:ind w:hanging="851"/>
        <w:contextualSpacing w:val="0"/>
      </w:pPr>
      <w:r w:rsidRPr="004D384C">
        <w:lastRenderedPageBreak/>
        <w:t xml:space="preserve">Is there any parameter or naming convention that in your view should be modified to facilitate the identification of suspicious orders/transactions/behaviours involving crypto-assets? </w:t>
      </w:r>
    </w:p>
    <w:p w14:paraId="1D92424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0F0468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871117981" w:edGrp="everyone"/>
      <w:r w:rsidRPr="001201EE">
        <w:rPr>
          <w:rFonts w:asciiTheme="minorHAnsi" w:eastAsiaTheme="minorHAnsi" w:hAnsiTheme="minorHAnsi" w:cstheme="minorBidi"/>
          <w:kern w:val="2"/>
          <w:sz w:val="22"/>
          <w:szCs w:val="22"/>
          <w:lang w:eastAsia="en-US"/>
          <w14:ligatures w14:val="standardContextual"/>
        </w:rPr>
        <w:t>TYPE YOUR TEXT HERE</w:t>
      </w:r>
    </w:p>
    <w:permEnd w:id="871117981"/>
    <w:p w14:paraId="3734070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61FECA52" w14:textId="77777777" w:rsidR="001201EE" w:rsidRDefault="001201EE" w:rsidP="001201EE"/>
    <w:p w14:paraId="06A494C4" w14:textId="77777777" w:rsidR="001201EE" w:rsidRPr="004D384C" w:rsidRDefault="001201EE" w:rsidP="001201EE">
      <w:pPr>
        <w:pStyle w:val="Questionstyle"/>
        <w:numPr>
          <w:ilvl w:val="0"/>
          <w:numId w:val="32"/>
        </w:numPr>
        <w:spacing w:after="240" w:line="259" w:lineRule="auto"/>
        <w:ind w:hanging="851"/>
        <w:contextualSpacing w:val="0"/>
      </w:pPr>
      <w:r w:rsidRPr="004D384C">
        <w:t>In Section II of the Annex, would the concept of ‘location’ be applicable to a distributed ledger? For instance, would the IP address of miners/validator nodes in the network be useful in a context where it can be masked through VPNs?</w:t>
      </w:r>
    </w:p>
    <w:p w14:paraId="72EBE909"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529323C0" w14:textId="77777777" w:rsidR="003E4DC5" w:rsidRPr="003E4DC5" w:rsidRDefault="003E4DC5" w:rsidP="003E4DC5">
      <w:pPr>
        <w:pStyle w:val="NormalWeb"/>
        <w:spacing w:before="0" w:beforeAutospacing="0" w:after="200" w:afterAutospacing="0"/>
        <w:rPr>
          <w:lang w:val="en-US" w:eastAsia="es-ES_tradnl"/>
        </w:rPr>
      </w:pPr>
      <w:permStart w:id="781198188" w:edGrp="everyone"/>
      <w:r>
        <w:rPr>
          <w:rFonts w:ascii="Arial" w:hAnsi="Arial" w:cs="Arial"/>
          <w:color w:val="000000"/>
          <w:sz w:val="22"/>
          <w:szCs w:val="22"/>
        </w:rPr>
        <w:t>No, however, a comparison can be made between the address(es) declared by the client and the logs of the IPs used in each operation or session opening to provide information on the possible location of the individual or legal entity, generally at the time they carry out their activities on the platform. The fixed or variable information provided by this analysis can determine different patterns such as the use of VPNs or high geographical movement. </w:t>
      </w:r>
    </w:p>
    <w:p w14:paraId="39621A3A" w14:textId="1B7A3EBF" w:rsidR="003E4DC5" w:rsidRDefault="003E4DC5" w:rsidP="003E4DC5">
      <w:pPr>
        <w:pStyle w:val="NormalWeb"/>
        <w:spacing w:before="0" w:beforeAutospacing="0" w:after="200" w:afterAutospacing="0"/>
      </w:pPr>
      <w:r>
        <w:rPr>
          <w:rFonts w:ascii="Arial" w:hAnsi="Arial" w:cs="Arial"/>
          <w:color w:val="000000"/>
          <w:sz w:val="22"/>
          <w:szCs w:val="22"/>
        </w:rPr>
        <w:t xml:space="preserve">The location of people </w:t>
      </w:r>
      <w:proofErr w:type="gramStart"/>
      <w:r>
        <w:rPr>
          <w:rFonts w:ascii="Arial" w:hAnsi="Arial" w:cs="Arial"/>
          <w:color w:val="000000"/>
          <w:sz w:val="22"/>
          <w:szCs w:val="22"/>
        </w:rPr>
        <w:t>at the moment</w:t>
      </w:r>
      <w:proofErr w:type="gramEnd"/>
      <w:r>
        <w:rPr>
          <w:rFonts w:ascii="Arial" w:hAnsi="Arial" w:cs="Arial"/>
          <w:color w:val="000000"/>
          <w:sz w:val="22"/>
          <w:szCs w:val="22"/>
        </w:rPr>
        <w:t xml:space="preserve"> of interacting with a DLT would not apply directly to the DLT but to the interaction on the platform that gives access to the DLT to perform different activities.</w:t>
      </w:r>
    </w:p>
    <w:permEnd w:id="781198188"/>
    <w:p w14:paraId="49B3E8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15F5FE8D" w14:textId="77777777" w:rsidR="001201EE" w:rsidRDefault="001201EE" w:rsidP="001201EE"/>
    <w:p w14:paraId="19331C0D" w14:textId="77777777" w:rsidR="001201EE" w:rsidRPr="004D384C" w:rsidRDefault="001201EE" w:rsidP="001201EE">
      <w:pPr>
        <w:pStyle w:val="Questionstyle"/>
        <w:numPr>
          <w:ilvl w:val="0"/>
          <w:numId w:val="32"/>
        </w:numPr>
        <w:spacing w:after="240" w:line="259" w:lineRule="auto"/>
        <w:ind w:hanging="851"/>
        <w:contextualSpacing w:val="0"/>
      </w:pPr>
      <w:r w:rsidRPr="004D384C">
        <w:t>Is there any other element or information relevant to crypto-asset markets that in your view should be included in the template? Please explain.</w:t>
      </w:r>
    </w:p>
    <w:p w14:paraId="58C7D45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052B1C7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72058273" w:edGrp="everyone"/>
      <w:r w:rsidRPr="001201EE">
        <w:rPr>
          <w:rFonts w:asciiTheme="minorHAnsi" w:eastAsiaTheme="minorHAnsi" w:hAnsiTheme="minorHAnsi" w:cstheme="minorBidi"/>
          <w:kern w:val="2"/>
          <w:sz w:val="22"/>
          <w:szCs w:val="22"/>
          <w:lang w:eastAsia="en-US"/>
          <w14:ligatures w14:val="standardContextual"/>
        </w:rPr>
        <w:t>TYPE YOUR TEXT HERE</w:t>
      </w:r>
    </w:p>
    <w:permEnd w:id="472058273"/>
    <w:p w14:paraId="61EF3CB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31FA447A" w14:textId="77777777" w:rsidR="001201EE" w:rsidRDefault="001201EE" w:rsidP="001201EE"/>
    <w:p w14:paraId="6921D509"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Please provide information about the estimated costs and benefits of the proposed technical standard, in particular in relation to the arrangements, systems and procedures to prevent and detect market abuse. </w:t>
      </w:r>
    </w:p>
    <w:p w14:paraId="51F6968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7BF8C3B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547298559" w:edGrp="everyone"/>
      <w:r w:rsidRPr="001201EE">
        <w:rPr>
          <w:rFonts w:asciiTheme="minorHAnsi" w:eastAsiaTheme="minorHAnsi" w:hAnsiTheme="minorHAnsi" w:cstheme="minorBidi"/>
          <w:kern w:val="2"/>
          <w:sz w:val="22"/>
          <w:szCs w:val="22"/>
          <w:lang w:eastAsia="en-US"/>
          <w14:ligatures w14:val="standardContextual"/>
        </w:rPr>
        <w:t>TYPE YOUR TEXT HERE</w:t>
      </w:r>
    </w:p>
    <w:permEnd w:id="547298559"/>
    <w:p w14:paraId="1178BF5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605206B5" w14:textId="77777777" w:rsidR="001201EE" w:rsidRDefault="001201EE" w:rsidP="001201EE"/>
    <w:p w14:paraId="45D8493C" w14:textId="77777777" w:rsidR="001201EE" w:rsidRPr="004D384C" w:rsidRDefault="001201EE" w:rsidP="001201EE">
      <w:pPr>
        <w:pStyle w:val="Questionstyle"/>
        <w:numPr>
          <w:ilvl w:val="0"/>
          <w:numId w:val="32"/>
        </w:numPr>
        <w:spacing w:after="240" w:line="259" w:lineRule="auto"/>
        <w:ind w:hanging="851"/>
        <w:contextualSpacing w:val="0"/>
      </w:pPr>
      <w:r w:rsidRPr="004D384C">
        <w:lastRenderedPageBreak/>
        <w:t>Do you agree with ESMA’s approach regarding consistency between the MiCA and MiFID II suitability regimes? If you think that the two regimes should diverge, where and for which reasons?</w:t>
      </w:r>
    </w:p>
    <w:p w14:paraId="157E69D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2DAE942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20946070" w:edGrp="everyone"/>
      <w:r w:rsidRPr="001201EE">
        <w:rPr>
          <w:rFonts w:asciiTheme="minorHAnsi" w:eastAsiaTheme="minorHAnsi" w:hAnsiTheme="minorHAnsi" w:cstheme="minorBidi"/>
          <w:kern w:val="2"/>
          <w:sz w:val="22"/>
          <w:szCs w:val="22"/>
          <w:lang w:eastAsia="en-US"/>
          <w14:ligatures w14:val="standardContextual"/>
        </w:rPr>
        <w:t>TYPE YOUR TEXT HERE</w:t>
      </w:r>
    </w:p>
    <w:permEnd w:id="1220946070"/>
    <w:p w14:paraId="1D756C9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3CD48679" w14:textId="77777777" w:rsidR="001201EE" w:rsidRDefault="001201EE" w:rsidP="001201EE"/>
    <w:p w14:paraId="403795B7"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should be amended to better fit crypto-assets and the relevant crypto-asset services? In which regard? Please justify your answer.</w:t>
      </w:r>
    </w:p>
    <w:p w14:paraId="2F776B7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13619F5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102849451" w:edGrp="everyone"/>
      <w:r w:rsidRPr="001201EE">
        <w:rPr>
          <w:rFonts w:asciiTheme="minorHAnsi" w:eastAsiaTheme="minorHAnsi" w:hAnsiTheme="minorHAnsi" w:cstheme="minorBidi"/>
          <w:kern w:val="2"/>
          <w:sz w:val="22"/>
          <w:szCs w:val="22"/>
          <w:lang w:eastAsia="en-US"/>
          <w14:ligatures w14:val="standardContextual"/>
        </w:rPr>
        <w:t>TYPE YOUR TEXT HERE</w:t>
      </w:r>
    </w:p>
    <w:permEnd w:id="1102849451"/>
    <w:p w14:paraId="232AF63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42358B5B" w14:textId="77777777" w:rsidR="001201EE" w:rsidRDefault="001201EE" w:rsidP="001201EE"/>
    <w:p w14:paraId="1B2FEBF1"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followed by ESMA regarding periodic statements provided in relation to portfolio management of crypto-assets?</w:t>
      </w:r>
    </w:p>
    <w:p w14:paraId="187B33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497E07C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195186045" w:edGrp="everyone"/>
      <w:r w:rsidRPr="001201EE">
        <w:rPr>
          <w:rFonts w:asciiTheme="minorHAnsi" w:eastAsiaTheme="minorHAnsi" w:hAnsiTheme="minorHAnsi" w:cstheme="minorBidi"/>
          <w:kern w:val="2"/>
          <w:sz w:val="22"/>
          <w:szCs w:val="22"/>
          <w:lang w:eastAsia="en-US"/>
          <w14:ligatures w14:val="standardContextual"/>
        </w:rPr>
        <w:t>TYPE YOUR TEXT HERE</w:t>
      </w:r>
    </w:p>
    <w:permEnd w:id="1195186045"/>
    <w:p w14:paraId="02FC1BE8"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1CC74DE1" w14:textId="77777777" w:rsidR="001201EE" w:rsidRDefault="001201EE" w:rsidP="001201EE"/>
    <w:p w14:paraId="250365DE"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taken by ESMA in the draft guidelines for crypto-asset service providers providing transfer services for crypto-assets on behalf of clients as regards procedures and policies, including the rights of clients? Please also state the reasons for your answer.</w:t>
      </w:r>
    </w:p>
    <w:p w14:paraId="0E67B7D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3C0368F3"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233061173" w:edGrp="everyone"/>
      <w:r w:rsidRPr="001201EE">
        <w:rPr>
          <w:rFonts w:asciiTheme="minorHAnsi" w:eastAsiaTheme="minorHAnsi" w:hAnsiTheme="minorHAnsi" w:cstheme="minorBidi"/>
          <w:kern w:val="2"/>
          <w:sz w:val="22"/>
          <w:szCs w:val="22"/>
          <w:lang w:eastAsia="en-US"/>
          <w14:ligatures w14:val="standardContextual"/>
        </w:rPr>
        <w:t>TYPE YOUR TEXT HERE</w:t>
      </w:r>
    </w:p>
    <w:permEnd w:id="233061173"/>
    <w:p w14:paraId="69DE099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0621F0F9" w14:textId="77777777" w:rsidR="001201EE" w:rsidRDefault="001201EE" w:rsidP="001201EE"/>
    <w:p w14:paraId="5F262625"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address sufficiently the risks for clients related to on- and off-DLT crypto-asset transfers? Please justify your answer.</w:t>
      </w:r>
    </w:p>
    <w:p w14:paraId="5592414B"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66DFAA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10393435" w:edGrp="everyone"/>
      <w:r w:rsidRPr="001201EE">
        <w:rPr>
          <w:rFonts w:asciiTheme="minorHAnsi" w:eastAsiaTheme="minorHAnsi" w:hAnsiTheme="minorHAnsi" w:cstheme="minorBidi"/>
          <w:kern w:val="2"/>
          <w:sz w:val="22"/>
          <w:szCs w:val="22"/>
          <w:lang w:eastAsia="en-US"/>
          <w14:ligatures w14:val="standardContextual"/>
        </w:rPr>
        <w:t>TYPE YOUR TEXT HERE</w:t>
      </w:r>
    </w:p>
    <w:permEnd w:id="410393435"/>
    <w:p w14:paraId="2DA251F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472F11EC" w14:textId="77777777" w:rsidR="001201EE" w:rsidRDefault="001201EE" w:rsidP="001201EE"/>
    <w:p w14:paraId="73CF767A"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any additional comments that you would like to raise and/or information that you would like to provide, for example, on whether other relevant points or clients’ rights should be considered?</w:t>
      </w:r>
    </w:p>
    <w:p w14:paraId="79012E2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7C337194" w14:textId="77777777" w:rsidR="003E4DC5" w:rsidRDefault="003E4DC5" w:rsidP="001201EE">
      <w:pPr>
        <w:spacing w:after="160" w:line="259" w:lineRule="auto"/>
        <w:rPr>
          <w:rFonts w:ascii="Arial" w:hAnsi="Arial" w:cs="Arial"/>
          <w:color w:val="000000"/>
          <w:sz w:val="22"/>
          <w:szCs w:val="22"/>
        </w:rPr>
      </w:pPr>
      <w:permStart w:id="987763710" w:edGrp="everyone"/>
      <w:r>
        <w:rPr>
          <w:rFonts w:ascii="Arial" w:hAnsi="Arial" w:cs="Arial"/>
          <w:color w:val="000000"/>
          <w:sz w:val="22"/>
          <w:szCs w:val="22"/>
        </w:rPr>
        <w:t>We consider that the number of block confirmations to have a transfer considered irreversible on a DLT network, it being a public blockchain, should be a matter addressed by the competent authorities, case by case (or in this matter, blockchain by blockchain) since it could be incongruent that different CASPs provide different number of block confirmations for a given transaction to be considered irreversible when the same public blockchain with the same validation method is being used for the transaction.</w:t>
      </w:r>
    </w:p>
    <w:permEnd w:id="987763710"/>
    <w:p w14:paraId="7D37CAE0" w14:textId="60AA3155"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606EEAA9" w14:textId="77777777" w:rsidR="001201EE" w:rsidRDefault="001201EE" w:rsidP="001201EE"/>
    <w:p w14:paraId="1A2D35D4"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ESMA’s interpretation of the term, ‘systems’ in the mandate? If not, please explain your understanding of the term (and provide examples if possible).</w:t>
      </w:r>
    </w:p>
    <w:p w14:paraId="5376D71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126555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1597368" w:edGrp="everyone"/>
      <w:r w:rsidRPr="001201EE">
        <w:rPr>
          <w:rFonts w:asciiTheme="minorHAnsi" w:eastAsiaTheme="minorHAnsi" w:hAnsiTheme="minorHAnsi" w:cstheme="minorBidi"/>
          <w:kern w:val="2"/>
          <w:sz w:val="22"/>
          <w:szCs w:val="22"/>
          <w:lang w:eastAsia="en-US"/>
          <w14:ligatures w14:val="standardContextual"/>
        </w:rPr>
        <w:t>TYPE YOUR TEXT HERE</w:t>
      </w:r>
    </w:p>
    <w:permEnd w:id="121597368"/>
    <w:p w14:paraId="06A5999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A030B28" w14:textId="77777777" w:rsidR="001201EE" w:rsidRDefault="001201EE" w:rsidP="001201EE">
      <w:pPr>
        <w:spacing w:after="160" w:line="259" w:lineRule="auto"/>
      </w:pPr>
    </w:p>
    <w:p w14:paraId="01CFBF53"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other ‘appropriate Union standards’ beyond those identified in the consultation paper that you consider relevant for this mandate? If yes, please list them and provide a rationale for why they would be relevant.</w:t>
      </w:r>
    </w:p>
    <w:p w14:paraId="19EB72B3"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89C028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63282396" w:edGrp="everyone"/>
      <w:r w:rsidRPr="001201EE">
        <w:rPr>
          <w:rFonts w:asciiTheme="minorHAnsi" w:eastAsiaTheme="minorHAnsi" w:hAnsiTheme="minorHAnsi" w:cstheme="minorBidi"/>
          <w:kern w:val="2"/>
          <w:sz w:val="22"/>
          <w:szCs w:val="22"/>
          <w:lang w:eastAsia="en-US"/>
          <w14:ligatures w14:val="standardContextual"/>
        </w:rPr>
        <w:t>TYPE YOUR TEXT HERE</w:t>
      </w:r>
    </w:p>
    <w:permEnd w:id="1263282396"/>
    <w:p w14:paraId="141B2E6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1CEC741" w14:textId="77777777" w:rsidR="001201EE" w:rsidRDefault="001201EE" w:rsidP="001201EE"/>
    <w:p w14:paraId="24BEF32A" w14:textId="688CB545" w:rsidR="001201EE" w:rsidRPr="004D384C" w:rsidRDefault="008D5EFE" w:rsidP="001201EE">
      <w:pPr>
        <w:pStyle w:val="Questionstyle"/>
        <w:numPr>
          <w:ilvl w:val="0"/>
          <w:numId w:val="32"/>
        </w:numPr>
        <w:spacing w:after="240" w:line="259" w:lineRule="auto"/>
        <w:ind w:hanging="851"/>
        <w:contextualSpacing w:val="0"/>
      </w:pPr>
      <w:r w:rsidRPr="008D5EFE">
        <w:t xml:space="preserve">Do you agree with the inclusion of minimal administrative arrangements in Guideline 2 (i.e., no reference to implementing a risk management framework)? If no, please explain whether you would consider either </w:t>
      </w:r>
      <w:r w:rsidRPr="008D5EFE">
        <w:rPr>
          <w:i/>
          <w:iCs/>
        </w:rPr>
        <w:t>fewer</w:t>
      </w:r>
      <w:r w:rsidRPr="008D5EFE">
        <w:t xml:space="preserve"> or </w:t>
      </w:r>
      <w:r w:rsidRPr="008D5EFE">
        <w:rPr>
          <w:i/>
          <w:iCs/>
        </w:rPr>
        <w:t>more</w:t>
      </w:r>
      <w:r w:rsidRPr="008D5EFE">
        <w:t xml:space="preserve"> administrative arrangements appropriate</w:t>
      </w:r>
      <w:r w:rsidR="001201EE" w:rsidRPr="004D384C">
        <w:t xml:space="preserve">. </w:t>
      </w:r>
    </w:p>
    <w:p w14:paraId="4C83511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64CBFB4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84145654" w:edGrp="everyone"/>
      <w:r w:rsidRPr="001201EE">
        <w:rPr>
          <w:rFonts w:asciiTheme="minorHAnsi" w:eastAsiaTheme="minorHAnsi" w:hAnsiTheme="minorHAnsi" w:cstheme="minorBidi"/>
          <w:kern w:val="2"/>
          <w:sz w:val="22"/>
          <w:szCs w:val="22"/>
          <w:lang w:eastAsia="en-US"/>
          <w14:ligatures w14:val="standardContextual"/>
        </w:rPr>
        <w:t>TYPE YOUR TEXT HERE</w:t>
      </w:r>
    </w:p>
    <w:permEnd w:id="484145654"/>
    <w:p w14:paraId="0074F8DE"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227C1718" w14:textId="77777777" w:rsidR="001201EE" w:rsidRDefault="001201EE" w:rsidP="001201EE"/>
    <w:p w14:paraId="0D8EC146" w14:textId="77777777" w:rsidR="001201EE" w:rsidRPr="004D384C" w:rsidRDefault="001201EE" w:rsidP="001201EE">
      <w:pPr>
        <w:pStyle w:val="Questionstyle"/>
        <w:numPr>
          <w:ilvl w:val="0"/>
          <w:numId w:val="32"/>
        </w:numPr>
        <w:spacing w:after="240" w:line="259" w:lineRule="auto"/>
        <w:ind w:hanging="851"/>
        <w:contextualSpacing w:val="0"/>
      </w:pPr>
      <w:r w:rsidRPr="004D384C">
        <w:lastRenderedPageBreak/>
        <w:t>Do you support the inclusion of Guideline 5 on ‘cryptographic key management’? Do you consider cryptographic keys relevant as either a ‘system’ or a ‘security access protocol’? Is this guideline fit for purpose (i.e., can cryptographic keys be ‘replaced’ as implied in paragraph 29 of the draft guidelines)?</w:t>
      </w:r>
    </w:p>
    <w:p w14:paraId="3899595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6E04EB3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2125807733" w:edGrp="everyone"/>
      <w:r w:rsidRPr="001201EE">
        <w:rPr>
          <w:rFonts w:asciiTheme="minorHAnsi" w:eastAsiaTheme="minorHAnsi" w:hAnsiTheme="minorHAnsi" w:cstheme="minorBidi"/>
          <w:kern w:val="2"/>
          <w:sz w:val="22"/>
          <w:szCs w:val="22"/>
          <w:lang w:eastAsia="en-US"/>
          <w14:ligatures w14:val="standardContextual"/>
        </w:rPr>
        <w:t>TYPE YOUR TEXT HERE</w:t>
      </w:r>
    </w:p>
    <w:permEnd w:id="2125807733"/>
    <w:p w14:paraId="4DC1146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65B6" w14:textId="77777777" w:rsidR="004C02AB" w:rsidRDefault="004C02AB" w:rsidP="007E7997">
      <w:r>
        <w:separator/>
      </w:r>
    </w:p>
  </w:endnote>
  <w:endnote w:type="continuationSeparator" w:id="0">
    <w:p w14:paraId="5502B82C" w14:textId="77777777" w:rsidR="004C02AB" w:rsidRDefault="004C02AB" w:rsidP="007E7997">
      <w:r>
        <w:continuationSeparator/>
      </w:r>
    </w:p>
  </w:endnote>
  <w:endnote w:type="continuationNotice" w:id="1">
    <w:p w14:paraId="6132E4D3" w14:textId="77777777" w:rsidR="004C02AB" w:rsidRDefault="004C0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95D2" w14:textId="77777777" w:rsidR="005665FB" w:rsidRDefault="005665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Piedep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Piedepgina"/>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Piedep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epgina"/>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E514" w14:textId="77777777" w:rsidR="004C02AB" w:rsidRDefault="004C02AB" w:rsidP="007E7997">
      <w:r>
        <w:separator/>
      </w:r>
    </w:p>
  </w:footnote>
  <w:footnote w:type="continuationSeparator" w:id="0">
    <w:p w14:paraId="74DB6E1D" w14:textId="77777777" w:rsidR="004C02AB" w:rsidRDefault="004C02AB" w:rsidP="007E7997">
      <w:r>
        <w:continuationSeparator/>
      </w:r>
    </w:p>
  </w:footnote>
  <w:footnote w:type="continuationNotice" w:id="1">
    <w:p w14:paraId="534819F6" w14:textId="77777777" w:rsidR="004C02AB" w:rsidRDefault="004C0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3690" w14:textId="77777777" w:rsidR="005665FB" w:rsidRDefault="005665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Encabezado"/>
    </w:pPr>
  </w:p>
  <w:p w14:paraId="59FA3C9D" w14:textId="77777777" w:rsidR="00E36813" w:rsidRDefault="00E36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74E5D0C" w:rsidR="00FA64BE" w:rsidRDefault="00FA64BE" w:rsidP="00FA64BE">
    <w:pPr>
      <w:pStyle w:val="Encabezado"/>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E178C">
      <w:rPr>
        <w:rFonts w:asciiTheme="minorHAnsi" w:eastAsiaTheme="minorEastAsia" w:hAnsiTheme="minorHAnsi" w:cstheme="minorBidi"/>
        <w:color w:val="000000" w:themeColor="text1" w:themeShade="80"/>
        <w:sz w:val="16"/>
        <w:szCs w:val="20"/>
        <w:lang w:eastAsia="en-US"/>
      </w:rPr>
      <w:t>25 March</w:t>
    </w:r>
    <w:r w:rsidRPr="00A76C98">
      <w:rPr>
        <w:rFonts w:asciiTheme="minorHAnsi" w:eastAsiaTheme="minorEastAsia" w:hAnsiTheme="minorHAnsi" w:cstheme="minorBidi"/>
        <w:color w:val="000000" w:themeColor="text1" w:themeShade="80"/>
        <w:sz w:val="16"/>
        <w:szCs w:val="20"/>
        <w:lang w:eastAsia="en-US"/>
      </w:rPr>
      <w:t xml:space="preserve"> 202</w:t>
    </w:r>
    <w:r w:rsidR="000E178C">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5665FB" w:rsidRPr="005665FB">
      <w:rPr>
        <w:rFonts w:asciiTheme="minorHAnsi" w:eastAsiaTheme="minorEastAsia" w:hAnsiTheme="minorHAnsi" w:cstheme="minorBidi"/>
        <w:color w:val="000000" w:themeColor="text1" w:themeShade="80"/>
        <w:sz w:val="16"/>
        <w:szCs w:val="20"/>
        <w:lang w:eastAsia="en-US"/>
      </w:rPr>
      <w:t>ESMA75-453128700-1012</w:t>
    </w:r>
  </w:p>
  <w:p w14:paraId="70391035" w14:textId="0FE57758" w:rsidR="00E36813" w:rsidRDefault="00FA64BE" w:rsidP="00FA64BE">
    <w:pPr>
      <w:pStyle w:val="Encabezado"/>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AB49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Encabezado"/>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Encabezado"/>
      <w:jc w:val="right"/>
      <w:rPr>
        <w:rFonts w:asciiTheme="minorHAnsi" w:hAnsiTheme="minorHAnsi" w:cstheme="minorHAnsi"/>
        <w:color w:val="2F5496" w:themeColor="accent5" w:themeShade="BF"/>
        <w:sz w:val="20"/>
      </w:rPr>
    </w:pPr>
  </w:p>
  <w:p w14:paraId="3E983FE8" w14:textId="71D87355" w:rsidR="00FA64BE" w:rsidRDefault="00FA64BE" w:rsidP="00FA64BE">
    <w:pPr>
      <w:pStyle w:val="Encabezado"/>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Encabezado"/>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Encabezado"/>
      <w:jc w:val="right"/>
      <w:rPr>
        <w:color w:val="2F5496" w:themeColor="accent5" w:themeShade="BF"/>
        <w:sz w:val="20"/>
      </w:rPr>
    </w:pPr>
  </w:p>
  <w:p w14:paraId="5EAB6EC6" w14:textId="77777777" w:rsidR="00E36813" w:rsidRPr="00B50534" w:rsidRDefault="00E36813" w:rsidP="00B50534">
    <w:pPr>
      <w:pStyle w:val="Encabezado"/>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Prrafodelist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Ttulo1"/>
      <w:lvlText w:val="%1."/>
      <w:lvlJc w:val="righ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3"/>
  </w:num>
  <w:num w:numId="4" w16cid:durableId="1880320868">
    <w:abstractNumId w:val="4"/>
  </w:num>
  <w:num w:numId="5" w16cid:durableId="290864581">
    <w:abstractNumId w:val="13"/>
  </w:num>
  <w:num w:numId="6" w16cid:durableId="952590553">
    <w:abstractNumId w:val="25"/>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20"/>
  </w:num>
  <w:num w:numId="16" w16cid:durableId="398749299">
    <w:abstractNumId w:val="24"/>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5"/>
  </w:num>
  <w:num w:numId="20" w16cid:durableId="1306933315">
    <w:abstractNumId w:val="11"/>
  </w:num>
  <w:num w:numId="21" w16cid:durableId="1623876054">
    <w:abstractNumId w:val="22"/>
  </w:num>
  <w:num w:numId="22" w16cid:durableId="783383837">
    <w:abstractNumId w:val="14"/>
  </w:num>
  <w:num w:numId="23" w16cid:durableId="2112964618">
    <w:abstractNumId w:val="19"/>
  </w:num>
  <w:num w:numId="24" w16cid:durableId="1958565453">
    <w:abstractNumId w:val="1"/>
  </w:num>
  <w:num w:numId="25" w16cid:durableId="1372725395">
    <w:abstractNumId w:val="18"/>
  </w:num>
  <w:num w:numId="26" w16cid:durableId="1686445133">
    <w:abstractNumId w:val="16"/>
  </w:num>
  <w:num w:numId="27" w16cid:durableId="1247768697">
    <w:abstractNumId w:val="10"/>
  </w:num>
  <w:num w:numId="28" w16cid:durableId="954170948">
    <w:abstractNumId w:val="2"/>
  </w:num>
  <w:num w:numId="29" w16cid:durableId="837424337">
    <w:abstractNumId w:val="17"/>
  </w:num>
  <w:num w:numId="30" w16cid:durableId="299657983">
    <w:abstractNumId w:val="5"/>
  </w:num>
  <w:num w:numId="31" w16cid:durableId="699822250">
    <w:abstractNumId w:val="15"/>
  </w:num>
  <w:num w:numId="32" w16cid:durableId="15976394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uBXOj35sxsXdFpHWOjBrmruJCt0o4ZwK03to0GwcpU8oecCAOqY2/euoO8OX0ww6Af80OEJcTsLYxXo0CWEM/g==" w:salt="vfyTTTcKTorQ8qC89hdbT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178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1EE"/>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6F1"/>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491"/>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4627"/>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4DC5"/>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315D"/>
    <w:rsid w:val="004A75F5"/>
    <w:rsid w:val="004B07B2"/>
    <w:rsid w:val="004B0955"/>
    <w:rsid w:val="004B143D"/>
    <w:rsid w:val="004B1842"/>
    <w:rsid w:val="004B25D0"/>
    <w:rsid w:val="004B3553"/>
    <w:rsid w:val="004B5E92"/>
    <w:rsid w:val="004B6859"/>
    <w:rsid w:val="004C02AB"/>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4802"/>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665F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7B9"/>
    <w:rsid w:val="00704D53"/>
    <w:rsid w:val="007056C3"/>
    <w:rsid w:val="00706072"/>
    <w:rsid w:val="00713644"/>
    <w:rsid w:val="007148CC"/>
    <w:rsid w:val="00715D9D"/>
    <w:rsid w:val="00720BFB"/>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641"/>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D5EFE"/>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235"/>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5B09"/>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716"/>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2725"/>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1E57"/>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5068"/>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4F5"/>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tulo4">
    <w:name w:val="heading 4"/>
    <w:basedOn w:val="Normal"/>
    <w:next w:val="Normal"/>
    <w:link w:val="Ttulo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tulo6">
    <w:name w:val="heading 6"/>
    <w:basedOn w:val="Normal"/>
    <w:next w:val="Normal"/>
    <w:link w:val="Ttulo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rsid w:val="00020300"/>
    <w:rPr>
      <w:rFonts w:asciiTheme="majorHAnsi" w:eastAsiaTheme="majorEastAsia" w:hAnsiTheme="majorHAnsi" w:cstheme="majorBidi"/>
      <w:sz w:val="24"/>
      <w:szCs w:val="22"/>
      <w:lang w:val="en-GB" w:eastAsia="en-GB"/>
    </w:rPr>
  </w:style>
  <w:style w:type="character" w:customStyle="1" w:styleId="Ttulo3Car">
    <w:name w:val="Título 3 Car"/>
    <w:basedOn w:val="Fuentedeprrafopredeter"/>
    <w:link w:val="Ttulo3"/>
    <w:rsid w:val="00020300"/>
    <w:rPr>
      <w:rFonts w:asciiTheme="majorHAnsi" w:eastAsiaTheme="majorEastAsia" w:hAnsiTheme="majorHAnsi" w:cstheme="majorBidi"/>
      <w:sz w:val="24"/>
      <w:szCs w:val="24"/>
      <w:lang w:val="en-GB" w:eastAsia="en-GB"/>
    </w:rPr>
  </w:style>
  <w:style w:type="character" w:customStyle="1" w:styleId="Ttulo1Car">
    <w:name w:val="Título 1 Car"/>
    <w:basedOn w:val="Fuentedeprrafopredeter"/>
    <w:link w:val="Ttulo1"/>
    <w:rsid w:val="00FE0BD8"/>
    <w:rPr>
      <w:rFonts w:asciiTheme="majorHAnsi" w:eastAsiaTheme="majorEastAsia" w:hAnsiTheme="majorHAnsi" w:cstheme="majorBidi"/>
      <w:b/>
      <w:sz w:val="32"/>
      <w:szCs w:val="32"/>
      <w:lang w:val="en-GB" w:eastAsia="en-GB"/>
    </w:rPr>
  </w:style>
  <w:style w:type="character" w:customStyle="1" w:styleId="Ttulo2Car">
    <w:name w:val="Título 2 Car"/>
    <w:basedOn w:val="Fuentedeprrafopredeter"/>
    <w:link w:val="Ttu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numPr>
        <w:numId w:val="2"/>
      </w:numPr>
    </w:pPr>
    <w:rPr>
      <w:b/>
      <w:sz w:val="28"/>
    </w:rPr>
  </w:style>
  <w:style w:type="character" w:customStyle="1" w:styleId="Title1Char">
    <w:name w:val="Title 1 Char"/>
    <w:basedOn w:val="Fuentedeprrafopredeter"/>
    <w:link w:val="Title1"/>
    <w:rsid w:val="003C4EB5"/>
    <w:rPr>
      <w:rFonts w:eastAsiaTheme="majorEastAsia" w:cstheme="minorHAnsi"/>
      <w:b/>
      <w:sz w:val="28"/>
      <w:szCs w:val="22"/>
      <w:lang w:val="en-GB" w:eastAsia="en-GB"/>
    </w:rPr>
  </w:style>
  <w:style w:type="paragraph" w:styleId="Prrafodelista">
    <w:name w:val="List Paragraph"/>
    <w:aliases w:val="Paragraphe EI,Paragraphe de liste1,EC,Paragraphe de liste,Normal Nivel 1,List Paragraph Main,List first level,List Paragraph_Sections"/>
    <w:basedOn w:val="Normal"/>
    <w:link w:val="Prrafodelista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rrafodelista"/>
    <w:link w:val="Title3Char"/>
    <w:autoRedefine/>
    <w:rsid w:val="002574D1"/>
    <w:pPr>
      <w:numPr>
        <w:ilvl w:val="3"/>
        <w:numId w:val="2"/>
      </w:numPr>
    </w:pPr>
  </w:style>
  <w:style w:type="character" w:customStyle="1" w:styleId="Title3Char">
    <w:name w:val="Title 3 Char"/>
    <w:basedOn w:val="Fuentedeprrafopredeter"/>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4"/>
      <w:szCs w:val="22"/>
      <w:lang w:val="en-GB" w:eastAsia="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rsid w:val="00AA054E"/>
    <w:rPr>
      <w:rFonts w:asciiTheme="majorHAnsi" w:eastAsiaTheme="majorEastAsia" w:hAnsiTheme="majorHAnsi" w:cstheme="majorBidi"/>
      <w:i/>
      <w:iCs/>
      <w:color w:val="44546A" w:themeColor="text2"/>
      <w:sz w:val="21"/>
      <w:szCs w:val="21"/>
      <w:lang w:val="en-GB" w:eastAsia="en-GB"/>
    </w:rPr>
  </w:style>
  <w:style w:type="paragraph" w:styleId="Ttulo">
    <w:name w:val="Title"/>
    <w:basedOn w:val="Normal"/>
    <w:next w:val="Normal"/>
    <w:link w:val="Ttulo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pPr>
    <w:rPr>
      <w:rFonts w:asciiTheme="majorHAnsi" w:eastAsiaTheme="majorEastAsia" w:hAnsiTheme="majorHAnsi" w:cstheme="majorBidi"/>
      <w:b/>
      <w:sz w:val="28"/>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tulo8Car">
    <w:name w:val="Título 8 Car"/>
    <w:basedOn w:val="Fuentedeprrafopredeter"/>
    <w:link w:val="Ttulo8"/>
    <w:rsid w:val="00AA054E"/>
    <w:rPr>
      <w:rFonts w:asciiTheme="majorHAnsi" w:eastAsiaTheme="majorEastAsia" w:hAnsiTheme="majorHAnsi" w:cstheme="majorBidi"/>
      <w:b/>
      <w:bCs/>
      <w:color w:val="44546A" w:themeColor="text2"/>
      <w:sz w:val="24"/>
      <w:szCs w:val="24"/>
      <w:lang w:val="en-GB" w:eastAsia="en-GB"/>
    </w:rPr>
  </w:style>
  <w:style w:type="character" w:customStyle="1" w:styleId="Ttulo9Car">
    <w:name w:val="Título 9 Car"/>
    <w:basedOn w:val="Fuentedeprrafopredeter"/>
    <w:link w:val="Ttulo9"/>
    <w:rsid w:val="00AA054E"/>
    <w:rPr>
      <w:rFonts w:asciiTheme="majorHAnsi" w:eastAsiaTheme="majorEastAsia" w:hAnsiTheme="majorHAnsi" w:cstheme="majorBidi"/>
      <w:b/>
      <w:bCs/>
      <w:i/>
      <w:iCs/>
      <w:color w:val="44546A" w:themeColor="text2"/>
      <w:sz w:val="24"/>
      <w:szCs w:val="24"/>
      <w:lang w:val="en-GB" w:eastAsia="en-GB"/>
    </w:rPr>
  </w:style>
  <w:style w:type="paragraph" w:styleId="Descripcin">
    <w:name w:val="caption"/>
    <w:basedOn w:val="Normal"/>
    <w:next w:val="Normal"/>
    <w:uiPriority w:val="35"/>
    <w:semiHidden/>
    <w:unhideWhenUsed/>
    <w:qFormat/>
    <w:rsid w:val="00AA054E"/>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aliases w:val="Text,Emphase pâle,Diskret betoning"/>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TDC">
    <w:name w:val="TOC Heading"/>
    <w:basedOn w:val="Ttulo1"/>
    <w:next w:val="Normal"/>
    <w:uiPriority w:val="39"/>
    <w:unhideWhenUsed/>
    <w:qFormat/>
    <w:rsid w:val="00AA054E"/>
    <w:p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qFormat/>
    <w:rsid w:val="007E7997"/>
    <w:pPr>
      <w:tabs>
        <w:tab w:val="center" w:pos="4536"/>
        <w:tab w:val="right" w:pos="9072"/>
      </w:tabs>
    </w:pPr>
  </w:style>
  <w:style w:type="character" w:customStyle="1" w:styleId="EncabezadoCar">
    <w:name w:val="Encabezado Car"/>
    <w:basedOn w:val="Fuentedeprrafopredeter"/>
    <w:link w:val="Encabezado"/>
    <w:rsid w:val="007E7997"/>
    <w:rPr>
      <w:sz w:val="22"/>
    </w:rPr>
  </w:style>
  <w:style w:type="paragraph" w:styleId="Piedepgina">
    <w:name w:val="footer"/>
    <w:basedOn w:val="Normal"/>
    <w:link w:val="PiedepginaCar"/>
    <w:uiPriority w:val="99"/>
    <w:unhideWhenUsed/>
    <w:rsid w:val="007E7997"/>
    <w:pPr>
      <w:tabs>
        <w:tab w:val="center" w:pos="4536"/>
        <w:tab w:val="right" w:pos="9072"/>
      </w:tabs>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DC1">
    <w:name w:val="toc 1"/>
    <w:basedOn w:val="Normal"/>
    <w:next w:val="Normal"/>
    <w:autoRedefine/>
    <w:uiPriority w:val="39"/>
    <w:unhideWhenUsed/>
    <w:rsid w:val="00B81A44"/>
    <w:pPr>
      <w:tabs>
        <w:tab w:val="left" w:pos="440"/>
        <w:tab w:val="right" w:leader="dot" w:pos="9062"/>
      </w:tabs>
      <w:spacing w:after="100"/>
    </w:pPr>
  </w:style>
  <w:style w:type="paragraph" w:styleId="TDC2">
    <w:name w:val="toc 2"/>
    <w:basedOn w:val="Normal"/>
    <w:next w:val="Normal"/>
    <w:autoRedefine/>
    <w:uiPriority w:val="39"/>
    <w:unhideWhenUsed/>
    <w:rsid w:val="00BC422A"/>
    <w:pPr>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Fuentedeprrafopredeter"/>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basedOn w:val="Normal"/>
    <w:link w:val="TextonotapieCar"/>
    <w:autoRedefine/>
    <w:uiPriority w:val="99"/>
    <w:semiHidden/>
    <w:unhideWhenUsed/>
    <w:qFormat/>
    <w:rsid w:val="006F53E8"/>
    <w:rPr>
      <w:sz w:val="16"/>
    </w:rPr>
  </w:style>
  <w:style w:type="character" w:customStyle="1" w:styleId="TextonotapieCar">
    <w:name w:val="Texto nota pie Car"/>
    <w:basedOn w:val="Fuentedeprrafopredeter"/>
    <w:link w:val="Textonotapie"/>
    <w:uiPriority w:val="99"/>
    <w:semiHidden/>
    <w:rsid w:val="006F53E8"/>
    <w:rPr>
      <w:sz w:val="16"/>
      <w:lang w:val="en-GB"/>
    </w:rPr>
  </w:style>
  <w:style w:type="character" w:styleId="Refdenotaalpie">
    <w:name w:val="footnote reference"/>
    <w:aliases w:val="SUPERS,Footnote reference number,Footnote symbol,note TESI,-E Fußnotenzeichen,number,BVI fnr,Footnote Reference Superscript,(Footnote Reference),EN Footnote Reference,Voetnootverwijzing,Times 10 Point,Exposant 3 Poi,16 Point, BVI fnr"/>
    <w:basedOn w:val="Fuentedeprrafopredeter"/>
    <w:uiPriority w:val="99"/>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
    <w:link w:val="Footnote"/>
    <w:rsid w:val="00B50534"/>
    <w:rPr>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odeglobo">
    <w:name w:val="Balloon Text"/>
    <w:basedOn w:val="Normal"/>
    <w:link w:val="TextodegloboCar"/>
    <w:uiPriority w:val="99"/>
    <w:semiHidden/>
    <w:unhideWhenUsed/>
    <w:rsid w:val="003C1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Fuentedeprrafopredeter"/>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e EI Car,Paragraphe de liste1 Car,EC Car,Paragraphe de liste Car,Normal Nivel 1 Car,List Paragraph Main Car,List first level Car,List Paragraph_Sections Car"/>
    <w:basedOn w:val="Fuentedeprrafopredeter"/>
    <w:link w:val="Prrafodelista"/>
    <w:uiPriority w:val="34"/>
    <w:rsid w:val="00695AF2"/>
    <w:rPr>
      <w:rFonts w:eastAsiaTheme="majorEastAsia" w:cstheme="minorHAnsi"/>
      <w:sz w:val="22"/>
      <w:szCs w:val="22"/>
      <w:lang w:val="en-GB" w:eastAsia="en-GB"/>
    </w:rPr>
  </w:style>
  <w:style w:type="table" w:customStyle="1" w:styleId="TableGrid3">
    <w:name w:val="Table Grid3"/>
    <w:basedOn w:val="Tabla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Textoennegrita"/>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12166863">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17263033">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642412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ESMA75-453128700-1012</_dlc_DocId>
    <TaxCatchAll xmlns="54127999-3348-4351-a1b7-d1a6c30af8a6">
      <Value>1</Value>
      <Value>26</Value>
      <Value>109</Value>
      <Value>208</Value>
      <Value>84</Value>
    </TaxCatchAll>
    <_dlc_DocIdUrl xmlns="54127999-3348-4351-a1b7-d1a6c30af8a6">
      <Url>https://securitiesandmarketsauth.sharepoint.com/sites/sherpa-dfi/_layouts/15/DocIdRedir.aspx?ID=ESMA75-453128700-1012</Url>
      <Description>ESMA75-453128700-1012</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3</TermName>
          <TermId xmlns="http://schemas.microsoft.com/office/infopath/2007/PartnerControls">7c37a131-b05c-4cf4-b0f4-af291de8c554</TermId>
        </TermInfo>
      </Terms>
    </d30180ce34544e549e5087e920a86c0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F9E383A8-E53D-4795-8692-5E40D1C5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10</TotalTime>
  <Pages>9</Pages>
  <Words>1569</Words>
  <Characters>8632</Characters>
  <Application>Microsoft Office Word</Application>
  <DocSecurity>8</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Yeray Martín</cp:lastModifiedBy>
  <cp:revision>3</cp:revision>
  <cp:lastPrinted>2017-07-24T14:47:00Z</cp:lastPrinted>
  <dcterms:created xsi:type="dcterms:W3CDTF">2024-06-25T15:39:00Z</dcterms:created>
  <dcterms:modified xsi:type="dcterms:W3CDTF">2024-06-25T20:13:00Z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63c6af82-b463-404e-9b9f-79a5f7e7622b</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208;#Consultation Packages - Consultation Paper 3|7c37a131-b05c-4cf4-b0f4-af291de8c554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