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5FF8D" w14:textId="77777777" w:rsidR="00C36261" w:rsidRPr="00C36261" w:rsidRDefault="00C36261" w:rsidP="00C36261">
      <w:pPr>
        <w:ind w:right="-120"/>
        <w:jc w:val="both"/>
        <w:outlineLvl w:val="0"/>
        <w:rPr>
          <w:rFonts w:ascii="Times New Roman" w:eastAsia="Times New Roman" w:hAnsi="Times New Roman" w:cs="Times New Roman"/>
          <w:b/>
          <w:bCs/>
          <w:kern w:val="36"/>
          <w:sz w:val="48"/>
          <w:szCs w:val="48"/>
          <w:lang w:eastAsia="en-GB"/>
          <w14:ligatures w14:val="none"/>
        </w:rPr>
      </w:pPr>
      <w:r w:rsidRPr="00C36261">
        <w:rPr>
          <w:rFonts w:ascii="Arial" w:eastAsia="Times New Roman" w:hAnsi="Arial" w:cs="Arial"/>
          <w:b/>
          <w:bCs/>
          <w:color w:val="000000"/>
          <w:kern w:val="36"/>
          <w:sz w:val="22"/>
          <w:szCs w:val="22"/>
          <w:lang w:eastAsia="en-GB"/>
          <w14:ligatures w14:val="none"/>
        </w:rPr>
        <w:t>INTRODUCTION</w:t>
      </w:r>
    </w:p>
    <w:p w14:paraId="28C97335" w14:textId="77777777" w:rsidR="00C36261" w:rsidRPr="00D72E82" w:rsidRDefault="00C36261" w:rsidP="00C36261">
      <w:pPr>
        <w:rPr>
          <w:rFonts w:ascii="Arial" w:eastAsia="Times New Roman" w:hAnsi="Arial" w:cs="Arial"/>
          <w:kern w:val="0"/>
          <w:lang w:eastAsia="en-GB"/>
          <w14:ligatures w14:val="none"/>
        </w:rPr>
      </w:pPr>
    </w:p>
    <w:p w14:paraId="08CEC814" w14:textId="77777777" w:rsidR="003B7BAC" w:rsidRPr="003B7BAC" w:rsidRDefault="003B7BAC" w:rsidP="003B7BAC">
      <w:pPr>
        <w:jc w:val="both"/>
        <w:rPr>
          <w:rFonts w:ascii="Times New Roman" w:eastAsia="Times New Roman" w:hAnsi="Times New Roman" w:cs="Times New Roman"/>
          <w:kern w:val="0"/>
          <w:lang w:eastAsia="en-GB"/>
          <w14:ligatures w14:val="none"/>
        </w:rPr>
      </w:pPr>
      <w:proofErr w:type="spellStart"/>
      <w:r w:rsidRPr="003B7BAC">
        <w:rPr>
          <w:rFonts w:ascii="Arial" w:eastAsia="Times New Roman" w:hAnsi="Arial" w:cs="Arial"/>
          <w:color w:val="000000"/>
          <w:kern w:val="0"/>
          <w:sz w:val="21"/>
          <w:szCs w:val="21"/>
          <w:lang w:eastAsia="en-GB"/>
          <w14:ligatures w14:val="none"/>
        </w:rPr>
        <w:t>Payward</w:t>
      </w:r>
      <w:proofErr w:type="spellEnd"/>
      <w:r w:rsidRPr="003B7BAC">
        <w:rPr>
          <w:rFonts w:ascii="Arial" w:eastAsia="Times New Roman" w:hAnsi="Arial" w:cs="Arial"/>
          <w:color w:val="000000"/>
          <w:kern w:val="0"/>
          <w:sz w:val="21"/>
          <w:szCs w:val="21"/>
          <w:lang w:eastAsia="en-GB"/>
          <w14:ligatures w14:val="none"/>
        </w:rPr>
        <w:t xml:space="preserve"> Inc., d/b/a/ Kraken (“Kraken”) is pleased to respond to ESMA’s third Public Consultation on Draft Technical Standards specifying certain requirements of the Markets in Crypto-Assets (‘</w:t>
      </w:r>
      <w:proofErr w:type="spellStart"/>
      <w:r w:rsidRPr="003B7BAC">
        <w:rPr>
          <w:rFonts w:ascii="Arial" w:eastAsia="Times New Roman" w:hAnsi="Arial" w:cs="Arial"/>
          <w:color w:val="000000"/>
          <w:kern w:val="0"/>
          <w:sz w:val="21"/>
          <w:szCs w:val="21"/>
          <w:lang w:eastAsia="en-GB"/>
          <w14:ligatures w14:val="none"/>
        </w:rPr>
        <w:t>MiCA</w:t>
      </w:r>
      <w:proofErr w:type="spellEnd"/>
      <w:r w:rsidRPr="003B7BAC">
        <w:rPr>
          <w:rFonts w:ascii="Arial" w:eastAsia="Times New Roman" w:hAnsi="Arial" w:cs="Arial"/>
          <w:color w:val="000000"/>
          <w:kern w:val="0"/>
          <w:sz w:val="21"/>
          <w:szCs w:val="21"/>
          <w:lang w:eastAsia="en-GB"/>
          <w14:ligatures w14:val="none"/>
        </w:rPr>
        <w:t>’) on detection and prevention of market abuse, investor protection and operational resilience. </w:t>
      </w:r>
    </w:p>
    <w:p w14:paraId="7FDE4C5A" w14:textId="77777777" w:rsidR="003B7BAC" w:rsidRPr="003B7BAC" w:rsidRDefault="003B7BAC" w:rsidP="003B7BAC">
      <w:pPr>
        <w:rPr>
          <w:rFonts w:ascii="Times New Roman" w:eastAsia="Times New Roman" w:hAnsi="Times New Roman" w:cs="Times New Roman"/>
          <w:kern w:val="0"/>
          <w:lang w:eastAsia="en-GB"/>
          <w14:ligatures w14:val="none"/>
        </w:rPr>
      </w:pPr>
    </w:p>
    <w:p w14:paraId="0E241587" w14:textId="3C6EC390" w:rsidR="003B7BAC" w:rsidRPr="003B7BAC" w:rsidRDefault="003B7BAC" w:rsidP="003B7BAC">
      <w:pPr>
        <w:jc w:val="both"/>
        <w:rPr>
          <w:rFonts w:ascii="Times New Roman" w:eastAsia="Times New Roman" w:hAnsi="Times New Roman" w:cs="Times New Roman"/>
          <w:kern w:val="0"/>
          <w:lang w:eastAsia="en-GB"/>
          <w14:ligatures w14:val="none"/>
        </w:rPr>
      </w:pPr>
      <w:r w:rsidRPr="003B7BAC">
        <w:rPr>
          <w:rFonts w:ascii="Arial" w:eastAsia="Times New Roman" w:hAnsi="Arial" w:cs="Arial"/>
          <w:color w:val="000000"/>
          <w:kern w:val="0"/>
          <w:sz w:val="21"/>
          <w:szCs w:val="21"/>
          <w:lang w:eastAsia="en-GB"/>
          <w14:ligatures w14:val="none"/>
        </w:rPr>
        <w:t xml:space="preserve">Kraken remains committed to growing its business in the EU regulatory perimeter. Our </w:t>
      </w:r>
      <w:r w:rsidRPr="003B7BAC">
        <w:rPr>
          <w:rFonts w:ascii="Arial" w:eastAsia="Times New Roman" w:hAnsi="Arial" w:cs="Arial"/>
          <w:color w:val="000000"/>
          <w:kern w:val="0"/>
          <w:sz w:val="21"/>
          <w:szCs w:val="21"/>
          <w:shd w:val="clear" w:color="auto" w:fill="FFFFFF"/>
          <w:lang w:eastAsia="en-GB"/>
          <w14:ligatures w14:val="none"/>
        </w:rPr>
        <w:t xml:space="preserve">Irish subsidiary </w:t>
      </w:r>
      <w:proofErr w:type="spellStart"/>
      <w:r w:rsidRPr="003B7BAC">
        <w:rPr>
          <w:rFonts w:ascii="Arial" w:eastAsia="Times New Roman" w:hAnsi="Arial" w:cs="Arial"/>
          <w:color w:val="000000"/>
          <w:kern w:val="0"/>
          <w:sz w:val="21"/>
          <w:szCs w:val="21"/>
          <w:shd w:val="clear" w:color="auto" w:fill="FFFFFF"/>
          <w:lang w:eastAsia="en-GB"/>
          <w14:ligatures w14:val="none"/>
        </w:rPr>
        <w:t>Payward</w:t>
      </w:r>
      <w:proofErr w:type="spellEnd"/>
      <w:r w:rsidRPr="003B7BAC">
        <w:rPr>
          <w:rFonts w:ascii="Arial" w:eastAsia="Times New Roman" w:hAnsi="Arial" w:cs="Arial"/>
          <w:color w:val="000000"/>
          <w:kern w:val="0"/>
          <w:sz w:val="21"/>
          <w:szCs w:val="21"/>
          <w:shd w:val="clear" w:color="auto" w:fill="FFFFFF"/>
          <w:lang w:eastAsia="en-GB"/>
          <w14:ligatures w14:val="none"/>
        </w:rPr>
        <w:t xml:space="preserve"> Europe Solutions Limited (‘PESL’) was granted registration </w:t>
      </w:r>
      <w:r w:rsidRPr="003B7BAC">
        <w:rPr>
          <w:rFonts w:ascii="Arial" w:eastAsia="Times New Roman" w:hAnsi="Arial" w:cs="Arial"/>
          <w:color w:val="000000"/>
          <w:kern w:val="0"/>
          <w:sz w:val="21"/>
          <w:szCs w:val="21"/>
          <w:lang w:eastAsia="en-GB"/>
          <w14:ligatures w14:val="none"/>
        </w:rPr>
        <w:t xml:space="preserve">as a Virtual Asset Service Provider (‘VASP’) with the Italian </w:t>
      </w:r>
      <w:proofErr w:type="spellStart"/>
      <w:r w:rsidRPr="003B7BAC">
        <w:rPr>
          <w:rFonts w:ascii="Arial" w:eastAsia="Times New Roman" w:hAnsi="Arial" w:cs="Arial"/>
          <w:color w:val="000000"/>
          <w:kern w:val="0"/>
          <w:sz w:val="21"/>
          <w:szCs w:val="21"/>
          <w:lang w:eastAsia="en-GB"/>
          <w14:ligatures w14:val="none"/>
        </w:rPr>
        <w:t>Organismo</w:t>
      </w:r>
      <w:proofErr w:type="spellEnd"/>
      <w:r w:rsidRPr="003B7BAC">
        <w:rPr>
          <w:rFonts w:ascii="Arial" w:eastAsia="Times New Roman" w:hAnsi="Arial" w:cs="Arial"/>
          <w:color w:val="000000"/>
          <w:kern w:val="0"/>
          <w:sz w:val="21"/>
          <w:szCs w:val="21"/>
          <w:lang w:eastAsia="en-GB"/>
          <w14:ligatures w14:val="none"/>
        </w:rPr>
        <w:t xml:space="preserve"> </w:t>
      </w:r>
      <w:proofErr w:type="spellStart"/>
      <w:r w:rsidRPr="003B7BAC">
        <w:rPr>
          <w:rFonts w:ascii="Arial" w:eastAsia="Times New Roman" w:hAnsi="Arial" w:cs="Arial"/>
          <w:color w:val="000000"/>
          <w:kern w:val="0"/>
          <w:sz w:val="21"/>
          <w:szCs w:val="21"/>
          <w:lang w:eastAsia="en-GB"/>
          <w14:ligatures w14:val="none"/>
        </w:rPr>
        <w:t>Agenti</w:t>
      </w:r>
      <w:proofErr w:type="spellEnd"/>
      <w:r w:rsidRPr="003B7BAC">
        <w:rPr>
          <w:rFonts w:ascii="Arial" w:eastAsia="Times New Roman" w:hAnsi="Arial" w:cs="Arial"/>
          <w:color w:val="000000"/>
          <w:kern w:val="0"/>
          <w:sz w:val="21"/>
          <w:szCs w:val="21"/>
          <w:lang w:eastAsia="en-GB"/>
          <w14:ligatures w14:val="none"/>
        </w:rPr>
        <w:t xml:space="preserve"> e </w:t>
      </w:r>
      <w:proofErr w:type="spellStart"/>
      <w:r w:rsidRPr="003B7BAC">
        <w:rPr>
          <w:rFonts w:ascii="Arial" w:eastAsia="Times New Roman" w:hAnsi="Arial" w:cs="Arial"/>
          <w:color w:val="000000"/>
          <w:kern w:val="0"/>
          <w:sz w:val="21"/>
          <w:szCs w:val="21"/>
          <w:lang w:eastAsia="en-GB"/>
          <w14:ligatures w14:val="none"/>
        </w:rPr>
        <w:t>Mediatori</w:t>
      </w:r>
      <w:proofErr w:type="spellEnd"/>
      <w:r w:rsidRPr="003B7BAC">
        <w:rPr>
          <w:rFonts w:ascii="Arial" w:eastAsia="Times New Roman" w:hAnsi="Arial" w:cs="Arial"/>
          <w:color w:val="000000"/>
          <w:kern w:val="0"/>
          <w:sz w:val="21"/>
          <w:szCs w:val="21"/>
          <w:lang w:eastAsia="en-GB"/>
          <w14:ligatures w14:val="none"/>
        </w:rPr>
        <w:t xml:space="preserve"> (‘OAM’) in June 2022, with the Central Bank of Ireland (‘CBI’) in April 2023, with the Bank of Spain in September 2023. Another Irish subsidiary </w:t>
      </w:r>
      <w:proofErr w:type="spellStart"/>
      <w:r w:rsidRPr="003B7BAC">
        <w:rPr>
          <w:rFonts w:ascii="Arial" w:eastAsia="Times New Roman" w:hAnsi="Arial" w:cs="Arial"/>
          <w:color w:val="000000"/>
          <w:kern w:val="0"/>
          <w:sz w:val="21"/>
          <w:szCs w:val="21"/>
          <w:lang w:eastAsia="en-GB"/>
          <w14:ligatures w14:val="none"/>
        </w:rPr>
        <w:t>Payward</w:t>
      </w:r>
      <w:proofErr w:type="spellEnd"/>
      <w:r w:rsidRPr="003B7BAC">
        <w:rPr>
          <w:rFonts w:ascii="Arial" w:eastAsia="Times New Roman" w:hAnsi="Arial" w:cs="Arial"/>
          <w:color w:val="000000"/>
          <w:kern w:val="0"/>
          <w:sz w:val="21"/>
          <w:szCs w:val="21"/>
          <w:lang w:eastAsia="en-GB"/>
          <w14:ligatures w14:val="none"/>
        </w:rPr>
        <w:t xml:space="preserve"> Continental Services Limited (‘PCSL’) was granted registration as a Crypto Service Provider (‘CSP’) with the Dutch Central Bank (‘DNB’) in February 2024. Kraken has also launched VASP services in Belgium through PESL. We are seeking further registrations and licences in the EU Member States as appropriate. Our licensing efforts will lead </w:t>
      </w:r>
      <w:r w:rsidRPr="003B7BAC">
        <w:rPr>
          <w:rFonts w:ascii="Arial" w:eastAsia="Times New Roman" w:hAnsi="Arial" w:cs="Arial"/>
          <w:color w:val="000000"/>
          <w:kern w:val="0"/>
          <w:sz w:val="21"/>
          <w:szCs w:val="21"/>
          <w:lang w:eastAsia="en-GB"/>
          <w14:ligatures w14:val="none"/>
        </w:rPr>
        <w:t>to us</w:t>
      </w:r>
      <w:r w:rsidRPr="003B7BAC">
        <w:rPr>
          <w:rFonts w:ascii="Arial" w:eastAsia="Times New Roman" w:hAnsi="Arial" w:cs="Arial"/>
          <w:color w:val="000000"/>
          <w:kern w:val="0"/>
          <w:sz w:val="21"/>
          <w:szCs w:val="21"/>
          <w:lang w:eastAsia="en-GB"/>
          <w14:ligatures w14:val="none"/>
        </w:rPr>
        <w:t xml:space="preserve"> applying for a Crypto-Asset Service Provider (‘CASP’) licence under </w:t>
      </w:r>
      <w:proofErr w:type="spellStart"/>
      <w:r w:rsidRPr="003B7BAC">
        <w:rPr>
          <w:rFonts w:ascii="Arial" w:eastAsia="Times New Roman" w:hAnsi="Arial" w:cs="Arial"/>
          <w:color w:val="000000"/>
          <w:kern w:val="0"/>
          <w:sz w:val="21"/>
          <w:szCs w:val="21"/>
          <w:lang w:eastAsia="en-GB"/>
          <w14:ligatures w14:val="none"/>
        </w:rPr>
        <w:t>MiCA</w:t>
      </w:r>
      <w:proofErr w:type="spellEnd"/>
      <w:r w:rsidRPr="003B7BAC">
        <w:rPr>
          <w:rFonts w:ascii="Arial" w:eastAsia="Times New Roman" w:hAnsi="Arial" w:cs="Arial"/>
          <w:color w:val="000000"/>
          <w:kern w:val="0"/>
          <w:sz w:val="21"/>
          <w:szCs w:val="21"/>
          <w:lang w:eastAsia="en-GB"/>
          <w14:ligatures w14:val="none"/>
        </w:rPr>
        <w:t>, when available. </w:t>
      </w:r>
    </w:p>
    <w:p w14:paraId="195AA70D" w14:textId="77777777" w:rsidR="003B7BAC" w:rsidRPr="003B7BAC" w:rsidRDefault="003B7BAC" w:rsidP="003B7BAC">
      <w:pPr>
        <w:rPr>
          <w:rFonts w:ascii="Times New Roman" w:eastAsia="Times New Roman" w:hAnsi="Times New Roman" w:cs="Times New Roman"/>
          <w:kern w:val="0"/>
          <w:lang w:eastAsia="en-GB"/>
          <w14:ligatures w14:val="none"/>
        </w:rPr>
      </w:pPr>
    </w:p>
    <w:p w14:paraId="45C74A61" w14:textId="48B15C85" w:rsidR="003B7BAC" w:rsidRPr="003B7BAC" w:rsidRDefault="003B7BAC" w:rsidP="003B7BAC">
      <w:pPr>
        <w:jc w:val="both"/>
        <w:rPr>
          <w:rFonts w:ascii="Times New Roman" w:eastAsia="Times New Roman" w:hAnsi="Times New Roman" w:cs="Times New Roman"/>
          <w:kern w:val="0"/>
          <w:lang w:eastAsia="en-GB"/>
          <w14:ligatures w14:val="none"/>
        </w:rPr>
      </w:pPr>
      <w:r w:rsidRPr="003B7BAC">
        <w:rPr>
          <w:rFonts w:ascii="Arial" w:eastAsia="Times New Roman" w:hAnsi="Arial" w:cs="Arial"/>
          <w:color w:val="000000"/>
          <w:kern w:val="0"/>
          <w:sz w:val="21"/>
          <w:szCs w:val="21"/>
          <w:lang w:eastAsia="en-GB"/>
          <w14:ligatures w14:val="none"/>
        </w:rPr>
        <w:t xml:space="preserve">Founded over 12 years ago, Kraken is one of the world’s oldest and largest global digital asset platforms. Kraken provides products and services to retail and institutional customers that support key components across the digital asset market value chain. Outside of the EU, Kraken holds </w:t>
      </w:r>
      <w:r w:rsidRPr="003B7BAC">
        <w:rPr>
          <w:rFonts w:ascii="Arial" w:eastAsia="Times New Roman" w:hAnsi="Arial" w:cs="Arial"/>
          <w:color w:val="000000"/>
          <w:kern w:val="0"/>
          <w:sz w:val="21"/>
          <w:szCs w:val="21"/>
          <w:lang w:eastAsia="en-GB"/>
          <w14:ligatures w14:val="none"/>
        </w:rPr>
        <w:t>several</w:t>
      </w:r>
      <w:r w:rsidRPr="003B7BAC">
        <w:rPr>
          <w:rFonts w:ascii="Arial" w:eastAsia="Times New Roman" w:hAnsi="Arial" w:cs="Arial"/>
          <w:color w:val="000000"/>
          <w:kern w:val="0"/>
          <w:sz w:val="21"/>
          <w:szCs w:val="21"/>
          <w:lang w:eastAsia="en-GB"/>
          <w14:ligatures w14:val="none"/>
        </w:rPr>
        <w:t xml:space="preserve"> registrations, licences, authorisations and approvals including in the United States, United Kingdom, Canada, and Australia, among other developed and emerging markets.  Subject to local regulatory requirements and authorisations, Kraken’s global product and service offering includes crypto trading, investment, benchmarks, staking, banking, and others.  </w:t>
      </w:r>
    </w:p>
    <w:p w14:paraId="097D4EF9" w14:textId="77777777" w:rsidR="003B7BAC" w:rsidRPr="003B7BAC" w:rsidRDefault="003B7BAC" w:rsidP="003B7BAC">
      <w:pPr>
        <w:rPr>
          <w:rFonts w:ascii="Times New Roman" w:eastAsia="Times New Roman" w:hAnsi="Times New Roman" w:cs="Times New Roman"/>
          <w:kern w:val="0"/>
          <w:lang w:eastAsia="en-GB"/>
          <w14:ligatures w14:val="none"/>
        </w:rPr>
      </w:pPr>
    </w:p>
    <w:p w14:paraId="274B50DE" w14:textId="77777777" w:rsidR="003B7BAC" w:rsidRPr="003B7BAC" w:rsidRDefault="003B7BAC" w:rsidP="003B7BAC">
      <w:pPr>
        <w:jc w:val="both"/>
        <w:rPr>
          <w:rFonts w:ascii="Times New Roman" w:eastAsia="Times New Roman" w:hAnsi="Times New Roman" w:cs="Times New Roman"/>
          <w:kern w:val="0"/>
          <w:lang w:eastAsia="en-GB"/>
          <w14:ligatures w14:val="none"/>
        </w:rPr>
      </w:pPr>
      <w:r w:rsidRPr="003B7BAC">
        <w:rPr>
          <w:rFonts w:ascii="Arial" w:eastAsia="Times New Roman" w:hAnsi="Arial" w:cs="Arial"/>
          <w:color w:val="000000"/>
          <w:kern w:val="0"/>
          <w:sz w:val="21"/>
          <w:szCs w:val="21"/>
          <w:lang w:eastAsia="en-GB"/>
          <w14:ligatures w14:val="none"/>
        </w:rPr>
        <w:t xml:space="preserve">We welcome </w:t>
      </w:r>
      <w:proofErr w:type="spellStart"/>
      <w:r w:rsidRPr="003B7BAC">
        <w:rPr>
          <w:rFonts w:ascii="Arial" w:eastAsia="Times New Roman" w:hAnsi="Arial" w:cs="Arial"/>
          <w:color w:val="000000"/>
          <w:kern w:val="0"/>
          <w:sz w:val="21"/>
          <w:szCs w:val="21"/>
          <w:lang w:eastAsia="en-GB"/>
          <w14:ligatures w14:val="none"/>
        </w:rPr>
        <w:t>MiCA</w:t>
      </w:r>
      <w:proofErr w:type="spellEnd"/>
      <w:r w:rsidRPr="003B7BAC">
        <w:rPr>
          <w:rFonts w:ascii="Arial" w:eastAsia="Times New Roman" w:hAnsi="Arial" w:cs="Arial"/>
          <w:color w:val="000000"/>
          <w:kern w:val="0"/>
          <w:sz w:val="21"/>
          <w:szCs w:val="21"/>
          <w:lang w:eastAsia="en-GB"/>
          <w14:ligatures w14:val="none"/>
        </w:rPr>
        <w:t>, as it provides legal certainty, including a clear path to licensing, and will enable the growth of our business in the EU in a manner which both protects customers and promotes confidence in the market. We welcome these technical standards and guidelines on detection and prevention of market abuse, investor protection and operational resilience as it aims to ensure customer protection while allowing innovation within the crypto-asset industry.</w:t>
      </w:r>
    </w:p>
    <w:p w14:paraId="0F6A2726" w14:textId="77777777" w:rsidR="003B7BAC" w:rsidRPr="003B7BAC" w:rsidRDefault="003B7BAC" w:rsidP="003B7BAC">
      <w:pPr>
        <w:rPr>
          <w:rFonts w:ascii="Times New Roman" w:eastAsia="Times New Roman" w:hAnsi="Times New Roman" w:cs="Times New Roman"/>
          <w:kern w:val="0"/>
          <w:lang w:eastAsia="en-GB"/>
          <w14:ligatures w14:val="none"/>
        </w:rPr>
      </w:pPr>
    </w:p>
    <w:p w14:paraId="766C8FC1" w14:textId="77777777" w:rsidR="003B7BAC" w:rsidRPr="003B7BAC" w:rsidRDefault="003B7BAC" w:rsidP="003B7BAC">
      <w:pPr>
        <w:jc w:val="both"/>
        <w:rPr>
          <w:rFonts w:ascii="Times New Roman" w:eastAsia="Times New Roman" w:hAnsi="Times New Roman" w:cs="Times New Roman"/>
          <w:kern w:val="0"/>
          <w:lang w:eastAsia="en-GB"/>
          <w14:ligatures w14:val="none"/>
        </w:rPr>
      </w:pPr>
      <w:r w:rsidRPr="003B7BAC">
        <w:rPr>
          <w:rFonts w:ascii="Arial" w:eastAsia="Times New Roman" w:hAnsi="Arial" w:cs="Arial"/>
          <w:color w:val="000000"/>
          <w:kern w:val="0"/>
          <w:sz w:val="21"/>
          <w:szCs w:val="21"/>
          <w:lang w:eastAsia="en-GB"/>
          <w14:ligatures w14:val="none"/>
        </w:rPr>
        <w:t xml:space="preserve">With regards to the topics of this consultation, Kraken is deeply committed to both safeguarding market integrity and to operational resilience. Cybersecurity has been at the forefront of Kraken’s effort ever since we were established. We are a founding member of the Crypto Information Sharing and Analysis </w:t>
      </w:r>
      <w:proofErr w:type="spellStart"/>
      <w:r w:rsidRPr="003B7BAC">
        <w:rPr>
          <w:rFonts w:ascii="Arial" w:eastAsia="Times New Roman" w:hAnsi="Arial" w:cs="Arial"/>
          <w:color w:val="000000"/>
          <w:kern w:val="0"/>
          <w:sz w:val="21"/>
          <w:szCs w:val="21"/>
          <w:lang w:eastAsia="en-GB"/>
          <w14:ligatures w14:val="none"/>
        </w:rPr>
        <w:t>Center</w:t>
      </w:r>
      <w:proofErr w:type="spellEnd"/>
      <w:r w:rsidRPr="003B7BAC">
        <w:rPr>
          <w:rFonts w:ascii="Arial" w:eastAsia="Times New Roman" w:hAnsi="Arial" w:cs="Arial"/>
          <w:color w:val="000000"/>
          <w:kern w:val="0"/>
          <w:sz w:val="21"/>
          <w:szCs w:val="21"/>
          <w:lang w:eastAsia="en-GB"/>
          <w14:ligatures w14:val="none"/>
        </w:rPr>
        <w:t xml:space="preserve"> (ISAC), a non-profit organisation designed to promote cybersecurity information sharing in the crypto industry. ISAC members are committed to advancing strategic objectives, including: the establishment of communication processes, the impartial and timely flow of information between stakeholders, and the continual effort to ensure crypto infrastructure is resilient. </w:t>
      </w:r>
    </w:p>
    <w:p w14:paraId="5E30E13C" w14:textId="77777777" w:rsidR="003B7BAC" w:rsidRDefault="003B7BAC" w:rsidP="003B7BAC">
      <w:pPr>
        <w:jc w:val="both"/>
        <w:rPr>
          <w:rFonts w:ascii="Arial" w:eastAsia="Times New Roman" w:hAnsi="Arial" w:cs="Arial"/>
          <w:color w:val="000000"/>
          <w:kern w:val="0"/>
          <w:sz w:val="21"/>
          <w:szCs w:val="21"/>
          <w:lang w:eastAsia="en-GB"/>
          <w14:ligatures w14:val="none"/>
        </w:rPr>
      </w:pPr>
    </w:p>
    <w:p w14:paraId="1BB24969" w14:textId="77777777" w:rsidR="003B7BAC" w:rsidRDefault="003B7BAC" w:rsidP="003B7BAC">
      <w:pPr>
        <w:jc w:val="both"/>
        <w:rPr>
          <w:rFonts w:ascii="Arial" w:eastAsia="Times New Roman" w:hAnsi="Arial" w:cs="Arial"/>
          <w:color w:val="000000"/>
          <w:kern w:val="0"/>
          <w:sz w:val="21"/>
          <w:szCs w:val="21"/>
          <w:lang w:eastAsia="en-GB"/>
          <w14:ligatures w14:val="none"/>
        </w:rPr>
      </w:pPr>
    </w:p>
    <w:p w14:paraId="01621840" w14:textId="143DA366" w:rsidR="003B7BAC" w:rsidRPr="003B7BAC" w:rsidRDefault="003B7BAC" w:rsidP="003B7BAC">
      <w:pPr>
        <w:jc w:val="both"/>
        <w:rPr>
          <w:rFonts w:ascii="Arial" w:eastAsia="Times New Roman" w:hAnsi="Arial" w:cs="Arial"/>
          <w:b/>
          <w:bCs/>
          <w:color w:val="000000"/>
          <w:kern w:val="0"/>
          <w:sz w:val="22"/>
          <w:szCs w:val="22"/>
          <w:lang w:eastAsia="en-GB"/>
          <w14:ligatures w14:val="none"/>
        </w:rPr>
      </w:pPr>
      <w:r w:rsidRPr="003B7BAC">
        <w:rPr>
          <w:rFonts w:ascii="Arial" w:eastAsia="Times New Roman" w:hAnsi="Arial" w:cs="Arial"/>
          <w:b/>
          <w:bCs/>
          <w:color w:val="000000"/>
          <w:kern w:val="0"/>
          <w:sz w:val="22"/>
          <w:szCs w:val="22"/>
          <w:lang w:eastAsia="en-GB"/>
          <w14:ligatures w14:val="none"/>
        </w:rPr>
        <w:t>Summary of our response:</w:t>
      </w:r>
    </w:p>
    <w:p w14:paraId="2B48FB76" w14:textId="77777777" w:rsidR="003B7BAC" w:rsidRPr="003B7BAC" w:rsidRDefault="003B7BAC" w:rsidP="003B7BAC">
      <w:pPr>
        <w:rPr>
          <w:rFonts w:ascii="Times New Roman" w:eastAsia="Times New Roman" w:hAnsi="Times New Roman" w:cs="Times New Roman"/>
          <w:kern w:val="0"/>
          <w:sz w:val="21"/>
          <w:szCs w:val="21"/>
          <w:lang w:eastAsia="en-GB"/>
          <w14:ligatures w14:val="none"/>
        </w:rPr>
      </w:pPr>
      <w:r w:rsidRPr="003B7BAC">
        <w:rPr>
          <w:rFonts w:ascii="Arial" w:eastAsia="Times New Roman" w:hAnsi="Arial" w:cs="Arial"/>
          <w:color w:val="000000"/>
          <w:kern w:val="0"/>
          <w:sz w:val="21"/>
          <w:szCs w:val="21"/>
          <w:lang w:eastAsia="en-GB"/>
          <w14:ligatures w14:val="none"/>
        </w:rPr>
        <w:br/>
      </w:r>
    </w:p>
    <w:p w14:paraId="29E397CA" w14:textId="2481C4B7" w:rsidR="003B7BAC" w:rsidRPr="003B7BAC" w:rsidRDefault="003B7BAC" w:rsidP="003B7BAC">
      <w:pPr>
        <w:numPr>
          <w:ilvl w:val="0"/>
          <w:numId w:val="3"/>
        </w:numPr>
        <w:jc w:val="both"/>
        <w:textAlignment w:val="baseline"/>
        <w:rPr>
          <w:rFonts w:ascii="Arial" w:eastAsia="Times New Roman" w:hAnsi="Arial" w:cs="Arial"/>
          <w:color w:val="000000"/>
          <w:kern w:val="0"/>
          <w:sz w:val="21"/>
          <w:szCs w:val="21"/>
          <w:lang w:eastAsia="en-GB"/>
          <w14:ligatures w14:val="none"/>
        </w:rPr>
      </w:pPr>
      <w:r w:rsidRPr="003B7BAC">
        <w:rPr>
          <w:rFonts w:ascii="Arial" w:eastAsia="Times New Roman" w:hAnsi="Arial" w:cs="Arial"/>
          <w:b/>
          <w:bCs/>
          <w:color w:val="000000"/>
          <w:kern w:val="0"/>
          <w:sz w:val="21"/>
          <w:szCs w:val="21"/>
          <w:lang w:eastAsia="en-GB"/>
          <w14:ligatures w14:val="none"/>
        </w:rPr>
        <w:t xml:space="preserve">The scope of PPAETs should not extend the scope of </w:t>
      </w:r>
      <w:proofErr w:type="spellStart"/>
      <w:r w:rsidRPr="003B7BAC">
        <w:rPr>
          <w:rFonts w:ascii="Arial" w:eastAsia="Times New Roman" w:hAnsi="Arial" w:cs="Arial"/>
          <w:b/>
          <w:bCs/>
          <w:color w:val="000000"/>
          <w:kern w:val="0"/>
          <w:sz w:val="21"/>
          <w:szCs w:val="21"/>
          <w:lang w:eastAsia="en-GB"/>
          <w14:ligatures w14:val="none"/>
        </w:rPr>
        <w:t>MiCA</w:t>
      </w:r>
      <w:proofErr w:type="spellEnd"/>
      <w:r w:rsidRPr="003B7BAC">
        <w:rPr>
          <w:rFonts w:ascii="Arial" w:eastAsia="Times New Roman" w:hAnsi="Arial" w:cs="Arial"/>
          <w:b/>
          <w:bCs/>
          <w:color w:val="000000"/>
          <w:kern w:val="0"/>
          <w:sz w:val="21"/>
          <w:szCs w:val="21"/>
          <w:lang w:eastAsia="en-GB"/>
          <w14:ligatures w14:val="none"/>
        </w:rPr>
        <w:t xml:space="preserve"> Level 1</w:t>
      </w:r>
      <w:r w:rsidRPr="003B7BAC">
        <w:rPr>
          <w:rFonts w:ascii="Arial" w:eastAsia="Times New Roman" w:hAnsi="Arial" w:cs="Arial"/>
          <w:color w:val="000000"/>
          <w:kern w:val="0"/>
          <w:sz w:val="21"/>
          <w:szCs w:val="21"/>
          <w:lang w:eastAsia="en-GB"/>
          <w14:ligatures w14:val="none"/>
        </w:rPr>
        <w:t xml:space="preserve">: We agree in general with the scope of CASPs being considered as persons professionally arranging or executing transactions (“PPAETs”). However, miners </w:t>
      </w:r>
      <w:r w:rsidR="001C2307">
        <w:rPr>
          <w:rFonts w:ascii="Arial" w:eastAsia="Times New Roman" w:hAnsi="Arial" w:cs="Arial"/>
          <w:color w:val="000000"/>
          <w:kern w:val="0"/>
          <w:sz w:val="21"/>
          <w:szCs w:val="21"/>
          <w:lang w:eastAsia="en-GB"/>
          <w14:ligatures w14:val="none"/>
        </w:rPr>
        <w:t>and/or</w:t>
      </w:r>
      <w:r w:rsidRPr="003B7BAC">
        <w:rPr>
          <w:rFonts w:ascii="Arial" w:eastAsia="Times New Roman" w:hAnsi="Arial" w:cs="Arial"/>
          <w:color w:val="000000"/>
          <w:kern w:val="0"/>
          <w:sz w:val="21"/>
          <w:szCs w:val="21"/>
          <w:lang w:eastAsia="en-GB"/>
          <w14:ligatures w14:val="none"/>
        </w:rPr>
        <w:t xml:space="preserve"> validators are not in scope of </w:t>
      </w:r>
      <w:proofErr w:type="spellStart"/>
      <w:r w:rsidRPr="003B7BAC">
        <w:rPr>
          <w:rFonts w:ascii="Arial" w:eastAsia="Times New Roman" w:hAnsi="Arial" w:cs="Arial"/>
          <w:color w:val="000000"/>
          <w:kern w:val="0"/>
          <w:sz w:val="21"/>
          <w:szCs w:val="21"/>
          <w:lang w:eastAsia="en-GB"/>
          <w14:ligatures w14:val="none"/>
        </w:rPr>
        <w:t>MiCA</w:t>
      </w:r>
      <w:proofErr w:type="spellEnd"/>
      <w:r w:rsidRPr="003B7BAC">
        <w:rPr>
          <w:rFonts w:ascii="Arial" w:eastAsia="Times New Roman" w:hAnsi="Arial" w:cs="Arial"/>
          <w:color w:val="000000"/>
          <w:kern w:val="0"/>
          <w:sz w:val="21"/>
          <w:szCs w:val="21"/>
          <w:lang w:eastAsia="en-GB"/>
          <w14:ligatures w14:val="none"/>
        </w:rPr>
        <w:t xml:space="preserve"> - Level 1 and as such they should not be considered in scope of PPAETs. </w:t>
      </w:r>
    </w:p>
    <w:p w14:paraId="1B42EF06" w14:textId="7B29BEEA" w:rsidR="003B7BAC" w:rsidRPr="003B7BAC" w:rsidRDefault="003B7BAC" w:rsidP="003B7BAC">
      <w:pPr>
        <w:rPr>
          <w:rFonts w:ascii="Times New Roman" w:eastAsia="Times New Roman" w:hAnsi="Times New Roman" w:cs="Times New Roman"/>
          <w:kern w:val="0"/>
          <w:sz w:val="21"/>
          <w:szCs w:val="21"/>
          <w:lang w:eastAsia="en-GB"/>
          <w14:ligatures w14:val="none"/>
        </w:rPr>
      </w:pPr>
    </w:p>
    <w:p w14:paraId="71D871B6" w14:textId="77777777" w:rsidR="003B7BAC" w:rsidRPr="003B7BAC" w:rsidRDefault="003B7BAC" w:rsidP="003B7BAC">
      <w:pPr>
        <w:numPr>
          <w:ilvl w:val="0"/>
          <w:numId w:val="4"/>
        </w:numPr>
        <w:jc w:val="both"/>
        <w:textAlignment w:val="baseline"/>
        <w:rPr>
          <w:rFonts w:ascii="Arial" w:eastAsia="Times New Roman" w:hAnsi="Arial" w:cs="Arial"/>
          <w:color w:val="000000"/>
          <w:kern w:val="0"/>
          <w:sz w:val="21"/>
          <w:szCs w:val="21"/>
          <w:lang w:eastAsia="en-GB"/>
          <w14:ligatures w14:val="none"/>
        </w:rPr>
      </w:pPr>
      <w:r w:rsidRPr="003B7BAC">
        <w:rPr>
          <w:rFonts w:ascii="Arial" w:eastAsia="Times New Roman" w:hAnsi="Arial" w:cs="Arial"/>
          <w:b/>
          <w:bCs/>
          <w:color w:val="000000"/>
          <w:kern w:val="0"/>
          <w:sz w:val="21"/>
          <w:szCs w:val="21"/>
          <w:lang w:eastAsia="en-GB"/>
          <w14:ligatures w14:val="none"/>
        </w:rPr>
        <w:t xml:space="preserve">The requirement to monitor certain DLT aspects such as MEV should be </w:t>
      </w:r>
      <w:proofErr w:type="spellStart"/>
      <w:r w:rsidRPr="003B7BAC">
        <w:rPr>
          <w:rFonts w:ascii="Arial" w:eastAsia="Times New Roman" w:hAnsi="Arial" w:cs="Arial"/>
          <w:b/>
          <w:bCs/>
          <w:color w:val="000000"/>
          <w:kern w:val="0"/>
          <w:sz w:val="21"/>
          <w:szCs w:val="21"/>
          <w:lang w:eastAsia="en-GB"/>
          <w14:ligatures w14:val="none"/>
        </w:rPr>
        <w:t>exluded</w:t>
      </w:r>
      <w:proofErr w:type="spellEnd"/>
      <w:r w:rsidRPr="003B7BAC">
        <w:rPr>
          <w:rFonts w:ascii="Arial" w:eastAsia="Times New Roman" w:hAnsi="Arial" w:cs="Arial"/>
          <w:b/>
          <w:bCs/>
          <w:color w:val="000000"/>
          <w:kern w:val="0"/>
          <w:sz w:val="21"/>
          <w:szCs w:val="21"/>
          <w:lang w:eastAsia="en-GB"/>
          <w14:ligatures w14:val="none"/>
        </w:rPr>
        <w:t>:</w:t>
      </w:r>
      <w:r w:rsidRPr="003B7BAC">
        <w:rPr>
          <w:rFonts w:ascii="Arial" w:eastAsia="Times New Roman" w:hAnsi="Arial" w:cs="Arial"/>
          <w:color w:val="000000"/>
          <w:kern w:val="0"/>
          <w:sz w:val="21"/>
          <w:szCs w:val="21"/>
          <w:lang w:eastAsia="en-GB"/>
          <w14:ligatures w14:val="none"/>
        </w:rPr>
        <w:t xml:space="preserve"> We note that the proposed requirements for PPAETs, including CASPs, to have processes in place to monitor and report on “other aspects of the functioning of the distributed ledger technology (DLT)”, such as maximal extractable value (MEV), are not proportionate and should be </w:t>
      </w:r>
      <w:r w:rsidRPr="003B7BAC">
        <w:rPr>
          <w:rFonts w:ascii="Arial" w:eastAsia="Times New Roman" w:hAnsi="Arial" w:cs="Arial"/>
          <w:b/>
          <w:bCs/>
          <w:color w:val="000000"/>
          <w:kern w:val="0"/>
          <w:sz w:val="21"/>
          <w:szCs w:val="21"/>
          <w:lang w:eastAsia="en-GB"/>
          <w14:ligatures w14:val="none"/>
        </w:rPr>
        <w:t>excluded from the draft rules</w:t>
      </w:r>
      <w:r w:rsidRPr="003B7BAC">
        <w:rPr>
          <w:rFonts w:ascii="Arial" w:eastAsia="Times New Roman" w:hAnsi="Arial" w:cs="Arial"/>
          <w:color w:val="000000"/>
          <w:kern w:val="0"/>
          <w:sz w:val="21"/>
          <w:szCs w:val="21"/>
          <w:lang w:eastAsia="en-GB"/>
          <w14:ligatures w14:val="none"/>
        </w:rPr>
        <w:t>.</w:t>
      </w:r>
    </w:p>
    <w:p w14:paraId="178F41FA" w14:textId="77777777" w:rsidR="003B7BAC" w:rsidRPr="003B7BAC" w:rsidRDefault="003B7BAC" w:rsidP="003B7BAC">
      <w:pPr>
        <w:numPr>
          <w:ilvl w:val="1"/>
          <w:numId w:val="5"/>
        </w:numPr>
        <w:jc w:val="both"/>
        <w:textAlignment w:val="baseline"/>
        <w:rPr>
          <w:rFonts w:ascii="Arial" w:eastAsia="Times New Roman" w:hAnsi="Arial" w:cs="Arial"/>
          <w:color w:val="000000"/>
          <w:kern w:val="0"/>
          <w:sz w:val="21"/>
          <w:szCs w:val="21"/>
          <w:lang w:eastAsia="en-GB"/>
          <w14:ligatures w14:val="none"/>
        </w:rPr>
      </w:pPr>
      <w:r w:rsidRPr="003B7BAC">
        <w:rPr>
          <w:rFonts w:ascii="Arial" w:eastAsia="Times New Roman" w:hAnsi="Arial" w:cs="Arial"/>
          <w:color w:val="000000"/>
          <w:kern w:val="0"/>
          <w:sz w:val="21"/>
          <w:szCs w:val="21"/>
          <w:lang w:eastAsia="en-GB"/>
          <w14:ligatures w14:val="none"/>
        </w:rPr>
        <w:lastRenderedPageBreak/>
        <w:t xml:space="preserve">Majority of CASPs such as trading platforms operate in a </w:t>
      </w:r>
      <w:r w:rsidRPr="003B7BAC">
        <w:rPr>
          <w:rFonts w:ascii="Arial" w:eastAsia="Times New Roman" w:hAnsi="Arial" w:cs="Arial"/>
          <w:b/>
          <w:bCs/>
          <w:color w:val="000000"/>
          <w:kern w:val="0"/>
          <w:sz w:val="21"/>
          <w:szCs w:val="21"/>
          <w:lang w:eastAsia="en-GB"/>
          <w14:ligatures w14:val="none"/>
        </w:rPr>
        <w:t>centralised</w:t>
      </w:r>
      <w:r w:rsidRPr="003B7BAC">
        <w:rPr>
          <w:rFonts w:ascii="Arial" w:eastAsia="Times New Roman" w:hAnsi="Arial" w:cs="Arial"/>
          <w:color w:val="000000"/>
          <w:kern w:val="0"/>
          <w:sz w:val="21"/>
          <w:szCs w:val="21"/>
          <w:lang w:eastAsia="en-GB"/>
          <w14:ligatures w14:val="none"/>
        </w:rPr>
        <w:t xml:space="preserve"> off-chain environment, where MEV does not occur. Exchanges such as Kraken maintain a central limit order-book and as such have a greater control over the </w:t>
      </w:r>
      <w:proofErr w:type="gramStart"/>
      <w:r w:rsidRPr="003B7BAC">
        <w:rPr>
          <w:rFonts w:ascii="Arial" w:eastAsia="Times New Roman" w:hAnsi="Arial" w:cs="Arial"/>
          <w:color w:val="000000"/>
          <w:kern w:val="0"/>
          <w:sz w:val="21"/>
          <w:szCs w:val="21"/>
          <w:lang w:eastAsia="en-GB"/>
          <w14:ligatures w14:val="none"/>
        </w:rPr>
        <w:t>orders, and</w:t>
      </w:r>
      <w:proofErr w:type="gramEnd"/>
      <w:r w:rsidRPr="003B7BAC">
        <w:rPr>
          <w:rFonts w:ascii="Arial" w:eastAsia="Times New Roman" w:hAnsi="Arial" w:cs="Arial"/>
          <w:color w:val="000000"/>
          <w:kern w:val="0"/>
          <w:sz w:val="21"/>
          <w:szCs w:val="21"/>
          <w:lang w:eastAsia="en-GB"/>
          <w14:ligatures w14:val="none"/>
        </w:rPr>
        <w:t xml:space="preserve"> can apply market abuse rules as appropriate. </w:t>
      </w:r>
    </w:p>
    <w:p w14:paraId="6DE2D06F" w14:textId="77777777" w:rsidR="003B7BAC" w:rsidRPr="003B7BAC" w:rsidRDefault="003B7BAC" w:rsidP="003B7BAC">
      <w:pPr>
        <w:numPr>
          <w:ilvl w:val="1"/>
          <w:numId w:val="6"/>
        </w:numPr>
        <w:jc w:val="both"/>
        <w:textAlignment w:val="baseline"/>
        <w:rPr>
          <w:rFonts w:ascii="Arial" w:eastAsia="Times New Roman" w:hAnsi="Arial" w:cs="Arial"/>
          <w:color w:val="000000"/>
          <w:kern w:val="0"/>
          <w:sz w:val="21"/>
          <w:szCs w:val="21"/>
          <w:lang w:eastAsia="en-GB"/>
          <w14:ligatures w14:val="none"/>
        </w:rPr>
      </w:pPr>
      <w:r w:rsidRPr="003B7BAC">
        <w:rPr>
          <w:rFonts w:ascii="Arial" w:eastAsia="Times New Roman" w:hAnsi="Arial" w:cs="Arial"/>
          <w:color w:val="000000"/>
          <w:kern w:val="0"/>
          <w:sz w:val="21"/>
          <w:szCs w:val="21"/>
          <w:lang w:eastAsia="en-GB"/>
          <w14:ligatures w14:val="none"/>
        </w:rPr>
        <w:t xml:space="preserve">MEV is a </w:t>
      </w:r>
      <w:r w:rsidRPr="003B7BAC">
        <w:rPr>
          <w:rFonts w:ascii="Arial" w:eastAsia="Times New Roman" w:hAnsi="Arial" w:cs="Arial"/>
          <w:b/>
          <w:bCs/>
          <w:color w:val="000000"/>
          <w:kern w:val="0"/>
          <w:sz w:val="21"/>
          <w:szCs w:val="21"/>
          <w:lang w:eastAsia="en-GB"/>
          <w14:ligatures w14:val="none"/>
        </w:rPr>
        <w:t>feature of a decentralised system</w:t>
      </w:r>
      <w:r w:rsidRPr="003B7BAC">
        <w:rPr>
          <w:rFonts w:ascii="Arial" w:eastAsia="Times New Roman" w:hAnsi="Arial" w:cs="Arial"/>
          <w:color w:val="000000"/>
          <w:kern w:val="0"/>
          <w:sz w:val="21"/>
          <w:szCs w:val="21"/>
          <w:lang w:eastAsia="en-GB"/>
          <w14:ligatures w14:val="none"/>
        </w:rPr>
        <w:t xml:space="preserve">. MEV can </w:t>
      </w:r>
      <w:r w:rsidRPr="003B7BAC">
        <w:rPr>
          <w:rFonts w:ascii="Arial" w:eastAsia="Times New Roman" w:hAnsi="Arial" w:cs="Arial"/>
          <w:b/>
          <w:bCs/>
          <w:color w:val="000000"/>
          <w:kern w:val="0"/>
          <w:sz w:val="21"/>
          <w:szCs w:val="21"/>
          <w:lang w:eastAsia="en-GB"/>
          <w14:ligatures w14:val="none"/>
        </w:rPr>
        <w:t>contribute to market efficiency</w:t>
      </w:r>
      <w:r w:rsidRPr="003B7BAC">
        <w:rPr>
          <w:rFonts w:ascii="Arial" w:eastAsia="Times New Roman" w:hAnsi="Arial" w:cs="Arial"/>
          <w:color w:val="000000"/>
          <w:kern w:val="0"/>
          <w:sz w:val="21"/>
          <w:szCs w:val="21"/>
          <w:lang w:eastAsia="en-GB"/>
          <w14:ligatures w14:val="none"/>
        </w:rPr>
        <w:t xml:space="preserve"> by allowing more accurate pricing across DeFi markets and allowing users to buy assets with tighter spreads across various decentralised protocols.</w:t>
      </w:r>
    </w:p>
    <w:p w14:paraId="31633081" w14:textId="338A469D" w:rsidR="003B7BAC" w:rsidRPr="003B7BAC" w:rsidRDefault="003B7BAC" w:rsidP="003B7BAC">
      <w:pPr>
        <w:numPr>
          <w:ilvl w:val="1"/>
          <w:numId w:val="7"/>
        </w:numPr>
        <w:jc w:val="both"/>
        <w:textAlignment w:val="baseline"/>
        <w:rPr>
          <w:rFonts w:ascii="Arial" w:eastAsia="Times New Roman" w:hAnsi="Arial" w:cs="Arial"/>
          <w:color w:val="000000"/>
          <w:kern w:val="0"/>
          <w:sz w:val="21"/>
          <w:szCs w:val="21"/>
          <w:lang w:eastAsia="en-GB"/>
          <w14:ligatures w14:val="none"/>
        </w:rPr>
      </w:pPr>
      <w:r w:rsidRPr="003B7BAC">
        <w:rPr>
          <w:rFonts w:ascii="Arial" w:eastAsia="Times New Roman" w:hAnsi="Arial" w:cs="Arial"/>
          <w:color w:val="000000"/>
          <w:kern w:val="0"/>
          <w:sz w:val="21"/>
          <w:szCs w:val="21"/>
          <w:lang w:eastAsia="en-GB"/>
          <w14:ligatures w14:val="none"/>
        </w:rPr>
        <w:t xml:space="preserve">Despite these benefits, MEV can at times also lead to negative behaviours. However, CASPs, validators, and DeFi </w:t>
      </w:r>
      <w:proofErr w:type="spellStart"/>
      <w:r w:rsidRPr="003B7BAC">
        <w:rPr>
          <w:rFonts w:ascii="Arial" w:eastAsia="Times New Roman" w:hAnsi="Arial" w:cs="Arial"/>
          <w:color w:val="000000"/>
          <w:kern w:val="0"/>
          <w:sz w:val="21"/>
          <w:szCs w:val="21"/>
          <w:lang w:eastAsia="en-GB"/>
          <w14:ligatures w14:val="none"/>
        </w:rPr>
        <w:t>dapps</w:t>
      </w:r>
      <w:proofErr w:type="spellEnd"/>
      <w:r w:rsidRPr="003B7BAC">
        <w:rPr>
          <w:rFonts w:ascii="Arial" w:eastAsia="Times New Roman" w:hAnsi="Arial" w:cs="Arial"/>
          <w:color w:val="000000"/>
          <w:kern w:val="0"/>
          <w:sz w:val="21"/>
          <w:szCs w:val="21"/>
          <w:lang w:eastAsia="en-GB"/>
          <w14:ligatures w14:val="none"/>
        </w:rPr>
        <w:t xml:space="preserve"> are </w:t>
      </w:r>
      <w:r w:rsidRPr="003B7BAC">
        <w:rPr>
          <w:rFonts w:ascii="Arial" w:eastAsia="Times New Roman" w:hAnsi="Arial" w:cs="Arial"/>
          <w:b/>
          <w:bCs/>
          <w:color w:val="000000"/>
          <w:kern w:val="0"/>
          <w:sz w:val="21"/>
          <w:szCs w:val="21"/>
          <w:lang w:eastAsia="en-GB"/>
          <w14:ligatures w14:val="none"/>
        </w:rPr>
        <w:t xml:space="preserve">not privy to any exclusive off- or on-chain data required to execute MEV </w:t>
      </w:r>
      <w:r w:rsidRPr="003B7BAC">
        <w:rPr>
          <w:rFonts w:ascii="Arial" w:eastAsia="Times New Roman" w:hAnsi="Arial" w:cs="Arial"/>
          <w:color w:val="000000"/>
          <w:kern w:val="0"/>
          <w:sz w:val="21"/>
          <w:szCs w:val="21"/>
          <w:lang w:eastAsia="en-GB"/>
          <w14:ligatures w14:val="none"/>
        </w:rPr>
        <w:t>and so detection of market abuse would be very challenging.</w:t>
      </w:r>
    </w:p>
    <w:p w14:paraId="45489A35" w14:textId="77777777" w:rsidR="003B7BAC" w:rsidRPr="003B7BAC" w:rsidRDefault="003B7BAC" w:rsidP="003B7BAC">
      <w:pPr>
        <w:numPr>
          <w:ilvl w:val="1"/>
          <w:numId w:val="8"/>
        </w:numPr>
        <w:jc w:val="both"/>
        <w:textAlignment w:val="baseline"/>
        <w:rPr>
          <w:rFonts w:ascii="Arial" w:eastAsia="Times New Roman" w:hAnsi="Arial" w:cs="Arial"/>
          <w:color w:val="000000"/>
          <w:kern w:val="0"/>
          <w:sz w:val="21"/>
          <w:szCs w:val="21"/>
          <w:lang w:eastAsia="en-GB"/>
          <w14:ligatures w14:val="none"/>
        </w:rPr>
      </w:pPr>
      <w:r w:rsidRPr="003B7BAC">
        <w:rPr>
          <w:rFonts w:ascii="Arial" w:eastAsia="Times New Roman" w:hAnsi="Arial" w:cs="Arial"/>
          <w:color w:val="000000"/>
          <w:kern w:val="0"/>
          <w:sz w:val="21"/>
          <w:szCs w:val="21"/>
          <w:lang w:eastAsia="en-GB"/>
          <w14:ligatures w14:val="none"/>
        </w:rPr>
        <w:t xml:space="preserve">Instead of monitoring, the blockchain community is actively working to </w:t>
      </w:r>
      <w:r w:rsidRPr="003B7BAC">
        <w:rPr>
          <w:rFonts w:ascii="Arial" w:eastAsia="Times New Roman" w:hAnsi="Arial" w:cs="Arial"/>
          <w:b/>
          <w:bCs/>
          <w:color w:val="000000"/>
          <w:kern w:val="0"/>
          <w:sz w:val="21"/>
          <w:szCs w:val="21"/>
          <w:lang w:eastAsia="en-GB"/>
          <w14:ligatures w14:val="none"/>
        </w:rPr>
        <w:t>mitigate the negative externalities of MEV</w:t>
      </w:r>
      <w:r w:rsidRPr="003B7BAC">
        <w:rPr>
          <w:rFonts w:ascii="Arial" w:eastAsia="Times New Roman" w:hAnsi="Arial" w:cs="Arial"/>
          <w:color w:val="000000"/>
          <w:kern w:val="0"/>
          <w:sz w:val="21"/>
          <w:szCs w:val="21"/>
          <w:lang w:eastAsia="en-GB"/>
          <w14:ligatures w14:val="none"/>
        </w:rPr>
        <w:t>, e.g. by providing free tools to protect Ethereum transactions from frontrunning and sandwich attacks. </w:t>
      </w:r>
    </w:p>
    <w:p w14:paraId="0D50B8D3" w14:textId="77777777" w:rsidR="003B7BAC" w:rsidRPr="003B7BAC" w:rsidRDefault="003B7BAC" w:rsidP="003B7BAC">
      <w:pPr>
        <w:numPr>
          <w:ilvl w:val="1"/>
          <w:numId w:val="9"/>
        </w:numPr>
        <w:jc w:val="both"/>
        <w:textAlignment w:val="baseline"/>
        <w:rPr>
          <w:rFonts w:ascii="Arial" w:eastAsia="Times New Roman" w:hAnsi="Arial" w:cs="Arial"/>
          <w:color w:val="000000"/>
          <w:kern w:val="0"/>
          <w:sz w:val="21"/>
          <w:szCs w:val="21"/>
          <w:lang w:eastAsia="en-GB"/>
          <w14:ligatures w14:val="none"/>
        </w:rPr>
      </w:pPr>
      <w:r w:rsidRPr="003B7BAC">
        <w:rPr>
          <w:rFonts w:ascii="Arial" w:eastAsia="Times New Roman" w:hAnsi="Arial" w:cs="Arial"/>
          <w:b/>
          <w:bCs/>
          <w:color w:val="000000"/>
          <w:kern w:val="0"/>
          <w:sz w:val="21"/>
          <w:szCs w:val="21"/>
          <w:lang w:eastAsia="en-GB"/>
          <w14:ligatures w14:val="none"/>
        </w:rPr>
        <w:t>From a technology perspective</w:t>
      </w:r>
      <w:r w:rsidRPr="003B7BAC">
        <w:rPr>
          <w:rFonts w:ascii="Arial" w:eastAsia="Times New Roman" w:hAnsi="Arial" w:cs="Arial"/>
          <w:color w:val="000000"/>
          <w:kern w:val="0"/>
          <w:sz w:val="21"/>
          <w:szCs w:val="21"/>
          <w:lang w:eastAsia="en-GB"/>
          <w14:ligatures w14:val="none"/>
        </w:rPr>
        <w:t xml:space="preserve">, applying any blanket approach to this requirement would also be difficult given that </w:t>
      </w:r>
      <w:r w:rsidRPr="003B7BAC">
        <w:rPr>
          <w:rFonts w:ascii="Arial" w:eastAsia="Times New Roman" w:hAnsi="Arial" w:cs="Arial"/>
          <w:b/>
          <w:bCs/>
          <w:color w:val="000000"/>
          <w:kern w:val="0"/>
          <w:sz w:val="21"/>
          <w:szCs w:val="21"/>
          <w:lang w:eastAsia="en-GB"/>
          <w14:ligatures w14:val="none"/>
        </w:rPr>
        <w:t>different chains have different mechanisms and nuances</w:t>
      </w:r>
      <w:r w:rsidRPr="003B7BAC">
        <w:rPr>
          <w:rFonts w:ascii="Arial" w:eastAsia="Times New Roman" w:hAnsi="Arial" w:cs="Arial"/>
          <w:color w:val="000000"/>
          <w:kern w:val="0"/>
          <w:sz w:val="21"/>
          <w:szCs w:val="21"/>
          <w:lang w:eastAsia="en-GB"/>
          <w14:ligatures w14:val="none"/>
        </w:rPr>
        <w:t>.  </w:t>
      </w:r>
    </w:p>
    <w:p w14:paraId="6CCF3AC2" w14:textId="77777777" w:rsidR="003B7BAC" w:rsidRPr="003B7BAC" w:rsidRDefault="003B7BAC" w:rsidP="003B7BAC">
      <w:pPr>
        <w:spacing w:after="240"/>
        <w:rPr>
          <w:rFonts w:ascii="Times New Roman" w:eastAsia="Times New Roman" w:hAnsi="Times New Roman" w:cs="Times New Roman"/>
          <w:kern w:val="0"/>
          <w:sz w:val="21"/>
          <w:szCs w:val="21"/>
          <w:lang w:eastAsia="en-GB"/>
          <w14:ligatures w14:val="none"/>
        </w:rPr>
      </w:pPr>
    </w:p>
    <w:p w14:paraId="650E28F3" w14:textId="77777777" w:rsidR="003B7BAC" w:rsidRPr="003B7BAC" w:rsidRDefault="003B7BAC" w:rsidP="003B7BAC">
      <w:pPr>
        <w:jc w:val="both"/>
        <w:rPr>
          <w:rFonts w:ascii="Times New Roman" w:eastAsia="Times New Roman" w:hAnsi="Times New Roman" w:cs="Times New Roman"/>
          <w:kern w:val="0"/>
          <w:sz w:val="21"/>
          <w:szCs w:val="21"/>
          <w:lang w:eastAsia="en-GB"/>
          <w14:ligatures w14:val="none"/>
        </w:rPr>
      </w:pPr>
      <w:r w:rsidRPr="003B7BAC">
        <w:rPr>
          <w:rFonts w:ascii="Arial" w:eastAsia="Times New Roman" w:hAnsi="Arial" w:cs="Arial"/>
          <w:color w:val="000000"/>
          <w:kern w:val="0"/>
          <w:sz w:val="21"/>
          <w:szCs w:val="21"/>
          <w:lang w:eastAsia="en-GB"/>
          <w14:ligatures w14:val="none"/>
        </w:rPr>
        <w:t>We would be pleased to discuss any points or questions raised in further detail. </w:t>
      </w:r>
    </w:p>
    <w:p w14:paraId="0C58A1A6" w14:textId="77777777" w:rsidR="00D72E82" w:rsidRPr="003B7BAC" w:rsidRDefault="00D72E82" w:rsidP="00D72E82">
      <w:pPr>
        <w:rPr>
          <w:rFonts w:ascii="Times New Roman" w:eastAsia="Times New Roman" w:hAnsi="Times New Roman" w:cs="Times New Roman"/>
          <w:kern w:val="0"/>
          <w:sz w:val="21"/>
          <w:szCs w:val="21"/>
          <w:lang w:eastAsia="en-GB"/>
          <w14:ligatures w14:val="none"/>
        </w:rPr>
      </w:pPr>
    </w:p>
    <w:p w14:paraId="7707BEB4" w14:textId="77777777" w:rsidR="00D72E82" w:rsidRPr="003B7BAC" w:rsidRDefault="00D72E82">
      <w:pPr>
        <w:rPr>
          <w:rFonts w:ascii="Arial" w:eastAsia="Times New Roman" w:hAnsi="Arial" w:cs="Arial"/>
          <w:color w:val="000000"/>
          <w:kern w:val="0"/>
          <w:sz w:val="21"/>
          <w:szCs w:val="21"/>
          <w:lang w:eastAsia="en-GB"/>
          <w14:ligatures w14:val="none"/>
        </w:rPr>
      </w:pPr>
    </w:p>
    <w:p w14:paraId="402C5781" w14:textId="01B4254D" w:rsidR="00814CD9" w:rsidRPr="003B7BAC" w:rsidRDefault="00D72E82">
      <w:pPr>
        <w:rPr>
          <w:rFonts w:ascii="Arial" w:eastAsia="Times New Roman" w:hAnsi="Arial" w:cs="Arial"/>
          <w:color w:val="000000"/>
          <w:kern w:val="0"/>
          <w:sz w:val="21"/>
          <w:szCs w:val="21"/>
          <w:lang w:eastAsia="en-GB"/>
          <w14:ligatures w14:val="none"/>
        </w:rPr>
      </w:pPr>
      <w:r w:rsidRPr="003B7BAC">
        <w:rPr>
          <w:rFonts w:ascii="Arial" w:eastAsia="Times New Roman" w:hAnsi="Arial" w:cs="Arial"/>
          <w:color w:val="000000"/>
          <w:kern w:val="0"/>
          <w:sz w:val="21"/>
          <w:szCs w:val="21"/>
          <w:lang w:eastAsia="en-GB"/>
          <w14:ligatures w14:val="none"/>
        </w:rPr>
        <w:t xml:space="preserve">Please see our detailed responses on the guidelines in the separate attachment. </w:t>
      </w:r>
    </w:p>
    <w:p w14:paraId="1020791A" w14:textId="77777777" w:rsidR="002B6986" w:rsidRPr="003B7BAC" w:rsidRDefault="002B6986">
      <w:pPr>
        <w:rPr>
          <w:rFonts w:ascii="Arial" w:eastAsia="Times New Roman" w:hAnsi="Arial" w:cs="Arial"/>
          <w:color w:val="000000"/>
          <w:kern w:val="0"/>
          <w:sz w:val="21"/>
          <w:szCs w:val="21"/>
          <w:lang w:eastAsia="en-GB"/>
          <w14:ligatures w14:val="none"/>
        </w:rPr>
      </w:pPr>
    </w:p>
    <w:p w14:paraId="4EF6AAD7" w14:textId="77777777" w:rsidR="002B6986" w:rsidRPr="003B7BAC" w:rsidRDefault="002B6986">
      <w:pPr>
        <w:rPr>
          <w:rFonts w:ascii="Arial" w:eastAsia="Times New Roman" w:hAnsi="Arial" w:cs="Arial"/>
          <w:color w:val="000000"/>
          <w:kern w:val="0"/>
          <w:sz w:val="21"/>
          <w:szCs w:val="21"/>
          <w:lang w:eastAsia="en-GB"/>
          <w14:ligatures w14:val="none"/>
        </w:rPr>
      </w:pPr>
    </w:p>
    <w:p w14:paraId="4F289917" w14:textId="05079598" w:rsidR="002B6986" w:rsidRPr="003B7BAC" w:rsidRDefault="002B6986">
      <w:pPr>
        <w:rPr>
          <w:rFonts w:ascii="Times New Roman" w:eastAsia="Times New Roman" w:hAnsi="Times New Roman" w:cs="Times New Roman"/>
          <w:kern w:val="0"/>
          <w:sz w:val="21"/>
          <w:szCs w:val="21"/>
          <w:lang w:eastAsia="en-GB"/>
          <w14:ligatures w14:val="none"/>
        </w:rPr>
      </w:pPr>
      <w:r w:rsidRPr="003B7BAC">
        <w:rPr>
          <w:rFonts w:ascii="Arial" w:eastAsia="Times New Roman" w:hAnsi="Arial" w:cs="Arial"/>
          <w:color w:val="000000"/>
          <w:kern w:val="0"/>
          <w:sz w:val="21"/>
          <w:szCs w:val="21"/>
          <w:lang w:eastAsia="en-GB"/>
          <w14:ligatures w14:val="none"/>
        </w:rPr>
        <w:t>-- End --</w:t>
      </w:r>
    </w:p>
    <w:sectPr w:rsidR="002B6986" w:rsidRPr="003B7BA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8424D" w14:textId="77777777" w:rsidR="00F74162" w:rsidRDefault="00F74162" w:rsidP="003D004E">
      <w:r>
        <w:separator/>
      </w:r>
    </w:p>
  </w:endnote>
  <w:endnote w:type="continuationSeparator" w:id="0">
    <w:p w14:paraId="2A675663" w14:textId="77777777" w:rsidR="00F74162" w:rsidRDefault="00F74162" w:rsidP="003D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C72FD" w14:textId="77777777" w:rsidR="00F74162" w:rsidRDefault="00F74162" w:rsidP="003D004E">
      <w:r>
        <w:separator/>
      </w:r>
    </w:p>
  </w:footnote>
  <w:footnote w:type="continuationSeparator" w:id="0">
    <w:p w14:paraId="303C57FF" w14:textId="77777777" w:rsidR="00F74162" w:rsidRDefault="00F74162" w:rsidP="003D0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FCD0" w14:textId="3C293DE4" w:rsidR="003D004E" w:rsidRDefault="003D004E">
    <w:pPr>
      <w:pStyle w:val="Header"/>
    </w:pPr>
    <w:r>
      <w:rPr>
        <w:color w:val="000000"/>
        <w:bdr w:val="none" w:sz="0" w:space="0" w:color="auto" w:frame="1"/>
      </w:rPr>
      <w:fldChar w:fldCharType="begin"/>
    </w:r>
    <w:r>
      <w:rPr>
        <w:color w:val="000000"/>
        <w:bdr w:val="none" w:sz="0" w:space="0" w:color="auto" w:frame="1"/>
      </w:rPr>
      <w:instrText xml:space="preserve"> INCLUDEPICTURE "https://lh7-us.googleusercontent.com/1NfHFjKYe8xOaonHKhb7rXCBAF_D_nk-WSQSk6rYg8SPPhJ4oXm6DC0nOf7BMJK8cbGTReivghxzADjoq-HMTVvIJsW159MMdHSiRnyQ727dNtmA4RqT7q84yyWW-2YAzBhDynO7LDhq" \* MERGEFORMATINET </w:instrText>
    </w:r>
    <w:r>
      <w:rPr>
        <w:color w:val="000000"/>
        <w:bdr w:val="none" w:sz="0" w:space="0" w:color="auto" w:frame="1"/>
      </w:rPr>
      <w:fldChar w:fldCharType="separate"/>
    </w:r>
    <w:r>
      <w:rPr>
        <w:noProof/>
        <w:color w:val="000000"/>
        <w:bdr w:val="none" w:sz="0" w:space="0" w:color="auto" w:frame="1"/>
      </w:rPr>
      <w:drawing>
        <wp:inline distT="0" distB="0" distL="0" distR="0" wp14:anchorId="34D4DA45" wp14:editId="428D274B">
          <wp:extent cx="2247900" cy="749300"/>
          <wp:effectExtent l="0" t="0" r="0" b="0"/>
          <wp:docPr id="2038397489"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397489" name="Picture 1"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749300"/>
                  </a:xfrm>
                  <a:prstGeom prst="rect">
                    <a:avLst/>
                  </a:prstGeom>
                  <a:noFill/>
                  <a:ln>
                    <a:noFill/>
                  </a:ln>
                </pic:spPr>
              </pic:pic>
            </a:graphicData>
          </a:graphic>
        </wp:inline>
      </w:drawing>
    </w:r>
    <w:r>
      <w:rPr>
        <w:color w:val="000000"/>
        <w:bdr w:val="none" w:sz="0" w:space="0" w:color="auto" w:frame="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663"/>
    <w:multiLevelType w:val="multilevel"/>
    <w:tmpl w:val="FCA28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D4B46"/>
    <w:multiLevelType w:val="multilevel"/>
    <w:tmpl w:val="15524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E85752"/>
    <w:multiLevelType w:val="multilevel"/>
    <w:tmpl w:val="5DA4B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612FE6"/>
    <w:multiLevelType w:val="multilevel"/>
    <w:tmpl w:val="884C4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7765298">
    <w:abstractNumId w:val="2"/>
  </w:num>
  <w:num w:numId="2" w16cid:durableId="1822699620">
    <w:abstractNumId w:val="0"/>
  </w:num>
  <w:num w:numId="3" w16cid:durableId="370032441">
    <w:abstractNumId w:val="3"/>
  </w:num>
  <w:num w:numId="4" w16cid:durableId="61679895">
    <w:abstractNumId w:val="1"/>
  </w:num>
  <w:num w:numId="5" w16cid:durableId="2028479538">
    <w:abstractNumId w:val="1"/>
    <w:lvlOverride w:ilvl="1">
      <w:lvl w:ilvl="1">
        <w:numFmt w:val="bullet"/>
        <w:lvlText w:val=""/>
        <w:lvlJc w:val="left"/>
        <w:pPr>
          <w:tabs>
            <w:tab w:val="num" w:pos="1440"/>
          </w:tabs>
          <w:ind w:left="1440" w:hanging="360"/>
        </w:pPr>
        <w:rPr>
          <w:rFonts w:ascii="Symbol" w:hAnsi="Symbol" w:hint="default"/>
          <w:sz w:val="20"/>
        </w:rPr>
      </w:lvl>
    </w:lvlOverride>
  </w:num>
  <w:num w:numId="6" w16cid:durableId="719212723">
    <w:abstractNumId w:val="1"/>
    <w:lvlOverride w:ilvl="1">
      <w:lvl w:ilvl="1">
        <w:numFmt w:val="bullet"/>
        <w:lvlText w:val=""/>
        <w:lvlJc w:val="left"/>
        <w:pPr>
          <w:tabs>
            <w:tab w:val="num" w:pos="1440"/>
          </w:tabs>
          <w:ind w:left="1440" w:hanging="360"/>
        </w:pPr>
        <w:rPr>
          <w:rFonts w:ascii="Symbol" w:hAnsi="Symbol" w:hint="default"/>
          <w:sz w:val="20"/>
        </w:rPr>
      </w:lvl>
    </w:lvlOverride>
  </w:num>
  <w:num w:numId="7" w16cid:durableId="423845057">
    <w:abstractNumId w:val="1"/>
    <w:lvlOverride w:ilvl="1">
      <w:lvl w:ilvl="1">
        <w:numFmt w:val="bullet"/>
        <w:lvlText w:val=""/>
        <w:lvlJc w:val="left"/>
        <w:pPr>
          <w:tabs>
            <w:tab w:val="num" w:pos="1440"/>
          </w:tabs>
          <w:ind w:left="1440" w:hanging="360"/>
        </w:pPr>
        <w:rPr>
          <w:rFonts w:ascii="Symbol" w:hAnsi="Symbol" w:hint="default"/>
          <w:sz w:val="20"/>
        </w:rPr>
      </w:lvl>
    </w:lvlOverride>
  </w:num>
  <w:num w:numId="8" w16cid:durableId="1635595460">
    <w:abstractNumId w:val="1"/>
    <w:lvlOverride w:ilvl="1">
      <w:lvl w:ilvl="1">
        <w:numFmt w:val="bullet"/>
        <w:lvlText w:val=""/>
        <w:lvlJc w:val="left"/>
        <w:pPr>
          <w:tabs>
            <w:tab w:val="num" w:pos="1440"/>
          </w:tabs>
          <w:ind w:left="1440" w:hanging="360"/>
        </w:pPr>
        <w:rPr>
          <w:rFonts w:ascii="Symbol" w:hAnsi="Symbol" w:hint="default"/>
          <w:sz w:val="20"/>
        </w:rPr>
      </w:lvl>
    </w:lvlOverride>
  </w:num>
  <w:num w:numId="9" w16cid:durableId="1314677596">
    <w:abstractNumId w:val="1"/>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CD9"/>
    <w:rsid w:val="001C2307"/>
    <w:rsid w:val="001F4C3C"/>
    <w:rsid w:val="002B6986"/>
    <w:rsid w:val="003B7BAC"/>
    <w:rsid w:val="003D004E"/>
    <w:rsid w:val="00400BBD"/>
    <w:rsid w:val="00675403"/>
    <w:rsid w:val="00786689"/>
    <w:rsid w:val="00814CD9"/>
    <w:rsid w:val="008F370B"/>
    <w:rsid w:val="00A665BB"/>
    <w:rsid w:val="00AE04FE"/>
    <w:rsid w:val="00B43D9E"/>
    <w:rsid w:val="00C168BD"/>
    <w:rsid w:val="00C36261"/>
    <w:rsid w:val="00D72E82"/>
    <w:rsid w:val="00F74162"/>
    <w:rsid w:val="00F84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68D884"/>
  <w15:chartTrackingRefBased/>
  <w15:docId w15:val="{5284CDA5-12BE-834E-83E9-4509FFB6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36261"/>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261"/>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C3626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C36261"/>
    <w:rPr>
      <w:color w:val="0000FF"/>
      <w:u w:val="single"/>
    </w:rPr>
  </w:style>
  <w:style w:type="paragraph" w:styleId="Header">
    <w:name w:val="header"/>
    <w:basedOn w:val="Normal"/>
    <w:link w:val="HeaderChar"/>
    <w:uiPriority w:val="99"/>
    <w:unhideWhenUsed/>
    <w:rsid w:val="003D004E"/>
    <w:pPr>
      <w:tabs>
        <w:tab w:val="center" w:pos="4513"/>
        <w:tab w:val="right" w:pos="9026"/>
      </w:tabs>
    </w:pPr>
  </w:style>
  <w:style w:type="character" w:customStyle="1" w:styleId="HeaderChar">
    <w:name w:val="Header Char"/>
    <w:basedOn w:val="DefaultParagraphFont"/>
    <w:link w:val="Header"/>
    <w:uiPriority w:val="99"/>
    <w:rsid w:val="003D004E"/>
  </w:style>
  <w:style w:type="paragraph" w:styleId="Footer">
    <w:name w:val="footer"/>
    <w:basedOn w:val="Normal"/>
    <w:link w:val="FooterChar"/>
    <w:uiPriority w:val="99"/>
    <w:unhideWhenUsed/>
    <w:rsid w:val="003D004E"/>
    <w:pPr>
      <w:tabs>
        <w:tab w:val="center" w:pos="4513"/>
        <w:tab w:val="right" w:pos="9026"/>
      </w:tabs>
    </w:pPr>
  </w:style>
  <w:style w:type="character" w:customStyle="1" w:styleId="FooterChar">
    <w:name w:val="Footer Char"/>
    <w:basedOn w:val="DefaultParagraphFont"/>
    <w:link w:val="Footer"/>
    <w:uiPriority w:val="99"/>
    <w:rsid w:val="003D004E"/>
  </w:style>
  <w:style w:type="paragraph" w:styleId="ListParagraph">
    <w:name w:val="List Paragraph"/>
    <w:basedOn w:val="Normal"/>
    <w:uiPriority w:val="34"/>
    <w:qFormat/>
    <w:rsid w:val="002B6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2517">
      <w:bodyDiv w:val="1"/>
      <w:marLeft w:val="0"/>
      <w:marRight w:val="0"/>
      <w:marTop w:val="0"/>
      <w:marBottom w:val="0"/>
      <w:divBdr>
        <w:top w:val="none" w:sz="0" w:space="0" w:color="auto"/>
        <w:left w:val="none" w:sz="0" w:space="0" w:color="auto"/>
        <w:bottom w:val="none" w:sz="0" w:space="0" w:color="auto"/>
        <w:right w:val="none" w:sz="0" w:space="0" w:color="auto"/>
      </w:divBdr>
    </w:div>
    <w:div w:id="462428903">
      <w:bodyDiv w:val="1"/>
      <w:marLeft w:val="0"/>
      <w:marRight w:val="0"/>
      <w:marTop w:val="0"/>
      <w:marBottom w:val="0"/>
      <w:divBdr>
        <w:top w:val="none" w:sz="0" w:space="0" w:color="auto"/>
        <w:left w:val="none" w:sz="0" w:space="0" w:color="auto"/>
        <w:bottom w:val="none" w:sz="0" w:space="0" w:color="auto"/>
        <w:right w:val="none" w:sz="0" w:space="0" w:color="auto"/>
      </w:divBdr>
    </w:div>
    <w:div w:id="665940502">
      <w:bodyDiv w:val="1"/>
      <w:marLeft w:val="0"/>
      <w:marRight w:val="0"/>
      <w:marTop w:val="0"/>
      <w:marBottom w:val="0"/>
      <w:divBdr>
        <w:top w:val="none" w:sz="0" w:space="0" w:color="auto"/>
        <w:left w:val="none" w:sz="0" w:space="0" w:color="auto"/>
        <w:bottom w:val="none" w:sz="0" w:space="0" w:color="auto"/>
        <w:right w:val="none" w:sz="0" w:space="0" w:color="auto"/>
      </w:divBdr>
    </w:div>
    <w:div w:id="128006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Raj</dc:creator>
  <cp:keywords/>
  <dc:description/>
  <cp:lastModifiedBy>romana.raj</cp:lastModifiedBy>
  <cp:revision>4</cp:revision>
  <dcterms:created xsi:type="dcterms:W3CDTF">2024-06-25T12:14:00Z</dcterms:created>
  <dcterms:modified xsi:type="dcterms:W3CDTF">2024-06-25T12:18:00Z</dcterms:modified>
</cp:coreProperties>
</file>