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el"/>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el"/>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berschrift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85CC251" w:rsidR="00C85C8B" w:rsidRPr="00B16706" w:rsidRDefault="00F029C1" w:rsidP="00C85C8B">
                <w:pPr>
                  <w:rPr>
                    <w:rFonts w:ascii="Arial" w:hAnsi="Arial" w:cs="Arial"/>
                    <w:color w:val="808080"/>
                    <w:sz w:val="16"/>
                    <w:szCs w:val="20"/>
                    <w:lang w:eastAsia="de-DE"/>
                  </w:rPr>
                </w:pPr>
                <w:proofErr w:type="spellStart"/>
                <w:r>
                  <w:rPr>
                    <w:rFonts w:ascii="Arial" w:hAnsi="Arial" w:cs="Arial"/>
                    <w:color w:val="808080"/>
                    <w:sz w:val="16"/>
                    <w:szCs w:val="20"/>
                    <w:lang w:eastAsia="de-DE"/>
                  </w:rPr>
                  <w:t>Bundesverband</w:t>
                </w:r>
                <w:proofErr w:type="spellEnd"/>
                <w:r>
                  <w:rPr>
                    <w:rFonts w:ascii="Arial" w:hAnsi="Arial" w:cs="Arial"/>
                    <w:color w:val="808080"/>
                    <w:sz w:val="16"/>
                    <w:szCs w:val="20"/>
                    <w:lang w:eastAsia="de-DE"/>
                  </w:rPr>
                  <w:t xml:space="preserve"> der </w:t>
                </w:r>
                <w:proofErr w:type="spellStart"/>
                <w:r>
                  <w:rPr>
                    <w:rFonts w:ascii="Arial" w:hAnsi="Arial" w:cs="Arial"/>
                    <w:color w:val="808080"/>
                    <w:sz w:val="16"/>
                    <w:szCs w:val="20"/>
                    <w:lang w:eastAsia="de-DE"/>
                  </w:rPr>
                  <w:t>Wertpapierfirmen</w:t>
                </w:r>
                <w:proofErr w:type="spellEnd"/>
                <w:r>
                  <w:rPr>
                    <w:rFonts w:ascii="Arial" w:hAnsi="Arial" w:cs="Arial"/>
                    <w:color w:val="808080"/>
                    <w:sz w:val="16"/>
                    <w:szCs w:val="20"/>
                    <w:lang w:eastAsia="de-DE"/>
                  </w:rPr>
                  <w:t xml:space="preserve"> (</w:t>
                </w:r>
                <w:proofErr w:type="spellStart"/>
                <w:r>
                  <w:rPr>
                    <w:rFonts w:ascii="Arial" w:hAnsi="Arial" w:cs="Arial"/>
                    <w:color w:val="808080"/>
                    <w:sz w:val="16"/>
                    <w:szCs w:val="20"/>
                    <w:lang w:eastAsia="de-DE"/>
                  </w:rPr>
                  <w:t>bwf</w:t>
                </w:r>
                <w:proofErr w:type="spellEnd"/>
                <w:r>
                  <w:rPr>
                    <w:rFonts w:ascii="Arial" w:hAnsi="Arial" w:cs="Arial"/>
                    <w:color w:val="808080"/>
                    <w:sz w:val="16"/>
                    <w:szCs w:val="20"/>
                    <w:lang w:eastAsia="de-DE"/>
                  </w:rPr>
                  <w:t>)</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4A0C77C" w:rsidR="00C85C8B" w:rsidRPr="00B16706" w:rsidRDefault="00DB5A39"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029C1">
                  <w:rPr>
                    <w:rFonts w:ascii="Arial" w:hAnsi="Arial" w:cs="Arial"/>
                    <w:sz w:val="16"/>
                    <w:szCs w:val="20"/>
                    <w:lang w:eastAsia="de-DE"/>
                  </w:rPr>
                  <w:t>Investment Services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D6D2FEE" w:rsidR="00C85C8B" w:rsidRPr="00B16706" w:rsidRDefault="00F029C1"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12F4D3C" w:rsidR="00C85C8B" w:rsidRPr="00B16706" w:rsidRDefault="00F029C1"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082589DA" w14:textId="1EC952BE" w:rsidR="00DB4A27" w:rsidRPr="00DB5A39" w:rsidRDefault="00DB4A27" w:rsidP="001B1B48">
      <w:pPr>
        <w:spacing w:after="160" w:line="259" w:lineRule="auto"/>
        <w:rPr>
          <w:rFonts w:ascii="TheSansOffice" w:eastAsia="Calibri" w:hAnsi="TheSansOffice"/>
          <w:kern w:val="2"/>
          <w:lang w:eastAsia="en-US"/>
          <w14:ligatures w14:val="standardContextual"/>
        </w:rPr>
      </w:pPr>
      <w:permStart w:id="1765354918" w:edGrp="everyone"/>
      <w:r w:rsidRPr="00DB5A39">
        <w:rPr>
          <w:rFonts w:ascii="TheSansOffice" w:eastAsia="Calibri" w:hAnsi="TheSansOffice"/>
          <w:kern w:val="2"/>
          <w:lang w:eastAsia="en-US"/>
          <w14:ligatures w14:val="standardContextual"/>
        </w:rPr>
        <w:t xml:space="preserve">We generally agree with establishing a one-size-fits-all guidance </w:t>
      </w:r>
      <w:r w:rsidR="00C73FD4" w:rsidRPr="00DB5A39">
        <w:rPr>
          <w:rFonts w:ascii="TheSansOffice" w:eastAsia="Calibri" w:hAnsi="TheSansOffice"/>
          <w:kern w:val="2"/>
          <w:lang w:eastAsia="en-US"/>
          <w14:ligatures w14:val="standardContextual"/>
        </w:rPr>
        <w:t>on the distinction between</w:t>
      </w:r>
      <w:r w:rsidRPr="00DB5A39">
        <w:rPr>
          <w:rFonts w:ascii="TheSansOffice" w:eastAsia="Calibri" w:hAnsi="TheSansOffice"/>
          <w:kern w:val="2"/>
          <w:lang w:eastAsia="en-US"/>
          <w14:ligatures w14:val="standardContextual"/>
        </w:rPr>
        <w:t xml:space="preserve"> financial instruments </w:t>
      </w:r>
      <w:r w:rsidR="00C73FD4" w:rsidRPr="00DB5A39">
        <w:rPr>
          <w:rFonts w:ascii="TheSansOffice" w:eastAsia="Calibri" w:hAnsi="TheSansOffice"/>
          <w:kern w:val="2"/>
          <w:lang w:eastAsia="en-US"/>
          <w14:ligatures w14:val="standardContextual"/>
        </w:rPr>
        <w:t>and</w:t>
      </w:r>
      <w:r w:rsidRPr="00DB5A39">
        <w:rPr>
          <w:rFonts w:ascii="TheSansOffice" w:eastAsia="Calibri" w:hAnsi="TheSansOffice"/>
          <w:kern w:val="2"/>
          <w:lang w:eastAsia="en-US"/>
          <w14:ligatures w14:val="standardContextual"/>
        </w:rPr>
        <w:t xml:space="preserve"> crypto-assets under MiCA, as MiFID II </w:t>
      </w:r>
      <w:r w:rsidR="00C73FD4" w:rsidRPr="00DB5A39">
        <w:rPr>
          <w:rFonts w:ascii="TheSansOffice" w:eastAsia="Calibri" w:hAnsi="TheSansOffice"/>
          <w:kern w:val="2"/>
          <w:lang w:eastAsia="en-US"/>
          <w14:ligatures w14:val="standardContextual"/>
        </w:rPr>
        <w:t>also</w:t>
      </w:r>
      <w:r w:rsidRPr="00DB5A39">
        <w:rPr>
          <w:rFonts w:ascii="TheSansOffice" w:eastAsia="Calibri" w:hAnsi="TheSansOffice"/>
          <w:kern w:val="2"/>
          <w:lang w:eastAsia="en-US"/>
          <w14:ligatures w14:val="standardContextual"/>
        </w:rPr>
        <w:t xml:space="preserve"> does not provide a one-size-fits-all definition for all types </w:t>
      </w:r>
      <w:r w:rsidR="00093EC9" w:rsidRPr="00DB5A39">
        <w:rPr>
          <w:rFonts w:ascii="TheSansOffice" w:eastAsia="Calibri" w:hAnsi="TheSansOffice"/>
          <w:kern w:val="2"/>
          <w:lang w:eastAsia="en-US"/>
          <w14:ligatures w14:val="standardContextual"/>
        </w:rPr>
        <w:t xml:space="preserve">of financial instruments. As a consequence, the member states transposed MiFID II with slight variances about what constitutes a financial instrument. </w:t>
      </w:r>
      <w:r w:rsidR="00C73FD4" w:rsidRPr="00DB5A39">
        <w:rPr>
          <w:rFonts w:ascii="TheSansOffice" w:eastAsia="Calibri" w:hAnsi="TheSansOffice"/>
          <w:kern w:val="2"/>
          <w:lang w:eastAsia="en-US"/>
          <w14:ligatures w14:val="standardContextual"/>
        </w:rPr>
        <w:t>This circumstance and the prevailing criteria for determining a financial instrument in the individual member states must be taken into account accordingly when differentiating between financial instruments and crypto-assets.</w:t>
      </w:r>
    </w:p>
    <w:p w14:paraId="4968EACC" w14:textId="77777777" w:rsidR="00DB5A39" w:rsidRPr="00DB5A39" w:rsidRDefault="00DB5A39" w:rsidP="001B1B48">
      <w:pPr>
        <w:spacing w:after="160" w:line="259" w:lineRule="auto"/>
        <w:rPr>
          <w:rFonts w:ascii="TheSansOffice" w:eastAsia="Calibri" w:hAnsi="TheSansOffice"/>
          <w:kern w:val="2"/>
          <w:lang w:eastAsia="en-US"/>
          <w14:ligatures w14:val="standardContextual"/>
        </w:rPr>
      </w:pPr>
    </w:p>
    <w:p w14:paraId="63DB4DBA" w14:textId="63FB7CA8" w:rsidR="00DB5A39" w:rsidRPr="00DB5A39" w:rsidRDefault="00DB5A39" w:rsidP="001B1B48">
      <w:pPr>
        <w:spacing w:after="160" w:line="259" w:lineRule="auto"/>
        <w:rPr>
          <w:rFonts w:ascii="TheSansOffice" w:eastAsia="Calibri" w:hAnsi="TheSansOffice"/>
          <w:kern w:val="2"/>
          <w:lang w:eastAsia="en-US"/>
          <w14:ligatures w14:val="standardContextual"/>
        </w:rPr>
      </w:pPr>
      <w:r w:rsidRPr="00DB5A39">
        <w:rPr>
          <w:rFonts w:ascii="TheSansOffice" w:eastAsia="Calibri" w:hAnsi="TheSansOffice"/>
          <w:kern w:val="2"/>
          <w:lang w:eastAsia="en-US"/>
          <w14:ligatures w14:val="standardContextual"/>
        </w:rPr>
        <w:t>As there is no e</w:t>
      </w:r>
      <w:r>
        <w:rPr>
          <w:rFonts w:ascii="TheSansOffice" w:eastAsia="Calibri" w:hAnsi="TheSansOffice"/>
          <w:kern w:val="2"/>
          <w:lang w:eastAsia="en-US"/>
          <w14:ligatures w14:val="standardContextual"/>
        </w:rPr>
        <w:t>x</w:t>
      </w:r>
      <w:r w:rsidRPr="00DB5A39">
        <w:rPr>
          <w:rFonts w:ascii="TheSansOffice" w:eastAsia="Calibri" w:hAnsi="TheSansOffice"/>
          <w:kern w:val="2"/>
          <w:lang w:eastAsia="en-US"/>
          <w14:ligatures w14:val="standardContextual"/>
        </w:rPr>
        <w:t xml:space="preserve">plicit form for the other part of the Consultation </w:t>
      </w:r>
      <w:r w:rsidRPr="00DB5A39">
        <w:rPr>
          <w:rFonts w:ascii="TheSansOffice" w:hAnsi="TheSansOffice" w:cs="Calibri"/>
          <w:lang w:eastAsia="de-DE"/>
        </w:rPr>
        <w:t>Draft guidelines on reverse solicitation under the Market in Crypto Assets Regulation (ESMA35-1872330276-1619)</w:t>
      </w:r>
      <w:r w:rsidRPr="00DB5A39">
        <w:rPr>
          <w:rFonts w:ascii="TheSansOffice" w:eastAsia="Calibri" w:hAnsi="TheSansOffice"/>
          <w:kern w:val="2"/>
          <w:lang w:eastAsia="en-US"/>
          <w14:ligatures w14:val="standardContextual"/>
        </w:rPr>
        <w:t xml:space="preserve">, we add some general remarks here: </w:t>
      </w:r>
    </w:p>
    <w:p w14:paraId="6DCF241A" w14:textId="77777777" w:rsidR="00DB5A39" w:rsidRPr="00DB5A39" w:rsidRDefault="00DB5A39" w:rsidP="001B1B48">
      <w:pPr>
        <w:spacing w:after="160" w:line="259" w:lineRule="auto"/>
        <w:rPr>
          <w:rFonts w:ascii="TheSansOffice" w:eastAsia="Calibri" w:hAnsi="TheSansOffice"/>
          <w:kern w:val="2"/>
          <w:lang w:eastAsia="en-US"/>
          <w14:ligatures w14:val="standardContextual"/>
        </w:rPr>
      </w:pPr>
    </w:p>
    <w:p w14:paraId="115161E2" w14:textId="77777777" w:rsidR="00DB5A39" w:rsidRPr="00DB5A39" w:rsidRDefault="00DB5A39" w:rsidP="00DB5A39">
      <w:pPr>
        <w:rPr>
          <w:rFonts w:ascii="TheSansOffice" w:hAnsi="TheSansOffice" w:cs="Calibri"/>
          <w:u w:val="single"/>
          <w:lang w:val="en-CA" w:eastAsia="de-DE"/>
        </w:rPr>
      </w:pPr>
      <w:r w:rsidRPr="00DB5A39">
        <w:rPr>
          <w:rFonts w:ascii="TheSansOffice" w:hAnsi="TheSansOffice" w:cs="Calibri"/>
          <w:u w:val="single"/>
          <w:lang w:eastAsia="de-DE"/>
        </w:rPr>
        <w:t xml:space="preserve">Remarks On the Draft guidelines on reverse solicitation under the Market in Crypto Assets Regulation (ESMA35-1872330276-1619): </w:t>
      </w:r>
    </w:p>
    <w:p w14:paraId="7A24E175"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w:t>
      </w:r>
    </w:p>
    <w:p w14:paraId="73EA34D8"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xml:space="preserve">General remarks: </w:t>
      </w:r>
    </w:p>
    <w:p w14:paraId="7AFA3FAC"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w:t>
      </w:r>
    </w:p>
    <w:p w14:paraId="6D699767"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xml:space="preserve">The current wording of the Guidelines occasionally exceeds the requirements for the use of reverse solicitations under Art. 61 of </w:t>
      </w:r>
      <w:proofErr w:type="spellStart"/>
      <w:r w:rsidRPr="00DB5A39">
        <w:rPr>
          <w:rFonts w:ascii="TheSansOffice" w:hAnsi="TheSansOffice" w:cs="Calibri"/>
          <w:lang w:eastAsia="de-DE"/>
        </w:rPr>
        <w:t>MiCA</w:t>
      </w:r>
      <w:proofErr w:type="spellEnd"/>
      <w:r w:rsidRPr="00DB5A39">
        <w:rPr>
          <w:rFonts w:ascii="TheSansOffice" w:hAnsi="TheSansOffice" w:cs="Calibri"/>
          <w:lang w:eastAsia="de-DE"/>
        </w:rPr>
        <w:t xml:space="preserve"> in comparison to Art. 42 MiFID II significantly and without any obvious justification. The only “partial compliance” with the requirements of MiFID II (Art. 42) is justified by the necessity to protect EU-based investors and </w:t>
      </w:r>
      <w:proofErr w:type="spellStart"/>
      <w:r w:rsidRPr="00DB5A39">
        <w:rPr>
          <w:rFonts w:ascii="TheSansOffice" w:hAnsi="TheSansOffice" w:cs="Calibri"/>
          <w:lang w:eastAsia="de-DE"/>
        </w:rPr>
        <w:t>MiCA</w:t>
      </w:r>
      <w:proofErr w:type="spellEnd"/>
      <w:r w:rsidRPr="00DB5A39">
        <w:rPr>
          <w:rFonts w:ascii="TheSansOffice" w:hAnsi="TheSansOffice" w:cs="Calibri"/>
          <w:lang w:eastAsia="de-DE"/>
        </w:rPr>
        <w:t xml:space="preserve">-complaint CASPs from undue incursions by third-country entities in the European market. However, the current wording bears the high risk of encapsulating the EU market from the global market and restricting the business activities of </w:t>
      </w:r>
      <w:proofErr w:type="spellStart"/>
      <w:r w:rsidRPr="00DB5A39">
        <w:rPr>
          <w:rFonts w:ascii="TheSansOffice" w:hAnsi="TheSansOffice" w:cs="Calibri"/>
          <w:lang w:eastAsia="de-DE"/>
        </w:rPr>
        <w:t>MiCA</w:t>
      </w:r>
      <w:proofErr w:type="spellEnd"/>
      <w:r w:rsidRPr="00DB5A39">
        <w:rPr>
          <w:rFonts w:ascii="TheSansOffice" w:hAnsi="TheSansOffice" w:cs="Calibri"/>
          <w:lang w:eastAsia="de-DE"/>
        </w:rPr>
        <w:t xml:space="preserve">-complaint CASPs, which thrive on a global approach, particularly in the provision of crypto asset services. </w:t>
      </w:r>
    </w:p>
    <w:p w14:paraId="06E2363E"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w:t>
      </w:r>
    </w:p>
    <w:p w14:paraId="2F47AAB0"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Remarks on Guideline 2:</w:t>
      </w:r>
    </w:p>
    <w:p w14:paraId="6B6BE452"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w:t>
      </w:r>
    </w:p>
    <w:p w14:paraId="25231B72"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xml:space="preserve">We see para. 16 of Guideline 2 as particularly problematic, as it states that the participation of regulated institutions acting on behalf of third-country entities is also considered as a breach of solicitation. We suggest at least to include a clarification that there is no breach of solicitation in the provision of crypto-asset swaps or in the </w:t>
      </w:r>
      <w:r w:rsidRPr="00DB5A39">
        <w:rPr>
          <w:rFonts w:ascii="TheSansOffice" w:hAnsi="TheSansOffice" w:cs="Calibri"/>
          <w:lang w:eastAsia="de-DE"/>
        </w:rPr>
        <w:lastRenderedPageBreak/>
        <w:t xml:space="preserve">execution of orders on behalf of clients in crypto-assets (as the provision of crypto-asset services under </w:t>
      </w:r>
      <w:proofErr w:type="spellStart"/>
      <w:r w:rsidRPr="00DB5A39">
        <w:rPr>
          <w:rFonts w:ascii="TheSansOffice" w:hAnsi="TheSansOffice" w:cs="Calibri"/>
          <w:lang w:eastAsia="de-DE"/>
        </w:rPr>
        <w:t>MiCA</w:t>
      </w:r>
      <w:proofErr w:type="spellEnd"/>
      <w:r w:rsidRPr="00DB5A39">
        <w:rPr>
          <w:rFonts w:ascii="TheSansOffice" w:hAnsi="TheSansOffice" w:cs="Calibri"/>
          <w:lang w:eastAsia="de-DE"/>
        </w:rPr>
        <w:t xml:space="preserve">) on trading platforms operated by third-country firms. Otherwise, the activities of CASPs in the area of trading would be severely restricted or even made impossible. </w:t>
      </w:r>
    </w:p>
    <w:p w14:paraId="4EE0AF6B"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w:t>
      </w:r>
    </w:p>
    <w:p w14:paraId="1CB66EE5"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val="en-CA" w:eastAsia="de-DE"/>
        </w:rPr>
        <w:t>Guideline 3</w:t>
      </w:r>
    </w:p>
    <w:p w14:paraId="1DC9048F"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val="en-CA" w:eastAsia="de-DE"/>
        </w:rPr>
        <w:t> </w:t>
      </w:r>
    </w:p>
    <w:p w14:paraId="43C0B2B9" w14:textId="77777777" w:rsidR="00DB5A39" w:rsidRPr="00DB5A39" w:rsidRDefault="00DB5A39" w:rsidP="00DB5A39">
      <w:pPr>
        <w:rPr>
          <w:rFonts w:ascii="TheSansOffice" w:hAnsi="TheSansOffice" w:cs="Calibri"/>
          <w:lang w:val="en-CA" w:eastAsia="de-DE"/>
        </w:rPr>
      </w:pPr>
      <w:r w:rsidRPr="00DB5A39">
        <w:rPr>
          <w:rFonts w:ascii="TheSansOffice" w:hAnsi="TheSansOffice" w:cs="Calibri"/>
          <w:lang w:eastAsia="de-DE"/>
        </w:rPr>
        <w:t xml:space="preserve">We also suggest deleting the time limit of one month set in para. 20 and aligning it with the existing requirements of the parallel provision Art. 42 MiFID II. A justification for a time limit on the use of the exemption provision can neither be derived from Art. 61 </w:t>
      </w:r>
      <w:proofErr w:type="spellStart"/>
      <w:r w:rsidRPr="00DB5A39">
        <w:rPr>
          <w:rFonts w:ascii="TheSansOffice" w:hAnsi="TheSansOffice" w:cs="Calibri"/>
          <w:lang w:eastAsia="de-DE"/>
        </w:rPr>
        <w:t>MiCAR</w:t>
      </w:r>
      <w:proofErr w:type="spellEnd"/>
      <w:r w:rsidRPr="00DB5A39">
        <w:rPr>
          <w:rFonts w:ascii="TheSansOffice" w:hAnsi="TheSansOffice" w:cs="Calibri"/>
          <w:lang w:eastAsia="de-DE"/>
        </w:rPr>
        <w:t xml:space="preserve"> itself nor from a higher need for protection (than that which applies in relation to MiFID II).</w:t>
      </w:r>
    </w:p>
    <w:p w14:paraId="7A4F56A4" w14:textId="77777777" w:rsidR="00DB5A39" w:rsidRPr="00DB5A39" w:rsidRDefault="00DB5A39" w:rsidP="001B1B48">
      <w:pPr>
        <w:spacing w:after="160" w:line="259" w:lineRule="auto"/>
        <w:rPr>
          <w:rFonts w:ascii="TheSansOffice" w:eastAsia="Calibri" w:hAnsi="TheSansOffice"/>
          <w:kern w:val="2"/>
          <w:lang w:val="en-CA" w:eastAsia="en-US"/>
          <w14:ligatures w14:val="standardContextual"/>
        </w:rPr>
      </w:pPr>
    </w:p>
    <w:p w14:paraId="7B52CEFE" w14:textId="77777777" w:rsidR="00DB5A39" w:rsidRDefault="00DB5A39" w:rsidP="001B1B48">
      <w:pPr>
        <w:spacing w:after="160" w:line="259" w:lineRule="auto"/>
        <w:rPr>
          <w:rFonts w:ascii="Calibri" w:eastAsia="Calibri" w:hAnsi="Calibri"/>
          <w:kern w:val="2"/>
          <w:sz w:val="22"/>
          <w:szCs w:val="22"/>
          <w:lang w:eastAsia="en-US"/>
          <w14:ligatures w14:val="standardContextual"/>
        </w:rPr>
      </w:pPr>
    </w:p>
    <w:p w14:paraId="026B8806" w14:textId="77777777" w:rsidR="00DB5A39" w:rsidRPr="00C73FD4" w:rsidRDefault="00DB5A39" w:rsidP="001B1B48">
      <w:pPr>
        <w:spacing w:after="160" w:line="259" w:lineRule="auto"/>
        <w:rPr>
          <w:rFonts w:ascii="Calibri" w:eastAsia="Calibri" w:hAnsi="Calibri"/>
          <w:kern w:val="2"/>
          <w:sz w:val="22"/>
          <w:szCs w:val="22"/>
          <w:lang w:eastAsia="en-US"/>
          <w14:ligatures w14:val="standardContextual"/>
        </w:rPr>
      </w:pPr>
    </w:p>
    <w:permEnd w:id="1765354918"/>
    <w:p w14:paraId="38524F57" w14:textId="7C70A2E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00257056" w14:textId="33B4B05A" w:rsidR="005C3907" w:rsidRPr="00DB5A39" w:rsidRDefault="005C3907" w:rsidP="005C3907">
      <w:pPr>
        <w:spacing w:after="160" w:line="259" w:lineRule="auto"/>
        <w:rPr>
          <w:rFonts w:ascii="TheSansOffice" w:eastAsia="Calibri" w:hAnsi="TheSansOffice"/>
          <w:kern w:val="2"/>
          <w:lang w:eastAsia="en-US"/>
          <w14:ligatures w14:val="standardContextual"/>
        </w:rPr>
      </w:pPr>
      <w:permStart w:id="1667529024" w:edGrp="everyone"/>
      <w:r w:rsidRPr="00DB5A39">
        <w:rPr>
          <w:rFonts w:ascii="TheSansOffice" w:eastAsia="Calibri" w:hAnsi="TheSansOffice"/>
          <w:kern w:val="2"/>
          <w:lang w:eastAsia="en-US"/>
          <w14:ligatures w14:val="standardContextual"/>
        </w:rPr>
        <w:t xml:space="preserve">We basically agree with the conditions and criteria for determining a crypto asset that qualifies as a transferable security. However, we suggest to explicitly include in the wording of the definition of the criterion </w:t>
      </w:r>
      <w:r w:rsidR="00C73FD4" w:rsidRPr="00DB5A39">
        <w:rPr>
          <w:rFonts w:ascii="TheSansOffice" w:eastAsia="Calibri" w:hAnsi="TheSansOffice"/>
          <w:kern w:val="2"/>
          <w:lang w:eastAsia="en-US"/>
          <w14:ligatures w14:val="standardContextual"/>
        </w:rPr>
        <w:t>“</w:t>
      </w:r>
      <w:r w:rsidR="00416FC4" w:rsidRPr="00DB5A39">
        <w:rPr>
          <w:rFonts w:ascii="TheSansOffice" w:eastAsia="Calibri" w:hAnsi="TheSansOffice"/>
          <w:kern w:val="2"/>
          <w:lang w:eastAsia="en-US"/>
          <w14:ligatures w14:val="standardContextual"/>
        </w:rPr>
        <w:t>[</w:t>
      </w:r>
      <w:r w:rsidRPr="00DB5A39">
        <w:rPr>
          <w:rFonts w:ascii="TheSansOffice" w:eastAsia="Calibri" w:hAnsi="TheSansOffice"/>
          <w:kern w:val="2"/>
          <w:lang w:eastAsia="en-US"/>
          <w14:ligatures w14:val="standardContextual"/>
        </w:rPr>
        <w:t xml:space="preserve">being </w:t>
      </w:r>
      <w:r w:rsidR="00416FC4" w:rsidRPr="00DB5A39">
        <w:rPr>
          <w:rFonts w:ascii="TheSansOffice" w:eastAsia="Calibri" w:hAnsi="TheSansOffice"/>
          <w:kern w:val="2"/>
          <w:lang w:eastAsia="en-US"/>
          <w14:ligatures w14:val="standardContextual"/>
        </w:rPr>
        <w:t>“</w:t>
      </w:r>
      <w:r w:rsidRPr="00DB5A39">
        <w:rPr>
          <w:rFonts w:ascii="TheSansOffice" w:eastAsia="Calibri" w:hAnsi="TheSansOffice"/>
          <w:kern w:val="2"/>
          <w:lang w:eastAsia="en-US"/>
          <w14:ligatures w14:val="standardContextual"/>
        </w:rPr>
        <w:t>classes of securities</w:t>
      </w:r>
      <w:r w:rsidR="00416FC4" w:rsidRPr="00DB5A39">
        <w:rPr>
          <w:rFonts w:ascii="TheSansOffice" w:eastAsia="Calibri" w:hAnsi="TheSansOffice"/>
          <w:kern w:val="2"/>
          <w:lang w:eastAsia="en-US"/>
          <w14:ligatures w14:val="standardContextual"/>
        </w:rPr>
        <w:t>”]</w:t>
      </w:r>
      <w:r w:rsidRPr="00DB5A39">
        <w:rPr>
          <w:rFonts w:ascii="TheSansOffice" w:eastAsia="Calibri" w:hAnsi="TheSansOffice"/>
          <w:kern w:val="2"/>
          <w:lang w:eastAsia="en-US"/>
          <w14:ligatures w14:val="standardContextual"/>
        </w:rPr>
        <w:t xml:space="preserve">” the requirement that the rights </w:t>
      </w:r>
      <w:r w:rsidR="0045513D" w:rsidRPr="00DB5A39">
        <w:rPr>
          <w:rFonts w:ascii="TheSansOffice" w:eastAsia="Calibri" w:hAnsi="TheSansOffice"/>
          <w:kern w:val="2"/>
          <w:lang w:eastAsia="en-US"/>
          <w14:ligatures w14:val="standardContextual"/>
        </w:rPr>
        <w:t>represented or conferred</w:t>
      </w:r>
      <w:r w:rsidRPr="00DB5A39">
        <w:rPr>
          <w:rFonts w:ascii="TheSansOffice" w:eastAsia="Calibri" w:hAnsi="TheSansOffice"/>
          <w:kern w:val="2"/>
          <w:lang w:eastAsia="en-US"/>
          <w14:ligatures w14:val="standardContextual"/>
        </w:rPr>
        <w:t xml:space="preserve"> by the token are similar</w:t>
      </w:r>
      <w:r w:rsidR="0045513D" w:rsidRPr="00DB5A39">
        <w:rPr>
          <w:rFonts w:ascii="TheSansOffice" w:eastAsia="Calibri" w:hAnsi="TheSansOffice"/>
          <w:kern w:val="2"/>
          <w:lang w:eastAsia="en-US"/>
          <w14:ligatures w14:val="standardContextual"/>
        </w:rPr>
        <w:t xml:space="preserve"> or equivalent</w:t>
      </w:r>
      <w:r w:rsidRPr="00DB5A39">
        <w:rPr>
          <w:rFonts w:ascii="TheSansOffice" w:eastAsia="Calibri" w:hAnsi="TheSansOffice"/>
          <w:kern w:val="2"/>
          <w:lang w:eastAsia="en-US"/>
          <w14:ligatures w14:val="standardContextual"/>
        </w:rPr>
        <w:t xml:space="preserve"> to th</w:t>
      </w:r>
      <w:r w:rsidR="0045513D" w:rsidRPr="00DB5A39">
        <w:rPr>
          <w:rFonts w:ascii="TheSansOffice" w:eastAsia="Calibri" w:hAnsi="TheSansOffice"/>
          <w:kern w:val="2"/>
          <w:lang w:eastAsia="en-US"/>
          <w14:ligatures w14:val="standardContextual"/>
        </w:rPr>
        <w:t>e rights conferred by</w:t>
      </w:r>
      <w:r w:rsidRPr="00DB5A39">
        <w:rPr>
          <w:rFonts w:ascii="TheSansOffice" w:eastAsia="Calibri" w:hAnsi="TheSansOffice"/>
          <w:kern w:val="2"/>
          <w:lang w:eastAsia="en-US"/>
          <w14:ligatures w14:val="standardContextual"/>
        </w:rPr>
        <w:t xml:space="preserve"> securities. </w:t>
      </w:r>
    </w:p>
    <w:p w14:paraId="375335A3" w14:textId="671C4FF8" w:rsidR="005C3907" w:rsidRPr="00DB5A39" w:rsidRDefault="0045513D" w:rsidP="005C3907">
      <w:pPr>
        <w:spacing w:after="160" w:line="259" w:lineRule="auto"/>
        <w:rPr>
          <w:rFonts w:ascii="TheSansOffice" w:eastAsia="Calibri" w:hAnsi="TheSansOffice"/>
          <w:kern w:val="2"/>
          <w:lang w:eastAsia="en-US"/>
          <w14:ligatures w14:val="standardContextual"/>
        </w:rPr>
      </w:pPr>
      <w:r w:rsidRPr="00DB5A39">
        <w:rPr>
          <w:rFonts w:ascii="TheSansOffice" w:eastAsia="Calibri" w:hAnsi="TheSansOffice"/>
          <w:kern w:val="2"/>
          <w:lang w:eastAsia="en-US"/>
          <w14:ligatures w14:val="standardContextual"/>
        </w:rPr>
        <w:t>Having said this</w:t>
      </w:r>
      <w:r w:rsidR="005C3907" w:rsidRPr="00DB5A39">
        <w:rPr>
          <w:rFonts w:ascii="TheSansOffice" w:eastAsia="Calibri" w:hAnsi="TheSansOffice"/>
          <w:kern w:val="2"/>
          <w:lang w:eastAsia="en-US"/>
          <w14:ligatures w14:val="standardContextual"/>
        </w:rPr>
        <w:t xml:space="preserve">, we propose changing the wording of the criterion “give access to the same rights” to “give access to the same </w:t>
      </w:r>
      <w:r w:rsidR="005C3907" w:rsidRPr="00DB5A39">
        <w:rPr>
          <w:rFonts w:ascii="TheSansOffice" w:eastAsia="Calibri" w:hAnsi="TheSansOffice"/>
          <w:i/>
          <w:iCs/>
          <w:kern w:val="2"/>
          <w:lang w:eastAsia="en-US"/>
          <w14:ligatures w14:val="standardContextual"/>
        </w:rPr>
        <w:t>security-like</w:t>
      </w:r>
      <w:r w:rsidR="005C3907" w:rsidRPr="00DB5A39">
        <w:rPr>
          <w:rFonts w:ascii="TheSansOffice" w:eastAsia="Calibri" w:hAnsi="TheSansOffice"/>
          <w:kern w:val="2"/>
          <w:lang w:eastAsia="en-US"/>
          <w14:ligatures w14:val="standardContextual"/>
        </w:rPr>
        <w:t xml:space="preserve"> rights”.</w:t>
      </w:r>
    </w:p>
    <w:p w14:paraId="2F12FA3C" w14:textId="7AEE2975" w:rsidR="0045513D" w:rsidRPr="00DB5A39" w:rsidRDefault="0045513D" w:rsidP="005C3907">
      <w:pPr>
        <w:spacing w:after="160" w:line="259" w:lineRule="auto"/>
        <w:rPr>
          <w:rFonts w:ascii="TheSansOffice" w:eastAsia="Calibri" w:hAnsi="TheSansOffice"/>
          <w:kern w:val="2"/>
          <w:lang w:eastAsia="en-US"/>
          <w14:ligatures w14:val="standardContextual"/>
        </w:rPr>
      </w:pPr>
      <w:r w:rsidRPr="00DB5A39">
        <w:rPr>
          <w:rFonts w:ascii="TheSansOffice" w:eastAsia="Calibri" w:hAnsi="TheSansOffice"/>
          <w:kern w:val="2"/>
          <w:lang w:eastAsia="en-US"/>
          <w14:ligatures w14:val="standardContextual"/>
        </w:rPr>
        <w:t xml:space="preserve">With this explicit requirement that the rights to which the token gives the holder access must be similar to securities, crypto assets that have no securities characteristics or comparability with securities at all are prevented from being classified as financial instruments. Under the current definition of the criteria for identification as a transferable security, for example, crypto assets that only provide access to a specific service (which also </w:t>
      </w:r>
      <w:r w:rsidR="0025458E" w:rsidRPr="00DB5A39">
        <w:rPr>
          <w:rFonts w:ascii="TheSansOffice" w:eastAsia="Calibri" w:hAnsi="TheSansOffice"/>
          <w:kern w:val="2"/>
          <w:lang w:eastAsia="en-US"/>
          <w14:ligatures w14:val="standardContextual"/>
        </w:rPr>
        <w:t xml:space="preserve">meet </w:t>
      </w:r>
      <w:r w:rsidRPr="00DB5A39">
        <w:rPr>
          <w:rFonts w:ascii="TheSansOffice" w:eastAsia="Calibri" w:hAnsi="TheSansOffice"/>
          <w:kern w:val="2"/>
          <w:lang w:eastAsia="en-US"/>
          <w14:ligatures w14:val="standardContextual"/>
        </w:rPr>
        <w:t>the criterion to give ac</w:t>
      </w:r>
      <w:r w:rsidR="00C73FD4" w:rsidRPr="00DB5A39">
        <w:rPr>
          <w:rFonts w:ascii="TheSansOffice" w:eastAsia="Calibri" w:hAnsi="TheSansOffice"/>
          <w:kern w:val="2"/>
          <w:lang w:eastAsia="en-US"/>
          <w14:ligatures w14:val="standardContextual"/>
        </w:rPr>
        <w:t>cess to the same rights)</w:t>
      </w:r>
      <w:r w:rsidRPr="00DB5A39">
        <w:rPr>
          <w:rFonts w:ascii="TheSansOffice" w:eastAsia="Calibri" w:hAnsi="TheSansOffice"/>
          <w:kern w:val="2"/>
          <w:lang w:eastAsia="en-US"/>
          <w14:ligatures w14:val="standardContextual"/>
        </w:rPr>
        <w:t xml:space="preserve"> would also be covered. </w:t>
      </w:r>
      <w:r w:rsidR="0025458E" w:rsidRPr="00DB5A39">
        <w:rPr>
          <w:rFonts w:ascii="TheSansOffice" w:eastAsia="Calibri" w:hAnsi="TheSansOffice"/>
          <w:kern w:val="2"/>
          <w:lang w:eastAsia="en-US"/>
          <w14:ligatures w14:val="standardContextual"/>
        </w:rPr>
        <w:t>Even though “provide access to the same rights” is followed by a list of examples of rights that have the characteristics of securities, we believe further clarification by including “security-like rights” (or similar wording) is necessary.</w:t>
      </w:r>
    </w:p>
    <w:p w14:paraId="2D012E89" w14:textId="7DB5BF10" w:rsidR="00C73FD4" w:rsidRPr="00DB5A39" w:rsidRDefault="00C73FD4" w:rsidP="005C3907">
      <w:pPr>
        <w:spacing w:after="160" w:line="259" w:lineRule="auto"/>
        <w:rPr>
          <w:rFonts w:ascii="TheSansOffice" w:eastAsia="Calibri" w:hAnsi="TheSansOffice"/>
          <w:kern w:val="2"/>
          <w:lang w:eastAsia="en-US"/>
          <w14:ligatures w14:val="standardContextual"/>
        </w:rPr>
      </w:pPr>
      <w:r w:rsidRPr="00DB5A39">
        <w:rPr>
          <w:rFonts w:ascii="TheSansOffice" w:eastAsia="Calibri" w:hAnsi="TheSansOffice"/>
          <w:kern w:val="2"/>
          <w:lang w:eastAsia="en-US"/>
          <w14:ligatures w14:val="standardContextual"/>
        </w:rPr>
        <w:lastRenderedPageBreak/>
        <w:t>Furthermore, the extension of the wording to “give access to the same security-like rights” largely complies with the previous interpretation practice of the NCAs (in particular that of the Federal Financial Supervisory Authority in Germany) and thus helps to clarify that crypto-assets with the character of securities are not subject to MiCAR, but to the MiFID II regime.</w:t>
      </w:r>
    </w:p>
    <w:permEnd w:id="1667529024"/>
    <w:p w14:paraId="578EB98F" w14:textId="2FE8D4E3"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45309941" w:edGrp="everyone"/>
      <w:r w:rsidRPr="001B1B48">
        <w:rPr>
          <w:rFonts w:ascii="Calibri" w:eastAsia="Calibri" w:hAnsi="Calibri"/>
          <w:kern w:val="2"/>
          <w:sz w:val="22"/>
          <w:szCs w:val="22"/>
          <w:lang w:eastAsia="en-US"/>
          <w14:ligatures w14:val="standardContextual"/>
        </w:rPr>
        <w:t>TYPE YOUR TEXT HERE</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F375DC9" w14:textId="0D0F9AE4" w:rsidR="001B1B48" w:rsidRPr="001B1B48" w:rsidRDefault="007738E0" w:rsidP="001B1B48">
      <w:pPr>
        <w:spacing w:after="160" w:line="259" w:lineRule="auto"/>
        <w:rPr>
          <w:rFonts w:ascii="Calibri" w:eastAsia="Calibri" w:hAnsi="Calibri"/>
          <w:kern w:val="2"/>
          <w:sz w:val="22"/>
          <w:szCs w:val="22"/>
          <w:lang w:eastAsia="en-US"/>
          <w14:ligatures w14:val="standardContextual"/>
        </w:rPr>
      </w:pPr>
      <w:permStart w:id="159149139" w:edGrp="everyone"/>
      <w:r>
        <w:rPr>
          <w:rFonts w:ascii="Calibri" w:eastAsia="Calibri" w:hAnsi="Calibri"/>
          <w:kern w:val="2"/>
          <w:sz w:val="22"/>
          <w:szCs w:val="22"/>
          <w:lang w:eastAsia="en-US"/>
          <w14:ligatures w14:val="standardContextual"/>
        </w:rPr>
        <w:t xml:space="preserve">See above </w:t>
      </w:r>
      <w:r w:rsidR="00C73FD4">
        <w:rPr>
          <w:rFonts w:ascii="Calibri" w:eastAsia="Calibri" w:hAnsi="Calibri"/>
          <w:kern w:val="2"/>
          <w:sz w:val="22"/>
          <w:szCs w:val="22"/>
          <w:lang w:eastAsia="en-US"/>
          <w14:ligatures w14:val="standardContextual"/>
        </w:rPr>
        <w:t>a</w:t>
      </w:r>
      <w:r>
        <w:rPr>
          <w:rFonts w:ascii="Calibri" w:eastAsia="Calibri" w:hAnsi="Calibri"/>
          <w:kern w:val="2"/>
          <w:sz w:val="22"/>
          <w:szCs w:val="22"/>
          <w:lang w:eastAsia="en-US"/>
          <w14:ligatures w14:val="standardContextual"/>
        </w:rPr>
        <w:t>nswer to Q2</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 xml:space="preserve">Do you agree with the conditions and criteria proposed for NFTs in order to clarify the scope of crypto-assets that may fall under the MiCA regulation? Do </w:t>
      </w:r>
      <w:r w:rsidRPr="36725D5C">
        <w:rPr>
          <w:rFonts w:ascii="Arial" w:hAnsi="Arial" w:cs="Arial"/>
          <w:b/>
          <w:bCs/>
          <w:sz w:val="22"/>
          <w:szCs w:val="22"/>
          <w:lang w:val="en-US" w:eastAsia="en-US"/>
        </w:rPr>
        <w:lastRenderedPageBreak/>
        <w:t>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93D9BE"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027046836" w:edGrp="everyone"/>
      <w:r w:rsidRPr="001B1B48">
        <w:rPr>
          <w:rFonts w:ascii="Calibri" w:eastAsia="Calibri" w:hAnsi="Calibri"/>
          <w:kern w:val="2"/>
          <w:sz w:val="22"/>
          <w:szCs w:val="22"/>
          <w:lang w:eastAsia="en-US"/>
          <w14:ligatures w14:val="standardContextual"/>
        </w:rPr>
        <w:t>TYPE YOUR TEXT HERE</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ED674" w14:textId="77777777" w:rsidR="00DD7717" w:rsidRDefault="00DD7717" w:rsidP="007E7997">
      <w:r>
        <w:separator/>
      </w:r>
    </w:p>
  </w:endnote>
  <w:endnote w:type="continuationSeparator" w:id="0">
    <w:p w14:paraId="6719B426" w14:textId="77777777" w:rsidR="00DD7717" w:rsidRDefault="00DD7717" w:rsidP="007E7997">
      <w:r>
        <w:continuationSeparator/>
      </w:r>
    </w:p>
  </w:endnote>
  <w:endnote w:type="continuationNotice" w:id="1">
    <w:p w14:paraId="6D98BBF4" w14:textId="77777777" w:rsidR="00DD7717" w:rsidRDefault="00DD7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heSansOffice">
    <w:panose1 w:val="020B0503040302060204"/>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DB56F" w14:textId="77777777" w:rsidR="00DD7717" w:rsidRDefault="00DD7717" w:rsidP="007E7997">
      <w:r>
        <w:separator/>
      </w:r>
    </w:p>
  </w:footnote>
  <w:footnote w:type="continuationSeparator" w:id="0">
    <w:p w14:paraId="43F8EECC" w14:textId="77777777" w:rsidR="00DD7717" w:rsidRDefault="00DD7717" w:rsidP="007E7997">
      <w:r>
        <w:continuationSeparator/>
      </w:r>
    </w:p>
  </w:footnote>
  <w:footnote w:type="continuationNotice" w:id="1">
    <w:p w14:paraId="23A03D59" w14:textId="77777777" w:rsidR="00DD7717" w:rsidRDefault="00DD7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23F5" w14:textId="0509EC24"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CA"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93EC9"/>
    <w:rsid w:val="000A03C9"/>
    <w:rsid w:val="000A12CC"/>
    <w:rsid w:val="000A2738"/>
    <w:rsid w:val="000A2DF1"/>
    <w:rsid w:val="000A3D10"/>
    <w:rsid w:val="000A409B"/>
    <w:rsid w:val="000A66FC"/>
    <w:rsid w:val="000A741E"/>
    <w:rsid w:val="000B1615"/>
    <w:rsid w:val="000B2AAF"/>
    <w:rsid w:val="000B2E26"/>
    <w:rsid w:val="000B5D3D"/>
    <w:rsid w:val="000B6AF8"/>
    <w:rsid w:val="000C0CE0"/>
    <w:rsid w:val="000C2400"/>
    <w:rsid w:val="000C299C"/>
    <w:rsid w:val="000C406A"/>
    <w:rsid w:val="000C5032"/>
    <w:rsid w:val="000C5ACC"/>
    <w:rsid w:val="000D0293"/>
    <w:rsid w:val="000D0850"/>
    <w:rsid w:val="000D1038"/>
    <w:rsid w:val="000D11A9"/>
    <w:rsid w:val="000D2D7B"/>
    <w:rsid w:val="000D65F6"/>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6852"/>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58E"/>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46C"/>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16FC4"/>
    <w:rsid w:val="00420FD4"/>
    <w:rsid w:val="00424266"/>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13D"/>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3907"/>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38E0"/>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0248"/>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3FD4"/>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A27"/>
    <w:rsid w:val="00DB4B8E"/>
    <w:rsid w:val="00DB4F4B"/>
    <w:rsid w:val="00DB5A39"/>
    <w:rsid w:val="00DC070F"/>
    <w:rsid w:val="00DC3462"/>
    <w:rsid w:val="00DC3858"/>
    <w:rsid w:val="00DC3A57"/>
    <w:rsid w:val="00DC7A95"/>
    <w:rsid w:val="00DD1DAF"/>
    <w:rsid w:val="00DD55C2"/>
    <w:rsid w:val="00DD63F8"/>
    <w:rsid w:val="00DD759E"/>
    <w:rsid w:val="00DD7717"/>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29C1"/>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 w:id="21283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4.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8</Pages>
  <Words>1363</Words>
  <Characters>8592</Characters>
  <Application>Microsoft Office Word</Application>
  <DocSecurity>8</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ESMA</Company>
  <LinksUpToDate>false</LinksUpToDate>
  <CharactersWithSpaces>9936</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tf</cp:lastModifiedBy>
  <cp:revision>4</cp:revision>
  <cp:lastPrinted>2017-07-24T14:47:00Z</cp:lastPrinted>
  <dcterms:created xsi:type="dcterms:W3CDTF">2024-04-29T16:56:00Z</dcterms:created>
  <dcterms:modified xsi:type="dcterms:W3CDTF">2024-04-29T19:06:00Z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