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D266" w14:textId="065B4DBE" w:rsidR="00444D99" w:rsidRDefault="00444D99"/>
    <w:p w14:paraId="77D5A65C" w14:textId="77777777" w:rsidR="00444D99" w:rsidRDefault="00444D99"/>
    <w:p w14:paraId="29C5C32D" w14:textId="5F791E8C" w:rsidR="00444D99" w:rsidRDefault="00444D99"/>
    <w:p w14:paraId="47A1A083" w14:textId="77777777" w:rsidR="00444D99" w:rsidRDefault="00444D99"/>
    <w:p w14:paraId="005FD6B7" w14:textId="77777777" w:rsidR="00FE03D0" w:rsidRPr="00E22CD7" w:rsidRDefault="00000000" w:rsidP="00FE03D0">
      <w:pPr>
        <w:rPr>
          <w:lang w:val="en-US"/>
        </w:rPr>
      </w:pPr>
      <w:r w:rsidRPr="00E22CD7">
        <w:rPr>
          <w:lang w:val="en-US"/>
        </w:rPr>
        <w:t>SUBMITTED VIA WEB FORM TO: https://www.esma.europa.eu/</w:t>
      </w:r>
    </w:p>
    <w:p w14:paraId="77BCE632" w14:textId="77777777" w:rsidR="00FE03D0" w:rsidRPr="00E22CD7" w:rsidRDefault="00FE03D0" w:rsidP="00FE03D0">
      <w:pPr>
        <w:rPr>
          <w:lang w:val="en-US"/>
        </w:rPr>
      </w:pPr>
    </w:p>
    <w:p w14:paraId="24D80374" w14:textId="77777777" w:rsidR="00FE03D0" w:rsidRPr="00E22CD7" w:rsidRDefault="00000000" w:rsidP="00FE03D0">
      <w:pPr>
        <w:rPr>
          <w:lang w:val="en-US"/>
        </w:rPr>
      </w:pPr>
      <w:r w:rsidRPr="00E22CD7">
        <w:rPr>
          <w:lang w:val="en-US"/>
        </w:rPr>
        <w:t xml:space="preserve">To whom it may concern, </w:t>
      </w:r>
    </w:p>
    <w:p w14:paraId="0E09419A" w14:textId="77777777" w:rsidR="00FE03D0" w:rsidRPr="00E22CD7" w:rsidRDefault="00FE03D0" w:rsidP="00FE03D0">
      <w:pPr>
        <w:jc w:val="center"/>
        <w:rPr>
          <w:b/>
          <w:bCs/>
          <w:color w:val="0098AA"/>
          <w:lang w:val="en-US"/>
        </w:rPr>
      </w:pPr>
    </w:p>
    <w:p w14:paraId="142656DD" w14:textId="5AE9430D" w:rsidR="00FE03D0" w:rsidRPr="00E22CD7" w:rsidRDefault="00000000" w:rsidP="00FE03D0">
      <w:pPr>
        <w:jc w:val="center"/>
        <w:rPr>
          <w:b/>
          <w:bCs/>
          <w:color w:val="0098AA"/>
          <w:lang w:val="en-US"/>
        </w:rPr>
      </w:pPr>
      <w:r w:rsidRPr="00E22CD7">
        <w:rPr>
          <w:b/>
          <w:bCs/>
          <w:color w:val="0098AA"/>
          <w:lang w:val="en-US"/>
        </w:rPr>
        <w:t>Re: European Securities &amp; Markets Authority (ESMA) Consultation Paper on</w:t>
      </w:r>
      <w:r w:rsidR="002B2D90" w:rsidRPr="00E22CD7">
        <w:rPr>
          <w:b/>
          <w:bCs/>
          <w:color w:val="0098AA"/>
          <w:lang w:val="en-US"/>
        </w:rPr>
        <w:t xml:space="preserve"> the draft guidelines on reverse solicitation under the Markets in Crypto Assets Regulation (MiCA)</w:t>
      </w:r>
    </w:p>
    <w:p w14:paraId="1DDF0C51" w14:textId="77777777" w:rsidR="00FE03D0" w:rsidRPr="00E22CD7" w:rsidRDefault="00FE03D0" w:rsidP="00FE03D0">
      <w:pPr>
        <w:rPr>
          <w:lang w:val="en-US"/>
        </w:rPr>
      </w:pPr>
    </w:p>
    <w:p w14:paraId="10E84377" w14:textId="77777777" w:rsidR="00FE03D0" w:rsidRPr="00E22CD7" w:rsidRDefault="00000000" w:rsidP="00FE03D0">
      <w:pPr>
        <w:rPr>
          <w:b/>
          <w:bCs/>
          <w:color w:val="0098AA"/>
          <w:lang w:val="en-US"/>
        </w:rPr>
      </w:pPr>
      <w:r w:rsidRPr="00E22CD7">
        <w:rPr>
          <w:b/>
          <w:bCs/>
          <w:color w:val="0098AA"/>
          <w:lang w:val="en-US"/>
        </w:rPr>
        <w:t>About Global Digital Finance (GDF)</w:t>
      </w:r>
    </w:p>
    <w:p w14:paraId="3970DD02" w14:textId="77777777" w:rsidR="00FE03D0" w:rsidRPr="00E22CD7" w:rsidRDefault="00000000" w:rsidP="00FE03D0">
      <w:pPr>
        <w:shd w:val="clear" w:color="auto" w:fill="FFFFFF"/>
        <w:spacing w:line="276" w:lineRule="atLeast"/>
        <w:jc w:val="both"/>
        <w:rPr>
          <w:rFonts w:ascii="Calibri" w:hAnsi="Calibri" w:cs="Calibri"/>
          <w:color w:val="222222"/>
          <w:lang w:val="en-US"/>
        </w:rPr>
      </w:pPr>
      <w:r w:rsidRPr="00E22CD7">
        <w:rPr>
          <w:color w:val="222222"/>
          <w:lang w:val="en-US"/>
        </w:rPr>
        <w:t>GDF is the leading global members association advocating and accelerating the adoption of best practices for crypto and digital assets. GDF’s mission is to promote and facilitate greater adoption of market standards for digital assets through the development of best practices and governance standards by convening industry, policymakers, and regulators.</w:t>
      </w:r>
    </w:p>
    <w:p w14:paraId="39DB7915" w14:textId="77777777" w:rsidR="00FE03D0" w:rsidRPr="00E22CD7" w:rsidRDefault="00000000" w:rsidP="00FE03D0">
      <w:pPr>
        <w:shd w:val="clear" w:color="auto" w:fill="FFFFFF"/>
        <w:spacing w:line="276" w:lineRule="atLeast"/>
        <w:jc w:val="both"/>
        <w:rPr>
          <w:rFonts w:ascii="Calibri" w:hAnsi="Calibri" w:cs="Calibri"/>
          <w:color w:val="222222"/>
          <w:lang w:val="en-US"/>
        </w:rPr>
      </w:pPr>
      <w:r w:rsidRPr="00E22CD7">
        <w:rPr>
          <w:color w:val="222222"/>
          <w:lang w:val="en-US"/>
        </w:rPr>
        <w:t> </w:t>
      </w:r>
    </w:p>
    <w:p w14:paraId="33C0EEED" w14:textId="77777777" w:rsidR="00FE03D0" w:rsidRPr="00E22CD7" w:rsidRDefault="00000000" w:rsidP="00FE03D0">
      <w:pPr>
        <w:rPr>
          <w:lang w:val="en-US"/>
        </w:rPr>
      </w:pPr>
      <w:r w:rsidRPr="00E22CD7">
        <w:rPr>
          <w:lang w:val="en-US"/>
        </w:rPr>
        <w:t xml:space="preserve">The input to this response has been curated through a series of member discussions and roundtables, and GDF is grateful to its members who have taken part. </w:t>
      </w:r>
    </w:p>
    <w:p w14:paraId="0B9ABAD7" w14:textId="77777777" w:rsidR="00FE03D0" w:rsidRPr="00E22CD7" w:rsidRDefault="00FE03D0" w:rsidP="00FE03D0">
      <w:pPr>
        <w:rPr>
          <w:lang w:val="en-US"/>
        </w:rPr>
      </w:pPr>
    </w:p>
    <w:p w14:paraId="49FE7B2F" w14:textId="77777777" w:rsidR="00FE03D0" w:rsidRPr="00E22CD7" w:rsidRDefault="00000000" w:rsidP="00FE03D0">
      <w:pPr>
        <w:rPr>
          <w:lang w:val="en-US"/>
        </w:rPr>
      </w:pPr>
      <w:r w:rsidRPr="00E22CD7">
        <w:rPr>
          <w:lang w:val="en-US"/>
        </w:rPr>
        <w:t xml:space="preserve">As always, GDF remains at your disposal for any further questions or clarifications you may have, and we would welcome a meeting with you to further discuss these matters in more detail with our members. </w:t>
      </w:r>
    </w:p>
    <w:p w14:paraId="42C892F0" w14:textId="77777777" w:rsidR="00FE03D0" w:rsidRPr="00E22CD7" w:rsidRDefault="00FE03D0" w:rsidP="00FE03D0">
      <w:pPr>
        <w:rPr>
          <w:lang w:val="en-US"/>
        </w:rPr>
      </w:pPr>
    </w:p>
    <w:p w14:paraId="23B9EB5D" w14:textId="77777777" w:rsidR="00FE03D0" w:rsidRPr="00E22CD7" w:rsidRDefault="00000000" w:rsidP="00FE03D0">
      <w:pPr>
        <w:rPr>
          <w:lang w:val="en-US"/>
        </w:rPr>
      </w:pPr>
      <w:r w:rsidRPr="00E22CD7">
        <w:rPr>
          <w:lang w:val="en-US"/>
        </w:rPr>
        <w:t xml:space="preserve">Yours faithfully, </w:t>
      </w:r>
    </w:p>
    <w:p w14:paraId="2E871106" w14:textId="77777777" w:rsidR="00FE03D0" w:rsidRPr="00E22CD7" w:rsidRDefault="00000000" w:rsidP="00FE03D0">
      <w:pPr>
        <w:rPr>
          <w:lang w:val="en-US"/>
        </w:rPr>
      </w:pPr>
      <w:r w:rsidRPr="00E22CD7">
        <w:rPr>
          <w:lang w:val="en-US"/>
        </w:rPr>
        <w:t>Elise Soucie - Director of Global Policy &amp; Regulatory Affairs - GDF</w:t>
      </w:r>
    </w:p>
    <w:p w14:paraId="0EA4DC8A" w14:textId="77777777" w:rsidR="00FE03D0" w:rsidRPr="00E22CD7" w:rsidRDefault="00FE03D0" w:rsidP="00FE03D0">
      <w:pPr>
        <w:rPr>
          <w:lang w:val="en-US"/>
        </w:rPr>
      </w:pPr>
    </w:p>
    <w:p w14:paraId="65AD46F0" w14:textId="77777777" w:rsidR="00FE03D0" w:rsidRPr="00E22CD7" w:rsidRDefault="00FE03D0" w:rsidP="00FE03D0">
      <w:pPr>
        <w:rPr>
          <w:lang w:val="en-US"/>
        </w:rPr>
      </w:pPr>
    </w:p>
    <w:p w14:paraId="438756DB" w14:textId="77777777" w:rsidR="00FE03D0" w:rsidRPr="00E22CD7" w:rsidRDefault="00FE03D0" w:rsidP="00FE03D0">
      <w:pPr>
        <w:rPr>
          <w:lang w:val="en-US"/>
        </w:rPr>
      </w:pPr>
    </w:p>
    <w:p w14:paraId="3A1BD817" w14:textId="77777777" w:rsidR="00FE03D0" w:rsidRPr="00E22CD7" w:rsidRDefault="00FE03D0" w:rsidP="00FE03D0">
      <w:pPr>
        <w:rPr>
          <w:lang w:val="en-US"/>
        </w:rPr>
      </w:pPr>
    </w:p>
    <w:p w14:paraId="593DBD99" w14:textId="77777777" w:rsidR="00FE03D0" w:rsidRPr="00E22CD7" w:rsidRDefault="00FE03D0" w:rsidP="00FE03D0">
      <w:pPr>
        <w:rPr>
          <w:lang w:val="en-US"/>
        </w:rPr>
      </w:pPr>
    </w:p>
    <w:p w14:paraId="309F8F38" w14:textId="77777777" w:rsidR="00FE03D0" w:rsidRPr="00E22CD7" w:rsidRDefault="00FE03D0" w:rsidP="00FE03D0">
      <w:pPr>
        <w:rPr>
          <w:lang w:val="en-US"/>
        </w:rPr>
      </w:pPr>
    </w:p>
    <w:p w14:paraId="74461BC0" w14:textId="77777777" w:rsidR="00FE03D0" w:rsidRPr="00E22CD7" w:rsidRDefault="00FE03D0" w:rsidP="00FE03D0">
      <w:pPr>
        <w:rPr>
          <w:lang w:val="en-US"/>
        </w:rPr>
      </w:pPr>
    </w:p>
    <w:p w14:paraId="40A38EBC" w14:textId="77777777" w:rsidR="00FE03D0" w:rsidRPr="00E22CD7" w:rsidRDefault="00FE03D0" w:rsidP="00FE03D0">
      <w:pPr>
        <w:rPr>
          <w:lang w:val="en-US"/>
        </w:rPr>
      </w:pPr>
    </w:p>
    <w:p w14:paraId="5DA7910C" w14:textId="77777777" w:rsidR="00FE03D0" w:rsidRPr="00E22CD7" w:rsidRDefault="00FE03D0" w:rsidP="00FE03D0">
      <w:pPr>
        <w:rPr>
          <w:lang w:val="en-US"/>
        </w:rPr>
      </w:pPr>
    </w:p>
    <w:p w14:paraId="00744F88" w14:textId="77777777" w:rsidR="00FE03D0" w:rsidRPr="00E22CD7" w:rsidRDefault="00FE03D0" w:rsidP="00FE03D0">
      <w:pPr>
        <w:rPr>
          <w:lang w:val="en-US"/>
        </w:rPr>
      </w:pPr>
    </w:p>
    <w:p w14:paraId="091BC38A" w14:textId="77777777" w:rsidR="00FE03D0" w:rsidRPr="00E22CD7" w:rsidRDefault="00FE03D0" w:rsidP="00FE03D0">
      <w:pPr>
        <w:rPr>
          <w:lang w:val="en-US"/>
        </w:rPr>
      </w:pPr>
    </w:p>
    <w:p w14:paraId="09294247" w14:textId="77777777" w:rsidR="00FE03D0" w:rsidRPr="00E22CD7" w:rsidRDefault="00FE03D0" w:rsidP="00FE03D0">
      <w:pPr>
        <w:rPr>
          <w:lang w:val="en-US"/>
        </w:rPr>
      </w:pPr>
    </w:p>
    <w:p w14:paraId="0EE0652A" w14:textId="77777777" w:rsidR="00FE03D0" w:rsidRPr="00E22CD7" w:rsidRDefault="00FE03D0" w:rsidP="00FE03D0">
      <w:pPr>
        <w:rPr>
          <w:lang w:val="en-US"/>
        </w:rPr>
      </w:pPr>
    </w:p>
    <w:p w14:paraId="5195C367" w14:textId="77777777" w:rsidR="00FE03D0" w:rsidRPr="00E22CD7" w:rsidRDefault="00FE03D0" w:rsidP="00FE03D0">
      <w:pPr>
        <w:rPr>
          <w:lang w:val="en-US"/>
        </w:rPr>
      </w:pPr>
    </w:p>
    <w:p w14:paraId="79761F04" w14:textId="77777777" w:rsidR="00FE03D0" w:rsidRPr="00E22CD7" w:rsidRDefault="00FE03D0" w:rsidP="00FE03D0">
      <w:pPr>
        <w:rPr>
          <w:lang w:val="en-US"/>
        </w:rPr>
      </w:pPr>
    </w:p>
    <w:p w14:paraId="4390E7D2" w14:textId="77777777" w:rsidR="00FE03D0" w:rsidRPr="00E22CD7" w:rsidRDefault="00FE03D0" w:rsidP="00FE03D0">
      <w:pPr>
        <w:rPr>
          <w:lang w:val="en-US"/>
        </w:rPr>
      </w:pPr>
    </w:p>
    <w:p w14:paraId="291A376F" w14:textId="77777777" w:rsidR="00FE03D0" w:rsidRPr="00E22CD7" w:rsidRDefault="00FE03D0" w:rsidP="00FE03D0">
      <w:pPr>
        <w:rPr>
          <w:lang w:val="en-US"/>
        </w:rPr>
      </w:pPr>
    </w:p>
    <w:p w14:paraId="6DCD767D" w14:textId="77777777" w:rsidR="00FE03D0" w:rsidRPr="00E22CD7" w:rsidRDefault="00FE03D0" w:rsidP="00FE03D0">
      <w:pPr>
        <w:rPr>
          <w:lang w:val="en-US"/>
        </w:rPr>
      </w:pPr>
    </w:p>
    <w:p w14:paraId="7E477917" w14:textId="77777777" w:rsidR="00FE03D0" w:rsidRPr="00E22CD7" w:rsidRDefault="00FE03D0" w:rsidP="00FE03D0">
      <w:pPr>
        <w:rPr>
          <w:lang w:val="en-US"/>
        </w:rPr>
      </w:pPr>
    </w:p>
    <w:p w14:paraId="16FD65EA" w14:textId="77777777" w:rsidR="00FE03D0" w:rsidRPr="00E22CD7" w:rsidRDefault="00FE03D0" w:rsidP="00FE03D0">
      <w:pPr>
        <w:rPr>
          <w:lang w:val="en-US"/>
        </w:rPr>
      </w:pPr>
    </w:p>
    <w:p w14:paraId="123B6D8B" w14:textId="77777777" w:rsidR="00FE03D0" w:rsidRPr="00E22CD7" w:rsidRDefault="00FE03D0" w:rsidP="00FE03D0">
      <w:pPr>
        <w:rPr>
          <w:lang w:val="en-US"/>
        </w:rPr>
      </w:pPr>
    </w:p>
    <w:p w14:paraId="0CE6356E" w14:textId="77777777" w:rsidR="00FE03D0" w:rsidRPr="00E22CD7" w:rsidRDefault="00FE03D0" w:rsidP="00FE03D0">
      <w:pPr>
        <w:rPr>
          <w:lang w:val="en-US"/>
        </w:rPr>
      </w:pPr>
    </w:p>
    <w:p w14:paraId="769C7ED2" w14:textId="77777777" w:rsidR="00FE03D0" w:rsidRPr="00E22CD7" w:rsidRDefault="00FE03D0" w:rsidP="00FE03D0">
      <w:pPr>
        <w:rPr>
          <w:lang w:val="en-US"/>
        </w:rPr>
      </w:pPr>
    </w:p>
    <w:p w14:paraId="6CBA3187" w14:textId="77777777" w:rsidR="00FE03D0" w:rsidRPr="00E22CD7" w:rsidRDefault="00000000" w:rsidP="00FE03D0">
      <w:pPr>
        <w:rPr>
          <w:b/>
          <w:bCs/>
          <w:color w:val="0098AA"/>
          <w:lang w:val="en-US"/>
        </w:rPr>
      </w:pPr>
      <w:r w:rsidRPr="00E22CD7">
        <w:rPr>
          <w:b/>
          <w:bCs/>
          <w:color w:val="0098AA"/>
          <w:lang w:val="en-US"/>
        </w:rPr>
        <w:lastRenderedPageBreak/>
        <w:t>Response to the Consultation Report: Executive Summary</w:t>
      </w:r>
    </w:p>
    <w:p w14:paraId="3E0AEFD2" w14:textId="77777777" w:rsidR="00FE03D0" w:rsidRPr="00E22CD7" w:rsidRDefault="00FE03D0" w:rsidP="00FE03D0">
      <w:pPr>
        <w:rPr>
          <w:b/>
          <w:bCs/>
          <w:color w:val="0098AA"/>
          <w:lang w:val="en-US"/>
        </w:rPr>
      </w:pPr>
    </w:p>
    <w:p w14:paraId="646AED59" w14:textId="5ACA2B08" w:rsidR="00975D2E" w:rsidRPr="00E22CD7" w:rsidRDefault="00975D2E" w:rsidP="00FE03D0">
      <w:pPr>
        <w:rPr>
          <w:color w:val="000000" w:themeColor="text1"/>
          <w:lang w:val="en-US"/>
        </w:rPr>
      </w:pPr>
    </w:p>
    <w:p w14:paraId="25ED90DB" w14:textId="7EA09276" w:rsidR="00FE03D0" w:rsidRPr="00E22CD7" w:rsidRDefault="00000000" w:rsidP="00FE03D0">
      <w:pPr>
        <w:rPr>
          <w:color w:val="000000" w:themeColor="text1"/>
          <w:lang w:val="en-US"/>
        </w:rPr>
      </w:pPr>
      <w:r w:rsidRPr="00E22CD7">
        <w:rPr>
          <w:color w:val="000000" w:themeColor="text1"/>
          <w:lang w:val="en-US"/>
        </w:rPr>
        <w:t>GDF convened its MiCA Working group to analy</w:t>
      </w:r>
      <w:r w:rsidR="00550BF2" w:rsidRPr="00E22CD7">
        <w:rPr>
          <w:color w:val="000000" w:themeColor="text1"/>
          <w:lang w:val="en-US"/>
        </w:rPr>
        <w:t>z</w:t>
      </w:r>
      <w:r w:rsidRPr="00E22CD7">
        <w:rPr>
          <w:color w:val="000000" w:themeColor="text1"/>
          <w:lang w:val="en-US"/>
        </w:rPr>
        <w:t>e the European Securities &amp; Markets Authority (ESMA) Consultation Paper on</w:t>
      </w:r>
      <w:r w:rsidR="002B2D90" w:rsidRPr="00E22CD7">
        <w:rPr>
          <w:color w:val="000000" w:themeColor="text1"/>
          <w:lang w:val="en-US"/>
        </w:rPr>
        <w:t xml:space="preserve"> the draft guidelines on reverse solicitation under the Markets in Crypto Assets Regulation (MiCA).</w:t>
      </w:r>
    </w:p>
    <w:p w14:paraId="6DA22657" w14:textId="65A2EFBE" w:rsidR="00E05D75" w:rsidRPr="00E22CD7" w:rsidRDefault="00000000" w:rsidP="00E05D75">
      <w:pPr>
        <w:spacing w:before="100" w:beforeAutospacing="1" w:after="100" w:afterAutospacing="1"/>
        <w:rPr>
          <w:lang w:val="en-US"/>
        </w:rPr>
      </w:pPr>
      <w:r w:rsidRPr="00E22CD7">
        <w:rPr>
          <w:rFonts w:ascii="TimesNewRomanPSMT" w:hAnsi="TimesNewRomanPSMT"/>
          <w:lang w:val="en-US"/>
        </w:rPr>
        <w:t>Overall GDF is supportive of</w:t>
      </w:r>
      <w:r w:rsidR="00975D2E" w:rsidRPr="00E22CD7">
        <w:rPr>
          <w:rFonts w:ascii="TimesNewRomanPSMT" w:hAnsi="TimesNewRomanPSMT"/>
          <w:lang w:val="en-US"/>
        </w:rPr>
        <w:t xml:space="preserve"> the</w:t>
      </w:r>
      <w:r w:rsidRPr="00E22CD7">
        <w:rPr>
          <w:rFonts w:ascii="TimesNewRomanPSMT" w:hAnsi="TimesNewRomanPSMT"/>
          <w:lang w:val="en-US"/>
        </w:rPr>
        <w:t xml:space="preserve"> aim of the proposals made in the </w:t>
      </w:r>
      <w:r w:rsidRPr="00E22CD7">
        <w:rPr>
          <w:color w:val="000000" w:themeColor="text1"/>
          <w:lang w:val="en-US"/>
        </w:rPr>
        <w:t>Consultation Paper on the draft guidelines on reverse solicitation under MiCA</w:t>
      </w:r>
      <w:r w:rsidRPr="00E22CD7">
        <w:rPr>
          <w:rFonts w:ascii="TimesNewRomanPSMT" w:hAnsi="TimesNewRomanPSMT"/>
          <w:lang w:val="en-US"/>
        </w:rPr>
        <w:t xml:space="preserve">, and of ESMA’s intent of providing much needed clarity to the market. We appreciate the agility and speed with which ESMA has developed the prosed guidance, and believe the Consultation is an important step towards building a comprehensive EU global framework for digital assets. As such, the response to </w:t>
      </w:r>
      <w:r w:rsidR="0030092A" w:rsidRPr="00E22CD7">
        <w:rPr>
          <w:rFonts w:ascii="TimesNewRomanPSMT" w:hAnsi="TimesNewRomanPSMT"/>
          <w:lang w:val="en-US"/>
        </w:rPr>
        <w:t xml:space="preserve">the Consultation </w:t>
      </w:r>
      <w:r w:rsidRPr="00E22CD7">
        <w:rPr>
          <w:rFonts w:ascii="TimesNewRomanPSMT" w:hAnsi="TimesNewRomanPSMT"/>
          <w:lang w:val="en-US"/>
        </w:rPr>
        <w:t xml:space="preserve">looks to provide suggestions of areas where additional specificity and practical implementation measures may be needed for effective implementation of the </w:t>
      </w:r>
      <w:r w:rsidR="00747FD8" w:rsidRPr="00E22CD7">
        <w:rPr>
          <w:rFonts w:ascii="TimesNewRomanPSMT" w:hAnsi="TimesNewRomanPSMT"/>
          <w:lang w:val="en-US"/>
        </w:rPr>
        <w:t>guidance.</w:t>
      </w:r>
      <w:r w:rsidRPr="00E22CD7">
        <w:rPr>
          <w:rFonts w:ascii="TimesNewRomanPSMT" w:hAnsi="TimesNewRomanPSMT"/>
          <w:lang w:val="en-US"/>
        </w:rPr>
        <w:t xml:space="preserve"> </w:t>
      </w:r>
    </w:p>
    <w:p w14:paraId="00A5D81D" w14:textId="70680234" w:rsidR="00E05D75" w:rsidRPr="00E22CD7" w:rsidRDefault="00000000" w:rsidP="00E05D75">
      <w:pPr>
        <w:spacing w:before="100" w:beforeAutospacing="1" w:after="100" w:afterAutospacing="1"/>
        <w:rPr>
          <w:lang w:val="en-US"/>
        </w:rPr>
      </w:pPr>
      <w:r w:rsidRPr="00E22CD7">
        <w:rPr>
          <w:rFonts w:ascii="TimesNewRomanPSMT" w:hAnsi="TimesNewRomanPSMT"/>
          <w:lang w:val="en-US"/>
        </w:rPr>
        <w:t>GDF has worked with our members to provide a constructive assessment of how to overcome challenges in implementing the guidance. Through this process</w:t>
      </w:r>
      <w:r w:rsidR="00975D2E" w:rsidRPr="00E22CD7">
        <w:rPr>
          <w:rFonts w:ascii="TimesNewRomanPSMT" w:hAnsi="TimesNewRomanPSMT"/>
          <w:lang w:val="en-US"/>
        </w:rPr>
        <w:t>,</w:t>
      </w:r>
      <w:r w:rsidRPr="00E22CD7">
        <w:rPr>
          <w:rFonts w:ascii="TimesNewRomanPSMT" w:hAnsi="TimesNewRomanPSMT"/>
          <w:lang w:val="en-US"/>
        </w:rPr>
        <w:t xml:space="preserve"> the Working Group </w:t>
      </w:r>
      <w:r w:rsidR="00975D2E" w:rsidRPr="00E22CD7">
        <w:rPr>
          <w:rFonts w:ascii="TimesNewRomanPSMT" w:hAnsi="TimesNewRomanPSMT"/>
          <w:lang w:val="en-US"/>
        </w:rPr>
        <w:t xml:space="preserve">has </w:t>
      </w:r>
      <w:r w:rsidRPr="00E22CD7">
        <w:rPr>
          <w:rFonts w:ascii="TimesNewRomanPSMT" w:hAnsi="TimesNewRomanPSMT"/>
          <w:lang w:val="en-US"/>
        </w:rPr>
        <w:t xml:space="preserve">identified key areas that may require further drafting consideration or additional guidance for purposes of clarity, proportionality, and effective implementation. The four core areas identified are: </w:t>
      </w:r>
    </w:p>
    <w:p w14:paraId="5981710A" w14:textId="77777777" w:rsidR="00FE03D0" w:rsidRPr="00E22CD7" w:rsidRDefault="00000000" w:rsidP="00FE03D0">
      <w:pPr>
        <w:rPr>
          <w:color w:val="000000" w:themeColor="text1"/>
          <w:lang w:val="en-US"/>
        </w:rPr>
      </w:pPr>
      <w:r w:rsidRPr="00E22CD7">
        <w:rPr>
          <w:noProof/>
          <w:color w:val="000000" w:themeColor="text1"/>
          <w:lang w:val="en-US"/>
          <w14:ligatures w14:val="standardContextual"/>
        </w:rPr>
        <mc:AlternateContent>
          <mc:Choice Requires="wps">
            <w:drawing>
              <wp:inline distT="0" distB="0" distL="0" distR="0" wp14:anchorId="57FD840A" wp14:editId="33BF5531">
                <wp:extent cx="5731510" cy="1939390"/>
                <wp:effectExtent l="12700" t="12700" r="8890" b="16510"/>
                <wp:docPr id="1897806841" name="Text Box 1"/>
                <wp:cNvGraphicFramePr/>
                <a:graphic xmlns:a="http://schemas.openxmlformats.org/drawingml/2006/main">
                  <a:graphicData uri="http://schemas.microsoft.com/office/word/2010/wordprocessingShape">
                    <wps:wsp>
                      <wps:cNvSpPr txBox="1"/>
                      <wps:spPr>
                        <a:xfrm>
                          <a:off x="0" y="0"/>
                          <a:ext cx="5731510" cy="1939390"/>
                        </a:xfrm>
                        <a:prstGeom prst="rect">
                          <a:avLst/>
                        </a:prstGeom>
                        <a:solidFill>
                          <a:srgbClr val="66A4A9">
                            <a:alpha val="34902"/>
                          </a:srgbClr>
                        </a:solidFill>
                        <a:ln w="28575">
                          <a:solidFill>
                            <a:srgbClr val="66A4A9"/>
                          </a:solidFill>
                        </a:ln>
                      </wps:spPr>
                      <wps:txbx>
                        <w:txbxContent>
                          <w:p w14:paraId="072175A4" w14:textId="77777777" w:rsidR="00FE03D0" w:rsidRPr="00E05D75" w:rsidRDefault="00FE03D0" w:rsidP="00FE03D0">
                            <w:pPr>
                              <w:ind w:left="720" w:hanging="360"/>
                              <w:rPr>
                                <w:color w:val="000000" w:themeColor="text1"/>
                              </w:rPr>
                            </w:pPr>
                          </w:p>
                          <w:p w14:paraId="29AABEEA" w14:textId="77777777" w:rsidR="00E05D75" w:rsidRPr="00E05D75" w:rsidRDefault="00000000" w:rsidP="00E05D75">
                            <w:pPr>
                              <w:pStyle w:val="ListParagraph"/>
                              <w:numPr>
                                <w:ilvl w:val="0"/>
                                <w:numId w:val="32"/>
                              </w:numPr>
                              <w:rPr>
                                <w:b/>
                                <w:bCs/>
                                <w:i/>
                                <w:iCs/>
                                <w:color w:val="000000" w:themeColor="text1"/>
                              </w:rPr>
                            </w:pPr>
                            <w:r w:rsidRPr="00E05D75">
                              <w:rPr>
                                <w:b/>
                                <w:bCs/>
                                <w:color w:val="000000" w:themeColor="text1"/>
                              </w:rPr>
                              <w:t xml:space="preserve">Support for a more precise definition of solicitation </w:t>
                            </w:r>
                          </w:p>
                          <w:p w14:paraId="166AE28A" w14:textId="77777777" w:rsidR="00E05D75" w:rsidRPr="00E05D75" w:rsidRDefault="00E05D75" w:rsidP="00E05D75">
                            <w:pPr>
                              <w:pStyle w:val="ListParagraph"/>
                              <w:rPr>
                                <w:b/>
                                <w:bCs/>
                                <w:color w:val="000000" w:themeColor="text1"/>
                              </w:rPr>
                            </w:pPr>
                          </w:p>
                          <w:p w14:paraId="1D817F35" w14:textId="77777777" w:rsidR="00E05D75" w:rsidRPr="00E05D75" w:rsidRDefault="00000000" w:rsidP="00E05D75">
                            <w:pPr>
                              <w:pStyle w:val="ListParagraph"/>
                              <w:numPr>
                                <w:ilvl w:val="0"/>
                                <w:numId w:val="32"/>
                              </w:numPr>
                              <w:rPr>
                                <w:b/>
                                <w:bCs/>
                                <w:i/>
                                <w:iCs/>
                                <w:color w:val="000000" w:themeColor="text1"/>
                              </w:rPr>
                            </w:pPr>
                            <w:r w:rsidRPr="00E05D75">
                              <w:rPr>
                                <w:b/>
                                <w:bCs/>
                                <w:color w:val="000000" w:themeColor="text1"/>
                              </w:rPr>
                              <w:t>Encouraged alignment with MiFID II application of solicitation requirements</w:t>
                            </w:r>
                          </w:p>
                          <w:p w14:paraId="0BF9DB24" w14:textId="77777777" w:rsidR="00E05D75" w:rsidRPr="00E05D75" w:rsidRDefault="00E05D75" w:rsidP="00E05D75">
                            <w:pPr>
                              <w:pStyle w:val="ListParagraph"/>
                              <w:rPr>
                                <w:b/>
                                <w:bCs/>
                                <w:color w:val="000000" w:themeColor="text1"/>
                              </w:rPr>
                            </w:pPr>
                          </w:p>
                          <w:p w14:paraId="0B58A11D" w14:textId="77777777" w:rsidR="00E05D75" w:rsidRPr="00E05D75" w:rsidRDefault="00000000" w:rsidP="00E05D75">
                            <w:pPr>
                              <w:pStyle w:val="ListParagraph"/>
                              <w:numPr>
                                <w:ilvl w:val="0"/>
                                <w:numId w:val="32"/>
                              </w:numPr>
                              <w:rPr>
                                <w:b/>
                                <w:bCs/>
                                <w:i/>
                                <w:iCs/>
                                <w:color w:val="000000" w:themeColor="text1"/>
                              </w:rPr>
                            </w:pPr>
                            <w:r w:rsidRPr="00E05D75">
                              <w:rPr>
                                <w:b/>
                                <w:bCs/>
                                <w:color w:val="000000" w:themeColor="text1"/>
                              </w:rPr>
                              <w:t>Provision of specific guidance on “what good looks like” for compliance with solicitation requirements</w:t>
                            </w:r>
                          </w:p>
                          <w:p w14:paraId="62298F61" w14:textId="77777777" w:rsidR="00E05D75" w:rsidRPr="00E05D75" w:rsidRDefault="00E05D75" w:rsidP="00E05D75">
                            <w:pPr>
                              <w:rPr>
                                <w:b/>
                                <w:bCs/>
                                <w:color w:val="000000" w:themeColor="text1"/>
                              </w:rPr>
                            </w:pPr>
                          </w:p>
                          <w:p w14:paraId="6F6E5EC4" w14:textId="77777777" w:rsidR="00E05D75" w:rsidRPr="00E05D75" w:rsidRDefault="00000000" w:rsidP="00E05D75">
                            <w:pPr>
                              <w:pStyle w:val="ListParagraph"/>
                              <w:numPr>
                                <w:ilvl w:val="0"/>
                                <w:numId w:val="32"/>
                              </w:numPr>
                              <w:rPr>
                                <w:b/>
                                <w:bCs/>
                                <w:i/>
                                <w:iCs/>
                                <w:color w:val="000000" w:themeColor="text1"/>
                              </w:rPr>
                            </w:pPr>
                            <w:r w:rsidRPr="00E05D75">
                              <w:rPr>
                                <w:b/>
                                <w:bCs/>
                                <w:color w:val="000000" w:themeColor="text1"/>
                              </w:rPr>
                              <w:t>Revised criteria on types of clients and pairings of crypto-assets</w:t>
                            </w:r>
                          </w:p>
                          <w:p w14:paraId="78367FEF" w14:textId="77777777" w:rsidR="00FE03D0" w:rsidRPr="00E05D75" w:rsidRDefault="00FE03D0" w:rsidP="00E05D75">
                            <w:pPr>
                              <w:rPr>
                                <w:b/>
                                <w:bCs/>
                                <w:color w:val="000000" w:themeColor="text1"/>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inline>
            </w:drawing>
          </mc:Choice>
          <mc:Fallback>
            <w:pict>
              <v:shapetype w14:anchorId="57FD840A" id="_x0000_t202" coordsize="21600,21600" o:spt="202" path="m,l,21600r21600,l21600,xe">
                <v:stroke joinstyle="miter"/>
                <v:path gradientshapeok="t" o:connecttype="rect"/>
              </v:shapetype>
              <v:shape id="Text Box 1" o:spid="_x0000_s1026" type="#_x0000_t202" style="width:451.3pt;height:15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" fillcolor="#66a4a9" strokecolor="#66a4a9" strokeweight="2.25pt">
                <v:fill opacity="22873f"/>
                <v:textbox>
                  <w:txbxContent>
                    <w:p w14:paraId="072175A4" w14:textId="77777777" w:rsidR="00FE03D0" w:rsidRPr="00E05D75" w:rsidRDefault="00FE03D0" w:rsidP="00FE03D0">
                      <w:pPr>
                        <w:ind w:left="720" w:hanging="360"/>
                        <w:rPr>
                          <w:color w:val="000000" w:themeColor="text1"/>
                        </w:rPr>
                      </w:pPr>
                    </w:p>
                    <w:p w14:paraId="29AABEEA" w14:textId="77777777" w:rsidR="00E05D75" w:rsidRPr="00E05D75" w:rsidRDefault="00000000" w:rsidP="00E05D75">
                      <w:pPr>
                        <w:pStyle w:val="ListParagraph"/>
                        <w:numPr>
                          <w:ilvl w:val="0"/>
                          <w:numId w:val="32"/>
                        </w:numPr>
                        <w:rPr>
                          <w:b/>
                          <w:bCs/>
                          <w:i/>
                          <w:iCs/>
                          <w:color w:val="000000" w:themeColor="text1"/>
                        </w:rPr>
                      </w:pPr>
                      <w:r w:rsidRPr="00E05D75">
                        <w:rPr>
                          <w:b/>
                          <w:bCs/>
                          <w:color w:val="000000" w:themeColor="text1"/>
                        </w:rPr>
                        <w:t xml:space="preserve">Support for a more precise definition of solicitation </w:t>
                      </w:r>
                    </w:p>
                    <w:p w14:paraId="166AE28A" w14:textId="77777777" w:rsidR="00E05D75" w:rsidRPr="00E05D75" w:rsidRDefault="00E05D75" w:rsidP="00E05D75">
                      <w:pPr>
                        <w:pStyle w:val="ListParagraph"/>
                        <w:rPr>
                          <w:b/>
                          <w:bCs/>
                          <w:color w:val="000000" w:themeColor="text1"/>
                        </w:rPr>
                      </w:pPr>
                    </w:p>
                    <w:p w14:paraId="1D817F35" w14:textId="77777777" w:rsidR="00E05D75" w:rsidRPr="00E05D75" w:rsidRDefault="00000000" w:rsidP="00E05D75">
                      <w:pPr>
                        <w:pStyle w:val="ListParagraph"/>
                        <w:numPr>
                          <w:ilvl w:val="0"/>
                          <w:numId w:val="32"/>
                        </w:numPr>
                        <w:rPr>
                          <w:b/>
                          <w:bCs/>
                          <w:i/>
                          <w:iCs/>
                          <w:color w:val="000000" w:themeColor="text1"/>
                        </w:rPr>
                      </w:pPr>
                      <w:r w:rsidRPr="00E05D75">
                        <w:rPr>
                          <w:b/>
                          <w:bCs/>
                          <w:color w:val="000000" w:themeColor="text1"/>
                        </w:rPr>
                        <w:t>Encouraged alignment with MiFID II application of solicitation requirements</w:t>
                      </w:r>
                    </w:p>
                    <w:p w14:paraId="0BF9DB24" w14:textId="77777777" w:rsidR="00E05D75" w:rsidRPr="00E05D75" w:rsidRDefault="00E05D75" w:rsidP="00E05D75">
                      <w:pPr>
                        <w:pStyle w:val="ListParagraph"/>
                        <w:rPr>
                          <w:b/>
                          <w:bCs/>
                          <w:color w:val="000000" w:themeColor="text1"/>
                        </w:rPr>
                      </w:pPr>
                    </w:p>
                    <w:p w14:paraId="0B58A11D" w14:textId="77777777" w:rsidR="00E05D75" w:rsidRPr="00E05D75" w:rsidRDefault="00000000" w:rsidP="00E05D75">
                      <w:pPr>
                        <w:pStyle w:val="ListParagraph"/>
                        <w:numPr>
                          <w:ilvl w:val="0"/>
                          <w:numId w:val="32"/>
                        </w:numPr>
                        <w:rPr>
                          <w:b/>
                          <w:bCs/>
                          <w:i/>
                          <w:iCs/>
                          <w:color w:val="000000" w:themeColor="text1"/>
                        </w:rPr>
                      </w:pPr>
                      <w:r w:rsidRPr="00E05D75">
                        <w:rPr>
                          <w:b/>
                          <w:bCs/>
                          <w:color w:val="000000" w:themeColor="text1"/>
                        </w:rPr>
                        <w:t>Provision of specific guidance on “what good looks like” for compliance with solicitation requirements</w:t>
                      </w:r>
                    </w:p>
                    <w:p w14:paraId="62298F61" w14:textId="77777777" w:rsidR="00E05D75" w:rsidRPr="00E05D75" w:rsidRDefault="00E05D75" w:rsidP="00E05D75">
                      <w:pPr>
                        <w:rPr>
                          <w:b/>
                          <w:bCs/>
                          <w:color w:val="000000" w:themeColor="text1"/>
                        </w:rPr>
                      </w:pPr>
                    </w:p>
                    <w:p w14:paraId="6F6E5EC4" w14:textId="77777777" w:rsidR="00E05D75" w:rsidRPr="00E05D75" w:rsidRDefault="00000000" w:rsidP="00E05D75">
                      <w:pPr>
                        <w:pStyle w:val="ListParagraph"/>
                        <w:numPr>
                          <w:ilvl w:val="0"/>
                          <w:numId w:val="32"/>
                        </w:numPr>
                        <w:rPr>
                          <w:b/>
                          <w:bCs/>
                          <w:i/>
                          <w:iCs/>
                          <w:color w:val="000000" w:themeColor="text1"/>
                        </w:rPr>
                      </w:pPr>
                      <w:r w:rsidRPr="00E05D75">
                        <w:rPr>
                          <w:b/>
                          <w:bCs/>
                          <w:color w:val="000000" w:themeColor="text1"/>
                        </w:rPr>
                        <w:t>Revised criteria on types of clients and pairings of crypto-assets</w:t>
                      </w:r>
                    </w:p>
                    <w:p w14:paraId="78367FEF" w14:textId="77777777" w:rsidR="00FE03D0" w:rsidRPr="00E05D75" w:rsidRDefault="00FE03D0" w:rsidP="00E05D75">
                      <w:pPr>
                        <w:rPr>
                          <w:b/>
                          <w:bCs/>
                          <w:color w:val="000000" w:themeColor="text1"/>
                        </w:rPr>
                      </w:pPr>
                    </w:p>
                  </w:txbxContent>
                </v:textbox>
                <w10:anchorlock/>
              </v:shape>
            </w:pict>
          </mc:Fallback>
        </mc:AlternateContent>
      </w:r>
    </w:p>
    <w:p w14:paraId="55DA7F32" w14:textId="77777777" w:rsidR="00FE03D0" w:rsidRPr="00E22CD7" w:rsidRDefault="00FE03D0" w:rsidP="00FE03D0">
      <w:pPr>
        <w:rPr>
          <w:b/>
          <w:bCs/>
          <w:color w:val="0098AA"/>
          <w:lang w:val="en-US"/>
        </w:rPr>
      </w:pPr>
    </w:p>
    <w:p w14:paraId="3A4E96F4" w14:textId="58002891" w:rsidR="00FE03D0" w:rsidRPr="00C83FC7" w:rsidRDefault="00C83FC7" w:rsidP="00C83FC7">
      <w:pPr>
        <w:rPr>
          <w:b/>
          <w:bCs/>
          <w:i/>
          <w:iCs/>
          <w:color w:val="0098AA"/>
          <w:lang w:val="en-US"/>
        </w:rPr>
      </w:pPr>
      <w:r>
        <w:rPr>
          <w:b/>
          <w:bCs/>
          <w:color w:val="0098AA"/>
          <w:lang w:val="en-US"/>
        </w:rPr>
        <w:t xml:space="preserve">1. </w:t>
      </w:r>
      <w:r w:rsidRPr="00C83FC7">
        <w:rPr>
          <w:b/>
          <w:bCs/>
          <w:color w:val="0098AA"/>
          <w:lang w:val="en-US"/>
        </w:rPr>
        <w:t xml:space="preserve">Support for a more precise definition of solicitation </w:t>
      </w:r>
    </w:p>
    <w:p w14:paraId="059A26E1" w14:textId="2E5C3EDB" w:rsidR="00FE03D0" w:rsidRDefault="00C83FC7" w:rsidP="00C83FC7">
      <w:pPr>
        <w:rPr>
          <w:color w:val="000000" w:themeColor="text1"/>
          <w:lang w:val="en-US"/>
        </w:rPr>
      </w:pPr>
      <w:proofErr w:type="gramStart"/>
      <w:r>
        <w:rPr>
          <w:color w:val="000000" w:themeColor="text1"/>
          <w:lang w:val="en-US"/>
        </w:rPr>
        <w:t>I</w:t>
      </w:r>
      <w:r w:rsidRPr="00C83FC7">
        <w:rPr>
          <w:color w:val="000000" w:themeColor="text1"/>
          <w:lang w:val="en-US"/>
        </w:rPr>
        <w:t>n light of</w:t>
      </w:r>
      <w:proofErr w:type="gramEnd"/>
      <w:r w:rsidRPr="00C83FC7">
        <w:rPr>
          <w:color w:val="000000" w:themeColor="text1"/>
          <w:lang w:val="en-US"/>
        </w:rPr>
        <w:t xml:space="preserve"> ESMA’s mandate under Article 61(3) to provide guidance, GDF is supportive of ESMA providing clarity to the market. GDF agrees with ESMA that it is important to protect investors and make sure that clients of crypto-asset service providers (CASPs) benefit from full rights and protections afforded to them under MiCA</w:t>
      </w:r>
      <w:r>
        <w:rPr>
          <w:color w:val="000000" w:themeColor="text1"/>
          <w:lang w:val="en-US"/>
        </w:rPr>
        <w:t xml:space="preserve">. However, GDF members are also concerned that a too broad definition of solicitation </w:t>
      </w:r>
      <w:r w:rsidRPr="00C83FC7">
        <w:rPr>
          <w:color w:val="000000" w:themeColor="text1"/>
          <w:lang w:val="en-US"/>
        </w:rPr>
        <w:t xml:space="preserve">could lead to unintended consequences and inconsistent application from the National Competent Authorities (NCAs) that are administering this regime. For example, </w:t>
      </w:r>
      <w:r w:rsidRPr="00C83FC7">
        <w:rPr>
          <w:color w:val="000000" w:themeColor="text1"/>
        </w:rPr>
        <w:t>a broad description such as this could lead to regulatory arbitrage in which different NCAs might take different stances or may have different views on perimeter related enforcement actions. It may also have the unintended consequence of creating regulatory uncertainty</w:t>
      </w:r>
      <w:r>
        <w:rPr>
          <w:color w:val="000000" w:themeColor="text1"/>
        </w:rPr>
        <w:t>. Given this we would encourage greater precision which is further detailed throughout our response.</w:t>
      </w:r>
    </w:p>
    <w:p w14:paraId="525BB1E7" w14:textId="77777777" w:rsidR="00C83FC7" w:rsidRPr="00C83FC7" w:rsidRDefault="00C83FC7" w:rsidP="00C83FC7">
      <w:pPr>
        <w:rPr>
          <w:b/>
          <w:bCs/>
          <w:color w:val="000000" w:themeColor="text1"/>
          <w:lang w:val="en-US"/>
        </w:rPr>
      </w:pPr>
    </w:p>
    <w:p w14:paraId="05D24641" w14:textId="3D2B439E" w:rsidR="00FE03D0" w:rsidRPr="00C83FC7" w:rsidRDefault="00C83FC7" w:rsidP="00C83FC7">
      <w:pPr>
        <w:rPr>
          <w:b/>
          <w:bCs/>
          <w:i/>
          <w:iCs/>
          <w:color w:val="0098AA"/>
          <w:lang w:val="en-US"/>
        </w:rPr>
      </w:pPr>
      <w:r>
        <w:rPr>
          <w:b/>
          <w:bCs/>
          <w:color w:val="0098AA"/>
          <w:lang w:val="en-US"/>
        </w:rPr>
        <w:t xml:space="preserve">2. </w:t>
      </w:r>
      <w:r w:rsidRPr="00C83FC7">
        <w:rPr>
          <w:b/>
          <w:bCs/>
          <w:color w:val="0098AA"/>
          <w:lang w:val="en-US"/>
        </w:rPr>
        <w:t>Encouraged alignment with MiFID II application of solicitation requirements</w:t>
      </w:r>
    </w:p>
    <w:p w14:paraId="53060D08" w14:textId="1413516B" w:rsidR="00FE03D0" w:rsidRDefault="00C83FC7" w:rsidP="00C83FC7">
      <w:pPr>
        <w:rPr>
          <w:color w:val="000000" w:themeColor="text1"/>
        </w:rPr>
      </w:pPr>
      <w:r>
        <w:rPr>
          <w:color w:val="000000" w:themeColor="text1"/>
        </w:rPr>
        <w:t>GDF would note that d</w:t>
      </w:r>
      <w:r w:rsidRPr="00C83FC7">
        <w:rPr>
          <w:color w:val="000000" w:themeColor="text1"/>
        </w:rPr>
        <w:t xml:space="preserve">ifferences between MiFID and MiCA </w:t>
      </w:r>
      <w:r w:rsidRPr="00C83FC7">
        <w:rPr>
          <w:color w:val="000000" w:themeColor="text1"/>
          <w:lang w:val="en-US"/>
        </w:rPr>
        <w:t>may unintentionally result in MiCA being at</w:t>
      </w:r>
      <w:r w:rsidRPr="00C83FC7">
        <w:rPr>
          <w:color w:val="000000" w:themeColor="text1"/>
        </w:rPr>
        <w:t xml:space="preserve"> odds with the principle of same risk same regulation.</w:t>
      </w:r>
      <w:r>
        <w:rPr>
          <w:color w:val="000000" w:themeColor="text1"/>
        </w:rPr>
        <w:t xml:space="preserve"> W</w:t>
      </w:r>
      <w:r w:rsidRPr="00C83FC7">
        <w:rPr>
          <w:color w:val="000000" w:themeColor="text1"/>
        </w:rPr>
        <w:t xml:space="preserve">ithin MiFID II, </w:t>
      </w:r>
      <w:r w:rsidRPr="00C83FC7">
        <w:rPr>
          <w:color w:val="000000" w:themeColor="text1"/>
        </w:rPr>
        <w:lastRenderedPageBreak/>
        <w:t xml:space="preserve">reverse solicitation is a right of EU market participants to seek and receive services from third country providers. Historically reverse enquiry fell under the territorial scope of national law. </w:t>
      </w:r>
      <w:r>
        <w:rPr>
          <w:color w:val="000000" w:themeColor="text1"/>
        </w:rPr>
        <w:t xml:space="preserve">Furthermore, </w:t>
      </w:r>
      <w:r w:rsidRPr="00C83FC7">
        <w:rPr>
          <w:color w:val="000000" w:themeColor="text1"/>
          <w:lang w:val="en-US"/>
        </w:rPr>
        <w:t>the proposed approach seems to adopt an application that is wider than that which is currently applied under MiFID II</w:t>
      </w:r>
      <w:r>
        <w:rPr>
          <w:color w:val="000000" w:themeColor="text1"/>
        </w:rPr>
        <w:t xml:space="preserve">. </w:t>
      </w:r>
      <w:r w:rsidRPr="00C83FC7">
        <w:rPr>
          <w:color w:val="000000" w:themeColor="text1"/>
        </w:rPr>
        <w:t>Discrepancies such as these between MiFID II and MiCA</w:t>
      </w:r>
      <w:r w:rsidRPr="00C83FC7">
        <w:rPr>
          <w:color w:val="000000" w:themeColor="text1"/>
          <w:lang w:val="en-US"/>
        </w:rPr>
        <w:t xml:space="preserve"> do not maintain a level playing field, and this interpretation could have an expansive impact on the market, possibly resulting in unintended consequences</w:t>
      </w:r>
      <w:r>
        <w:rPr>
          <w:color w:val="000000" w:themeColor="text1"/>
          <w:lang w:val="en-US"/>
        </w:rPr>
        <w:t xml:space="preserve"> and GDF would encourage greater alignment between MiFID II and MiCA in the final guidance. </w:t>
      </w:r>
    </w:p>
    <w:p w14:paraId="45274041" w14:textId="77777777" w:rsidR="00C83FC7" w:rsidRPr="00C83FC7" w:rsidRDefault="00C83FC7" w:rsidP="00C83FC7">
      <w:pPr>
        <w:rPr>
          <w:b/>
          <w:bCs/>
          <w:color w:val="000000" w:themeColor="text1"/>
          <w:lang w:val="en-US"/>
        </w:rPr>
      </w:pPr>
    </w:p>
    <w:p w14:paraId="2A2ED508" w14:textId="6562F14B" w:rsidR="00FE03D0" w:rsidRPr="00BE509C" w:rsidRDefault="00BE509C" w:rsidP="00BE509C">
      <w:pPr>
        <w:rPr>
          <w:b/>
          <w:bCs/>
          <w:i/>
          <w:iCs/>
          <w:color w:val="0098AA"/>
          <w:lang w:val="en-US"/>
        </w:rPr>
      </w:pPr>
      <w:r>
        <w:rPr>
          <w:b/>
          <w:bCs/>
          <w:color w:val="0098AA"/>
          <w:lang w:val="en-US"/>
        </w:rPr>
        <w:t xml:space="preserve">3. </w:t>
      </w:r>
      <w:r w:rsidRPr="00BE509C">
        <w:rPr>
          <w:b/>
          <w:bCs/>
          <w:color w:val="0098AA"/>
          <w:lang w:val="en-US"/>
        </w:rPr>
        <w:t>Provision of specific guidance on “what good looks like” for compliance with solicitation requirements</w:t>
      </w:r>
    </w:p>
    <w:p w14:paraId="549EC0DF" w14:textId="77777777" w:rsidR="00BE509C" w:rsidRPr="00BE509C" w:rsidRDefault="00BE509C" w:rsidP="00BE509C">
      <w:pPr>
        <w:rPr>
          <w:color w:val="000000" w:themeColor="text1"/>
          <w:lang w:val="en-US"/>
        </w:rPr>
      </w:pPr>
      <w:r w:rsidRPr="00BE509C">
        <w:rPr>
          <w:color w:val="000000" w:themeColor="text1"/>
          <w:lang w:val="en-US"/>
        </w:rPr>
        <w:t xml:space="preserve">GDF suggests that it would be beneficial for ESMA to provide guidance on what “good” looks like across the specific areas which we have detailed above. Providing this type of guidance would both enable the market to appropriately prepare for compliance and would also support a more consistent application of the guidance across NCAs. This could mitigate the risk of regulatory arbitrage across EU member states. </w:t>
      </w:r>
    </w:p>
    <w:p w14:paraId="21293489" w14:textId="77777777" w:rsidR="00FE03D0" w:rsidRPr="00E22CD7" w:rsidRDefault="00FE03D0" w:rsidP="00FE03D0">
      <w:pPr>
        <w:rPr>
          <w:b/>
          <w:bCs/>
          <w:color w:val="000000" w:themeColor="text1"/>
          <w:lang w:val="en-US"/>
        </w:rPr>
      </w:pPr>
    </w:p>
    <w:p w14:paraId="44D139B2" w14:textId="2284C243" w:rsidR="00FE03D0" w:rsidRPr="00EE7D60" w:rsidRDefault="00EE7D60" w:rsidP="00EE7D60">
      <w:pPr>
        <w:rPr>
          <w:b/>
          <w:bCs/>
          <w:i/>
          <w:iCs/>
          <w:color w:val="0098AA"/>
          <w:lang w:val="en-US"/>
        </w:rPr>
      </w:pPr>
      <w:r>
        <w:rPr>
          <w:b/>
          <w:bCs/>
          <w:color w:val="0098AA"/>
          <w:lang w:val="en-US"/>
        </w:rPr>
        <w:t xml:space="preserve">4. </w:t>
      </w:r>
      <w:r w:rsidRPr="00EE7D60">
        <w:rPr>
          <w:b/>
          <w:bCs/>
          <w:color w:val="0098AA"/>
          <w:lang w:val="en-US"/>
        </w:rPr>
        <w:t>Revised criteria on types of clients and pairings of crypto-assets</w:t>
      </w:r>
    </w:p>
    <w:p w14:paraId="5A1D4BE5" w14:textId="4BE56354" w:rsidR="00EE7D60" w:rsidRPr="00EE7D60" w:rsidRDefault="00EE7D60" w:rsidP="00EE7D60">
      <w:pPr>
        <w:rPr>
          <w:color w:val="000000" w:themeColor="text1"/>
        </w:rPr>
      </w:pPr>
      <w:r>
        <w:rPr>
          <w:color w:val="000000" w:themeColor="text1"/>
          <w:lang w:val="en-US"/>
        </w:rPr>
        <w:t xml:space="preserve">First, </w:t>
      </w:r>
      <w:r w:rsidRPr="00E22CD7">
        <w:rPr>
          <w:color w:val="000000" w:themeColor="text1"/>
          <w:lang w:val="en-US"/>
        </w:rPr>
        <w:t xml:space="preserve">GDF </w:t>
      </w:r>
      <w:r>
        <w:rPr>
          <w:color w:val="000000" w:themeColor="text1"/>
          <w:lang w:val="en-US"/>
        </w:rPr>
        <w:t xml:space="preserve">would </w:t>
      </w:r>
      <w:r w:rsidRPr="00E22CD7">
        <w:rPr>
          <w:color w:val="000000" w:themeColor="text1"/>
          <w:lang w:val="en-US"/>
        </w:rPr>
        <w:t xml:space="preserve">propose to add additional criteria on </w:t>
      </w:r>
      <w:r>
        <w:rPr>
          <w:color w:val="000000" w:themeColor="text1"/>
          <w:lang w:val="en-US"/>
        </w:rPr>
        <w:t>the</w:t>
      </w:r>
      <w:r w:rsidRPr="00E22CD7">
        <w:rPr>
          <w:color w:val="000000" w:themeColor="text1"/>
          <w:lang w:val="en-US"/>
        </w:rPr>
        <w:t xml:space="preserve"> type of client (including differentiation between retail and wholesale clients) as well as all types of crypto-assets the client stated they were interested in when they made the initial approach. </w:t>
      </w:r>
      <w:r>
        <w:rPr>
          <w:color w:val="000000" w:themeColor="text1"/>
          <w:lang w:val="en-US"/>
        </w:rPr>
        <w:t>Second, o</w:t>
      </w:r>
      <w:r w:rsidRPr="00EE7D60">
        <w:rPr>
          <w:color w:val="000000" w:themeColor="text1"/>
          <w:lang w:val="en-US"/>
        </w:rPr>
        <w:t xml:space="preserve">f the list of pairs set out under paragraph 25, GDF suggests that “crypto-assets not stored or transferred using the same technology” is overly restrictive. The broadest interpretation of this could mean that whenever a new or updated code is used the exemption for reverse solicitation no longer applies (for example, in the case of </w:t>
      </w:r>
      <w:r w:rsidRPr="00EE7D60">
        <w:rPr>
          <w:color w:val="000000" w:themeColor="text1"/>
        </w:rPr>
        <w:t>the Ethereum Merger or on a day-to-day basis for the updating of some DAOs).</w:t>
      </w:r>
      <w:r w:rsidRPr="00EE7D60">
        <w:rPr>
          <w:color w:val="000000" w:themeColor="text1"/>
          <w:lang w:val="en-US"/>
        </w:rPr>
        <w:t xml:space="preserve"> </w:t>
      </w:r>
      <w:r w:rsidRPr="00EE7D60">
        <w:rPr>
          <w:color w:val="000000" w:themeColor="text1"/>
        </w:rPr>
        <w:t xml:space="preserve">In the first instance, perhaps ESMA should consider that such restrictions (i.e., pairs not using the same technology/rails not being permitted to apply the exemption), should only apply to non-sophisticated clients (i.e., retail customers). </w:t>
      </w:r>
      <w:r>
        <w:rPr>
          <w:color w:val="000000" w:themeColor="text1"/>
        </w:rPr>
        <w:t xml:space="preserve">This is further delineated throughout our response, but overall GDF would recommend </w:t>
      </w:r>
      <w:r w:rsidRPr="00EE7D60">
        <w:rPr>
          <w:color w:val="000000" w:themeColor="text1"/>
        </w:rPr>
        <w:t>clarification and differentiation regarding</w:t>
      </w:r>
      <w:r>
        <w:rPr>
          <w:color w:val="000000" w:themeColor="text1"/>
        </w:rPr>
        <w:t xml:space="preserve"> for both pairings of crypto-assets and types of clients.</w:t>
      </w:r>
    </w:p>
    <w:p w14:paraId="5C309BBE" w14:textId="77777777" w:rsidR="00FE03D0" w:rsidRPr="00E22CD7" w:rsidRDefault="00FE03D0" w:rsidP="00FE03D0">
      <w:pPr>
        <w:rPr>
          <w:i/>
          <w:iCs/>
          <w:color w:val="000000" w:themeColor="text1"/>
          <w:lang w:val="en-US"/>
        </w:rPr>
      </w:pPr>
    </w:p>
    <w:p w14:paraId="36BC684E" w14:textId="77777777" w:rsidR="00FE03D0" w:rsidRPr="00E22CD7" w:rsidRDefault="00FE03D0" w:rsidP="00FE03D0">
      <w:pPr>
        <w:rPr>
          <w:color w:val="000000" w:themeColor="text1"/>
          <w:lang w:val="en-US"/>
        </w:rPr>
      </w:pPr>
    </w:p>
    <w:p w14:paraId="4173E8D7" w14:textId="77777777" w:rsidR="00E05D75" w:rsidRPr="00E22CD7" w:rsidRDefault="00E05D75" w:rsidP="00FE03D0">
      <w:pPr>
        <w:rPr>
          <w:b/>
          <w:bCs/>
          <w:color w:val="000000" w:themeColor="text1"/>
          <w:lang w:val="en-US"/>
        </w:rPr>
      </w:pPr>
    </w:p>
    <w:p w14:paraId="4E19218A" w14:textId="77777777" w:rsidR="002A1700" w:rsidRDefault="002A1700" w:rsidP="00FE03D0">
      <w:pPr>
        <w:rPr>
          <w:b/>
          <w:bCs/>
          <w:color w:val="000000" w:themeColor="text1"/>
          <w:lang w:val="en-US"/>
        </w:rPr>
      </w:pPr>
    </w:p>
    <w:p w14:paraId="5E08AD25" w14:textId="77777777" w:rsidR="00EE7D60" w:rsidRDefault="00EE7D60" w:rsidP="00FE03D0">
      <w:pPr>
        <w:rPr>
          <w:b/>
          <w:bCs/>
          <w:color w:val="000000" w:themeColor="text1"/>
          <w:lang w:val="en-US"/>
        </w:rPr>
      </w:pPr>
    </w:p>
    <w:p w14:paraId="7D07CDE9" w14:textId="77777777" w:rsidR="00EE7D60" w:rsidRDefault="00EE7D60" w:rsidP="00FE03D0">
      <w:pPr>
        <w:rPr>
          <w:b/>
          <w:bCs/>
          <w:color w:val="000000" w:themeColor="text1"/>
          <w:lang w:val="en-US"/>
        </w:rPr>
      </w:pPr>
    </w:p>
    <w:p w14:paraId="7599F24E" w14:textId="77777777" w:rsidR="00EE7D60" w:rsidRDefault="00EE7D60" w:rsidP="00FE03D0">
      <w:pPr>
        <w:rPr>
          <w:b/>
          <w:bCs/>
          <w:color w:val="000000" w:themeColor="text1"/>
          <w:lang w:val="en-US"/>
        </w:rPr>
      </w:pPr>
    </w:p>
    <w:p w14:paraId="26E82725" w14:textId="77777777" w:rsidR="00EE7D60" w:rsidRDefault="00EE7D60" w:rsidP="00FE03D0">
      <w:pPr>
        <w:rPr>
          <w:b/>
          <w:bCs/>
          <w:color w:val="000000" w:themeColor="text1"/>
          <w:lang w:val="en-US"/>
        </w:rPr>
      </w:pPr>
    </w:p>
    <w:p w14:paraId="342F5ED7" w14:textId="77777777" w:rsidR="00EE7D60" w:rsidRDefault="00EE7D60" w:rsidP="00FE03D0">
      <w:pPr>
        <w:rPr>
          <w:b/>
          <w:bCs/>
          <w:color w:val="000000" w:themeColor="text1"/>
          <w:lang w:val="en-US"/>
        </w:rPr>
      </w:pPr>
    </w:p>
    <w:p w14:paraId="3D683F33" w14:textId="77777777" w:rsidR="00EE7D60" w:rsidRDefault="00EE7D60" w:rsidP="00FE03D0">
      <w:pPr>
        <w:rPr>
          <w:b/>
          <w:bCs/>
          <w:color w:val="000000" w:themeColor="text1"/>
          <w:lang w:val="en-US"/>
        </w:rPr>
      </w:pPr>
    </w:p>
    <w:p w14:paraId="2B57FC6A" w14:textId="77777777" w:rsidR="00EE7D60" w:rsidRDefault="00EE7D60" w:rsidP="00FE03D0">
      <w:pPr>
        <w:rPr>
          <w:b/>
          <w:bCs/>
          <w:color w:val="000000" w:themeColor="text1"/>
          <w:lang w:val="en-US"/>
        </w:rPr>
      </w:pPr>
    </w:p>
    <w:p w14:paraId="399BEF9E" w14:textId="77777777" w:rsidR="00EE7D60" w:rsidRDefault="00EE7D60" w:rsidP="00FE03D0">
      <w:pPr>
        <w:rPr>
          <w:b/>
          <w:bCs/>
          <w:color w:val="000000" w:themeColor="text1"/>
          <w:lang w:val="en-US"/>
        </w:rPr>
      </w:pPr>
    </w:p>
    <w:p w14:paraId="0D5B1DF3" w14:textId="77777777" w:rsidR="00EE7D60" w:rsidRDefault="00EE7D60" w:rsidP="00FE03D0">
      <w:pPr>
        <w:rPr>
          <w:b/>
          <w:bCs/>
          <w:color w:val="000000" w:themeColor="text1"/>
          <w:lang w:val="en-US"/>
        </w:rPr>
      </w:pPr>
    </w:p>
    <w:p w14:paraId="2C50141F" w14:textId="77777777" w:rsidR="00EE7D60" w:rsidRDefault="00EE7D60" w:rsidP="00FE03D0">
      <w:pPr>
        <w:rPr>
          <w:b/>
          <w:bCs/>
          <w:color w:val="000000" w:themeColor="text1"/>
          <w:lang w:val="en-US"/>
        </w:rPr>
      </w:pPr>
    </w:p>
    <w:p w14:paraId="5B127A58" w14:textId="77777777" w:rsidR="00EE7D60" w:rsidRDefault="00EE7D60" w:rsidP="00FE03D0">
      <w:pPr>
        <w:rPr>
          <w:b/>
          <w:bCs/>
          <w:color w:val="000000" w:themeColor="text1"/>
          <w:lang w:val="en-US"/>
        </w:rPr>
      </w:pPr>
    </w:p>
    <w:p w14:paraId="00B835C4" w14:textId="77777777" w:rsidR="00EE7D60" w:rsidRDefault="00EE7D60" w:rsidP="00FE03D0">
      <w:pPr>
        <w:rPr>
          <w:b/>
          <w:bCs/>
          <w:color w:val="000000" w:themeColor="text1"/>
          <w:lang w:val="en-US"/>
        </w:rPr>
      </w:pPr>
    </w:p>
    <w:p w14:paraId="53064A13" w14:textId="77777777" w:rsidR="00EE7D60" w:rsidRDefault="00EE7D60" w:rsidP="00FE03D0">
      <w:pPr>
        <w:rPr>
          <w:b/>
          <w:bCs/>
          <w:color w:val="000000" w:themeColor="text1"/>
          <w:lang w:val="en-US"/>
        </w:rPr>
      </w:pPr>
    </w:p>
    <w:p w14:paraId="4D9BFD0D" w14:textId="77777777" w:rsidR="00EE7D60" w:rsidRDefault="00EE7D60" w:rsidP="00FE03D0">
      <w:pPr>
        <w:rPr>
          <w:b/>
          <w:bCs/>
          <w:color w:val="000000" w:themeColor="text1"/>
          <w:lang w:val="en-US"/>
        </w:rPr>
      </w:pPr>
    </w:p>
    <w:p w14:paraId="59A811F2" w14:textId="77777777" w:rsidR="00EE7D60" w:rsidRDefault="00EE7D60" w:rsidP="00FE03D0">
      <w:pPr>
        <w:rPr>
          <w:b/>
          <w:bCs/>
          <w:color w:val="000000" w:themeColor="text1"/>
          <w:lang w:val="en-US"/>
        </w:rPr>
      </w:pPr>
    </w:p>
    <w:p w14:paraId="03CCE06D" w14:textId="77777777" w:rsidR="00EE7D60" w:rsidRPr="00E22CD7" w:rsidRDefault="00EE7D60" w:rsidP="00FE03D0">
      <w:pPr>
        <w:rPr>
          <w:b/>
          <w:bCs/>
          <w:color w:val="000000" w:themeColor="text1"/>
          <w:lang w:val="en-US"/>
        </w:rPr>
      </w:pPr>
    </w:p>
    <w:p w14:paraId="3A7F30D1" w14:textId="42E49EAC" w:rsidR="00FE03D0" w:rsidRPr="00E22CD7" w:rsidRDefault="00000000" w:rsidP="00FE03D0">
      <w:pPr>
        <w:rPr>
          <w:b/>
          <w:bCs/>
          <w:color w:val="000000" w:themeColor="text1"/>
          <w:lang w:val="en-US"/>
        </w:rPr>
      </w:pPr>
      <w:r w:rsidRPr="00E22CD7">
        <w:rPr>
          <w:b/>
          <w:bCs/>
          <w:color w:val="0098AA"/>
          <w:lang w:val="en-US"/>
        </w:rPr>
        <w:lastRenderedPageBreak/>
        <w:t xml:space="preserve">Response to the Consultation Paper (CP): </w:t>
      </w:r>
      <w:r w:rsidRPr="00E22CD7">
        <w:rPr>
          <w:rFonts w:eastAsiaTheme="minorHAnsi"/>
          <w:b/>
          <w:bCs/>
          <w:color w:val="0098AA"/>
          <w:kern w:val="2"/>
          <w:lang w:val="en-US" w:eastAsia="en-US"/>
          <w14:ligatures w14:val="standardContextual"/>
        </w:rPr>
        <w:t xml:space="preserve">Questions for Public Consultation </w:t>
      </w:r>
    </w:p>
    <w:p w14:paraId="3C80842A" w14:textId="77777777" w:rsidR="00FE03D0" w:rsidRPr="00E22CD7" w:rsidRDefault="00000000" w:rsidP="00FE03D0">
      <w:pPr>
        <w:rPr>
          <w:b/>
          <w:bCs/>
          <w:i/>
          <w:iCs/>
          <w:color w:val="000000" w:themeColor="text1"/>
          <w:lang w:val="en-US"/>
        </w:rPr>
      </w:pPr>
      <w:r w:rsidRPr="00E22CD7">
        <w:rPr>
          <w:b/>
          <w:bCs/>
          <w:i/>
          <w:iCs/>
          <w:color w:val="000000" w:themeColor="text1"/>
          <w:lang w:val="en-US"/>
        </w:rPr>
        <w:t xml:space="preserve"> </w:t>
      </w:r>
    </w:p>
    <w:p w14:paraId="614EFA58" w14:textId="0EC80809" w:rsidR="009F6F76" w:rsidRPr="00E22CD7" w:rsidRDefault="00000000" w:rsidP="00FE03D0">
      <w:pPr>
        <w:rPr>
          <w:b/>
          <w:bCs/>
          <w:i/>
          <w:iCs/>
          <w:color w:val="0098AA"/>
          <w:lang w:val="en-US"/>
        </w:rPr>
      </w:pPr>
      <w:r w:rsidRPr="00E22CD7">
        <w:rPr>
          <w:b/>
          <w:bCs/>
          <w:i/>
          <w:iCs/>
          <w:color w:val="0098AA"/>
          <w:lang w:val="en-US"/>
        </w:rPr>
        <w:t xml:space="preserve">Q1: Do you agree with the approach chosen by ESMA? Do you see any potential loophole that could be exploited by third-country firms to circumvent the MiCA </w:t>
      </w:r>
      <w:r w:rsidR="00E22CD7" w:rsidRPr="00E22CD7">
        <w:rPr>
          <w:b/>
          <w:bCs/>
          <w:i/>
          <w:iCs/>
          <w:color w:val="0098AA"/>
          <w:lang w:val="en-US"/>
        </w:rPr>
        <w:t>authorization</w:t>
      </w:r>
      <w:r w:rsidRPr="00E22CD7">
        <w:rPr>
          <w:b/>
          <w:bCs/>
          <w:i/>
          <w:iCs/>
          <w:color w:val="0098AA"/>
          <w:lang w:val="en-US"/>
        </w:rPr>
        <w:t xml:space="preserve"> requirements? </w:t>
      </w:r>
    </w:p>
    <w:p w14:paraId="6920BF09" w14:textId="3B94DFA3" w:rsidR="000D5089" w:rsidRPr="00E22CD7" w:rsidRDefault="00000000" w:rsidP="00FE03D0">
      <w:pPr>
        <w:rPr>
          <w:color w:val="000000" w:themeColor="text1"/>
          <w:lang w:val="en-US"/>
        </w:rPr>
      </w:pPr>
      <w:r w:rsidRPr="00E22CD7">
        <w:rPr>
          <w:color w:val="000000" w:themeColor="text1"/>
          <w:lang w:val="en-US"/>
        </w:rPr>
        <w:t xml:space="preserve">Overall, GDF is supportive of ESMA’s aim of consistent application of MiCA </w:t>
      </w:r>
      <w:r w:rsidR="00BB1E01" w:rsidRPr="00E22CD7">
        <w:rPr>
          <w:color w:val="000000" w:themeColor="text1"/>
          <w:lang w:val="en-US"/>
        </w:rPr>
        <w:t>requirements and</w:t>
      </w:r>
      <w:r w:rsidRPr="00E22CD7">
        <w:rPr>
          <w:color w:val="000000" w:themeColor="text1"/>
          <w:lang w:val="en-US"/>
        </w:rPr>
        <w:t xml:space="preserve"> preventing bad actors from </w:t>
      </w:r>
      <w:r w:rsidR="00E22CD7" w:rsidRPr="00E22CD7">
        <w:rPr>
          <w:color w:val="000000" w:themeColor="text1"/>
          <w:lang w:val="en-US"/>
        </w:rPr>
        <w:t>behavior</w:t>
      </w:r>
      <w:r w:rsidR="00D774EA">
        <w:rPr>
          <w:color w:val="000000" w:themeColor="text1"/>
          <w:lang w:val="en-US"/>
        </w:rPr>
        <w:t xml:space="preserve"> designed to circumvent the MiCA requirements</w:t>
      </w:r>
      <w:r w:rsidRPr="00E22CD7">
        <w:rPr>
          <w:color w:val="000000" w:themeColor="text1"/>
          <w:lang w:val="en-US"/>
        </w:rPr>
        <w:t>.</w:t>
      </w:r>
      <w:r w:rsidR="00C83FC7">
        <w:rPr>
          <w:color w:val="000000" w:themeColor="text1"/>
          <w:lang w:val="en-US"/>
        </w:rPr>
        <w:t xml:space="preserve"> Especially </w:t>
      </w:r>
      <w:proofErr w:type="gramStart"/>
      <w:r w:rsidR="00C83FC7">
        <w:rPr>
          <w:color w:val="000000" w:themeColor="text1"/>
          <w:lang w:val="en-US"/>
        </w:rPr>
        <w:t>in light of</w:t>
      </w:r>
      <w:proofErr w:type="gramEnd"/>
      <w:r w:rsidR="00C83FC7">
        <w:rPr>
          <w:color w:val="000000" w:themeColor="text1"/>
          <w:lang w:val="en-US"/>
        </w:rPr>
        <w:t xml:space="preserve"> ESMA’s mandate under Article 61(3) to provide guidance, GDF is supportive of ESMA providing clarity to the market. </w:t>
      </w:r>
      <w:r w:rsidRPr="00E22CD7">
        <w:rPr>
          <w:color w:val="000000" w:themeColor="text1"/>
          <w:lang w:val="en-US"/>
        </w:rPr>
        <w:t xml:space="preserve">GDF agrees with ESMA that </w:t>
      </w:r>
      <w:r w:rsidR="00975D2E" w:rsidRPr="00E22CD7">
        <w:rPr>
          <w:color w:val="000000" w:themeColor="text1"/>
          <w:lang w:val="en-US"/>
        </w:rPr>
        <w:t xml:space="preserve">it </w:t>
      </w:r>
      <w:r w:rsidRPr="00E22CD7">
        <w:rPr>
          <w:color w:val="000000" w:themeColor="text1"/>
          <w:lang w:val="en-US"/>
        </w:rPr>
        <w:t xml:space="preserve">is important to protect investors and </w:t>
      </w:r>
      <w:r w:rsidRPr="00E22CD7">
        <w:rPr>
          <w:lang w:val="en-US"/>
        </w:rPr>
        <w:t xml:space="preserve">make sure that clients of </w:t>
      </w:r>
      <w:r w:rsidR="00975D2E" w:rsidRPr="00E22CD7">
        <w:rPr>
          <w:lang w:val="en-US"/>
        </w:rPr>
        <w:t>crypto-asset service providers (</w:t>
      </w:r>
      <w:r w:rsidRPr="00E22CD7">
        <w:rPr>
          <w:lang w:val="en-US"/>
        </w:rPr>
        <w:t>CASPs</w:t>
      </w:r>
      <w:r w:rsidR="00975D2E" w:rsidRPr="00E22CD7">
        <w:rPr>
          <w:lang w:val="en-US"/>
        </w:rPr>
        <w:t>)</w:t>
      </w:r>
      <w:r w:rsidRPr="00E22CD7">
        <w:rPr>
          <w:lang w:val="en-US"/>
        </w:rPr>
        <w:t xml:space="preserve"> benefit from full rights and protections afforded to them under MiCA</w:t>
      </w:r>
      <w:r w:rsidR="00BA1807">
        <w:rPr>
          <w:lang w:val="en-US"/>
        </w:rPr>
        <w:t>, most particularly for retail clients, who would normally be regarded as ‘vulnerable clients</w:t>
      </w:r>
      <w:r w:rsidRPr="00E22CD7">
        <w:rPr>
          <w:lang w:val="en-US"/>
        </w:rPr>
        <w:t xml:space="preserve">. </w:t>
      </w:r>
      <w:r w:rsidR="00D774EA">
        <w:rPr>
          <w:lang w:val="en-US"/>
        </w:rPr>
        <w:t>However, we note</w:t>
      </w:r>
      <w:r w:rsidRPr="00E22CD7">
        <w:rPr>
          <w:color w:val="000000" w:themeColor="text1"/>
          <w:lang w:val="en-US"/>
        </w:rPr>
        <w:t xml:space="preserve"> that there are a few areas where the approach may benefit from further clarification</w:t>
      </w:r>
      <w:r w:rsidR="00130748">
        <w:rPr>
          <w:color w:val="000000" w:themeColor="text1"/>
          <w:lang w:val="en-US"/>
        </w:rPr>
        <w:t>, and we have set out these specific areas, as well as potential solutions on how clarity can be provided throughout our response</w:t>
      </w:r>
      <w:r w:rsidR="00C83FC7">
        <w:rPr>
          <w:color w:val="000000" w:themeColor="text1"/>
          <w:lang w:val="en-US"/>
        </w:rPr>
        <w:t>.</w:t>
      </w:r>
    </w:p>
    <w:p w14:paraId="48FDC6C9" w14:textId="77777777" w:rsidR="000D5089" w:rsidRPr="00E22CD7" w:rsidRDefault="000D5089" w:rsidP="00FE03D0">
      <w:pPr>
        <w:rPr>
          <w:color w:val="000000" w:themeColor="text1"/>
          <w:lang w:val="en-US"/>
        </w:rPr>
      </w:pPr>
    </w:p>
    <w:p w14:paraId="6DA7D504" w14:textId="377C4065" w:rsidR="007D0D27" w:rsidRDefault="007D0D27" w:rsidP="007D0D27">
      <w:pPr>
        <w:rPr>
          <w:color w:val="000000" w:themeColor="text1"/>
        </w:rPr>
      </w:pPr>
      <w:r w:rsidRPr="007D0D27">
        <w:rPr>
          <w:color w:val="000000" w:themeColor="text1"/>
        </w:rPr>
        <w:t>First, in paragraph 12 of the Consultation it notes that, “the draft guidelines follow largely, but not in all regards, the established practice under the MiFID II framework, as prescribed by ESMA Q&amp;As”, the proposed approach seems to adopt an application that is wider than that which is currently applied under MiFID II.</w:t>
      </w:r>
      <w:r>
        <w:rPr>
          <w:color w:val="000000" w:themeColor="text1"/>
        </w:rPr>
        <w:t xml:space="preserve"> </w:t>
      </w:r>
      <w:r w:rsidRPr="007D0D27">
        <w:rPr>
          <w:color w:val="000000" w:themeColor="text1"/>
        </w:rPr>
        <w:t>For example, Article 61(1) of MiCA states:</w:t>
      </w:r>
    </w:p>
    <w:p w14:paraId="35678607" w14:textId="77777777" w:rsidR="007D0D27" w:rsidRPr="007D0D27" w:rsidRDefault="007D0D27" w:rsidP="007D0D27">
      <w:pPr>
        <w:rPr>
          <w:color w:val="000000" w:themeColor="text1"/>
        </w:rPr>
      </w:pPr>
    </w:p>
    <w:p w14:paraId="539F5B00" w14:textId="77777777" w:rsidR="007D0D27" w:rsidRDefault="007D0D27" w:rsidP="007D0D27">
      <w:pPr>
        <w:rPr>
          <w:color w:val="000000" w:themeColor="text1"/>
        </w:rPr>
      </w:pPr>
      <w:r w:rsidRPr="007D0D27">
        <w:rPr>
          <w:i/>
          <w:iCs/>
          <w:color w:val="000000" w:themeColor="text1"/>
        </w:rPr>
        <w:t xml:space="preserve">“Where a client established or situated in the Union initiates at its own exclusive initiative the provision of a </w:t>
      </w:r>
      <w:r w:rsidRPr="005F7E9C">
        <w:rPr>
          <w:i/>
          <w:iCs/>
          <w:color w:val="000000" w:themeColor="text1"/>
        </w:rPr>
        <w:t>crypto-asset service or activity by a third‐country firm, the requirement for authorisation under Article 59 shall not apply to the provision of that crypto-asset service or activity by the third‐country firm to that client</w:t>
      </w:r>
      <w:r w:rsidRPr="007D0D27">
        <w:rPr>
          <w:i/>
          <w:iCs/>
          <w:color w:val="000000" w:themeColor="text1"/>
        </w:rPr>
        <w:t>, including a relationship specifically relating to the provision of that crypto-asset service or activity.”</w:t>
      </w:r>
      <w:r>
        <w:rPr>
          <w:color w:val="000000" w:themeColor="text1"/>
        </w:rPr>
        <w:t xml:space="preserve"> </w:t>
      </w:r>
    </w:p>
    <w:p w14:paraId="0A8F0F74" w14:textId="77777777" w:rsidR="007D0D27" w:rsidRDefault="007D0D27" w:rsidP="007D0D27">
      <w:pPr>
        <w:rPr>
          <w:color w:val="000000" w:themeColor="text1"/>
        </w:rPr>
      </w:pPr>
    </w:p>
    <w:p w14:paraId="5E1644BF" w14:textId="2372EA31" w:rsidR="007D0D27" w:rsidRDefault="007D0D27" w:rsidP="007D0D27">
      <w:pPr>
        <w:rPr>
          <w:color w:val="000000" w:themeColor="text1"/>
        </w:rPr>
      </w:pPr>
      <w:r w:rsidRPr="007D0D27">
        <w:rPr>
          <w:color w:val="000000" w:themeColor="text1"/>
        </w:rPr>
        <w:t>This wording is in line with the wording under Article 42 of MiFID</w:t>
      </w:r>
      <w:r>
        <w:rPr>
          <w:color w:val="000000" w:themeColor="text1"/>
        </w:rPr>
        <w:t xml:space="preserve"> which states</w:t>
      </w:r>
      <w:r w:rsidRPr="007D0D27">
        <w:rPr>
          <w:color w:val="000000" w:themeColor="text1"/>
        </w:rPr>
        <w:t>:</w:t>
      </w:r>
    </w:p>
    <w:p w14:paraId="0C0F886F" w14:textId="77777777" w:rsidR="007D0D27" w:rsidRPr="007D0D27" w:rsidRDefault="007D0D27" w:rsidP="007D0D27">
      <w:pPr>
        <w:rPr>
          <w:color w:val="000000" w:themeColor="text1"/>
        </w:rPr>
      </w:pPr>
    </w:p>
    <w:p w14:paraId="175845BB" w14:textId="70C1B50B" w:rsidR="007D0D27" w:rsidRDefault="007D0D27" w:rsidP="007D0D27">
      <w:pPr>
        <w:rPr>
          <w:i/>
          <w:iCs/>
          <w:color w:val="000000" w:themeColor="text1"/>
        </w:rPr>
      </w:pPr>
      <w:r w:rsidRPr="007D0D27">
        <w:rPr>
          <w:i/>
          <w:iCs/>
          <w:color w:val="000000" w:themeColor="text1"/>
        </w:rPr>
        <w:t>“</w:t>
      </w:r>
      <w:r>
        <w:rPr>
          <w:i/>
          <w:iCs/>
          <w:color w:val="000000" w:themeColor="text1"/>
        </w:rPr>
        <w:t>W</w:t>
      </w:r>
      <w:r w:rsidRPr="007D0D27">
        <w:rPr>
          <w:i/>
          <w:iCs/>
          <w:color w:val="000000" w:themeColor="text1"/>
        </w:rPr>
        <w:t>here a retail client or professional client within the meaning of Section II of Annex II established or situated in the Union initiates at its own exclusive initiative the provision of an investment service or activity by a third-country firm, the requirement for authorisation under Article 39 shall not apply to the provision of that service or activity by the third country firm to that person</w:t>
      </w:r>
      <w:r w:rsidR="005F7E9C">
        <w:rPr>
          <w:i/>
          <w:iCs/>
          <w:color w:val="000000" w:themeColor="text1"/>
        </w:rPr>
        <w:t>.</w:t>
      </w:r>
      <w:r w:rsidRPr="007D0D27">
        <w:rPr>
          <w:i/>
          <w:iCs/>
          <w:color w:val="000000" w:themeColor="text1"/>
        </w:rPr>
        <w:t>”</w:t>
      </w:r>
    </w:p>
    <w:p w14:paraId="4BB3C746" w14:textId="77777777" w:rsidR="007D0D27" w:rsidRPr="007D0D27" w:rsidRDefault="007D0D27" w:rsidP="007D0D27">
      <w:pPr>
        <w:rPr>
          <w:color w:val="000000" w:themeColor="text1"/>
        </w:rPr>
      </w:pPr>
    </w:p>
    <w:p w14:paraId="1701CBF3" w14:textId="77777777" w:rsidR="007D0D27" w:rsidRDefault="007D0D27" w:rsidP="007D0D27">
      <w:pPr>
        <w:rPr>
          <w:color w:val="000000" w:themeColor="text1"/>
        </w:rPr>
      </w:pPr>
      <w:r w:rsidRPr="007D0D27">
        <w:rPr>
          <w:color w:val="000000" w:themeColor="text1"/>
        </w:rPr>
        <w:t xml:space="preserve">As with MiFID, </w:t>
      </w:r>
      <w:r>
        <w:rPr>
          <w:color w:val="000000" w:themeColor="text1"/>
        </w:rPr>
        <w:t xml:space="preserve">GDF members understood that the </w:t>
      </w:r>
      <w:r w:rsidRPr="007D0D27">
        <w:rPr>
          <w:color w:val="000000" w:themeColor="text1"/>
        </w:rPr>
        <w:t>wording in MiCA is intended to be read as an exemption for firms who have been approached by a client at their exclusive initiative. However, whilst the Guideline 3 of the consultation paper reflects this, GDF members are concerned with the wording introduced in paragraph 11 of the Consultation, where ESMA states:</w:t>
      </w:r>
    </w:p>
    <w:p w14:paraId="3077D174" w14:textId="3AF9F9E7" w:rsidR="007D0D27" w:rsidRDefault="007D0D27" w:rsidP="007D0D27">
      <w:pPr>
        <w:rPr>
          <w:i/>
          <w:iCs/>
          <w:color w:val="000000" w:themeColor="text1"/>
        </w:rPr>
      </w:pPr>
      <w:r w:rsidRPr="007D0D27">
        <w:rPr>
          <w:color w:val="000000" w:themeColor="text1"/>
        </w:rPr>
        <w:br/>
        <w:t>“</w:t>
      </w:r>
      <w:r w:rsidRPr="007D0D27">
        <w:rPr>
          <w:i/>
          <w:iCs/>
          <w:color w:val="000000" w:themeColor="text1"/>
        </w:rPr>
        <w:t>Article 61 of MiCA, although often referred to as the reverse solicitation exemption, is actually a prohibition</w:t>
      </w:r>
      <w:r>
        <w:rPr>
          <w:i/>
          <w:iCs/>
          <w:color w:val="000000" w:themeColor="text1"/>
        </w:rPr>
        <w:t>.</w:t>
      </w:r>
      <w:r w:rsidRPr="007D0D27">
        <w:rPr>
          <w:i/>
          <w:iCs/>
          <w:color w:val="000000" w:themeColor="text1"/>
        </w:rPr>
        <w:t>”</w:t>
      </w:r>
    </w:p>
    <w:p w14:paraId="25FB44E1" w14:textId="77777777" w:rsidR="007D0D27" w:rsidRPr="007D0D27" w:rsidRDefault="007D0D27" w:rsidP="007D0D27">
      <w:pPr>
        <w:rPr>
          <w:color w:val="000000" w:themeColor="text1"/>
        </w:rPr>
      </w:pPr>
    </w:p>
    <w:p w14:paraId="7FAB23A8" w14:textId="352CE1C2" w:rsidR="007D0D27" w:rsidRPr="007D0D27" w:rsidRDefault="007D0D27" w:rsidP="007D0D27">
      <w:pPr>
        <w:rPr>
          <w:color w:val="000000" w:themeColor="text1"/>
        </w:rPr>
      </w:pPr>
      <w:r>
        <w:rPr>
          <w:color w:val="000000" w:themeColor="text1"/>
        </w:rPr>
        <w:t>GDF members are concerned that this would be</w:t>
      </w:r>
      <w:r w:rsidRPr="007D0D27">
        <w:rPr>
          <w:color w:val="000000" w:themeColor="text1"/>
        </w:rPr>
        <w:t xml:space="preserve"> </w:t>
      </w:r>
      <w:r>
        <w:rPr>
          <w:color w:val="000000" w:themeColor="text1"/>
        </w:rPr>
        <w:t>in</w:t>
      </w:r>
      <w:r w:rsidRPr="007D0D27">
        <w:rPr>
          <w:color w:val="000000" w:themeColor="text1"/>
        </w:rPr>
        <w:t xml:space="preserve">consistent with how MiFID is interpreted and </w:t>
      </w:r>
      <w:r>
        <w:rPr>
          <w:color w:val="000000" w:themeColor="text1"/>
        </w:rPr>
        <w:t xml:space="preserve">could inadvertently go beyond the </w:t>
      </w:r>
      <w:r w:rsidRPr="007D0D27">
        <w:rPr>
          <w:color w:val="000000" w:themeColor="text1"/>
        </w:rPr>
        <w:t xml:space="preserve">mandate that ESMA has been given. As such, members </w:t>
      </w:r>
      <w:r>
        <w:rPr>
          <w:color w:val="000000" w:themeColor="text1"/>
        </w:rPr>
        <w:t>would encourage</w:t>
      </w:r>
      <w:r w:rsidRPr="007D0D27">
        <w:rPr>
          <w:color w:val="000000" w:themeColor="text1"/>
        </w:rPr>
        <w:t xml:space="preserve"> that any revisions to Guideline 3 do</w:t>
      </w:r>
      <w:r>
        <w:rPr>
          <w:color w:val="000000" w:themeColor="text1"/>
        </w:rPr>
        <w:t xml:space="preserve"> </w:t>
      </w:r>
      <w:r w:rsidRPr="007D0D27">
        <w:rPr>
          <w:color w:val="000000" w:themeColor="text1"/>
        </w:rPr>
        <w:t>not</w:t>
      </w:r>
      <w:r>
        <w:rPr>
          <w:color w:val="000000" w:themeColor="text1"/>
        </w:rPr>
        <w:t xml:space="preserve"> seek to</w:t>
      </w:r>
      <w:r w:rsidRPr="007D0D27">
        <w:rPr>
          <w:color w:val="000000" w:themeColor="text1"/>
        </w:rPr>
        <w:t xml:space="preserve"> introduce wording of a prohibition or seek to apply a stricter standard than that of MiFID</w:t>
      </w:r>
      <w:r>
        <w:rPr>
          <w:color w:val="000000" w:themeColor="text1"/>
        </w:rPr>
        <w:t xml:space="preserve"> as this could lead to regulatory fragmentation and inadvertently create regulatory confusion and opportunities for arbitrage</w:t>
      </w:r>
      <w:r w:rsidRPr="007D0D27">
        <w:rPr>
          <w:color w:val="000000" w:themeColor="text1"/>
        </w:rPr>
        <w:t>.</w:t>
      </w:r>
    </w:p>
    <w:p w14:paraId="6383E009" w14:textId="7A7C0820" w:rsidR="007D0D27" w:rsidRPr="007D0D27" w:rsidRDefault="007D0D27" w:rsidP="007D0D27">
      <w:pPr>
        <w:rPr>
          <w:color w:val="000000" w:themeColor="text1"/>
        </w:rPr>
      </w:pPr>
      <w:r>
        <w:rPr>
          <w:color w:val="000000" w:themeColor="text1"/>
        </w:rPr>
        <w:lastRenderedPageBreak/>
        <w:t>To further expand upon this, members would note that h</w:t>
      </w:r>
      <w:r w:rsidRPr="007D0D27">
        <w:rPr>
          <w:color w:val="000000" w:themeColor="text1"/>
        </w:rPr>
        <w:t>istorically reverse enquiry fell under the territorial scope of national law. Discrepancies such as these between MiFID II and MiCA do not maintain a level playing field, and this interpretation could have an expansive impact on the market, possibly resulting in unintended consequences, which are outlined below. We would also highlight that differences between MiFID and MiCA may unintentionally result in MiCA being at odds with the principle of same risk same regulation. Such differences could also result in consumer confusion as customers may be receiving both MiFID and MiCA services.</w:t>
      </w:r>
    </w:p>
    <w:p w14:paraId="7BF5C69B" w14:textId="77777777" w:rsidR="000D5089" w:rsidRPr="00E22CD7" w:rsidRDefault="000D5089" w:rsidP="00FE03D0">
      <w:pPr>
        <w:rPr>
          <w:color w:val="000000" w:themeColor="text1"/>
          <w:lang w:val="en-US"/>
        </w:rPr>
      </w:pPr>
    </w:p>
    <w:p w14:paraId="6E35F072" w14:textId="49EF949B" w:rsidR="00EF3CAA" w:rsidRPr="00C83FC7" w:rsidRDefault="00000000" w:rsidP="00C83FC7">
      <w:r w:rsidRPr="00E22CD7">
        <w:rPr>
          <w:color w:val="000000" w:themeColor="text1"/>
          <w:lang w:val="en-US"/>
        </w:rPr>
        <w:t>In paragraph 14,</w:t>
      </w:r>
      <w:r w:rsidR="004C5B62">
        <w:rPr>
          <w:color w:val="000000" w:themeColor="text1"/>
          <w:lang w:val="en-US"/>
        </w:rPr>
        <w:t xml:space="preserve"> page 10,</w:t>
      </w:r>
      <w:r w:rsidRPr="00E22CD7">
        <w:rPr>
          <w:color w:val="000000" w:themeColor="text1"/>
          <w:lang w:val="en-US"/>
        </w:rPr>
        <w:t xml:space="preserve"> the </w:t>
      </w:r>
      <w:r w:rsidR="0030092A" w:rsidRPr="00E22CD7">
        <w:rPr>
          <w:color w:val="000000" w:themeColor="text1"/>
          <w:lang w:val="en-US"/>
        </w:rPr>
        <w:t>C</w:t>
      </w:r>
      <w:r w:rsidRPr="00E22CD7">
        <w:rPr>
          <w:color w:val="000000" w:themeColor="text1"/>
          <w:lang w:val="en-US"/>
        </w:rPr>
        <w:t>onsultation states that, “the ter</w:t>
      </w:r>
      <w:r w:rsidRPr="00E22CD7">
        <w:rPr>
          <w:lang w:val="en-US"/>
        </w:rPr>
        <w:t xml:space="preserve">m solicitation should be construed in the widest possible way.” </w:t>
      </w:r>
      <w:r>
        <w:rPr>
          <w:lang w:val="en-US"/>
        </w:rPr>
        <w:t>Members are concerned</w:t>
      </w:r>
      <w:r w:rsidR="00A72E83" w:rsidRPr="00E22CD7">
        <w:rPr>
          <w:lang w:val="en-US"/>
        </w:rPr>
        <w:t xml:space="preserve"> that t</w:t>
      </w:r>
      <w:r w:rsidRPr="00E22CD7">
        <w:rPr>
          <w:lang w:val="en-US"/>
        </w:rPr>
        <w:t xml:space="preserve">his </w:t>
      </w:r>
      <w:r w:rsidR="00BA1807">
        <w:rPr>
          <w:lang w:val="en-US"/>
        </w:rPr>
        <w:t>overarching description</w:t>
      </w:r>
      <w:r>
        <w:rPr>
          <w:lang w:val="en-US"/>
        </w:rPr>
        <w:t xml:space="preserve"> could lead to </w:t>
      </w:r>
      <w:r w:rsidR="00977CA3">
        <w:rPr>
          <w:lang w:val="en-US"/>
        </w:rPr>
        <w:t xml:space="preserve">unintended consequences </w:t>
      </w:r>
      <w:r>
        <w:rPr>
          <w:lang w:val="en-US"/>
        </w:rPr>
        <w:t>and inconsistent application from the National Competent Authorities (NCAs) that are administering this regime</w:t>
      </w:r>
      <w:r w:rsidR="00A72E83" w:rsidRPr="00E22CD7">
        <w:rPr>
          <w:lang w:val="en-US"/>
        </w:rPr>
        <w:t>.</w:t>
      </w:r>
      <w:r w:rsidR="00C83FC7">
        <w:rPr>
          <w:lang w:val="en-US"/>
        </w:rPr>
        <w:t xml:space="preserve"> For example, </w:t>
      </w:r>
      <w:r w:rsidR="00C83FC7" w:rsidRPr="00C83FC7">
        <w:t>a</w:t>
      </w:r>
      <w:r w:rsidR="00C83FC7">
        <w:t xml:space="preserve"> </w:t>
      </w:r>
      <w:r w:rsidR="00C83FC7" w:rsidRPr="00C83FC7">
        <w:t>broad description</w:t>
      </w:r>
      <w:r w:rsidR="00C83FC7">
        <w:t xml:space="preserve"> such as this</w:t>
      </w:r>
      <w:r w:rsidR="00C83FC7" w:rsidRPr="00C83FC7">
        <w:t xml:space="preserve"> could lead to regulatory arbitrage in which different NCAs might take different stances</w:t>
      </w:r>
      <w:r w:rsidR="00C83FC7">
        <w:t xml:space="preserve"> or may have different views</w:t>
      </w:r>
      <w:r w:rsidR="00C83FC7" w:rsidRPr="00C83FC7">
        <w:t xml:space="preserve"> </w:t>
      </w:r>
      <w:r w:rsidR="00C83FC7">
        <w:t>o</w:t>
      </w:r>
      <w:r w:rsidR="00C83FC7" w:rsidRPr="00C83FC7">
        <w:t>n perimeter related enforcement action</w:t>
      </w:r>
      <w:r w:rsidR="00C83FC7">
        <w:t xml:space="preserve">s. It may also have the unintended consequence of </w:t>
      </w:r>
      <w:r w:rsidR="00C83FC7" w:rsidRPr="00C83FC7">
        <w:t>creat</w:t>
      </w:r>
      <w:r w:rsidR="00C83FC7">
        <w:t>ing</w:t>
      </w:r>
      <w:r w:rsidR="00C83FC7" w:rsidRPr="00C83FC7">
        <w:t xml:space="preserve"> regulatory uncertainty, that </w:t>
      </w:r>
      <w:r w:rsidR="00C83FC7">
        <w:t>could</w:t>
      </w:r>
      <w:r w:rsidR="00C83FC7" w:rsidRPr="00C83FC7">
        <w:t xml:space="preserve"> prevent business from assessing whether </w:t>
      </w:r>
      <w:r w:rsidR="00C83FC7">
        <w:t>certain</w:t>
      </w:r>
      <w:r w:rsidR="00C83FC7" w:rsidRPr="00C83FC7">
        <w:t xml:space="preserve"> business models </w:t>
      </w:r>
      <w:r w:rsidR="00C83FC7">
        <w:t>are permitted</w:t>
      </w:r>
      <w:r w:rsidR="00C83FC7" w:rsidRPr="00C83FC7">
        <w:t xml:space="preserve"> under the reverse solicitation exemption or require </w:t>
      </w:r>
      <w:r w:rsidR="00C83FC7">
        <w:t xml:space="preserve">separate </w:t>
      </w:r>
      <w:r w:rsidR="00C83FC7" w:rsidRPr="00C83FC7">
        <w:t>licens</w:t>
      </w:r>
      <w:r w:rsidR="00C83FC7">
        <w:t>ing</w:t>
      </w:r>
      <w:r w:rsidR="00C83FC7" w:rsidRPr="00C83FC7">
        <w:t>.</w:t>
      </w:r>
      <w:r w:rsidR="00A72E83" w:rsidRPr="00E22CD7">
        <w:rPr>
          <w:lang w:val="en-US"/>
        </w:rPr>
        <w:t xml:space="preserve"> </w:t>
      </w:r>
      <w:r>
        <w:rPr>
          <w:lang w:val="en-US"/>
        </w:rPr>
        <w:t>As such, we urge ESMA to provide clarification</w:t>
      </w:r>
      <w:r w:rsidR="00977CA3">
        <w:rPr>
          <w:lang w:val="en-US"/>
        </w:rPr>
        <w:t>s</w:t>
      </w:r>
      <w:r>
        <w:rPr>
          <w:lang w:val="en-US"/>
        </w:rPr>
        <w:t xml:space="preserve"> on </w:t>
      </w:r>
      <w:r w:rsidR="00844160">
        <w:rPr>
          <w:lang w:val="en-US"/>
        </w:rPr>
        <w:t>these matters</w:t>
      </w:r>
      <w:r w:rsidR="00977CA3">
        <w:rPr>
          <w:lang w:val="en-US"/>
        </w:rPr>
        <w:t xml:space="preserve"> set out below.</w:t>
      </w:r>
      <w:r>
        <w:rPr>
          <w:lang w:val="en-US"/>
        </w:rPr>
        <w:t xml:space="preserve"> </w:t>
      </w:r>
    </w:p>
    <w:p w14:paraId="7E0FCC0A" w14:textId="77777777" w:rsidR="00EF3CAA" w:rsidRDefault="00EF3CAA" w:rsidP="00FE03D0">
      <w:pPr>
        <w:rPr>
          <w:lang w:val="en-US"/>
        </w:rPr>
      </w:pPr>
    </w:p>
    <w:p w14:paraId="55B081EE" w14:textId="000FF8FA" w:rsidR="000D5089" w:rsidRDefault="00EF3CAA" w:rsidP="00FE03D0">
      <w:pPr>
        <w:rPr>
          <w:lang w:val="en-US"/>
        </w:rPr>
      </w:pPr>
      <w:r>
        <w:rPr>
          <w:lang w:val="en-US"/>
        </w:rPr>
        <w:t>GDF members also cautioned that this wide interpretation could lead to uncertainty in the market. N</w:t>
      </w:r>
      <w:r w:rsidRPr="00E22CD7">
        <w:rPr>
          <w:lang w:val="en-US"/>
        </w:rPr>
        <w:t>ot all social media communication is marketing communication</w:t>
      </w:r>
      <w:r>
        <w:rPr>
          <w:lang w:val="en-US"/>
        </w:rPr>
        <w:t xml:space="preserve">, </w:t>
      </w:r>
      <w:r w:rsidR="0006482A">
        <w:rPr>
          <w:lang w:val="en-US"/>
        </w:rPr>
        <w:t>however, there is concern that NCAs taking a</w:t>
      </w:r>
      <w:r w:rsidR="00130748">
        <w:rPr>
          <w:lang w:val="en-US"/>
        </w:rPr>
        <w:t>n overly</w:t>
      </w:r>
      <w:r w:rsidR="0006482A">
        <w:rPr>
          <w:lang w:val="en-US"/>
        </w:rPr>
        <w:t xml:space="preserve"> wide interpretation could capture benign communications</w:t>
      </w:r>
      <w:r w:rsidR="00130748" w:rsidRPr="00130748">
        <w:rPr>
          <w:lang w:val="en-US"/>
        </w:rPr>
        <w:t xml:space="preserve"> </w:t>
      </w:r>
      <w:r w:rsidR="00130748">
        <w:rPr>
          <w:lang w:val="en-US"/>
        </w:rPr>
        <w:t>between market participants that do not relate to the provision of specific MiCA services</w:t>
      </w:r>
      <w:r w:rsidRPr="00E22CD7">
        <w:rPr>
          <w:lang w:val="en-US"/>
        </w:rPr>
        <w:t xml:space="preserve">. </w:t>
      </w:r>
      <w:r w:rsidR="0006482A">
        <w:rPr>
          <w:lang w:val="en-US"/>
        </w:rPr>
        <w:t>The same applies to c</w:t>
      </w:r>
      <w:r w:rsidRPr="00E22CD7">
        <w:rPr>
          <w:lang w:val="en-US"/>
        </w:rPr>
        <w:t>onference advertising and communications about events and roundtables</w:t>
      </w:r>
      <w:r w:rsidR="0006482A">
        <w:rPr>
          <w:lang w:val="en-US"/>
        </w:rPr>
        <w:t>.</w:t>
      </w:r>
      <w:r w:rsidRPr="00E22CD7">
        <w:rPr>
          <w:lang w:val="en-US"/>
        </w:rPr>
        <w:t xml:space="preserve"> </w:t>
      </w:r>
      <w:r w:rsidR="0006482A">
        <w:rPr>
          <w:lang w:val="en-US"/>
        </w:rPr>
        <w:t>A wide interpretation of solicitation</w:t>
      </w:r>
      <w:r w:rsidRPr="00E22CD7">
        <w:rPr>
          <w:lang w:val="en-US"/>
        </w:rPr>
        <w:t xml:space="preserve"> could have the unintended consequence of preventing CASPs from engaging in events, sharing reports, or participating in white papers</w:t>
      </w:r>
      <w:r w:rsidR="00130748">
        <w:rPr>
          <w:lang w:val="en-US"/>
        </w:rPr>
        <w:t xml:space="preserve"> in the EU</w:t>
      </w:r>
      <w:r w:rsidRPr="00E22CD7">
        <w:rPr>
          <w:lang w:val="en-US"/>
        </w:rPr>
        <w:t>.</w:t>
      </w:r>
      <w:r w:rsidR="0006482A">
        <w:rPr>
          <w:lang w:val="en-US"/>
        </w:rPr>
        <w:t xml:space="preserve"> These activities are important for knowledge sharing and the </w:t>
      </w:r>
      <w:r w:rsidR="00130748">
        <w:rPr>
          <w:lang w:val="en-US"/>
        </w:rPr>
        <w:t xml:space="preserve">maturing </w:t>
      </w:r>
      <w:r w:rsidR="0006482A">
        <w:rPr>
          <w:lang w:val="en-US"/>
        </w:rPr>
        <w:t>of the industry. GDF notes the important role</w:t>
      </w:r>
      <w:r w:rsidR="00BB1E01">
        <w:rPr>
          <w:lang w:val="en-US"/>
        </w:rPr>
        <w:t xml:space="preserve"> cross-industry engagement</w:t>
      </w:r>
      <w:r w:rsidR="0006482A">
        <w:rPr>
          <w:lang w:val="en-US"/>
        </w:rPr>
        <w:t xml:space="preserve"> play</w:t>
      </w:r>
      <w:r w:rsidR="00BB1E01">
        <w:rPr>
          <w:lang w:val="en-US"/>
        </w:rPr>
        <w:t xml:space="preserve">s </w:t>
      </w:r>
      <w:r w:rsidR="0006482A">
        <w:rPr>
          <w:lang w:val="en-US"/>
        </w:rPr>
        <w:t xml:space="preserve">in developing </w:t>
      </w:r>
      <w:r w:rsidR="00BB1E01">
        <w:rPr>
          <w:lang w:val="en-US"/>
        </w:rPr>
        <w:t>industry standards</w:t>
      </w:r>
      <w:r w:rsidR="00130748">
        <w:rPr>
          <w:lang w:val="en-US"/>
        </w:rPr>
        <w:t>, sharing best practice (</w:t>
      </w:r>
      <w:r w:rsidR="00844160">
        <w:rPr>
          <w:lang w:val="en-US"/>
        </w:rPr>
        <w:t>particularly</w:t>
      </w:r>
      <w:r w:rsidR="00130748">
        <w:rPr>
          <w:lang w:val="en-US"/>
        </w:rPr>
        <w:t xml:space="preserve"> in respect of compliance issues) and facilitating </w:t>
      </w:r>
      <w:r w:rsidR="00BB1E01">
        <w:rPr>
          <w:lang w:val="en-US"/>
        </w:rPr>
        <w:t>cross-industry projects.</w:t>
      </w:r>
      <w:r w:rsidR="0006482A">
        <w:rPr>
          <w:lang w:val="en-US"/>
        </w:rPr>
        <w:t xml:space="preserve"> </w:t>
      </w:r>
      <w:r w:rsidR="006E64F6">
        <w:rPr>
          <w:lang w:val="en-US"/>
        </w:rPr>
        <w:t>GDF notes the importance of input from global firms to what are global solutions and cautions against ESMA inadvertently creating fortress Europe.</w:t>
      </w:r>
      <w:r w:rsidR="00BB1E01">
        <w:rPr>
          <w:lang w:val="en-US"/>
        </w:rPr>
        <w:t xml:space="preserve"> </w:t>
      </w:r>
      <w:r w:rsidRPr="00E22CD7">
        <w:rPr>
          <w:lang w:val="en-US"/>
        </w:rPr>
        <w:t>To mitigate this risk, we would propose that if a post</w:t>
      </w:r>
      <w:r w:rsidR="00D774EA">
        <w:rPr>
          <w:lang w:val="en-US"/>
        </w:rPr>
        <w:t xml:space="preserve"> or event</w:t>
      </w:r>
      <w:r w:rsidRPr="00E22CD7">
        <w:rPr>
          <w:lang w:val="en-US"/>
        </w:rPr>
        <w:t xml:space="preserve"> is informational</w:t>
      </w:r>
      <w:r w:rsidR="00D774EA">
        <w:rPr>
          <w:lang w:val="en-US"/>
        </w:rPr>
        <w:t xml:space="preserve"> in nature</w:t>
      </w:r>
      <w:r w:rsidRPr="00E22CD7">
        <w:rPr>
          <w:lang w:val="en-US"/>
        </w:rPr>
        <w:t xml:space="preserve"> rather than promotional, that should be excluded from this broad definition and not be considered as active solicitation. </w:t>
      </w:r>
    </w:p>
    <w:p w14:paraId="11E982C1" w14:textId="77777777" w:rsidR="004C5B62" w:rsidRDefault="004C5B62" w:rsidP="00FE03D0">
      <w:pPr>
        <w:rPr>
          <w:lang w:val="en-US"/>
        </w:rPr>
      </w:pPr>
    </w:p>
    <w:p w14:paraId="4F69D934" w14:textId="77777777" w:rsidR="004C5B62" w:rsidRPr="004C5B62" w:rsidRDefault="004C5B62" w:rsidP="004C5B62">
      <w:r w:rsidRPr="004C5B62">
        <w:rPr>
          <w:color w:val="000000"/>
        </w:rPr>
        <w:t>On the interpretation of solicitation, it would also be beneficial to clarify that the solicitation of clients established or situated in the Union is only deemed to take place where:</w:t>
      </w:r>
    </w:p>
    <w:p w14:paraId="2ABE747C" w14:textId="77777777" w:rsidR="004C5B62" w:rsidRPr="004C5B62" w:rsidRDefault="004C5B62" w:rsidP="004C5B62">
      <w:r w:rsidRPr="004C5B62">
        <w:rPr>
          <w:color w:val="000000"/>
        </w:rPr>
        <w:t>(i) there is promotion, advertisement or offer of crypto-asset services or activities; and </w:t>
      </w:r>
    </w:p>
    <w:p w14:paraId="678795A8" w14:textId="77777777" w:rsidR="004C5B62" w:rsidRPr="004C5B62" w:rsidRDefault="004C5B62" w:rsidP="004C5B62">
      <w:r w:rsidRPr="004C5B62">
        <w:rPr>
          <w:color w:val="000000"/>
        </w:rPr>
        <w:t>(ii) such promotion, advertisement or offer targets clients established or situated in the Union. </w:t>
      </w:r>
    </w:p>
    <w:p w14:paraId="75B50988" w14:textId="77777777" w:rsidR="004C5B62" w:rsidRPr="004C5B62" w:rsidRDefault="004C5B62" w:rsidP="004C5B62"/>
    <w:p w14:paraId="2E9F14F4" w14:textId="0F5B1FFA" w:rsidR="00EB6FA8" w:rsidRPr="00EB6FA8" w:rsidRDefault="004C5B62" w:rsidP="00FE03D0">
      <w:pPr>
        <w:rPr>
          <w:color w:val="000000"/>
        </w:rPr>
      </w:pPr>
      <w:r w:rsidRPr="004C5B62">
        <w:rPr>
          <w:color w:val="000000"/>
        </w:rPr>
        <w:t>On point (i), we commented above on the need to exclude informational content from the definition of what constitutes promotion, advertisement or offer of crypto-asset services or activities</w:t>
      </w:r>
      <w:r w:rsidRPr="00ED58C0">
        <w:rPr>
          <w:color w:val="000000"/>
        </w:rPr>
        <w:t xml:space="preserve">. Regarding point (ii), paragraph 13 of the proposed Guidelines (found on page 18) mentions websites </w:t>
      </w:r>
      <w:r w:rsidR="00ED58C0">
        <w:rPr>
          <w:color w:val="000000"/>
        </w:rPr>
        <w:t xml:space="preserve">and communication </w:t>
      </w:r>
      <w:r w:rsidRPr="00ED58C0">
        <w:rPr>
          <w:color w:val="000000"/>
        </w:rPr>
        <w:t xml:space="preserve">in an official language of the Union </w:t>
      </w:r>
      <w:r w:rsidR="00ED58C0">
        <w:rPr>
          <w:color w:val="000000"/>
        </w:rPr>
        <w:t xml:space="preserve">which is </w:t>
      </w:r>
      <w:r w:rsidRPr="00ED58C0">
        <w:rPr>
          <w:color w:val="000000"/>
        </w:rPr>
        <w:t xml:space="preserve">not commonly used in international finance would be deemed an indicator that </w:t>
      </w:r>
      <w:r w:rsidR="00ED58C0">
        <w:rPr>
          <w:color w:val="000000"/>
        </w:rPr>
        <w:t xml:space="preserve">firms are targeting </w:t>
      </w:r>
      <w:r w:rsidRPr="00ED58C0">
        <w:rPr>
          <w:color w:val="000000"/>
        </w:rPr>
        <w:t>clients located or established in the</w:t>
      </w:r>
      <w:r w:rsidR="00ED58C0">
        <w:rPr>
          <w:color w:val="000000"/>
        </w:rPr>
        <w:t xml:space="preserve"> Union</w:t>
      </w:r>
      <w:r w:rsidR="00EB6FA8">
        <w:rPr>
          <w:i/>
          <w:iCs/>
          <w:color w:val="000000"/>
        </w:rPr>
        <w:t xml:space="preserve">. </w:t>
      </w:r>
      <w:r w:rsidR="00EB6FA8">
        <w:rPr>
          <w:color w:val="000000"/>
        </w:rPr>
        <w:t>Members call on ESMA to provide greater clarity to set out the perimeter for what “not commonly used in international finance” is deemed to capture in this point.</w:t>
      </w:r>
      <w:r w:rsidR="00EB6FA8" w:rsidRPr="00EB6FA8">
        <w:rPr>
          <w:i/>
          <w:iCs/>
          <w:color w:val="000000"/>
        </w:rPr>
        <w:t xml:space="preserve"> </w:t>
      </w:r>
      <w:r w:rsidR="00EB6FA8" w:rsidRPr="00EB6FA8">
        <w:rPr>
          <w:color w:val="000000"/>
        </w:rPr>
        <w:t xml:space="preserve">We should note there can be instances where firms are operating outside </w:t>
      </w:r>
      <w:r w:rsidR="00EB6FA8" w:rsidRPr="00EB6FA8">
        <w:rPr>
          <w:color w:val="000000"/>
        </w:rPr>
        <w:lastRenderedPageBreak/>
        <w:t xml:space="preserve">of the </w:t>
      </w:r>
      <w:r w:rsidR="00EB6FA8">
        <w:rPr>
          <w:color w:val="000000"/>
        </w:rPr>
        <w:t>Union</w:t>
      </w:r>
      <w:r w:rsidR="00EB6FA8" w:rsidRPr="00EB6FA8">
        <w:rPr>
          <w:color w:val="000000"/>
        </w:rPr>
        <w:t xml:space="preserve"> with no intention to operate in the </w:t>
      </w:r>
      <w:r w:rsidR="00EB6FA8">
        <w:rPr>
          <w:color w:val="000000"/>
        </w:rPr>
        <w:t>Union</w:t>
      </w:r>
      <w:r w:rsidR="00EB6FA8" w:rsidRPr="00EB6FA8">
        <w:rPr>
          <w:color w:val="000000"/>
        </w:rPr>
        <w:t xml:space="preserve"> but are now being captured by this provision</w:t>
      </w:r>
      <w:r w:rsidR="00EB6FA8">
        <w:rPr>
          <w:color w:val="000000"/>
        </w:rPr>
        <w:t xml:space="preserve"> because they have an official language that is also used in an official capacity within the Union, which could lead to an overreach of MiCA.</w:t>
      </w:r>
    </w:p>
    <w:p w14:paraId="47407B79" w14:textId="77777777" w:rsidR="00EB6FA8" w:rsidRDefault="00EB6FA8" w:rsidP="00FE03D0">
      <w:pPr>
        <w:rPr>
          <w:color w:val="000000"/>
        </w:rPr>
      </w:pPr>
    </w:p>
    <w:p w14:paraId="6E3237D6" w14:textId="27F398FA" w:rsidR="004C5B62" w:rsidRPr="006327E1" w:rsidRDefault="004C5B62" w:rsidP="00FE03D0">
      <w:r w:rsidRPr="004C5B62">
        <w:rPr>
          <w:color w:val="000000"/>
        </w:rPr>
        <w:t>To prevent discouraging third-country firms from providing services accessible to their audience outside the Union, it would be relevant to exclude official languages also used outside the Union</w:t>
      </w:r>
      <w:r w:rsidR="00EB6FA8">
        <w:rPr>
          <w:color w:val="000000"/>
        </w:rPr>
        <w:t xml:space="preserve"> </w:t>
      </w:r>
      <w:r w:rsidRPr="004C5B62">
        <w:rPr>
          <w:color w:val="000000"/>
        </w:rPr>
        <w:t xml:space="preserve">when the third-party firm has presence in countries that share these official languages or have significant speaking populations. Otherwise, this approach might inadvertently encourage service provision methods that limit </w:t>
      </w:r>
      <w:r w:rsidR="00D548C8" w:rsidRPr="004C5B62">
        <w:rPr>
          <w:color w:val="000000"/>
        </w:rPr>
        <w:t>access.</w:t>
      </w:r>
    </w:p>
    <w:p w14:paraId="48E01AD1" w14:textId="77777777" w:rsidR="00A72E83" w:rsidRPr="00E22CD7" w:rsidRDefault="00A72E83" w:rsidP="00FE03D0">
      <w:pPr>
        <w:rPr>
          <w:lang w:val="en-US"/>
        </w:rPr>
      </w:pPr>
    </w:p>
    <w:p w14:paraId="5F3E8AC9" w14:textId="63F7931C" w:rsidR="00A72E83" w:rsidRPr="00E22CD7" w:rsidRDefault="00880A7D" w:rsidP="00FE03D0">
      <w:pPr>
        <w:rPr>
          <w:lang w:val="en-US"/>
        </w:rPr>
      </w:pPr>
      <w:r>
        <w:rPr>
          <w:lang w:val="en-US"/>
        </w:rPr>
        <w:t>Members also drew attention to paragraph 15, where ESMA deem</w:t>
      </w:r>
      <w:r w:rsidR="006E64F6">
        <w:rPr>
          <w:lang w:val="en-US"/>
        </w:rPr>
        <w:t>s that a broad interpretation should be given to the person soliciting</w:t>
      </w:r>
      <w:r w:rsidR="00130748">
        <w:rPr>
          <w:lang w:val="en-US"/>
        </w:rPr>
        <w:t>, n</w:t>
      </w:r>
      <w:r w:rsidR="006E64F6">
        <w:rPr>
          <w:lang w:val="en-US"/>
        </w:rPr>
        <w:t xml:space="preserve">oting that it could be an entity or person acting on the </w:t>
      </w:r>
      <w:r w:rsidR="00747FD8">
        <w:rPr>
          <w:lang w:val="en-US"/>
        </w:rPr>
        <w:t>firm’s</w:t>
      </w:r>
      <w:r w:rsidR="006E64F6">
        <w:rPr>
          <w:lang w:val="en-US"/>
        </w:rPr>
        <w:t xml:space="preserve"> behalf. Members asked ESMA to provide greater clarity on this, noting that </w:t>
      </w:r>
      <w:r w:rsidR="00BA1807">
        <w:rPr>
          <w:lang w:val="en-US"/>
        </w:rPr>
        <w:t>without exact clarification</w:t>
      </w:r>
      <w:r w:rsidR="00747FD8">
        <w:rPr>
          <w:lang w:val="en-US"/>
        </w:rPr>
        <w:t>,</w:t>
      </w:r>
      <w:r w:rsidRPr="00E22CD7">
        <w:rPr>
          <w:lang w:val="en-US"/>
        </w:rPr>
        <w:t xml:space="preserve"> the definition may include price comparison websites and consumer websites that are third</w:t>
      </w:r>
      <w:r w:rsidR="00BD0F31">
        <w:rPr>
          <w:lang w:val="en-US"/>
        </w:rPr>
        <w:t>-</w:t>
      </w:r>
      <w:r w:rsidRPr="00E22CD7">
        <w:rPr>
          <w:lang w:val="en-US"/>
        </w:rPr>
        <w:t xml:space="preserve">party sources. These sites may </w:t>
      </w:r>
      <w:r w:rsidR="00D774EA">
        <w:rPr>
          <w:lang w:val="en-US"/>
        </w:rPr>
        <w:t xml:space="preserve">not have </w:t>
      </w:r>
      <w:r w:rsidRPr="00E22CD7">
        <w:rPr>
          <w:lang w:val="en-US"/>
        </w:rPr>
        <w:t>a relationship with the service provider or CASP and as such considering their activities as “solicitation” would not be appropriate</w:t>
      </w:r>
      <w:r w:rsidR="00130748">
        <w:rPr>
          <w:lang w:val="en-US"/>
        </w:rPr>
        <w:t xml:space="preserve"> as the CASP may have no control over the </w:t>
      </w:r>
      <w:r w:rsidR="00844160">
        <w:rPr>
          <w:lang w:val="en-US"/>
        </w:rPr>
        <w:t>third-party</w:t>
      </w:r>
      <w:r w:rsidR="00130748">
        <w:rPr>
          <w:lang w:val="en-US"/>
        </w:rPr>
        <w:t xml:space="preserve"> providing information about its services</w:t>
      </w:r>
      <w:r w:rsidRPr="00E22CD7">
        <w:rPr>
          <w:lang w:val="en-US"/>
        </w:rPr>
        <w:t xml:space="preserve">. </w:t>
      </w:r>
      <w:r w:rsidR="006E64F6">
        <w:rPr>
          <w:lang w:val="en-US"/>
        </w:rPr>
        <w:t>Members</w:t>
      </w:r>
      <w:r w:rsidR="006E64F6" w:rsidRPr="00E22CD7">
        <w:rPr>
          <w:lang w:val="en-US"/>
        </w:rPr>
        <w:t xml:space="preserve"> </w:t>
      </w:r>
      <w:r w:rsidR="006E64F6">
        <w:rPr>
          <w:lang w:val="en-US"/>
        </w:rPr>
        <w:t xml:space="preserve">note the importance of shutting down </w:t>
      </w:r>
      <w:r w:rsidR="00747FD8">
        <w:rPr>
          <w:lang w:val="en-US"/>
        </w:rPr>
        <w:t>loopholes</w:t>
      </w:r>
      <w:r w:rsidR="006E64F6">
        <w:rPr>
          <w:lang w:val="en-US"/>
        </w:rPr>
        <w:t xml:space="preserve"> such as this but advise ESMA </w:t>
      </w:r>
      <w:r w:rsidR="00130748">
        <w:rPr>
          <w:lang w:val="en-US"/>
        </w:rPr>
        <w:t xml:space="preserve">to clarify that </w:t>
      </w:r>
      <w:r w:rsidR="00130748" w:rsidRPr="00E22CD7">
        <w:rPr>
          <w:lang w:val="en-US"/>
        </w:rPr>
        <w:t xml:space="preserve">this type of activity, if not affiliated with the CASP, </w:t>
      </w:r>
      <w:r w:rsidR="00130748">
        <w:rPr>
          <w:lang w:val="en-US"/>
        </w:rPr>
        <w:t>is not captured by</w:t>
      </w:r>
      <w:r w:rsidR="00130748" w:rsidRPr="00E22CD7">
        <w:rPr>
          <w:lang w:val="en-US"/>
        </w:rPr>
        <w:t xml:space="preserve"> the definition of solicitation</w:t>
      </w:r>
      <w:r w:rsidR="00130748">
        <w:rPr>
          <w:lang w:val="en-US"/>
        </w:rPr>
        <w:t xml:space="preserve"> – which is only intended to capture scenarios where a link or relationship between the CASP and third party </w:t>
      </w:r>
      <w:r w:rsidR="006E64F6">
        <w:rPr>
          <w:lang w:val="en-US"/>
        </w:rPr>
        <w:t>can be identified.</w:t>
      </w:r>
    </w:p>
    <w:p w14:paraId="0BF7F5A9" w14:textId="77777777" w:rsidR="004B6D4D" w:rsidRPr="00E22CD7" w:rsidRDefault="004B6D4D" w:rsidP="00FE03D0">
      <w:pPr>
        <w:rPr>
          <w:lang w:val="en-US"/>
        </w:rPr>
      </w:pPr>
    </w:p>
    <w:p w14:paraId="6080A481" w14:textId="182798F7" w:rsidR="004B6D4D" w:rsidRPr="00E22CD7" w:rsidRDefault="006E64F6" w:rsidP="00FE03D0">
      <w:pPr>
        <w:rPr>
          <w:lang w:val="en-US"/>
        </w:rPr>
      </w:pPr>
      <w:r>
        <w:rPr>
          <w:lang w:val="en-US"/>
        </w:rPr>
        <w:t>GDF notes</w:t>
      </w:r>
      <w:r w:rsidRPr="00E22CD7">
        <w:rPr>
          <w:lang w:val="en-US"/>
        </w:rPr>
        <w:t xml:space="preserve"> that it would be beneficial to demarcate a distinction between engaging with non-EU parties for the purposes of solicitation</w:t>
      </w:r>
      <w:r w:rsidR="00130748">
        <w:rPr>
          <w:lang w:val="en-US"/>
        </w:rPr>
        <w:t xml:space="preserve"> of services</w:t>
      </w:r>
      <w:r w:rsidRPr="00E22CD7">
        <w:rPr>
          <w:lang w:val="en-US"/>
        </w:rPr>
        <w:t xml:space="preserve"> versus </w:t>
      </w:r>
      <w:r w:rsidR="00130748">
        <w:rPr>
          <w:lang w:val="en-US"/>
        </w:rPr>
        <w:t>discussions about</w:t>
      </w:r>
      <w:r w:rsidRPr="00E22CD7">
        <w:rPr>
          <w:lang w:val="en-US"/>
        </w:rPr>
        <w:t xml:space="preserve"> partnerships such as those provided by infrastructure and</w:t>
      </w:r>
      <w:r w:rsidR="00130748">
        <w:rPr>
          <w:lang w:val="en-US"/>
        </w:rPr>
        <w:t xml:space="preserve"> other similar</w:t>
      </w:r>
      <w:r w:rsidRPr="00E22CD7">
        <w:rPr>
          <w:lang w:val="en-US"/>
        </w:rPr>
        <w:t xml:space="preserve"> </w:t>
      </w:r>
      <w:r w:rsidR="00747FD8" w:rsidRPr="00E22CD7">
        <w:rPr>
          <w:lang w:val="en-US"/>
        </w:rPr>
        <w:t>third-party</w:t>
      </w:r>
      <w:r w:rsidRPr="00E22CD7">
        <w:rPr>
          <w:lang w:val="en-US"/>
        </w:rPr>
        <w:t xml:space="preserve"> service providers. If EU firms are not able to effectively engage with infrastructure providers, they may not be able to access some of the necessary services that can support the EU developing its own digital finance ecosystem</w:t>
      </w:r>
      <w:r w:rsidR="00130748">
        <w:rPr>
          <w:lang w:val="en-US"/>
        </w:rPr>
        <w:t>, and their ability to provide the best possible service to clients could be compromised</w:t>
      </w:r>
      <w:r w:rsidR="00130748" w:rsidRPr="00E22CD7">
        <w:rPr>
          <w:lang w:val="en-US"/>
        </w:rPr>
        <w:t>.</w:t>
      </w:r>
      <w:r w:rsidR="00D8318B">
        <w:rPr>
          <w:lang w:val="en-US"/>
        </w:rPr>
        <w:t xml:space="preserve"> </w:t>
      </w:r>
    </w:p>
    <w:p w14:paraId="0DDE8DF2" w14:textId="77777777" w:rsidR="00A72E83" w:rsidRPr="00E22CD7" w:rsidRDefault="00A72E83" w:rsidP="00FE03D0">
      <w:pPr>
        <w:rPr>
          <w:lang w:val="en-US"/>
        </w:rPr>
      </w:pPr>
    </w:p>
    <w:p w14:paraId="6A1BFFD3" w14:textId="53CF6FB6" w:rsidR="00FE03D0" w:rsidRPr="00E22CD7" w:rsidRDefault="006339A0" w:rsidP="00FE03D0">
      <w:pPr>
        <w:rPr>
          <w:lang w:val="en-US"/>
        </w:rPr>
      </w:pPr>
      <w:r>
        <w:rPr>
          <w:lang w:val="en-US"/>
        </w:rPr>
        <w:t>GDF acknowledges the</w:t>
      </w:r>
      <w:r w:rsidRPr="00E22CD7">
        <w:rPr>
          <w:lang w:val="en-US"/>
        </w:rPr>
        <w:t xml:space="preserve"> </w:t>
      </w:r>
      <w:r w:rsidR="0030092A" w:rsidRPr="00E22CD7">
        <w:rPr>
          <w:lang w:val="en-US"/>
        </w:rPr>
        <w:t>C</w:t>
      </w:r>
      <w:r w:rsidRPr="00E22CD7">
        <w:rPr>
          <w:lang w:val="en-US"/>
        </w:rPr>
        <w:t>onsultation’s concern about loopholes</w:t>
      </w:r>
      <w:r>
        <w:rPr>
          <w:lang w:val="en-US"/>
        </w:rPr>
        <w:t>. However,</w:t>
      </w:r>
      <w:r w:rsidR="00BB1E01">
        <w:rPr>
          <w:lang w:val="en-US"/>
        </w:rPr>
        <w:t xml:space="preserve"> GDF also</w:t>
      </w:r>
      <w:r w:rsidRPr="00E22CD7">
        <w:rPr>
          <w:lang w:val="en-US"/>
        </w:rPr>
        <w:t xml:space="preserve"> </w:t>
      </w:r>
      <w:r>
        <w:rPr>
          <w:lang w:val="en-US"/>
        </w:rPr>
        <w:t xml:space="preserve">notes that </w:t>
      </w:r>
      <w:r w:rsidRPr="00E22CD7">
        <w:rPr>
          <w:lang w:val="en-US"/>
        </w:rPr>
        <w:t xml:space="preserve">there will always be bad actors who will look to exploit the system. This is consistent across both traditional markets, as well as digital finance. </w:t>
      </w:r>
      <w:proofErr w:type="gramStart"/>
      <w:r>
        <w:rPr>
          <w:lang w:val="en-US"/>
        </w:rPr>
        <w:t>That being said,</w:t>
      </w:r>
      <w:r w:rsidRPr="00E22CD7">
        <w:rPr>
          <w:lang w:val="en-US"/>
        </w:rPr>
        <w:t xml:space="preserve"> th</w:t>
      </w:r>
      <w:r>
        <w:rPr>
          <w:lang w:val="en-US"/>
        </w:rPr>
        <w:t>is</w:t>
      </w:r>
      <w:proofErr w:type="gramEnd"/>
      <w:r w:rsidRPr="00E22CD7">
        <w:rPr>
          <w:lang w:val="en-US"/>
        </w:rPr>
        <w:t xml:space="preserve"> does not mean that an overly expansive definition would be beneficial for the rest of the market; it may </w:t>
      </w:r>
      <w:r w:rsidR="00975D2E" w:rsidRPr="00E22CD7">
        <w:rPr>
          <w:lang w:val="en-US"/>
        </w:rPr>
        <w:t>in fact be</w:t>
      </w:r>
      <w:r w:rsidRPr="00E22CD7">
        <w:rPr>
          <w:lang w:val="en-US"/>
        </w:rPr>
        <w:t xml:space="preserve"> to the detriment of the EU to unintentionally capture certain firms and activities within the definition of active solicitation and </w:t>
      </w:r>
      <w:r>
        <w:rPr>
          <w:lang w:val="en-US"/>
        </w:rPr>
        <w:t>unfairly punish firms that genuinely have had their crypto-asset services requested at the clients own exclusive initiative</w:t>
      </w:r>
      <w:r w:rsidRPr="00E22CD7">
        <w:rPr>
          <w:lang w:val="en-US"/>
        </w:rPr>
        <w:t>.</w:t>
      </w:r>
    </w:p>
    <w:p w14:paraId="1EDC434C" w14:textId="77777777" w:rsidR="00721290" w:rsidRPr="00E22CD7" w:rsidRDefault="00721290" w:rsidP="00FE03D0">
      <w:pPr>
        <w:rPr>
          <w:lang w:val="en-US"/>
        </w:rPr>
      </w:pPr>
    </w:p>
    <w:p w14:paraId="08E418F0" w14:textId="4223FD98" w:rsidR="00721290" w:rsidRPr="00E22CD7" w:rsidRDefault="00000000" w:rsidP="00FE03D0">
      <w:pPr>
        <w:rPr>
          <w:color w:val="000000" w:themeColor="text1"/>
          <w:lang w:val="en-US"/>
        </w:rPr>
      </w:pPr>
      <w:r w:rsidRPr="00E22CD7">
        <w:rPr>
          <w:lang w:val="en-US"/>
        </w:rPr>
        <w:t xml:space="preserve">Finally, </w:t>
      </w:r>
      <w:r w:rsidR="00975D2E" w:rsidRPr="00E22CD7">
        <w:rPr>
          <w:lang w:val="en-US"/>
        </w:rPr>
        <w:t>to</w:t>
      </w:r>
      <w:r w:rsidRPr="00E22CD7">
        <w:rPr>
          <w:lang w:val="en-US"/>
        </w:rPr>
        <w:t xml:space="preserve"> prevent exploitation, </w:t>
      </w:r>
      <w:r w:rsidR="006339A0">
        <w:rPr>
          <w:lang w:val="en-US"/>
        </w:rPr>
        <w:t>GDF suggests that</w:t>
      </w:r>
      <w:r w:rsidR="006339A0" w:rsidRPr="00E22CD7">
        <w:rPr>
          <w:lang w:val="en-US"/>
        </w:rPr>
        <w:t xml:space="preserve"> </w:t>
      </w:r>
      <w:r w:rsidRPr="00E22CD7">
        <w:rPr>
          <w:lang w:val="en-US"/>
        </w:rPr>
        <w:t xml:space="preserve">it would be beneficial for ESMA to provide guidance on what “good” looks like </w:t>
      </w:r>
      <w:r w:rsidR="00130748">
        <w:rPr>
          <w:lang w:val="en-US"/>
        </w:rPr>
        <w:t>across the specific areas which we have detailed above</w:t>
      </w:r>
      <w:r w:rsidRPr="00E22CD7">
        <w:rPr>
          <w:lang w:val="en-US"/>
        </w:rPr>
        <w:t xml:space="preserve">. Providing this type of guidance would both enable the market to appropriately prepare for </w:t>
      </w:r>
      <w:r w:rsidR="00747FD8" w:rsidRPr="00E22CD7">
        <w:rPr>
          <w:lang w:val="en-US"/>
        </w:rPr>
        <w:t>compliance and</w:t>
      </w:r>
      <w:r w:rsidRPr="00E22CD7">
        <w:rPr>
          <w:lang w:val="en-US"/>
        </w:rPr>
        <w:t xml:space="preserve"> would also support a more consistent application of the guidance across</w:t>
      </w:r>
      <w:r w:rsidR="00975D2E" w:rsidRPr="00E22CD7">
        <w:rPr>
          <w:lang w:val="en-US"/>
        </w:rPr>
        <w:t xml:space="preserve"> </w:t>
      </w:r>
      <w:r w:rsidR="006339A0">
        <w:rPr>
          <w:lang w:val="en-US"/>
        </w:rPr>
        <w:t>NCAs.</w:t>
      </w:r>
      <w:r w:rsidRPr="00E22CD7">
        <w:rPr>
          <w:lang w:val="en-US"/>
        </w:rPr>
        <w:t xml:space="preserve"> This could mitigate the risk of regulatory arbitrage across EU member states. </w:t>
      </w:r>
    </w:p>
    <w:p w14:paraId="4F324381" w14:textId="77777777" w:rsidR="00FE03D0" w:rsidRPr="00E22CD7" w:rsidRDefault="00FE03D0" w:rsidP="00FE03D0">
      <w:pPr>
        <w:rPr>
          <w:b/>
          <w:bCs/>
          <w:i/>
          <w:iCs/>
          <w:color w:val="0098AA"/>
          <w:lang w:val="en-US"/>
        </w:rPr>
      </w:pPr>
    </w:p>
    <w:p w14:paraId="49CE36D3" w14:textId="77777777" w:rsidR="009F6F76" w:rsidRPr="00E22CD7" w:rsidRDefault="00000000" w:rsidP="00FE03D0">
      <w:pPr>
        <w:rPr>
          <w:b/>
          <w:bCs/>
          <w:i/>
          <w:iCs/>
          <w:color w:val="0098AA"/>
          <w:lang w:val="en-US"/>
        </w:rPr>
      </w:pPr>
      <w:r w:rsidRPr="00E22CD7">
        <w:rPr>
          <w:b/>
          <w:bCs/>
          <w:i/>
          <w:iCs/>
          <w:color w:val="0098AA"/>
          <w:lang w:val="en-US"/>
        </w:rPr>
        <w:t xml:space="preserve">Q2: Are you able to provide further examples of pairs of crypto-assets that would not belong to the same type of crypto-assets for the purposes of Article 61 of MiCA? Or are you able to provide other criteria to be taken into account to determine whether two </w:t>
      </w:r>
      <w:proofErr w:type="gramStart"/>
      <w:r w:rsidRPr="00E22CD7">
        <w:rPr>
          <w:b/>
          <w:bCs/>
          <w:i/>
          <w:iCs/>
          <w:color w:val="0098AA"/>
          <w:lang w:val="en-US"/>
        </w:rPr>
        <w:t>crypto-assets</w:t>
      </w:r>
      <w:proofErr w:type="gramEnd"/>
      <w:r w:rsidRPr="00E22CD7">
        <w:rPr>
          <w:b/>
          <w:bCs/>
          <w:i/>
          <w:iCs/>
          <w:color w:val="0098AA"/>
          <w:lang w:val="en-US"/>
        </w:rPr>
        <w:t xml:space="preserve"> belong to the same type? </w:t>
      </w:r>
    </w:p>
    <w:p w14:paraId="1847F957" w14:textId="77777777" w:rsidR="00F70550" w:rsidRPr="00E22CD7" w:rsidRDefault="00F70550" w:rsidP="00FE03D0">
      <w:pPr>
        <w:rPr>
          <w:color w:val="000000" w:themeColor="text1"/>
          <w:lang w:val="en-US"/>
        </w:rPr>
      </w:pPr>
    </w:p>
    <w:p w14:paraId="23EB64AB" w14:textId="3A17919C" w:rsidR="00F70550" w:rsidRDefault="00000000" w:rsidP="00FE03D0">
      <w:pPr>
        <w:rPr>
          <w:color w:val="000000" w:themeColor="text1"/>
          <w:lang w:val="en-US"/>
        </w:rPr>
      </w:pPr>
      <w:r w:rsidRPr="00E22CD7">
        <w:rPr>
          <w:color w:val="000000" w:themeColor="text1"/>
          <w:lang w:val="en-US"/>
        </w:rPr>
        <w:lastRenderedPageBreak/>
        <w:t xml:space="preserve">GDF propose to add additional criteria on </w:t>
      </w:r>
      <w:r w:rsidR="006339A0">
        <w:rPr>
          <w:color w:val="000000" w:themeColor="text1"/>
          <w:lang w:val="en-US"/>
        </w:rPr>
        <w:t>the</w:t>
      </w:r>
      <w:r w:rsidR="006339A0" w:rsidRPr="00E22CD7">
        <w:rPr>
          <w:color w:val="000000" w:themeColor="text1"/>
          <w:lang w:val="en-US"/>
        </w:rPr>
        <w:t xml:space="preserve"> </w:t>
      </w:r>
      <w:r w:rsidRPr="00E22CD7">
        <w:rPr>
          <w:color w:val="000000" w:themeColor="text1"/>
          <w:lang w:val="en-US"/>
        </w:rPr>
        <w:t>type of client</w:t>
      </w:r>
      <w:r w:rsidR="00F4633C" w:rsidRPr="00E22CD7">
        <w:rPr>
          <w:color w:val="000000" w:themeColor="text1"/>
          <w:lang w:val="en-US"/>
        </w:rPr>
        <w:t xml:space="preserve"> (including differentiation between retail and wholesale clients)</w:t>
      </w:r>
      <w:r w:rsidRPr="00E22CD7">
        <w:rPr>
          <w:color w:val="000000" w:themeColor="text1"/>
          <w:lang w:val="en-US"/>
        </w:rPr>
        <w:t xml:space="preserve"> a</w:t>
      </w:r>
      <w:r w:rsidR="00F4633C" w:rsidRPr="00E22CD7">
        <w:rPr>
          <w:color w:val="000000" w:themeColor="text1"/>
          <w:lang w:val="en-US"/>
        </w:rPr>
        <w:t xml:space="preserve">s well as all </w:t>
      </w:r>
      <w:r w:rsidRPr="00E22CD7">
        <w:rPr>
          <w:color w:val="000000" w:themeColor="text1"/>
          <w:lang w:val="en-US"/>
        </w:rPr>
        <w:t xml:space="preserve">types of crypto-assets the client stated they were interested in when they made the initial approach. </w:t>
      </w:r>
      <w:r w:rsidR="006339A0">
        <w:rPr>
          <w:color w:val="000000" w:themeColor="text1"/>
          <w:lang w:val="en-US"/>
        </w:rPr>
        <w:t xml:space="preserve">GDF </w:t>
      </w:r>
      <w:r w:rsidRPr="00E22CD7">
        <w:rPr>
          <w:color w:val="000000" w:themeColor="text1"/>
          <w:lang w:val="en-US"/>
        </w:rPr>
        <w:t>propose</w:t>
      </w:r>
      <w:r w:rsidR="006339A0">
        <w:rPr>
          <w:color w:val="000000" w:themeColor="text1"/>
          <w:lang w:val="en-US"/>
        </w:rPr>
        <w:t>s</w:t>
      </w:r>
      <w:r w:rsidRPr="00E22CD7">
        <w:rPr>
          <w:color w:val="000000" w:themeColor="text1"/>
          <w:lang w:val="en-US"/>
        </w:rPr>
        <w:t xml:space="preserve"> that firms should be able to provide all services requested by the client in their initial approach, as it would be impractical to mandate multiple approaches for each individual service that the client is interested in receiving. </w:t>
      </w:r>
    </w:p>
    <w:p w14:paraId="11AC7E0C" w14:textId="77777777" w:rsidR="00C83FC7" w:rsidRDefault="00C83FC7" w:rsidP="00FE03D0">
      <w:pPr>
        <w:rPr>
          <w:color w:val="000000" w:themeColor="text1"/>
          <w:lang w:val="en-US"/>
        </w:rPr>
      </w:pPr>
    </w:p>
    <w:p w14:paraId="6085C6F6" w14:textId="2518E1DC" w:rsidR="00C83FC7" w:rsidRPr="00C83FC7" w:rsidRDefault="00C83FC7" w:rsidP="00C83FC7">
      <w:pPr>
        <w:rPr>
          <w:color w:val="000000" w:themeColor="text1"/>
        </w:rPr>
      </w:pPr>
      <w:r>
        <w:rPr>
          <w:color w:val="000000" w:themeColor="text1"/>
          <w:lang w:val="en-US"/>
        </w:rPr>
        <w:t>Furthermore, depending on if the business is wholesale or retail, differing approaches may be required. For retail clients,</w:t>
      </w:r>
      <w:r>
        <w:rPr>
          <w:color w:val="000000" w:themeColor="text1"/>
        </w:rPr>
        <w:t xml:space="preserve"> a</w:t>
      </w:r>
      <w:r w:rsidRPr="00C83FC7">
        <w:rPr>
          <w:color w:val="000000" w:themeColor="text1"/>
        </w:rPr>
        <w:t>pplying tools and mechanism</w:t>
      </w:r>
      <w:r>
        <w:rPr>
          <w:color w:val="000000" w:themeColor="text1"/>
        </w:rPr>
        <w:t>s</w:t>
      </w:r>
      <w:r w:rsidRPr="00C83FC7">
        <w:rPr>
          <w:color w:val="000000" w:themeColor="text1"/>
        </w:rPr>
        <w:t xml:space="preserve"> to document client's consent </w:t>
      </w:r>
      <w:r>
        <w:rPr>
          <w:color w:val="000000" w:themeColor="text1"/>
        </w:rPr>
        <w:t>for</w:t>
      </w:r>
      <w:r w:rsidRPr="00C83FC7">
        <w:rPr>
          <w:color w:val="000000" w:themeColor="text1"/>
        </w:rPr>
        <w:t xml:space="preserve"> each individual services o</w:t>
      </w:r>
      <w:r>
        <w:rPr>
          <w:color w:val="000000" w:themeColor="text1"/>
        </w:rPr>
        <w:t>r on a</w:t>
      </w:r>
      <w:r w:rsidRPr="00C83FC7">
        <w:rPr>
          <w:color w:val="000000" w:themeColor="text1"/>
        </w:rPr>
        <w:t xml:space="preserve"> product-by-product basis, </w:t>
      </w:r>
      <w:r>
        <w:rPr>
          <w:color w:val="000000" w:themeColor="text1"/>
        </w:rPr>
        <w:t>may render</w:t>
      </w:r>
      <w:r w:rsidRPr="00C83FC7">
        <w:rPr>
          <w:color w:val="000000" w:themeColor="text1"/>
        </w:rPr>
        <w:t xml:space="preserve"> timely provision of trading services </w:t>
      </w:r>
      <w:r>
        <w:rPr>
          <w:color w:val="000000" w:themeColor="text1"/>
        </w:rPr>
        <w:t xml:space="preserve">difficult. GDF supports appropriate disclosures and consumer education, however it is also crucial for businesses to deliver services to the best of their ability in a timely and efficient manner. We would encourage a proportionate approach to the guidance that still enables this. For </w:t>
      </w:r>
      <w:r w:rsidRPr="00C83FC7">
        <w:rPr>
          <w:color w:val="000000" w:themeColor="text1"/>
        </w:rPr>
        <w:t>professional/institutional clients</w:t>
      </w:r>
      <w:r>
        <w:rPr>
          <w:color w:val="000000" w:themeColor="text1"/>
        </w:rPr>
        <w:t xml:space="preserve"> however, this approach may simply be unworkable given the differences in volume and transactions, as well as the multiple products that may need to be delivered concurrently. </w:t>
      </w:r>
    </w:p>
    <w:p w14:paraId="1EB5EBF9" w14:textId="77777777" w:rsidR="00130748" w:rsidRDefault="00130748" w:rsidP="00FE03D0">
      <w:pPr>
        <w:rPr>
          <w:color w:val="000000" w:themeColor="text1"/>
          <w:lang w:val="en-US"/>
        </w:rPr>
      </w:pPr>
    </w:p>
    <w:p w14:paraId="02A64727" w14:textId="0724E650" w:rsidR="00130748" w:rsidRPr="00E22CD7" w:rsidRDefault="00130748" w:rsidP="00FE03D0">
      <w:pPr>
        <w:rPr>
          <w:color w:val="000000" w:themeColor="text1"/>
          <w:lang w:val="en-US"/>
        </w:rPr>
      </w:pPr>
      <w:r>
        <w:rPr>
          <w:color w:val="000000" w:themeColor="text1"/>
          <w:lang w:val="en-US"/>
        </w:rPr>
        <w:t xml:space="preserve">We would also suggest including a </w:t>
      </w:r>
      <w:r w:rsidRPr="00130748">
        <w:rPr>
          <w:color w:val="000000" w:themeColor="text1"/>
        </w:rPr>
        <w:t xml:space="preserve">provision that states once a client is onboarded with a third-party firm, they should be allowed to opt in </w:t>
      </w:r>
      <w:r w:rsidR="000F01FD">
        <w:rPr>
          <w:color w:val="000000" w:themeColor="text1"/>
        </w:rPr>
        <w:t>for</w:t>
      </w:r>
      <w:r w:rsidRPr="00130748">
        <w:rPr>
          <w:color w:val="000000" w:themeColor="text1"/>
        </w:rPr>
        <w:t xml:space="preserve"> further information and products and kept up to date. </w:t>
      </w:r>
      <w:r>
        <w:rPr>
          <w:color w:val="000000" w:themeColor="text1"/>
        </w:rPr>
        <w:t>This would enable</w:t>
      </w:r>
      <w:r w:rsidRPr="00130748">
        <w:rPr>
          <w:color w:val="000000" w:themeColor="text1"/>
        </w:rPr>
        <w:t xml:space="preserve"> consumers to be aware of their options and deliver the best outcomes for themselves</w:t>
      </w:r>
      <w:r>
        <w:rPr>
          <w:color w:val="000000" w:themeColor="text1"/>
        </w:rPr>
        <w:t xml:space="preserve"> as well as enabling them to</w:t>
      </w:r>
      <w:r w:rsidRPr="00130748">
        <w:rPr>
          <w:color w:val="000000" w:themeColor="text1"/>
        </w:rPr>
        <w:t xml:space="preserve"> make more informed choices. Not being able to do so</w:t>
      </w:r>
      <w:r>
        <w:rPr>
          <w:color w:val="000000" w:themeColor="text1"/>
        </w:rPr>
        <w:t xml:space="preserve"> could result in the unintended consequence of the consumer having important information withheld from them</w:t>
      </w:r>
      <w:r w:rsidRPr="00130748">
        <w:rPr>
          <w:color w:val="000000" w:themeColor="text1"/>
        </w:rPr>
        <w:t>. For example, important developments relating to a token after the one-month period has expired</w:t>
      </w:r>
      <w:r>
        <w:rPr>
          <w:color w:val="000000" w:themeColor="text1"/>
        </w:rPr>
        <w:t>,</w:t>
      </w:r>
      <w:r w:rsidRPr="00130748">
        <w:rPr>
          <w:color w:val="000000" w:themeColor="text1"/>
        </w:rPr>
        <w:t xml:space="preserve"> or notices that are mandated to be sent to all customers by a regulator.</w:t>
      </w:r>
    </w:p>
    <w:p w14:paraId="13ED420A" w14:textId="77777777" w:rsidR="00F70550" w:rsidRPr="00E22CD7" w:rsidRDefault="00F70550" w:rsidP="00FE03D0">
      <w:pPr>
        <w:rPr>
          <w:color w:val="000000" w:themeColor="text1"/>
          <w:lang w:val="en-US"/>
        </w:rPr>
      </w:pPr>
    </w:p>
    <w:p w14:paraId="1686C298" w14:textId="7AF785C4" w:rsidR="00F70550" w:rsidRPr="006327E1" w:rsidRDefault="00000000" w:rsidP="00BA1807">
      <w:r w:rsidRPr="00E22CD7">
        <w:rPr>
          <w:color w:val="000000" w:themeColor="text1"/>
          <w:lang w:val="en-US"/>
        </w:rPr>
        <w:t>Of the list of pairs set out under paragraph 25,</w:t>
      </w:r>
      <w:r w:rsidR="006339A0">
        <w:rPr>
          <w:color w:val="000000" w:themeColor="text1"/>
          <w:lang w:val="en-US"/>
        </w:rPr>
        <w:t xml:space="preserve"> GDF</w:t>
      </w:r>
      <w:r w:rsidRPr="00E22CD7">
        <w:rPr>
          <w:color w:val="000000" w:themeColor="text1"/>
          <w:lang w:val="en-US"/>
        </w:rPr>
        <w:t xml:space="preserve"> suggest</w:t>
      </w:r>
      <w:r w:rsidR="006339A0">
        <w:rPr>
          <w:color w:val="000000" w:themeColor="text1"/>
          <w:lang w:val="en-US"/>
        </w:rPr>
        <w:t>s</w:t>
      </w:r>
      <w:r w:rsidRPr="00E22CD7">
        <w:rPr>
          <w:color w:val="000000" w:themeColor="text1"/>
          <w:lang w:val="en-US"/>
        </w:rPr>
        <w:t xml:space="preserve"> that “</w:t>
      </w:r>
      <w:r w:rsidRPr="00E22CD7">
        <w:rPr>
          <w:lang w:val="en-US"/>
        </w:rPr>
        <w:t>crypto-assets not stored or transferred using the same technology” is overly restrictive. The broadest interpretation of this could mean that whenever a new or updated code is used the exemption for reverse solicitation no longer applies</w:t>
      </w:r>
      <w:r w:rsidR="00C83FC7">
        <w:rPr>
          <w:lang w:val="en-US"/>
        </w:rPr>
        <w:t xml:space="preserve"> (for example, in the case of </w:t>
      </w:r>
      <w:r w:rsidR="00C83FC7" w:rsidRPr="00C83FC7">
        <w:t xml:space="preserve">the </w:t>
      </w:r>
      <w:r w:rsidR="00EE7D60" w:rsidRPr="00C83FC7">
        <w:t>Ethereum</w:t>
      </w:r>
      <w:r w:rsidR="00C83FC7" w:rsidRPr="00C83FC7">
        <w:t xml:space="preserve"> Merger </w:t>
      </w:r>
      <w:r w:rsidR="00C83FC7">
        <w:t>or</w:t>
      </w:r>
      <w:r w:rsidR="00C83FC7" w:rsidRPr="00C83FC7">
        <w:t xml:space="preserve"> on a day-to-day basis</w:t>
      </w:r>
      <w:r w:rsidR="00C83FC7">
        <w:t xml:space="preserve"> for the updating of some</w:t>
      </w:r>
      <w:r w:rsidR="00C83FC7" w:rsidRPr="00C83FC7">
        <w:t xml:space="preserve"> </w:t>
      </w:r>
      <w:r w:rsidR="00C83FC7">
        <w:t>DAOs).</w:t>
      </w:r>
      <w:r w:rsidR="00BA1807">
        <w:rPr>
          <w:lang w:val="en-US"/>
        </w:rPr>
        <w:t xml:space="preserve"> </w:t>
      </w:r>
      <w:r w:rsidR="00BA1807" w:rsidRPr="00BA1807">
        <w:t xml:space="preserve">In the first instance, perhaps ESMA should consider that such restrictions </w:t>
      </w:r>
      <w:r w:rsidR="00BA1807">
        <w:t>(</w:t>
      </w:r>
      <w:r w:rsidR="00BA1807" w:rsidRPr="00BA1807">
        <w:t>i.e.</w:t>
      </w:r>
      <w:r w:rsidR="00BA1807">
        <w:t>,</w:t>
      </w:r>
      <w:r w:rsidR="00BA1807" w:rsidRPr="00BA1807">
        <w:t xml:space="preserve"> pairs not using the same technology/rails </w:t>
      </w:r>
      <w:r w:rsidR="00BA1807">
        <w:t>not being permitted to apply the exemption)</w:t>
      </w:r>
      <w:r w:rsidR="00BA1807" w:rsidRPr="00BA1807">
        <w:t xml:space="preserve">, should only apply to non-sophisticated clients </w:t>
      </w:r>
      <w:r w:rsidR="00BA1807">
        <w:t>(</w:t>
      </w:r>
      <w:r w:rsidR="00BA1807" w:rsidRPr="00BA1807">
        <w:t>i.e.</w:t>
      </w:r>
      <w:r w:rsidR="00BA1807">
        <w:t xml:space="preserve">, </w:t>
      </w:r>
      <w:r w:rsidR="00BA1807" w:rsidRPr="00BA1807">
        <w:t>retail</w:t>
      </w:r>
      <w:r w:rsidR="00BA1807">
        <w:t xml:space="preserve"> customers)</w:t>
      </w:r>
      <w:r w:rsidR="00BA1807" w:rsidRPr="00BA1807">
        <w:t xml:space="preserve">. </w:t>
      </w:r>
      <w:r w:rsidR="00BA1807">
        <w:t>Furthermore, w</w:t>
      </w:r>
      <w:r w:rsidR="00BA1807" w:rsidRPr="00BA1807">
        <w:t>ith regard</w:t>
      </w:r>
      <w:r w:rsidR="00BA1807">
        <w:t xml:space="preserve">s to updating </w:t>
      </w:r>
      <w:r w:rsidR="00BA1807" w:rsidRPr="00BA1807">
        <w:t>coding,</w:t>
      </w:r>
      <w:r w:rsidR="00BA1807">
        <w:t xml:space="preserve"> GDF would note that this is usually part of </w:t>
      </w:r>
      <w:r w:rsidR="00BA1807" w:rsidRPr="00BA1807">
        <w:t xml:space="preserve">market development. In </w:t>
      </w:r>
      <w:r w:rsidR="00BA1807">
        <w:t>traditional financial services</w:t>
      </w:r>
      <w:r w:rsidR="00BA1807" w:rsidRPr="00BA1807">
        <w:t>, if an FX algo</w:t>
      </w:r>
      <w:r w:rsidR="00BA1807">
        <w:t>rithmic</w:t>
      </w:r>
      <w:r w:rsidR="00BA1807" w:rsidRPr="00BA1807">
        <w:t xml:space="preserve"> code is updated, </w:t>
      </w:r>
      <w:r w:rsidR="00BA1807">
        <w:t xml:space="preserve">this is usually for the purposes of </w:t>
      </w:r>
      <w:r w:rsidR="00BA1807" w:rsidRPr="00BA1807">
        <w:t xml:space="preserve">product development. This would require a sign off at the </w:t>
      </w:r>
      <w:proofErr w:type="gramStart"/>
      <w:r w:rsidR="00BA1807" w:rsidRPr="00BA1807">
        <w:t>particular market</w:t>
      </w:r>
      <w:proofErr w:type="gramEnd"/>
      <w:r w:rsidR="00BA1807" w:rsidRPr="00BA1807">
        <w:t xml:space="preserve"> or asset class risk committee and would be regarded as a major change or development. However, in the crypto</w:t>
      </w:r>
      <w:r w:rsidR="000F01FD">
        <w:t>-</w:t>
      </w:r>
      <w:r w:rsidR="00BA1807" w:rsidRPr="00BA1807">
        <w:t>asset space, amendments to codes</w:t>
      </w:r>
      <w:r w:rsidR="00BA1807">
        <w:t>, due to the cryptographic nature of the technology and the code on which is it is built, these are</w:t>
      </w:r>
      <w:r w:rsidR="00BA1807" w:rsidRPr="00BA1807">
        <w:t xml:space="preserve"> often regarded as tweaks/minor upgrades and happen on a frequent basis. </w:t>
      </w:r>
      <w:r w:rsidR="00BA1807">
        <w:t xml:space="preserve">These are usually </w:t>
      </w:r>
      <w:r w:rsidR="00BA1807" w:rsidRPr="00BA1807">
        <w:t>analogous to IT system updates rather than changes to investment products.</w:t>
      </w:r>
      <w:r w:rsidR="00BA1807">
        <w:t xml:space="preserve"> </w:t>
      </w:r>
      <w:r w:rsidR="00BA1807" w:rsidRPr="00BA1807">
        <w:t>If the exemption became null and void with every</w:t>
      </w:r>
      <w:r w:rsidR="00BA1807">
        <w:t xml:space="preserve"> minor adjustment</w:t>
      </w:r>
      <w:r w:rsidR="00BA1807" w:rsidRPr="00BA1807">
        <w:t>, this would be very impractical.</w:t>
      </w:r>
      <w:r w:rsidR="00BA1807">
        <w:t xml:space="preserve"> </w:t>
      </w:r>
      <w:r w:rsidR="00BA1807" w:rsidRPr="00BA1807">
        <w:t>Therefore, clarification and differentiation regarding what is deemed a major code upgrade that would trigger a void exemption and a tweak would be appreciated.</w:t>
      </w:r>
    </w:p>
    <w:p w14:paraId="79AB8156" w14:textId="77777777" w:rsidR="00FE03D0" w:rsidRPr="00E22CD7" w:rsidRDefault="00FE03D0" w:rsidP="00FE03D0">
      <w:pPr>
        <w:rPr>
          <w:color w:val="000000" w:themeColor="text1"/>
          <w:lang w:val="en-US"/>
        </w:rPr>
      </w:pPr>
    </w:p>
    <w:p w14:paraId="438DB19C" w14:textId="77777777" w:rsidR="00FE03D0" w:rsidRPr="00E22CD7" w:rsidRDefault="00FE03D0" w:rsidP="00FE03D0">
      <w:pPr>
        <w:rPr>
          <w:b/>
          <w:bCs/>
          <w:i/>
          <w:iCs/>
          <w:color w:val="0098AA"/>
          <w:lang w:val="en-US"/>
        </w:rPr>
      </w:pPr>
    </w:p>
    <w:p w14:paraId="6871EB59" w14:textId="77777777" w:rsidR="009F6F76" w:rsidRPr="00E22CD7" w:rsidRDefault="00000000" w:rsidP="00FE03D0">
      <w:pPr>
        <w:rPr>
          <w:b/>
          <w:bCs/>
          <w:i/>
          <w:iCs/>
          <w:color w:val="0098AA"/>
          <w:lang w:val="en-US"/>
        </w:rPr>
      </w:pPr>
      <w:r w:rsidRPr="00E22CD7">
        <w:rPr>
          <w:b/>
          <w:bCs/>
          <w:i/>
          <w:iCs/>
          <w:color w:val="0098AA"/>
          <w:lang w:val="en-US"/>
        </w:rPr>
        <w:t xml:space="preserve">Q3: Do you consider the proposed supervision practices effective with respect to detecting undue solicitations? Would you have other suggestions? </w:t>
      </w:r>
    </w:p>
    <w:p w14:paraId="37FFF86F" w14:textId="55754F7C" w:rsidR="00F70550" w:rsidRPr="00E22CD7" w:rsidRDefault="00000000" w:rsidP="00FE03D0">
      <w:pPr>
        <w:rPr>
          <w:color w:val="000000" w:themeColor="text1"/>
          <w:lang w:val="en-US"/>
        </w:rPr>
      </w:pPr>
      <w:r w:rsidRPr="00E22CD7">
        <w:rPr>
          <w:color w:val="000000" w:themeColor="text1"/>
          <w:lang w:val="en-US"/>
        </w:rPr>
        <w:t xml:space="preserve">GDF </w:t>
      </w:r>
      <w:r w:rsidR="006339A0">
        <w:rPr>
          <w:color w:val="000000" w:themeColor="text1"/>
          <w:lang w:val="en-US"/>
        </w:rPr>
        <w:t>contends</w:t>
      </w:r>
      <w:r w:rsidR="006339A0" w:rsidRPr="00E22CD7">
        <w:rPr>
          <w:color w:val="000000" w:themeColor="text1"/>
          <w:lang w:val="en-US"/>
        </w:rPr>
        <w:t xml:space="preserve"> </w:t>
      </w:r>
      <w:r w:rsidRPr="00E22CD7">
        <w:rPr>
          <w:color w:val="000000" w:themeColor="text1"/>
          <w:lang w:val="en-US"/>
        </w:rPr>
        <w:t xml:space="preserve">that the proposals </w:t>
      </w:r>
      <w:r w:rsidR="00BA6E9A" w:rsidRPr="00E22CD7">
        <w:rPr>
          <w:color w:val="000000" w:themeColor="text1"/>
          <w:lang w:val="en-US"/>
        </w:rPr>
        <w:t>will be most effective</w:t>
      </w:r>
      <w:r w:rsidRPr="00E22CD7">
        <w:rPr>
          <w:color w:val="000000" w:themeColor="text1"/>
          <w:lang w:val="en-US"/>
        </w:rPr>
        <w:t xml:space="preserve"> </w:t>
      </w:r>
      <w:r w:rsidR="00BA6E9A" w:rsidRPr="00E22CD7">
        <w:rPr>
          <w:color w:val="000000" w:themeColor="text1"/>
          <w:lang w:val="en-US"/>
        </w:rPr>
        <w:t xml:space="preserve">if they are </w:t>
      </w:r>
      <w:r w:rsidRPr="00E22CD7">
        <w:rPr>
          <w:color w:val="000000" w:themeColor="text1"/>
          <w:lang w:val="en-US"/>
        </w:rPr>
        <w:t xml:space="preserve">accompanied </w:t>
      </w:r>
      <w:r w:rsidR="0082382B" w:rsidRPr="00E22CD7">
        <w:rPr>
          <w:color w:val="000000" w:themeColor="text1"/>
          <w:lang w:val="en-US"/>
        </w:rPr>
        <w:t xml:space="preserve">with </w:t>
      </w:r>
      <w:r w:rsidR="006339A0">
        <w:rPr>
          <w:color w:val="000000" w:themeColor="text1"/>
          <w:lang w:val="en-US"/>
        </w:rPr>
        <w:t>further</w:t>
      </w:r>
      <w:r w:rsidR="006339A0" w:rsidRPr="00E22CD7">
        <w:rPr>
          <w:color w:val="000000" w:themeColor="text1"/>
          <w:lang w:val="en-US"/>
        </w:rPr>
        <w:t xml:space="preserve"> </w:t>
      </w:r>
      <w:r w:rsidR="00747FD8" w:rsidRPr="00E22CD7">
        <w:rPr>
          <w:color w:val="000000" w:themeColor="text1"/>
          <w:lang w:val="en-US"/>
        </w:rPr>
        <w:t xml:space="preserve">clarifications </w:t>
      </w:r>
      <w:r w:rsidR="00D93302">
        <w:rPr>
          <w:color w:val="000000" w:themeColor="text1"/>
          <w:lang w:val="en-US"/>
        </w:rPr>
        <w:t xml:space="preserve">on the specific areas discussed throughout our response </w:t>
      </w:r>
      <w:r w:rsidR="00747FD8" w:rsidRPr="00E22CD7">
        <w:rPr>
          <w:color w:val="000000" w:themeColor="text1"/>
          <w:lang w:val="en-US"/>
        </w:rPr>
        <w:t>which</w:t>
      </w:r>
      <w:r w:rsidR="0082382B" w:rsidRPr="00E22CD7">
        <w:rPr>
          <w:color w:val="000000" w:themeColor="text1"/>
          <w:lang w:val="en-US"/>
        </w:rPr>
        <w:t xml:space="preserve"> would support </w:t>
      </w:r>
      <w:r w:rsidR="0082382B" w:rsidRPr="00E22CD7">
        <w:rPr>
          <w:color w:val="000000" w:themeColor="text1"/>
          <w:lang w:val="en-US"/>
        </w:rPr>
        <w:lastRenderedPageBreak/>
        <w:t>consistent implementation</w:t>
      </w:r>
      <w:r w:rsidR="00BA6E9A" w:rsidRPr="00E22CD7">
        <w:rPr>
          <w:color w:val="000000" w:themeColor="text1"/>
          <w:lang w:val="en-US"/>
        </w:rPr>
        <w:t xml:space="preserve"> across NCAs</w:t>
      </w:r>
      <w:r w:rsidR="0082382B" w:rsidRPr="00E22CD7">
        <w:rPr>
          <w:color w:val="000000" w:themeColor="text1"/>
          <w:lang w:val="en-US"/>
        </w:rPr>
        <w:t>, and prevention of undue solicitations.</w:t>
      </w:r>
      <w:r w:rsidR="00C83FC7">
        <w:rPr>
          <w:color w:val="000000" w:themeColor="text1"/>
          <w:lang w:val="en-US"/>
        </w:rPr>
        <w:t xml:space="preserve"> Lack of clarity could also inadvertently </w:t>
      </w:r>
      <w:r w:rsidR="00C83FC7">
        <w:rPr>
          <w:color w:val="000000" w:themeColor="text1"/>
        </w:rPr>
        <w:t>delay</w:t>
      </w:r>
      <w:r w:rsidR="00C83FC7" w:rsidRPr="00C83FC7">
        <w:rPr>
          <w:color w:val="000000" w:themeColor="text1"/>
        </w:rPr>
        <w:t xml:space="preserve"> the NCAs</w:t>
      </w:r>
      <w:r w:rsidR="00C83FC7">
        <w:rPr>
          <w:color w:val="000000" w:themeColor="text1"/>
        </w:rPr>
        <w:t xml:space="preserve"> in their</w:t>
      </w:r>
      <w:r w:rsidR="00C83FC7" w:rsidRPr="00C83FC7">
        <w:rPr>
          <w:color w:val="000000" w:themeColor="text1"/>
        </w:rPr>
        <w:t xml:space="preserve"> M</w:t>
      </w:r>
      <w:r w:rsidR="00C83FC7">
        <w:rPr>
          <w:color w:val="000000" w:themeColor="text1"/>
        </w:rPr>
        <w:t>i</w:t>
      </w:r>
      <w:r w:rsidR="00C83FC7" w:rsidRPr="00C83FC7">
        <w:rPr>
          <w:color w:val="000000" w:themeColor="text1"/>
        </w:rPr>
        <w:t>CA implementation</w:t>
      </w:r>
      <w:r w:rsidR="00C83FC7">
        <w:rPr>
          <w:color w:val="000000" w:themeColor="text1"/>
        </w:rPr>
        <w:t xml:space="preserve">, and stated aim of an </w:t>
      </w:r>
      <w:r w:rsidR="00C83FC7" w:rsidRPr="00C83FC7">
        <w:rPr>
          <w:color w:val="000000" w:themeColor="text1"/>
        </w:rPr>
        <w:t>application period in 2024-2026.</w:t>
      </w:r>
      <w:r w:rsidR="0082382B" w:rsidRPr="00E22CD7">
        <w:rPr>
          <w:color w:val="000000" w:themeColor="text1"/>
          <w:lang w:val="en-US"/>
        </w:rPr>
        <w:t xml:space="preserve"> </w:t>
      </w:r>
      <w:r w:rsidR="004A09F5">
        <w:rPr>
          <w:color w:val="000000" w:themeColor="text1"/>
          <w:lang w:val="en-US"/>
        </w:rPr>
        <w:t xml:space="preserve">GDF suggests that training for NCAs and examples of best practice would be effective. </w:t>
      </w:r>
    </w:p>
    <w:p w14:paraId="6DFAE605" w14:textId="77777777" w:rsidR="0082382B" w:rsidRPr="00E22CD7" w:rsidRDefault="0082382B" w:rsidP="00FE03D0">
      <w:pPr>
        <w:rPr>
          <w:color w:val="000000" w:themeColor="text1"/>
          <w:lang w:val="en-US"/>
        </w:rPr>
      </w:pPr>
    </w:p>
    <w:p w14:paraId="29C63994" w14:textId="65F02BB0" w:rsidR="0082382B" w:rsidRPr="00E22CD7" w:rsidRDefault="00000000" w:rsidP="00FE03D0">
      <w:pPr>
        <w:rPr>
          <w:color w:val="000000" w:themeColor="text1"/>
          <w:lang w:val="en-US"/>
        </w:rPr>
      </w:pPr>
      <w:r w:rsidRPr="00E22CD7">
        <w:rPr>
          <w:color w:val="000000" w:themeColor="text1"/>
          <w:lang w:val="en-US"/>
        </w:rPr>
        <w:t xml:space="preserve">To further support this </w:t>
      </w:r>
      <w:r w:rsidR="004A09F5">
        <w:rPr>
          <w:color w:val="000000" w:themeColor="text1"/>
          <w:lang w:val="en-US"/>
        </w:rPr>
        <w:t>GDF</w:t>
      </w:r>
      <w:r w:rsidR="004A09F5" w:rsidRPr="00E22CD7">
        <w:rPr>
          <w:color w:val="000000" w:themeColor="text1"/>
          <w:lang w:val="en-US"/>
        </w:rPr>
        <w:t xml:space="preserve"> </w:t>
      </w:r>
      <w:r w:rsidRPr="00E22CD7">
        <w:rPr>
          <w:color w:val="000000" w:themeColor="text1"/>
          <w:lang w:val="en-US"/>
        </w:rPr>
        <w:t>encourage</w:t>
      </w:r>
      <w:r w:rsidR="004A09F5">
        <w:rPr>
          <w:color w:val="000000" w:themeColor="text1"/>
          <w:lang w:val="en-US"/>
        </w:rPr>
        <w:t>s</w:t>
      </w:r>
      <w:r w:rsidRPr="00E22CD7">
        <w:rPr>
          <w:color w:val="000000" w:themeColor="text1"/>
          <w:lang w:val="en-US"/>
        </w:rPr>
        <w:t xml:space="preserve"> a clear approach with due process. Clearly setting out expectations for what is expected, would enhance the competitiveness of the EU as a digital jurisdiction.</w:t>
      </w:r>
    </w:p>
    <w:p w14:paraId="1FD7E307" w14:textId="77777777" w:rsidR="0082382B" w:rsidRPr="00E22CD7" w:rsidRDefault="0082382B" w:rsidP="00FE03D0">
      <w:pPr>
        <w:rPr>
          <w:color w:val="000000" w:themeColor="text1"/>
          <w:lang w:val="en-US"/>
        </w:rPr>
      </w:pPr>
    </w:p>
    <w:p w14:paraId="3E36CC89" w14:textId="199DB9A9" w:rsidR="00F70550" w:rsidRPr="00E22CD7" w:rsidRDefault="00000000" w:rsidP="00FE03D0">
      <w:pPr>
        <w:rPr>
          <w:color w:val="000000" w:themeColor="text1"/>
          <w:lang w:val="en-US"/>
        </w:rPr>
      </w:pPr>
      <w:r w:rsidRPr="00E22CD7">
        <w:rPr>
          <w:color w:val="000000" w:themeColor="text1"/>
          <w:lang w:val="en-US"/>
        </w:rPr>
        <w:t>As set out under Q1</w:t>
      </w:r>
      <w:r w:rsidR="00975D2E" w:rsidRPr="00E22CD7">
        <w:rPr>
          <w:color w:val="000000" w:themeColor="text1"/>
          <w:lang w:val="en-US"/>
        </w:rPr>
        <w:t>,</w:t>
      </w:r>
      <w:r w:rsidRPr="00E22CD7">
        <w:rPr>
          <w:color w:val="000000" w:themeColor="text1"/>
          <w:lang w:val="en-US"/>
        </w:rPr>
        <w:t xml:space="preserve"> an overly expansive and restrictive application may have unintended consequences</w:t>
      </w:r>
      <w:r w:rsidR="00CB0CC6" w:rsidRPr="00E22CD7">
        <w:rPr>
          <w:color w:val="000000" w:themeColor="text1"/>
          <w:lang w:val="en-US"/>
        </w:rPr>
        <w:t xml:space="preserve"> which may harm the competitiveness of the EU. Should the application be overly restrictive, it may prevent or discourage firms from participating in the market</w:t>
      </w:r>
      <w:r w:rsidR="00864287" w:rsidRPr="00E22CD7">
        <w:rPr>
          <w:color w:val="000000" w:themeColor="text1"/>
          <w:lang w:val="en-US"/>
        </w:rPr>
        <w:t xml:space="preserve"> or prevent EU firms from engaging in international</w:t>
      </w:r>
      <w:r w:rsidR="00130748">
        <w:rPr>
          <w:color w:val="000000" w:themeColor="text1"/>
          <w:lang w:val="en-US"/>
        </w:rPr>
        <w:t xml:space="preserve"> discussions and</w:t>
      </w:r>
      <w:r w:rsidR="00864287" w:rsidRPr="00E22CD7">
        <w:rPr>
          <w:color w:val="000000" w:themeColor="text1"/>
          <w:lang w:val="en-US"/>
        </w:rPr>
        <w:t xml:space="preserve"> marketplaces. </w:t>
      </w:r>
    </w:p>
    <w:p w14:paraId="40FC5AD6" w14:textId="77777777" w:rsidR="00720239" w:rsidRPr="00E22CD7" w:rsidRDefault="00720239" w:rsidP="00FE03D0">
      <w:pPr>
        <w:rPr>
          <w:color w:val="000000" w:themeColor="text1"/>
          <w:lang w:val="en-US"/>
        </w:rPr>
      </w:pPr>
    </w:p>
    <w:p w14:paraId="7BCB9DC1" w14:textId="7346A4E7" w:rsidR="001243AE" w:rsidRPr="00E22CD7" w:rsidRDefault="00000000" w:rsidP="001F6092">
      <w:pPr>
        <w:rPr>
          <w:color w:val="000000" w:themeColor="text1"/>
          <w:lang w:val="en-US"/>
        </w:rPr>
      </w:pPr>
      <w:r w:rsidRPr="00E22CD7">
        <w:rPr>
          <w:color w:val="000000" w:themeColor="text1"/>
          <w:lang w:val="en-US"/>
        </w:rPr>
        <w:t>Another consideration</w:t>
      </w:r>
      <w:r w:rsidR="00975D2E" w:rsidRPr="00E22CD7">
        <w:rPr>
          <w:color w:val="000000" w:themeColor="text1"/>
          <w:lang w:val="en-US"/>
        </w:rPr>
        <w:t xml:space="preserve"> </w:t>
      </w:r>
      <w:r w:rsidR="00674D88" w:rsidRPr="00E22CD7">
        <w:rPr>
          <w:color w:val="000000" w:themeColor="text1"/>
          <w:lang w:val="en-US"/>
        </w:rPr>
        <w:t xml:space="preserve">discussed </w:t>
      </w:r>
      <w:r w:rsidRPr="00E22CD7">
        <w:rPr>
          <w:color w:val="000000" w:themeColor="text1"/>
          <w:lang w:val="en-US"/>
        </w:rPr>
        <w:t xml:space="preserve">under Q1 is that supervision will be more effective if it is aligned with MiFID II and the provisions that already exist across financial services. This </w:t>
      </w:r>
      <w:r w:rsidR="00674D88" w:rsidRPr="00E22CD7">
        <w:rPr>
          <w:color w:val="000000" w:themeColor="text1"/>
          <w:lang w:val="en-US"/>
        </w:rPr>
        <w:t xml:space="preserve">alignment would also support effective policing and would prevent the unintended consequence of </w:t>
      </w:r>
      <w:r w:rsidR="00006248" w:rsidRPr="00E22CD7">
        <w:rPr>
          <w:color w:val="000000" w:themeColor="text1"/>
          <w:lang w:val="en-US"/>
        </w:rPr>
        <w:t xml:space="preserve">policing inefficiencies if many activities are captured that are beyond the scope of solicitation. </w:t>
      </w:r>
    </w:p>
    <w:p w14:paraId="0995EDB8" w14:textId="77777777" w:rsidR="001243AE" w:rsidRPr="00E22CD7" w:rsidRDefault="001243AE" w:rsidP="001243AE">
      <w:pPr>
        <w:rPr>
          <w:color w:val="0098AA"/>
          <w:lang w:val="en-US"/>
        </w:rPr>
      </w:pPr>
    </w:p>
    <w:p w14:paraId="3B6930B9" w14:textId="2DFCC1C6" w:rsidR="001243AE" w:rsidRPr="00E22CD7" w:rsidRDefault="001243AE" w:rsidP="001243AE">
      <w:pPr>
        <w:rPr>
          <w:b/>
          <w:bCs/>
          <w:i/>
          <w:iCs/>
          <w:color w:val="0098AA"/>
          <w:lang w:val="en-US"/>
        </w:rPr>
      </w:pPr>
    </w:p>
    <w:sectPr w:rsidR="001243AE" w:rsidRPr="00E22CD7" w:rsidSect="00700EBB">
      <w:headerReference w:type="default" r:id="rId8"/>
      <w:footerReference w:type="even"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8A5B" w14:textId="77777777" w:rsidR="004B0EBE" w:rsidRDefault="004B0EBE">
      <w:r>
        <w:separator/>
      </w:r>
    </w:p>
  </w:endnote>
  <w:endnote w:type="continuationSeparator" w:id="0">
    <w:p w14:paraId="44414799" w14:textId="77777777" w:rsidR="004B0EBE" w:rsidRDefault="004B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9909514"/>
      <w:docPartObj>
        <w:docPartGallery w:val="Page Numbers (Bottom of Page)"/>
        <w:docPartUnique/>
      </w:docPartObj>
    </w:sdtPr>
    <w:sdtContent>
      <w:p w14:paraId="5B1F9166" w14:textId="29FE993A" w:rsidR="00BD0F31" w:rsidRDefault="00BD0F31" w:rsidP="003A36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7E4B67" w14:textId="77777777" w:rsidR="00BD0F31" w:rsidRDefault="00BD0F31" w:rsidP="00BD0F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6575035"/>
      <w:docPartObj>
        <w:docPartGallery w:val="Page Numbers (Bottom of Page)"/>
        <w:docPartUnique/>
      </w:docPartObj>
    </w:sdtPr>
    <w:sdtContent>
      <w:p w14:paraId="4E21580A" w14:textId="1F02ECE1" w:rsidR="00BD0F31" w:rsidRDefault="00BD0F31" w:rsidP="003A36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124657" w14:textId="77777777" w:rsidR="00BD0F31" w:rsidRDefault="00BD0F31" w:rsidP="00BD0F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27D9" w14:textId="77777777" w:rsidR="004B0EBE" w:rsidRDefault="004B0EBE">
      <w:r>
        <w:separator/>
      </w:r>
    </w:p>
  </w:footnote>
  <w:footnote w:type="continuationSeparator" w:id="0">
    <w:p w14:paraId="36D173FA" w14:textId="77777777" w:rsidR="004B0EBE" w:rsidRDefault="004B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3659" w14:textId="4947FB5B" w:rsidR="00700EBB" w:rsidRPr="00700EBB" w:rsidRDefault="00000000" w:rsidP="00700EBB">
    <w:pPr>
      <w:pStyle w:val="Header"/>
    </w:pPr>
    <w:r w:rsidRPr="00700EBB">
      <w:rPr>
        <w:noProof/>
      </w:rPr>
      <w:drawing>
        <wp:anchor distT="0" distB="0" distL="114300" distR="114300" simplePos="0" relativeHeight="251658240" behindDoc="0" locked="0" layoutInCell="1" allowOverlap="1" wp14:anchorId="4E33FF4F" wp14:editId="3BD6509E">
          <wp:simplePos x="0" y="0"/>
          <wp:positionH relativeFrom="column">
            <wp:posOffset>-753745</wp:posOffset>
          </wp:positionH>
          <wp:positionV relativeFrom="paragraph">
            <wp:posOffset>-300749</wp:posOffset>
          </wp:positionV>
          <wp:extent cx="707820" cy="679622"/>
          <wp:effectExtent l="0" t="0" r="381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Google Shape;352;p8" descr="A picture containing text&#10;&#10;Description automatically generated"/>
                  <pic:cNvPicPr/>
                </pic:nvPicPr>
                <pic:blipFill>
                  <a:blip r:embed="rId1">
                    <a:alphaModFix/>
                    <a:extLst>
                      <a:ext uri="{28A0092B-C50C-407E-A947-70E740481C1C}">
                        <a14:useLocalDpi xmlns:a14="http://schemas.microsoft.com/office/drawing/2010/main" val="0"/>
                      </a:ext>
                    </a:extLst>
                  </a:blip>
                  <a:srcRect r="59518"/>
                  <a:stretch>
                    <a:fillRect/>
                  </a:stretch>
                </pic:blipFill>
                <pic:spPr>
                  <a:xfrm>
                    <a:off x="0" y="0"/>
                    <a:ext cx="707820" cy="67962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E385" w14:textId="778431D9" w:rsidR="00E00CCE" w:rsidRDefault="00000000">
    <w:pPr>
      <w:pStyle w:val="Header"/>
    </w:pPr>
    <w:r>
      <w:rPr>
        <w:noProof/>
        <w14:ligatures w14:val="standardContextual"/>
      </w:rPr>
      <w:drawing>
        <wp:anchor distT="0" distB="0" distL="114300" distR="114300" simplePos="0" relativeHeight="251659264" behindDoc="0" locked="0" layoutInCell="1" allowOverlap="1" wp14:anchorId="27DF8BDA" wp14:editId="4604E47D">
          <wp:simplePos x="0" y="0"/>
          <wp:positionH relativeFrom="margin">
            <wp:posOffset>-813254</wp:posOffset>
          </wp:positionH>
          <wp:positionV relativeFrom="margin">
            <wp:posOffset>-1116965</wp:posOffset>
          </wp:positionV>
          <wp:extent cx="1712595" cy="1321435"/>
          <wp:effectExtent l="0" t="0" r="1905" b="0"/>
          <wp:wrapSquare wrapText="bothSides"/>
          <wp:docPr id="117706237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35410"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2595" cy="1321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CB7"/>
    <w:multiLevelType w:val="hybridMultilevel"/>
    <w:tmpl w:val="08C0F5A8"/>
    <w:lvl w:ilvl="0" w:tplc="6BD2D13C">
      <w:start w:val="1"/>
      <w:numFmt w:val="decimal"/>
      <w:lvlText w:val="%1."/>
      <w:lvlJc w:val="left"/>
      <w:pPr>
        <w:ind w:left="720" w:hanging="360"/>
      </w:pPr>
      <w:rPr>
        <w:rFonts w:hint="default"/>
        <w:i w:val="0"/>
      </w:rPr>
    </w:lvl>
    <w:lvl w:ilvl="1" w:tplc="A3708CB4" w:tentative="1">
      <w:start w:val="1"/>
      <w:numFmt w:val="lowerLetter"/>
      <w:lvlText w:val="%2."/>
      <w:lvlJc w:val="left"/>
      <w:pPr>
        <w:ind w:left="1440" w:hanging="360"/>
      </w:pPr>
    </w:lvl>
    <w:lvl w:ilvl="2" w:tplc="3B964C52" w:tentative="1">
      <w:start w:val="1"/>
      <w:numFmt w:val="lowerRoman"/>
      <w:lvlText w:val="%3."/>
      <w:lvlJc w:val="right"/>
      <w:pPr>
        <w:ind w:left="2160" w:hanging="180"/>
      </w:pPr>
    </w:lvl>
    <w:lvl w:ilvl="3" w:tplc="55C6E86E" w:tentative="1">
      <w:start w:val="1"/>
      <w:numFmt w:val="decimal"/>
      <w:lvlText w:val="%4."/>
      <w:lvlJc w:val="left"/>
      <w:pPr>
        <w:ind w:left="2880" w:hanging="360"/>
      </w:pPr>
    </w:lvl>
    <w:lvl w:ilvl="4" w:tplc="469075F6" w:tentative="1">
      <w:start w:val="1"/>
      <w:numFmt w:val="lowerLetter"/>
      <w:lvlText w:val="%5."/>
      <w:lvlJc w:val="left"/>
      <w:pPr>
        <w:ind w:left="3600" w:hanging="360"/>
      </w:pPr>
    </w:lvl>
    <w:lvl w:ilvl="5" w:tplc="ED3CAADC" w:tentative="1">
      <w:start w:val="1"/>
      <w:numFmt w:val="lowerRoman"/>
      <w:lvlText w:val="%6."/>
      <w:lvlJc w:val="right"/>
      <w:pPr>
        <w:ind w:left="4320" w:hanging="180"/>
      </w:pPr>
    </w:lvl>
    <w:lvl w:ilvl="6" w:tplc="58C4B0AE" w:tentative="1">
      <w:start w:val="1"/>
      <w:numFmt w:val="decimal"/>
      <w:lvlText w:val="%7."/>
      <w:lvlJc w:val="left"/>
      <w:pPr>
        <w:ind w:left="5040" w:hanging="360"/>
      </w:pPr>
    </w:lvl>
    <w:lvl w:ilvl="7" w:tplc="B7B8AA8C" w:tentative="1">
      <w:start w:val="1"/>
      <w:numFmt w:val="lowerLetter"/>
      <w:lvlText w:val="%8."/>
      <w:lvlJc w:val="left"/>
      <w:pPr>
        <w:ind w:left="5760" w:hanging="360"/>
      </w:pPr>
    </w:lvl>
    <w:lvl w:ilvl="8" w:tplc="28B4E054" w:tentative="1">
      <w:start w:val="1"/>
      <w:numFmt w:val="lowerRoman"/>
      <w:lvlText w:val="%9."/>
      <w:lvlJc w:val="right"/>
      <w:pPr>
        <w:ind w:left="6480" w:hanging="180"/>
      </w:pPr>
    </w:lvl>
  </w:abstractNum>
  <w:abstractNum w:abstractNumId="1" w15:restartNumberingAfterBreak="0">
    <w:nsid w:val="05BE06B3"/>
    <w:multiLevelType w:val="hybridMultilevel"/>
    <w:tmpl w:val="8CF4E02A"/>
    <w:lvl w:ilvl="0" w:tplc="B70CF64E">
      <w:start w:val="1"/>
      <w:numFmt w:val="lowerRoman"/>
      <w:lvlText w:val="%1."/>
      <w:lvlJc w:val="right"/>
      <w:pPr>
        <w:ind w:left="720" w:hanging="360"/>
      </w:pPr>
    </w:lvl>
    <w:lvl w:ilvl="1" w:tplc="BB60C0E0">
      <w:start w:val="1"/>
      <w:numFmt w:val="lowerLetter"/>
      <w:lvlText w:val="%2."/>
      <w:lvlJc w:val="left"/>
      <w:pPr>
        <w:ind w:left="1440" w:hanging="360"/>
      </w:pPr>
    </w:lvl>
    <w:lvl w:ilvl="2" w:tplc="CCEAA660">
      <w:start w:val="1"/>
      <w:numFmt w:val="lowerRoman"/>
      <w:lvlText w:val="%3."/>
      <w:lvlJc w:val="right"/>
      <w:pPr>
        <w:ind w:left="2160" w:hanging="180"/>
      </w:pPr>
    </w:lvl>
    <w:lvl w:ilvl="3" w:tplc="4CE089E6">
      <w:start w:val="1"/>
      <w:numFmt w:val="decimal"/>
      <w:lvlText w:val="%4."/>
      <w:lvlJc w:val="left"/>
      <w:pPr>
        <w:ind w:left="2880" w:hanging="360"/>
      </w:pPr>
    </w:lvl>
    <w:lvl w:ilvl="4" w:tplc="CFFC6B6E">
      <w:start w:val="1"/>
      <w:numFmt w:val="lowerLetter"/>
      <w:lvlText w:val="%5."/>
      <w:lvlJc w:val="left"/>
      <w:pPr>
        <w:ind w:left="3600" w:hanging="360"/>
      </w:pPr>
    </w:lvl>
    <w:lvl w:ilvl="5" w:tplc="D1264D90">
      <w:start w:val="1"/>
      <w:numFmt w:val="lowerRoman"/>
      <w:lvlText w:val="%6."/>
      <w:lvlJc w:val="right"/>
      <w:pPr>
        <w:ind w:left="4320" w:hanging="180"/>
      </w:pPr>
    </w:lvl>
    <w:lvl w:ilvl="6" w:tplc="F7E23B70">
      <w:start w:val="1"/>
      <w:numFmt w:val="decimal"/>
      <w:lvlText w:val="%7."/>
      <w:lvlJc w:val="left"/>
      <w:pPr>
        <w:ind w:left="5040" w:hanging="360"/>
      </w:pPr>
    </w:lvl>
    <w:lvl w:ilvl="7" w:tplc="82627C94">
      <w:start w:val="1"/>
      <w:numFmt w:val="lowerLetter"/>
      <w:lvlText w:val="%8."/>
      <w:lvlJc w:val="left"/>
      <w:pPr>
        <w:ind w:left="5760" w:hanging="360"/>
      </w:pPr>
    </w:lvl>
    <w:lvl w:ilvl="8" w:tplc="D39699BE">
      <w:start w:val="1"/>
      <w:numFmt w:val="lowerRoman"/>
      <w:lvlText w:val="%9."/>
      <w:lvlJc w:val="right"/>
      <w:pPr>
        <w:ind w:left="6480" w:hanging="180"/>
      </w:pPr>
    </w:lvl>
  </w:abstractNum>
  <w:abstractNum w:abstractNumId="2" w15:restartNumberingAfterBreak="0">
    <w:nsid w:val="06730777"/>
    <w:multiLevelType w:val="hybridMultilevel"/>
    <w:tmpl w:val="7B9CAE22"/>
    <w:lvl w:ilvl="0" w:tplc="1C08AA1C">
      <w:start w:val="1"/>
      <w:numFmt w:val="decimal"/>
      <w:lvlText w:val="%1."/>
      <w:lvlJc w:val="left"/>
      <w:pPr>
        <w:tabs>
          <w:tab w:val="num" w:pos="0"/>
        </w:tabs>
        <w:ind w:left="0" w:firstLine="0"/>
      </w:pPr>
      <w:rPr>
        <w:rFonts w:ascii="Times New Roman" w:eastAsiaTheme="minorHAnsi" w:hAnsi="Times New Roman" w:cs="Times New Roman"/>
        <w:i/>
        <w:iCs/>
      </w:rPr>
    </w:lvl>
    <w:lvl w:ilvl="1" w:tplc="9DB249F8" w:tentative="1">
      <w:start w:val="1"/>
      <w:numFmt w:val="lowerLetter"/>
      <w:lvlText w:val="%2."/>
      <w:lvlJc w:val="left"/>
      <w:pPr>
        <w:ind w:left="1440" w:hanging="360"/>
      </w:pPr>
    </w:lvl>
    <w:lvl w:ilvl="2" w:tplc="29620FEE" w:tentative="1">
      <w:start w:val="1"/>
      <w:numFmt w:val="lowerRoman"/>
      <w:lvlText w:val="%3."/>
      <w:lvlJc w:val="right"/>
      <w:pPr>
        <w:ind w:left="2160" w:hanging="180"/>
      </w:pPr>
    </w:lvl>
    <w:lvl w:ilvl="3" w:tplc="7F2A0160" w:tentative="1">
      <w:start w:val="1"/>
      <w:numFmt w:val="decimal"/>
      <w:lvlText w:val="%4."/>
      <w:lvlJc w:val="left"/>
      <w:pPr>
        <w:ind w:left="2880" w:hanging="360"/>
      </w:pPr>
    </w:lvl>
    <w:lvl w:ilvl="4" w:tplc="1B9C879A" w:tentative="1">
      <w:start w:val="1"/>
      <w:numFmt w:val="lowerLetter"/>
      <w:lvlText w:val="%5."/>
      <w:lvlJc w:val="left"/>
      <w:pPr>
        <w:ind w:left="3600" w:hanging="360"/>
      </w:pPr>
    </w:lvl>
    <w:lvl w:ilvl="5" w:tplc="B3960BB2" w:tentative="1">
      <w:start w:val="1"/>
      <w:numFmt w:val="lowerRoman"/>
      <w:lvlText w:val="%6."/>
      <w:lvlJc w:val="right"/>
      <w:pPr>
        <w:ind w:left="4320" w:hanging="180"/>
      </w:pPr>
    </w:lvl>
    <w:lvl w:ilvl="6" w:tplc="2F926F06" w:tentative="1">
      <w:start w:val="1"/>
      <w:numFmt w:val="decimal"/>
      <w:lvlText w:val="%7."/>
      <w:lvlJc w:val="left"/>
      <w:pPr>
        <w:ind w:left="5040" w:hanging="360"/>
      </w:pPr>
    </w:lvl>
    <w:lvl w:ilvl="7" w:tplc="D8D4D3FC" w:tentative="1">
      <w:start w:val="1"/>
      <w:numFmt w:val="lowerLetter"/>
      <w:lvlText w:val="%8."/>
      <w:lvlJc w:val="left"/>
      <w:pPr>
        <w:ind w:left="5760" w:hanging="360"/>
      </w:pPr>
    </w:lvl>
    <w:lvl w:ilvl="8" w:tplc="12BAB71E" w:tentative="1">
      <w:start w:val="1"/>
      <w:numFmt w:val="lowerRoman"/>
      <w:lvlText w:val="%9."/>
      <w:lvlJc w:val="right"/>
      <w:pPr>
        <w:ind w:left="6480" w:hanging="180"/>
      </w:pPr>
    </w:lvl>
  </w:abstractNum>
  <w:abstractNum w:abstractNumId="3" w15:restartNumberingAfterBreak="0">
    <w:nsid w:val="07FE531C"/>
    <w:multiLevelType w:val="hybridMultilevel"/>
    <w:tmpl w:val="FE8A7CB8"/>
    <w:lvl w:ilvl="0" w:tplc="E500D89A">
      <w:start w:val="1"/>
      <w:numFmt w:val="lowerRoman"/>
      <w:lvlText w:val="%1."/>
      <w:lvlJc w:val="right"/>
      <w:pPr>
        <w:ind w:left="720" w:hanging="360"/>
      </w:pPr>
    </w:lvl>
    <w:lvl w:ilvl="1" w:tplc="14EE36E0">
      <w:start w:val="1"/>
      <w:numFmt w:val="lowerLetter"/>
      <w:lvlText w:val="%2."/>
      <w:lvlJc w:val="left"/>
      <w:pPr>
        <w:ind w:left="1440" w:hanging="360"/>
      </w:pPr>
    </w:lvl>
    <w:lvl w:ilvl="2" w:tplc="819E0CF8">
      <w:start w:val="1"/>
      <w:numFmt w:val="lowerRoman"/>
      <w:lvlText w:val="%3."/>
      <w:lvlJc w:val="right"/>
      <w:pPr>
        <w:ind w:left="2160" w:hanging="180"/>
      </w:pPr>
    </w:lvl>
    <w:lvl w:ilvl="3" w:tplc="CE06725C">
      <w:start w:val="1"/>
      <w:numFmt w:val="decimal"/>
      <w:lvlText w:val="%4."/>
      <w:lvlJc w:val="left"/>
      <w:pPr>
        <w:ind w:left="2880" w:hanging="360"/>
      </w:pPr>
    </w:lvl>
    <w:lvl w:ilvl="4" w:tplc="C09EEB54">
      <w:start w:val="1"/>
      <w:numFmt w:val="lowerLetter"/>
      <w:lvlText w:val="%5."/>
      <w:lvlJc w:val="left"/>
      <w:pPr>
        <w:ind w:left="3600" w:hanging="360"/>
      </w:pPr>
    </w:lvl>
    <w:lvl w:ilvl="5" w:tplc="9CDC3B06">
      <w:start w:val="1"/>
      <w:numFmt w:val="lowerRoman"/>
      <w:lvlText w:val="%6."/>
      <w:lvlJc w:val="right"/>
      <w:pPr>
        <w:ind w:left="4320" w:hanging="180"/>
      </w:pPr>
    </w:lvl>
    <w:lvl w:ilvl="6" w:tplc="C518B48C">
      <w:start w:val="1"/>
      <w:numFmt w:val="decimal"/>
      <w:lvlText w:val="%7."/>
      <w:lvlJc w:val="left"/>
      <w:pPr>
        <w:ind w:left="5040" w:hanging="360"/>
      </w:pPr>
    </w:lvl>
    <w:lvl w:ilvl="7" w:tplc="CBECC2A0">
      <w:start w:val="1"/>
      <w:numFmt w:val="lowerLetter"/>
      <w:lvlText w:val="%8."/>
      <w:lvlJc w:val="left"/>
      <w:pPr>
        <w:ind w:left="5760" w:hanging="360"/>
      </w:pPr>
    </w:lvl>
    <w:lvl w:ilvl="8" w:tplc="EB20B7DC">
      <w:start w:val="1"/>
      <w:numFmt w:val="lowerRoman"/>
      <w:lvlText w:val="%9."/>
      <w:lvlJc w:val="right"/>
      <w:pPr>
        <w:ind w:left="6480" w:hanging="180"/>
      </w:pPr>
    </w:lvl>
  </w:abstractNum>
  <w:abstractNum w:abstractNumId="4" w15:restartNumberingAfterBreak="0">
    <w:nsid w:val="0FB307DE"/>
    <w:multiLevelType w:val="multilevel"/>
    <w:tmpl w:val="DB3054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45DCAD8"/>
    <w:multiLevelType w:val="hybridMultilevel"/>
    <w:tmpl w:val="4E86C850"/>
    <w:lvl w:ilvl="0" w:tplc="42A2BA8E">
      <w:start w:val="1"/>
      <w:numFmt w:val="lowerRoman"/>
      <w:lvlText w:val="%1."/>
      <w:lvlJc w:val="right"/>
      <w:pPr>
        <w:ind w:left="720" w:hanging="360"/>
      </w:pPr>
    </w:lvl>
    <w:lvl w:ilvl="1" w:tplc="883A916E">
      <w:start w:val="1"/>
      <w:numFmt w:val="lowerLetter"/>
      <w:lvlText w:val="%2."/>
      <w:lvlJc w:val="left"/>
      <w:pPr>
        <w:ind w:left="1440" w:hanging="360"/>
      </w:pPr>
    </w:lvl>
    <w:lvl w:ilvl="2" w:tplc="C7D239D4">
      <w:start w:val="1"/>
      <w:numFmt w:val="lowerRoman"/>
      <w:lvlText w:val="%3."/>
      <w:lvlJc w:val="right"/>
      <w:pPr>
        <w:ind w:left="2160" w:hanging="180"/>
      </w:pPr>
    </w:lvl>
    <w:lvl w:ilvl="3" w:tplc="E34A0D0A">
      <w:start w:val="1"/>
      <w:numFmt w:val="decimal"/>
      <w:lvlText w:val="%4."/>
      <w:lvlJc w:val="left"/>
      <w:pPr>
        <w:ind w:left="2880" w:hanging="360"/>
      </w:pPr>
    </w:lvl>
    <w:lvl w:ilvl="4" w:tplc="AE06D168">
      <w:start w:val="1"/>
      <w:numFmt w:val="lowerLetter"/>
      <w:lvlText w:val="%5."/>
      <w:lvlJc w:val="left"/>
      <w:pPr>
        <w:ind w:left="3600" w:hanging="360"/>
      </w:pPr>
    </w:lvl>
    <w:lvl w:ilvl="5" w:tplc="1618F2CE">
      <w:start w:val="1"/>
      <w:numFmt w:val="lowerRoman"/>
      <w:lvlText w:val="%6."/>
      <w:lvlJc w:val="right"/>
      <w:pPr>
        <w:ind w:left="4320" w:hanging="180"/>
      </w:pPr>
    </w:lvl>
    <w:lvl w:ilvl="6" w:tplc="6AF809F6">
      <w:start w:val="1"/>
      <w:numFmt w:val="decimal"/>
      <w:lvlText w:val="%7."/>
      <w:lvlJc w:val="left"/>
      <w:pPr>
        <w:ind w:left="5040" w:hanging="360"/>
      </w:pPr>
    </w:lvl>
    <w:lvl w:ilvl="7" w:tplc="9DEAC1FC">
      <w:start w:val="1"/>
      <w:numFmt w:val="lowerLetter"/>
      <w:lvlText w:val="%8."/>
      <w:lvlJc w:val="left"/>
      <w:pPr>
        <w:ind w:left="5760" w:hanging="360"/>
      </w:pPr>
    </w:lvl>
    <w:lvl w:ilvl="8" w:tplc="677C912E">
      <w:start w:val="1"/>
      <w:numFmt w:val="lowerRoman"/>
      <w:lvlText w:val="%9."/>
      <w:lvlJc w:val="right"/>
      <w:pPr>
        <w:ind w:left="6480" w:hanging="180"/>
      </w:pPr>
    </w:lvl>
  </w:abstractNum>
  <w:abstractNum w:abstractNumId="6" w15:restartNumberingAfterBreak="0">
    <w:nsid w:val="1834D9F3"/>
    <w:multiLevelType w:val="hybridMultilevel"/>
    <w:tmpl w:val="6CB61280"/>
    <w:lvl w:ilvl="0" w:tplc="106A2314">
      <w:start w:val="1"/>
      <w:numFmt w:val="lowerRoman"/>
      <w:lvlText w:val="%1."/>
      <w:lvlJc w:val="right"/>
      <w:pPr>
        <w:ind w:left="720" w:hanging="360"/>
      </w:pPr>
    </w:lvl>
    <w:lvl w:ilvl="1" w:tplc="30BC13AE">
      <w:start w:val="1"/>
      <w:numFmt w:val="lowerLetter"/>
      <w:lvlText w:val="%2."/>
      <w:lvlJc w:val="left"/>
      <w:pPr>
        <w:ind w:left="1440" w:hanging="360"/>
      </w:pPr>
    </w:lvl>
    <w:lvl w:ilvl="2" w:tplc="405EC2B2">
      <w:start w:val="1"/>
      <w:numFmt w:val="lowerRoman"/>
      <w:lvlText w:val="%3."/>
      <w:lvlJc w:val="right"/>
      <w:pPr>
        <w:ind w:left="2160" w:hanging="180"/>
      </w:pPr>
    </w:lvl>
    <w:lvl w:ilvl="3" w:tplc="CD5A8B36">
      <w:start w:val="1"/>
      <w:numFmt w:val="decimal"/>
      <w:lvlText w:val="%4."/>
      <w:lvlJc w:val="left"/>
      <w:pPr>
        <w:ind w:left="2880" w:hanging="360"/>
      </w:pPr>
    </w:lvl>
    <w:lvl w:ilvl="4" w:tplc="119AB8D2">
      <w:start w:val="1"/>
      <w:numFmt w:val="lowerLetter"/>
      <w:lvlText w:val="%5."/>
      <w:lvlJc w:val="left"/>
      <w:pPr>
        <w:ind w:left="3600" w:hanging="360"/>
      </w:pPr>
    </w:lvl>
    <w:lvl w:ilvl="5" w:tplc="FBF23DC0">
      <w:start w:val="1"/>
      <w:numFmt w:val="lowerRoman"/>
      <w:lvlText w:val="%6."/>
      <w:lvlJc w:val="right"/>
      <w:pPr>
        <w:ind w:left="4320" w:hanging="180"/>
      </w:pPr>
    </w:lvl>
    <w:lvl w:ilvl="6" w:tplc="488E00A8">
      <w:start w:val="1"/>
      <w:numFmt w:val="decimal"/>
      <w:lvlText w:val="%7."/>
      <w:lvlJc w:val="left"/>
      <w:pPr>
        <w:ind w:left="5040" w:hanging="360"/>
      </w:pPr>
    </w:lvl>
    <w:lvl w:ilvl="7" w:tplc="9E083C34">
      <w:start w:val="1"/>
      <w:numFmt w:val="lowerLetter"/>
      <w:lvlText w:val="%8."/>
      <w:lvlJc w:val="left"/>
      <w:pPr>
        <w:ind w:left="5760" w:hanging="360"/>
      </w:pPr>
    </w:lvl>
    <w:lvl w:ilvl="8" w:tplc="FD240876">
      <w:start w:val="1"/>
      <w:numFmt w:val="lowerRoman"/>
      <w:lvlText w:val="%9."/>
      <w:lvlJc w:val="right"/>
      <w:pPr>
        <w:ind w:left="6480" w:hanging="180"/>
      </w:pPr>
    </w:lvl>
  </w:abstractNum>
  <w:abstractNum w:abstractNumId="7" w15:restartNumberingAfterBreak="0">
    <w:nsid w:val="19602595"/>
    <w:multiLevelType w:val="hybridMultilevel"/>
    <w:tmpl w:val="CCB2717A"/>
    <w:lvl w:ilvl="0" w:tplc="E9F032B8">
      <w:start w:val="1"/>
      <w:numFmt w:val="decimal"/>
      <w:lvlText w:val="%1."/>
      <w:lvlJc w:val="left"/>
      <w:pPr>
        <w:ind w:left="720" w:hanging="360"/>
      </w:pPr>
      <w:rPr>
        <w:rFonts w:hint="default"/>
      </w:rPr>
    </w:lvl>
    <w:lvl w:ilvl="1" w:tplc="355C6976" w:tentative="1">
      <w:start w:val="1"/>
      <w:numFmt w:val="lowerLetter"/>
      <w:lvlText w:val="%2."/>
      <w:lvlJc w:val="left"/>
      <w:pPr>
        <w:ind w:left="1440" w:hanging="360"/>
      </w:pPr>
    </w:lvl>
    <w:lvl w:ilvl="2" w:tplc="30C43724" w:tentative="1">
      <w:start w:val="1"/>
      <w:numFmt w:val="lowerRoman"/>
      <w:lvlText w:val="%3."/>
      <w:lvlJc w:val="right"/>
      <w:pPr>
        <w:ind w:left="2160" w:hanging="180"/>
      </w:pPr>
    </w:lvl>
    <w:lvl w:ilvl="3" w:tplc="B89E3566" w:tentative="1">
      <w:start w:val="1"/>
      <w:numFmt w:val="decimal"/>
      <w:lvlText w:val="%4."/>
      <w:lvlJc w:val="left"/>
      <w:pPr>
        <w:ind w:left="2880" w:hanging="360"/>
      </w:pPr>
    </w:lvl>
    <w:lvl w:ilvl="4" w:tplc="F4922300" w:tentative="1">
      <w:start w:val="1"/>
      <w:numFmt w:val="lowerLetter"/>
      <w:lvlText w:val="%5."/>
      <w:lvlJc w:val="left"/>
      <w:pPr>
        <w:ind w:left="3600" w:hanging="360"/>
      </w:pPr>
    </w:lvl>
    <w:lvl w:ilvl="5" w:tplc="05F49B5A" w:tentative="1">
      <w:start w:val="1"/>
      <w:numFmt w:val="lowerRoman"/>
      <w:lvlText w:val="%6."/>
      <w:lvlJc w:val="right"/>
      <w:pPr>
        <w:ind w:left="4320" w:hanging="180"/>
      </w:pPr>
    </w:lvl>
    <w:lvl w:ilvl="6" w:tplc="32F0685C" w:tentative="1">
      <w:start w:val="1"/>
      <w:numFmt w:val="decimal"/>
      <w:lvlText w:val="%7."/>
      <w:lvlJc w:val="left"/>
      <w:pPr>
        <w:ind w:left="5040" w:hanging="360"/>
      </w:pPr>
    </w:lvl>
    <w:lvl w:ilvl="7" w:tplc="18B2E67C" w:tentative="1">
      <w:start w:val="1"/>
      <w:numFmt w:val="lowerLetter"/>
      <w:lvlText w:val="%8."/>
      <w:lvlJc w:val="left"/>
      <w:pPr>
        <w:ind w:left="5760" w:hanging="360"/>
      </w:pPr>
    </w:lvl>
    <w:lvl w:ilvl="8" w:tplc="A18025C6" w:tentative="1">
      <w:start w:val="1"/>
      <w:numFmt w:val="lowerRoman"/>
      <w:lvlText w:val="%9."/>
      <w:lvlJc w:val="right"/>
      <w:pPr>
        <w:ind w:left="6480" w:hanging="180"/>
      </w:pPr>
    </w:lvl>
  </w:abstractNum>
  <w:abstractNum w:abstractNumId="8" w15:restartNumberingAfterBreak="0">
    <w:nsid w:val="1A710FE6"/>
    <w:multiLevelType w:val="hybridMultilevel"/>
    <w:tmpl w:val="801400D0"/>
    <w:lvl w:ilvl="0" w:tplc="9654BD98">
      <w:start w:val="2023"/>
      <w:numFmt w:val="bullet"/>
      <w:lvlText w:val="-"/>
      <w:lvlJc w:val="left"/>
      <w:pPr>
        <w:ind w:left="720" w:hanging="360"/>
      </w:pPr>
      <w:rPr>
        <w:rFonts w:ascii="Times New Roman" w:eastAsia="Times New Roman" w:hAnsi="Times New Roman" w:cs="Times New Roman" w:hint="default"/>
      </w:rPr>
    </w:lvl>
    <w:lvl w:ilvl="1" w:tplc="FC7CC67E" w:tentative="1">
      <w:start w:val="1"/>
      <w:numFmt w:val="bullet"/>
      <w:lvlText w:val="o"/>
      <w:lvlJc w:val="left"/>
      <w:pPr>
        <w:ind w:left="1440" w:hanging="360"/>
      </w:pPr>
      <w:rPr>
        <w:rFonts w:ascii="Courier New" w:hAnsi="Courier New" w:cs="Courier New" w:hint="default"/>
      </w:rPr>
    </w:lvl>
    <w:lvl w:ilvl="2" w:tplc="511C24B4" w:tentative="1">
      <w:start w:val="1"/>
      <w:numFmt w:val="bullet"/>
      <w:lvlText w:val=""/>
      <w:lvlJc w:val="left"/>
      <w:pPr>
        <w:ind w:left="2160" w:hanging="360"/>
      </w:pPr>
      <w:rPr>
        <w:rFonts w:ascii="Wingdings" w:hAnsi="Wingdings" w:hint="default"/>
      </w:rPr>
    </w:lvl>
    <w:lvl w:ilvl="3" w:tplc="8F867DB0" w:tentative="1">
      <w:start w:val="1"/>
      <w:numFmt w:val="bullet"/>
      <w:lvlText w:val=""/>
      <w:lvlJc w:val="left"/>
      <w:pPr>
        <w:ind w:left="2880" w:hanging="360"/>
      </w:pPr>
      <w:rPr>
        <w:rFonts w:ascii="Symbol" w:hAnsi="Symbol" w:hint="default"/>
      </w:rPr>
    </w:lvl>
    <w:lvl w:ilvl="4" w:tplc="4EBABC7C" w:tentative="1">
      <w:start w:val="1"/>
      <w:numFmt w:val="bullet"/>
      <w:lvlText w:val="o"/>
      <w:lvlJc w:val="left"/>
      <w:pPr>
        <w:ind w:left="3600" w:hanging="360"/>
      </w:pPr>
      <w:rPr>
        <w:rFonts w:ascii="Courier New" w:hAnsi="Courier New" w:cs="Courier New" w:hint="default"/>
      </w:rPr>
    </w:lvl>
    <w:lvl w:ilvl="5" w:tplc="952AD8A0" w:tentative="1">
      <w:start w:val="1"/>
      <w:numFmt w:val="bullet"/>
      <w:lvlText w:val=""/>
      <w:lvlJc w:val="left"/>
      <w:pPr>
        <w:ind w:left="4320" w:hanging="360"/>
      </w:pPr>
      <w:rPr>
        <w:rFonts w:ascii="Wingdings" w:hAnsi="Wingdings" w:hint="default"/>
      </w:rPr>
    </w:lvl>
    <w:lvl w:ilvl="6" w:tplc="35324610" w:tentative="1">
      <w:start w:val="1"/>
      <w:numFmt w:val="bullet"/>
      <w:lvlText w:val=""/>
      <w:lvlJc w:val="left"/>
      <w:pPr>
        <w:ind w:left="5040" w:hanging="360"/>
      </w:pPr>
      <w:rPr>
        <w:rFonts w:ascii="Symbol" w:hAnsi="Symbol" w:hint="default"/>
      </w:rPr>
    </w:lvl>
    <w:lvl w:ilvl="7" w:tplc="2B5E1A90" w:tentative="1">
      <w:start w:val="1"/>
      <w:numFmt w:val="bullet"/>
      <w:lvlText w:val="o"/>
      <w:lvlJc w:val="left"/>
      <w:pPr>
        <w:ind w:left="5760" w:hanging="360"/>
      </w:pPr>
      <w:rPr>
        <w:rFonts w:ascii="Courier New" w:hAnsi="Courier New" w:cs="Courier New" w:hint="default"/>
      </w:rPr>
    </w:lvl>
    <w:lvl w:ilvl="8" w:tplc="5FD27966" w:tentative="1">
      <w:start w:val="1"/>
      <w:numFmt w:val="bullet"/>
      <w:lvlText w:val=""/>
      <w:lvlJc w:val="left"/>
      <w:pPr>
        <w:ind w:left="6480" w:hanging="360"/>
      </w:pPr>
      <w:rPr>
        <w:rFonts w:ascii="Wingdings" w:hAnsi="Wingdings" w:hint="default"/>
      </w:rPr>
    </w:lvl>
  </w:abstractNum>
  <w:abstractNum w:abstractNumId="9" w15:restartNumberingAfterBreak="0">
    <w:nsid w:val="1BB3E927"/>
    <w:multiLevelType w:val="hybridMultilevel"/>
    <w:tmpl w:val="C3DC4E28"/>
    <w:lvl w:ilvl="0" w:tplc="ADAAE86E">
      <w:start w:val="1"/>
      <w:numFmt w:val="lowerRoman"/>
      <w:lvlText w:val="%1."/>
      <w:lvlJc w:val="right"/>
      <w:pPr>
        <w:ind w:left="720" w:hanging="360"/>
      </w:pPr>
    </w:lvl>
    <w:lvl w:ilvl="1" w:tplc="74DEC512">
      <w:start w:val="1"/>
      <w:numFmt w:val="lowerLetter"/>
      <w:lvlText w:val="%2."/>
      <w:lvlJc w:val="left"/>
      <w:pPr>
        <w:ind w:left="1440" w:hanging="360"/>
      </w:pPr>
    </w:lvl>
    <w:lvl w:ilvl="2" w:tplc="D61C74F4">
      <w:start w:val="1"/>
      <w:numFmt w:val="lowerRoman"/>
      <w:lvlText w:val="%3."/>
      <w:lvlJc w:val="right"/>
      <w:pPr>
        <w:ind w:left="2160" w:hanging="180"/>
      </w:pPr>
    </w:lvl>
    <w:lvl w:ilvl="3" w:tplc="3E28E00E">
      <w:start w:val="1"/>
      <w:numFmt w:val="decimal"/>
      <w:lvlText w:val="%4."/>
      <w:lvlJc w:val="left"/>
      <w:pPr>
        <w:ind w:left="2880" w:hanging="360"/>
      </w:pPr>
    </w:lvl>
    <w:lvl w:ilvl="4" w:tplc="01324140">
      <w:start w:val="1"/>
      <w:numFmt w:val="lowerLetter"/>
      <w:lvlText w:val="%5."/>
      <w:lvlJc w:val="left"/>
      <w:pPr>
        <w:ind w:left="3600" w:hanging="360"/>
      </w:pPr>
    </w:lvl>
    <w:lvl w:ilvl="5" w:tplc="7E5C19E0">
      <w:start w:val="1"/>
      <w:numFmt w:val="lowerRoman"/>
      <w:lvlText w:val="%6."/>
      <w:lvlJc w:val="right"/>
      <w:pPr>
        <w:ind w:left="4320" w:hanging="180"/>
      </w:pPr>
    </w:lvl>
    <w:lvl w:ilvl="6" w:tplc="E502F9CC">
      <w:start w:val="1"/>
      <w:numFmt w:val="decimal"/>
      <w:lvlText w:val="%7."/>
      <w:lvlJc w:val="left"/>
      <w:pPr>
        <w:ind w:left="5040" w:hanging="360"/>
      </w:pPr>
    </w:lvl>
    <w:lvl w:ilvl="7" w:tplc="93AA490C">
      <w:start w:val="1"/>
      <w:numFmt w:val="lowerLetter"/>
      <w:lvlText w:val="%8."/>
      <w:lvlJc w:val="left"/>
      <w:pPr>
        <w:ind w:left="5760" w:hanging="360"/>
      </w:pPr>
    </w:lvl>
    <w:lvl w:ilvl="8" w:tplc="DD6025F6">
      <w:start w:val="1"/>
      <w:numFmt w:val="lowerRoman"/>
      <w:lvlText w:val="%9."/>
      <w:lvlJc w:val="right"/>
      <w:pPr>
        <w:ind w:left="6480" w:hanging="180"/>
      </w:pPr>
    </w:lvl>
  </w:abstractNum>
  <w:abstractNum w:abstractNumId="10" w15:restartNumberingAfterBreak="0">
    <w:nsid w:val="214806AF"/>
    <w:multiLevelType w:val="hybridMultilevel"/>
    <w:tmpl w:val="AC7A5542"/>
    <w:lvl w:ilvl="0" w:tplc="42225F54">
      <w:start w:val="1"/>
      <w:numFmt w:val="bullet"/>
      <w:lvlText w:val=""/>
      <w:lvlJc w:val="left"/>
      <w:pPr>
        <w:ind w:left="720" w:hanging="360"/>
      </w:pPr>
      <w:rPr>
        <w:rFonts w:ascii="Symbol" w:hAnsi="Symbol" w:hint="default"/>
      </w:rPr>
    </w:lvl>
    <w:lvl w:ilvl="1" w:tplc="8592AFDA" w:tentative="1">
      <w:start w:val="1"/>
      <w:numFmt w:val="bullet"/>
      <w:lvlText w:val="o"/>
      <w:lvlJc w:val="left"/>
      <w:pPr>
        <w:ind w:left="1440" w:hanging="360"/>
      </w:pPr>
      <w:rPr>
        <w:rFonts w:ascii="Courier New" w:hAnsi="Courier New" w:cs="Courier New" w:hint="default"/>
      </w:rPr>
    </w:lvl>
    <w:lvl w:ilvl="2" w:tplc="CC965036" w:tentative="1">
      <w:start w:val="1"/>
      <w:numFmt w:val="bullet"/>
      <w:lvlText w:val=""/>
      <w:lvlJc w:val="left"/>
      <w:pPr>
        <w:ind w:left="2160" w:hanging="360"/>
      </w:pPr>
      <w:rPr>
        <w:rFonts w:ascii="Wingdings" w:hAnsi="Wingdings" w:hint="default"/>
      </w:rPr>
    </w:lvl>
    <w:lvl w:ilvl="3" w:tplc="9B64D84C">
      <w:start w:val="1"/>
      <w:numFmt w:val="bullet"/>
      <w:lvlText w:val=""/>
      <w:lvlJc w:val="left"/>
      <w:pPr>
        <w:ind w:left="2880" w:hanging="360"/>
      </w:pPr>
      <w:rPr>
        <w:rFonts w:ascii="Symbol" w:hAnsi="Symbol" w:hint="default"/>
      </w:rPr>
    </w:lvl>
    <w:lvl w:ilvl="4" w:tplc="60785E58" w:tentative="1">
      <w:start w:val="1"/>
      <w:numFmt w:val="bullet"/>
      <w:lvlText w:val="o"/>
      <w:lvlJc w:val="left"/>
      <w:pPr>
        <w:ind w:left="3600" w:hanging="360"/>
      </w:pPr>
      <w:rPr>
        <w:rFonts w:ascii="Courier New" w:hAnsi="Courier New" w:cs="Courier New" w:hint="default"/>
      </w:rPr>
    </w:lvl>
    <w:lvl w:ilvl="5" w:tplc="EC54D210" w:tentative="1">
      <w:start w:val="1"/>
      <w:numFmt w:val="bullet"/>
      <w:lvlText w:val=""/>
      <w:lvlJc w:val="left"/>
      <w:pPr>
        <w:ind w:left="4320" w:hanging="360"/>
      </w:pPr>
      <w:rPr>
        <w:rFonts w:ascii="Wingdings" w:hAnsi="Wingdings" w:hint="default"/>
      </w:rPr>
    </w:lvl>
    <w:lvl w:ilvl="6" w:tplc="26EA671C" w:tentative="1">
      <w:start w:val="1"/>
      <w:numFmt w:val="bullet"/>
      <w:lvlText w:val=""/>
      <w:lvlJc w:val="left"/>
      <w:pPr>
        <w:ind w:left="5040" w:hanging="360"/>
      </w:pPr>
      <w:rPr>
        <w:rFonts w:ascii="Symbol" w:hAnsi="Symbol" w:hint="default"/>
      </w:rPr>
    </w:lvl>
    <w:lvl w:ilvl="7" w:tplc="1F00C4DA" w:tentative="1">
      <w:start w:val="1"/>
      <w:numFmt w:val="bullet"/>
      <w:lvlText w:val="o"/>
      <w:lvlJc w:val="left"/>
      <w:pPr>
        <w:ind w:left="5760" w:hanging="360"/>
      </w:pPr>
      <w:rPr>
        <w:rFonts w:ascii="Courier New" w:hAnsi="Courier New" w:cs="Courier New" w:hint="default"/>
      </w:rPr>
    </w:lvl>
    <w:lvl w:ilvl="8" w:tplc="689E140E" w:tentative="1">
      <w:start w:val="1"/>
      <w:numFmt w:val="bullet"/>
      <w:lvlText w:val=""/>
      <w:lvlJc w:val="left"/>
      <w:pPr>
        <w:ind w:left="6480" w:hanging="360"/>
      </w:pPr>
      <w:rPr>
        <w:rFonts w:ascii="Wingdings" w:hAnsi="Wingdings" w:hint="default"/>
      </w:rPr>
    </w:lvl>
  </w:abstractNum>
  <w:abstractNum w:abstractNumId="11" w15:restartNumberingAfterBreak="0">
    <w:nsid w:val="21B01F52"/>
    <w:multiLevelType w:val="multilevel"/>
    <w:tmpl w:val="86EA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DF2C44"/>
    <w:multiLevelType w:val="multilevel"/>
    <w:tmpl w:val="AF72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C1F5E"/>
    <w:multiLevelType w:val="hybridMultilevel"/>
    <w:tmpl w:val="005C4AFC"/>
    <w:lvl w:ilvl="0" w:tplc="C4720010">
      <w:start w:val="1"/>
      <w:numFmt w:val="bullet"/>
      <w:lvlText w:val=""/>
      <w:lvlJc w:val="left"/>
      <w:pPr>
        <w:ind w:left="720" w:hanging="360"/>
      </w:pPr>
      <w:rPr>
        <w:rFonts w:ascii="Symbol" w:hAnsi="Symbol" w:hint="default"/>
      </w:rPr>
    </w:lvl>
    <w:lvl w:ilvl="1" w:tplc="A3F0A028" w:tentative="1">
      <w:start w:val="1"/>
      <w:numFmt w:val="bullet"/>
      <w:lvlText w:val="o"/>
      <w:lvlJc w:val="left"/>
      <w:pPr>
        <w:ind w:left="1440" w:hanging="360"/>
      </w:pPr>
      <w:rPr>
        <w:rFonts w:ascii="Courier New" w:hAnsi="Courier New" w:cs="Courier New" w:hint="default"/>
      </w:rPr>
    </w:lvl>
    <w:lvl w:ilvl="2" w:tplc="87F2C50C" w:tentative="1">
      <w:start w:val="1"/>
      <w:numFmt w:val="bullet"/>
      <w:lvlText w:val=""/>
      <w:lvlJc w:val="left"/>
      <w:pPr>
        <w:ind w:left="2160" w:hanging="360"/>
      </w:pPr>
      <w:rPr>
        <w:rFonts w:ascii="Wingdings" w:hAnsi="Wingdings" w:hint="default"/>
      </w:rPr>
    </w:lvl>
    <w:lvl w:ilvl="3" w:tplc="D38667DA" w:tentative="1">
      <w:start w:val="1"/>
      <w:numFmt w:val="bullet"/>
      <w:lvlText w:val=""/>
      <w:lvlJc w:val="left"/>
      <w:pPr>
        <w:ind w:left="2880" w:hanging="360"/>
      </w:pPr>
      <w:rPr>
        <w:rFonts w:ascii="Symbol" w:hAnsi="Symbol" w:hint="default"/>
      </w:rPr>
    </w:lvl>
    <w:lvl w:ilvl="4" w:tplc="761EE5D6" w:tentative="1">
      <w:start w:val="1"/>
      <w:numFmt w:val="bullet"/>
      <w:lvlText w:val="o"/>
      <w:lvlJc w:val="left"/>
      <w:pPr>
        <w:ind w:left="3600" w:hanging="360"/>
      </w:pPr>
      <w:rPr>
        <w:rFonts w:ascii="Courier New" w:hAnsi="Courier New" w:cs="Courier New" w:hint="default"/>
      </w:rPr>
    </w:lvl>
    <w:lvl w:ilvl="5" w:tplc="C548F436" w:tentative="1">
      <w:start w:val="1"/>
      <w:numFmt w:val="bullet"/>
      <w:lvlText w:val=""/>
      <w:lvlJc w:val="left"/>
      <w:pPr>
        <w:ind w:left="4320" w:hanging="360"/>
      </w:pPr>
      <w:rPr>
        <w:rFonts w:ascii="Wingdings" w:hAnsi="Wingdings" w:hint="default"/>
      </w:rPr>
    </w:lvl>
    <w:lvl w:ilvl="6" w:tplc="64B4E8B6" w:tentative="1">
      <w:start w:val="1"/>
      <w:numFmt w:val="bullet"/>
      <w:lvlText w:val=""/>
      <w:lvlJc w:val="left"/>
      <w:pPr>
        <w:ind w:left="5040" w:hanging="360"/>
      </w:pPr>
      <w:rPr>
        <w:rFonts w:ascii="Symbol" w:hAnsi="Symbol" w:hint="default"/>
      </w:rPr>
    </w:lvl>
    <w:lvl w:ilvl="7" w:tplc="38323348" w:tentative="1">
      <w:start w:val="1"/>
      <w:numFmt w:val="bullet"/>
      <w:lvlText w:val="o"/>
      <w:lvlJc w:val="left"/>
      <w:pPr>
        <w:ind w:left="5760" w:hanging="360"/>
      </w:pPr>
      <w:rPr>
        <w:rFonts w:ascii="Courier New" w:hAnsi="Courier New" w:cs="Courier New" w:hint="default"/>
      </w:rPr>
    </w:lvl>
    <w:lvl w:ilvl="8" w:tplc="AA842F38" w:tentative="1">
      <w:start w:val="1"/>
      <w:numFmt w:val="bullet"/>
      <w:lvlText w:val=""/>
      <w:lvlJc w:val="left"/>
      <w:pPr>
        <w:ind w:left="6480" w:hanging="360"/>
      </w:pPr>
      <w:rPr>
        <w:rFonts w:ascii="Wingdings" w:hAnsi="Wingdings" w:hint="default"/>
      </w:rPr>
    </w:lvl>
  </w:abstractNum>
  <w:abstractNum w:abstractNumId="14" w15:restartNumberingAfterBreak="0">
    <w:nsid w:val="300E51A3"/>
    <w:multiLevelType w:val="multilevel"/>
    <w:tmpl w:val="62886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17097"/>
    <w:multiLevelType w:val="multilevel"/>
    <w:tmpl w:val="2E526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6C424B"/>
    <w:multiLevelType w:val="multilevel"/>
    <w:tmpl w:val="D5ACD8C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6E1517"/>
    <w:multiLevelType w:val="hybridMultilevel"/>
    <w:tmpl w:val="1B7E34EE"/>
    <w:lvl w:ilvl="0" w:tplc="91FACFFA">
      <w:start w:val="1"/>
      <w:numFmt w:val="decimal"/>
      <w:pStyle w:val="SCFileStamp"/>
      <w:lvlText w:val="%1."/>
      <w:lvlJc w:val="left"/>
      <w:pPr>
        <w:ind w:left="720" w:hanging="360"/>
      </w:pPr>
    </w:lvl>
    <w:lvl w:ilvl="1" w:tplc="2E5002CE">
      <w:start w:val="1"/>
      <w:numFmt w:val="lowerLetter"/>
      <w:lvlText w:val="%2."/>
      <w:lvlJc w:val="left"/>
      <w:pPr>
        <w:ind w:left="1440" w:hanging="360"/>
      </w:pPr>
    </w:lvl>
    <w:lvl w:ilvl="2" w:tplc="D0C6ED24" w:tentative="1">
      <w:start w:val="1"/>
      <w:numFmt w:val="lowerRoman"/>
      <w:lvlText w:val="%3."/>
      <w:lvlJc w:val="right"/>
      <w:pPr>
        <w:ind w:left="2160" w:hanging="180"/>
      </w:pPr>
    </w:lvl>
    <w:lvl w:ilvl="3" w:tplc="2FA68150" w:tentative="1">
      <w:start w:val="1"/>
      <w:numFmt w:val="decimal"/>
      <w:lvlText w:val="%4."/>
      <w:lvlJc w:val="left"/>
      <w:pPr>
        <w:ind w:left="2880" w:hanging="360"/>
      </w:pPr>
    </w:lvl>
    <w:lvl w:ilvl="4" w:tplc="5D5020D6" w:tentative="1">
      <w:start w:val="1"/>
      <w:numFmt w:val="lowerLetter"/>
      <w:lvlText w:val="%5."/>
      <w:lvlJc w:val="left"/>
      <w:pPr>
        <w:ind w:left="3600" w:hanging="360"/>
      </w:pPr>
    </w:lvl>
    <w:lvl w:ilvl="5" w:tplc="1E3EA54E" w:tentative="1">
      <w:start w:val="1"/>
      <w:numFmt w:val="lowerRoman"/>
      <w:lvlText w:val="%6."/>
      <w:lvlJc w:val="right"/>
      <w:pPr>
        <w:ind w:left="4320" w:hanging="180"/>
      </w:pPr>
    </w:lvl>
    <w:lvl w:ilvl="6" w:tplc="220A24C6" w:tentative="1">
      <w:start w:val="1"/>
      <w:numFmt w:val="decimal"/>
      <w:lvlText w:val="%7."/>
      <w:lvlJc w:val="left"/>
      <w:pPr>
        <w:ind w:left="5040" w:hanging="360"/>
      </w:pPr>
    </w:lvl>
    <w:lvl w:ilvl="7" w:tplc="08145EB0" w:tentative="1">
      <w:start w:val="1"/>
      <w:numFmt w:val="lowerLetter"/>
      <w:lvlText w:val="%8."/>
      <w:lvlJc w:val="left"/>
      <w:pPr>
        <w:ind w:left="5760" w:hanging="360"/>
      </w:pPr>
    </w:lvl>
    <w:lvl w:ilvl="8" w:tplc="E0082962" w:tentative="1">
      <w:start w:val="1"/>
      <w:numFmt w:val="lowerRoman"/>
      <w:lvlText w:val="%9."/>
      <w:lvlJc w:val="right"/>
      <w:pPr>
        <w:ind w:left="6480" w:hanging="180"/>
      </w:pPr>
    </w:lvl>
  </w:abstractNum>
  <w:abstractNum w:abstractNumId="18" w15:restartNumberingAfterBreak="0">
    <w:nsid w:val="45115461"/>
    <w:multiLevelType w:val="hybridMultilevel"/>
    <w:tmpl w:val="078242D6"/>
    <w:lvl w:ilvl="0" w:tplc="325EB732">
      <w:start w:val="1"/>
      <w:numFmt w:val="decimal"/>
      <w:lvlText w:val="%1."/>
      <w:lvlJc w:val="left"/>
      <w:pPr>
        <w:tabs>
          <w:tab w:val="num" w:pos="0"/>
        </w:tabs>
        <w:ind w:left="0" w:firstLine="0"/>
      </w:pPr>
      <w:rPr>
        <w:rFonts w:ascii="Times New Roman" w:eastAsia="Times New Roman" w:hAnsi="Times New Roman" w:cs="Times New Roman"/>
        <w:i/>
        <w:iCs/>
      </w:rPr>
    </w:lvl>
    <w:lvl w:ilvl="1" w:tplc="973C4E2E" w:tentative="1">
      <w:start w:val="1"/>
      <w:numFmt w:val="lowerLetter"/>
      <w:lvlText w:val="%2."/>
      <w:lvlJc w:val="left"/>
      <w:pPr>
        <w:ind w:left="1440" w:hanging="360"/>
      </w:pPr>
    </w:lvl>
    <w:lvl w:ilvl="2" w:tplc="BEF40992" w:tentative="1">
      <w:start w:val="1"/>
      <w:numFmt w:val="lowerRoman"/>
      <w:lvlText w:val="%3."/>
      <w:lvlJc w:val="right"/>
      <w:pPr>
        <w:ind w:left="2160" w:hanging="180"/>
      </w:pPr>
    </w:lvl>
    <w:lvl w:ilvl="3" w:tplc="A61C30F6" w:tentative="1">
      <w:start w:val="1"/>
      <w:numFmt w:val="decimal"/>
      <w:lvlText w:val="%4."/>
      <w:lvlJc w:val="left"/>
      <w:pPr>
        <w:ind w:left="2880" w:hanging="360"/>
      </w:pPr>
    </w:lvl>
    <w:lvl w:ilvl="4" w:tplc="D082827C" w:tentative="1">
      <w:start w:val="1"/>
      <w:numFmt w:val="lowerLetter"/>
      <w:lvlText w:val="%5."/>
      <w:lvlJc w:val="left"/>
      <w:pPr>
        <w:ind w:left="3600" w:hanging="360"/>
      </w:pPr>
    </w:lvl>
    <w:lvl w:ilvl="5" w:tplc="3D540C7C" w:tentative="1">
      <w:start w:val="1"/>
      <w:numFmt w:val="lowerRoman"/>
      <w:lvlText w:val="%6."/>
      <w:lvlJc w:val="right"/>
      <w:pPr>
        <w:ind w:left="4320" w:hanging="180"/>
      </w:pPr>
    </w:lvl>
    <w:lvl w:ilvl="6" w:tplc="67AC9B36" w:tentative="1">
      <w:start w:val="1"/>
      <w:numFmt w:val="decimal"/>
      <w:lvlText w:val="%7."/>
      <w:lvlJc w:val="left"/>
      <w:pPr>
        <w:ind w:left="5040" w:hanging="360"/>
      </w:pPr>
    </w:lvl>
    <w:lvl w:ilvl="7" w:tplc="160407A4" w:tentative="1">
      <w:start w:val="1"/>
      <w:numFmt w:val="lowerLetter"/>
      <w:lvlText w:val="%8."/>
      <w:lvlJc w:val="left"/>
      <w:pPr>
        <w:ind w:left="5760" w:hanging="360"/>
      </w:pPr>
    </w:lvl>
    <w:lvl w:ilvl="8" w:tplc="71AA17D0" w:tentative="1">
      <w:start w:val="1"/>
      <w:numFmt w:val="lowerRoman"/>
      <w:lvlText w:val="%9."/>
      <w:lvlJc w:val="right"/>
      <w:pPr>
        <w:ind w:left="6480" w:hanging="180"/>
      </w:pPr>
    </w:lvl>
  </w:abstractNum>
  <w:abstractNum w:abstractNumId="19" w15:restartNumberingAfterBreak="0">
    <w:nsid w:val="4A846F2C"/>
    <w:multiLevelType w:val="hybridMultilevel"/>
    <w:tmpl w:val="BAEEBC28"/>
    <w:lvl w:ilvl="0" w:tplc="2D0A610A">
      <w:start w:val="2023"/>
      <w:numFmt w:val="bullet"/>
      <w:lvlText w:val="-"/>
      <w:lvlJc w:val="left"/>
      <w:pPr>
        <w:ind w:left="720" w:hanging="360"/>
      </w:pPr>
      <w:rPr>
        <w:rFonts w:ascii="Times New Roman" w:eastAsia="Times New Roman" w:hAnsi="Times New Roman" w:cs="Times New Roman" w:hint="default"/>
      </w:rPr>
    </w:lvl>
    <w:lvl w:ilvl="1" w:tplc="36305116">
      <w:start w:val="1"/>
      <w:numFmt w:val="bullet"/>
      <w:lvlText w:val="o"/>
      <w:lvlJc w:val="left"/>
      <w:pPr>
        <w:ind w:left="1440" w:hanging="360"/>
      </w:pPr>
      <w:rPr>
        <w:rFonts w:ascii="Courier New" w:hAnsi="Courier New" w:cs="Courier New" w:hint="default"/>
      </w:rPr>
    </w:lvl>
    <w:lvl w:ilvl="2" w:tplc="18E42FC8" w:tentative="1">
      <w:start w:val="1"/>
      <w:numFmt w:val="bullet"/>
      <w:lvlText w:val=""/>
      <w:lvlJc w:val="left"/>
      <w:pPr>
        <w:ind w:left="2160" w:hanging="360"/>
      </w:pPr>
      <w:rPr>
        <w:rFonts w:ascii="Wingdings" w:hAnsi="Wingdings" w:hint="default"/>
      </w:rPr>
    </w:lvl>
    <w:lvl w:ilvl="3" w:tplc="738894BA" w:tentative="1">
      <w:start w:val="1"/>
      <w:numFmt w:val="bullet"/>
      <w:lvlText w:val=""/>
      <w:lvlJc w:val="left"/>
      <w:pPr>
        <w:ind w:left="2880" w:hanging="360"/>
      </w:pPr>
      <w:rPr>
        <w:rFonts w:ascii="Symbol" w:hAnsi="Symbol" w:hint="default"/>
      </w:rPr>
    </w:lvl>
    <w:lvl w:ilvl="4" w:tplc="490E3038" w:tentative="1">
      <w:start w:val="1"/>
      <w:numFmt w:val="bullet"/>
      <w:lvlText w:val="o"/>
      <w:lvlJc w:val="left"/>
      <w:pPr>
        <w:ind w:left="3600" w:hanging="360"/>
      </w:pPr>
      <w:rPr>
        <w:rFonts w:ascii="Courier New" w:hAnsi="Courier New" w:cs="Courier New" w:hint="default"/>
      </w:rPr>
    </w:lvl>
    <w:lvl w:ilvl="5" w:tplc="62D86064" w:tentative="1">
      <w:start w:val="1"/>
      <w:numFmt w:val="bullet"/>
      <w:lvlText w:val=""/>
      <w:lvlJc w:val="left"/>
      <w:pPr>
        <w:ind w:left="4320" w:hanging="360"/>
      </w:pPr>
      <w:rPr>
        <w:rFonts w:ascii="Wingdings" w:hAnsi="Wingdings" w:hint="default"/>
      </w:rPr>
    </w:lvl>
    <w:lvl w:ilvl="6" w:tplc="4A701504" w:tentative="1">
      <w:start w:val="1"/>
      <w:numFmt w:val="bullet"/>
      <w:lvlText w:val=""/>
      <w:lvlJc w:val="left"/>
      <w:pPr>
        <w:ind w:left="5040" w:hanging="360"/>
      </w:pPr>
      <w:rPr>
        <w:rFonts w:ascii="Symbol" w:hAnsi="Symbol" w:hint="default"/>
      </w:rPr>
    </w:lvl>
    <w:lvl w:ilvl="7" w:tplc="8F6E0FAA" w:tentative="1">
      <w:start w:val="1"/>
      <w:numFmt w:val="bullet"/>
      <w:lvlText w:val="o"/>
      <w:lvlJc w:val="left"/>
      <w:pPr>
        <w:ind w:left="5760" w:hanging="360"/>
      </w:pPr>
      <w:rPr>
        <w:rFonts w:ascii="Courier New" w:hAnsi="Courier New" w:cs="Courier New" w:hint="default"/>
      </w:rPr>
    </w:lvl>
    <w:lvl w:ilvl="8" w:tplc="45DC94E4" w:tentative="1">
      <w:start w:val="1"/>
      <w:numFmt w:val="bullet"/>
      <w:lvlText w:val=""/>
      <w:lvlJc w:val="left"/>
      <w:pPr>
        <w:ind w:left="6480" w:hanging="360"/>
      </w:pPr>
      <w:rPr>
        <w:rFonts w:ascii="Wingdings" w:hAnsi="Wingdings" w:hint="default"/>
      </w:rPr>
    </w:lvl>
  </w:abstractNum>
  <w:abstractNum w:abstractNumId="20" w15:restartNumberingAfterBreak="0">
    <w:nsid w:val="505874B8"/>
    <w:multiLevelType w:val="multilevel"/>
    <w:tmpl w:val="26C6F0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44F1B40"/>
    <w:multiLevelType w:val="hybridMultilevel"/>
    <w:tmpl w:val="DF348BA0"/>
    <w:lvl w:ilvl="0" w:tplc="6E34274C">
      <w:start w:val="1"/>
      <w:numFmt w:val="lowerRoman"/>
      <w:lvlText w:val="%1."/>
      <w:lvlJc w:val="right"/>
      <w:pPr>
        <w:ind w:left="720" w:hanging="360"/>
      </w:pPr>
    </w:lvl>
    <w:lvl w:ilvl="1" w:tplc="FB047664">
      <w:start w:val="1"/>
      <w:numFmt w:val="lowerLetter"/>
      <w:lvlText w:val="%2."/>
      <w:lvlJc w:val="left"/>
      <w:pPr>
        <w:ind w:left="1440" w:hanging="360"/>
      </w:pPr>
    </w:lvl>
    <w:lvl w:ilvl="2" w:tplc="688A12F2">
      <w:start w:val="1"/>
      <w:numFmt w:val="lowerRoman"/>
      <w:lvlText w:val="%3."/>
      <w:lvlJc w:val="right"/>
      <w:pPr>
        <w:ind w:left="2160" w:hanging="180"/>
      </w:pPr>
    </w:lvl>
    <w:lvl w:ilvl="3" w:tplc="3FA28542">
      <w:start w:val="1"/>
      <w:numFmt w:val="decimal"/>
      <w:lvlText w:val="%4."/>
      <w:lvlJc w:val="left"/>
      <w:pPr>
        <w:ind w:left="2880" w:hanging="360"/>
      </w:pPr>
    </w:lvl>
    <w:lvl w:ilvl="4" w:tplc="A1085122">
      <w:start w:val="1"/>
      <w:numFmt w:val="lowerLetter"/>
      <w:lvlText w:val="%5."/>
      <w:lvlJc w:val="left"/>
      <w:pPr>
        <w:ind w:left="3600" w:hanging="360"/>
      </w:pPr>
    </w:lvl>
    <w:lvl w:ilvl="5" w:tplc="19C2ABB8">
      <w:start w:val="1"/>
      <w:numFmt w:val="lowerRoman"/>
      <w:lvlText w:val="%6."/>
      <w:lvlJc w:val="right"/>
      <w:pPr>
        <w:ind w:left="4320" w:hanging="180"/>
      </w:pPr>
    </w:lvl>
    <w:lvl w:ilvl="6" w:tplc="2A58E86E">
      <w:start w:val="1"/>
      <w:numFmt w:val="decimal"/>
      <w:lvlText w:val="%7."/>
      <w:lvlJc w:val="left"/>
      <w:pPr>
        <w:ind w:left="5040" w:hanging="360"/>
      </w:pPr>
    </w:lvl>
    <w:lvl w:ilvl="7" w:tplc="54A6D026">
      <w:start w:val="1"/>
      <w:numFmt w:val="lowerLetter"/>
      <w:lvlText w:val="%8."/>
      <w:lvlJc w:val="left"/>
      <w:pPr>
        <w:ind w:left="5760" w:hanging="360"/>
      </w:pPr>
    </w:lvl>
    <w:lvl w:ilvl="8" w:tplc="EA16F136">
      <w:start w:val="1"/>
      <w:numFmt w:val="lowerRoman"/>
      <w:lvlText w:val="%9."/>
      <w:lvlJc w:val="right"/>
      <w:pPr>
        <w:ind w:left="6480" w:hanging="180"/>
      </w:pPr>
    </w:lvl>
  </w:abstractNum>
  <w:abstractNum w:abstractNumId="22" w15:restartNumberingAfterBreak="0">
    <w:nsid w:val="648F1BA5"/>
    <w:multiLevelType w:val="multilevel"/>
    <w:tmpl w:val="73A2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26474"/>
    <w:multiLevelType w:val="hybridMultilevel"/>
    <w:tmpl w:val="13089A38"/>
    <w:lvl w:ilvl="0" w:tplc="4B6A9F44">
      <w:start w:val="1"/>
      <w:numFmt w:val="decimal"/>
      <w:lvlText w:val="%1."/>
      <w:lvlJc w:val="left"/>
      <w:pPr>
        <w:ind w:left="720" w:hanging="360"/>
      </w:pPr>
      <w:rPr>
        <w:rFonts w:hint="default"/>
      </w:rPr>
    </w:lvl>
    <w:lvl w:ilvl="1" w:tplc="9AF09180" w:tentative="1">
      <w:start w:val="1"/>
      <w:numFmt w:val="lowerLetter"/>
      <w:lvlText w:val="%2."/>
      <w:lvlJc w:val="left"/>
      <w:pPr>
        <w:ind w:left="1440" w:hanging="360"/>
      </w:pPr>
    </w:lvl>
    <w:lvl w:ilvl="2" w:tplc="4D7872D8" w:tentative="1">
      <w:start w:val="1"/>
      <w:numFmt w:val="lowerRoman"/>
      <w:lvlText w:val="%3."/>
      <w:lvlJc w:val="right"/>
      <w:pPr>
        <w:ind w:left="2160" w:hanging="180"/>
      </w:pPr>
    </w:lvl>
    <w:lvl w:ilvl="3" w:tplc="6346D33E" w:tentative="1">
      <w:start w:val="1"/>
      <w:numFmt w:val="decimal"/>
      <w:lvlText w:val="%4."/>
      <w:lvlJc w:val="left"/>
      <w:pPr>
        <w:ind w:left="2880" w:hanging="360"/>
      </w:pPr>
    </w:lvl>
    <w:lvl w:ilvl="4" w:tplc="73C021E2" w:tentative="1">
      <w:start w:val="1"/>
      <w:numFmt w:val="lowerLetter"/>
      <w:lvlText w:val="%5."/>
      <w:lvlJc w:val="left"/>
      <w:pPr>
        <w:ind w:left="3600" w:hanging="360"/>
      </w:pPr>
    </w:lvl>
    <w:lvl w:ilvl="5" w:tplc="37B0DCFC" w:tentative="1">
      <w:start w:val="1"/>
      <w:numFmt w:val="lowerRoman"/>
      <w:lvlText w:val="%6."/>
      <w:lvlJc w:val="right"/>
      <w:pPr>
        <w:ind w:left="4320" w:hanging="180"/>
      </w:pPr>
    </w:lvl>
    <w:lvl w:ilvl="6" w:tplc="5AC0DA32" w:tentative="1">
      <w:start w:val="1"/>
      <w:numFmt w:val="decimal"/>
      <w:lvlText w:val="%7."/>
      <w:lvlJc w:val="left"/>
      <w:pPr>
        <w:ind w:left="5040" w:hanging="360"/>
      </w:pPr>
    </w:lvl>
    <w:lvl w:ilvl="7" w:tplc="49BAB782" w:tentative="1">
      <w:start w:val="1"/>
      <w:numFmt w:val="lowerLetter"/>
      <w:lvlText w:val="%8."/>
      <w:lvlJc w:val="left"/>
      <w:pPr>
        <w:ind w:left="5760" w:hanging="360"/>
      </w:pPr>
    </w:lvl>
    <w:lvl w:ilvl="8" w:tplc="AE2EC72E" w:tentative="1">
      <w:start w:val="1"/>
      <w:numFmt w:val="lowerRoman"/>
      <w:lvlText w:val="%9."/>
      <w:lvlJc w:val="right"/>
      <w:pPr>
        <w:ind w:left="6480" w:hanging="180"/>
      </w:pPr>
    </w:lvl>
  </w:abstractNum>
  <w:abstractNum w:abstractNumId="24" w15:restartNumberingAfterBreak="0">
    <w:nsid w:val="68F009C2"/>
    <w:multiLevelType w:val="multilevel"/>
    <w:tmpl w:val="2052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050B6B"/>
    <w:multiLevelType w:val="multilevel"/>
    <w:tmpl w:val="5706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17AAC"/>
    <w:multiLevelType w:val="hybridMultilevel"/>
    <w:tmpl w:val="748C9648"/>
    <w:lvl w:ilvl="0" w:tplc="463CDFE0">
      <w:start w:val="1"/>
      <w:numFmt w:val="lowerRoman"/>
      <w:lvlText w:val="%1."/>
      <w:lvlJc w:val="right"/>
      <w:pPr>
        <w:ind w:left="720" w:hanging="360"/>
      </w:pPr>
    </w:lvl>
    <w:lvl w:ilvl="1" w:tplc="1B0C1C9A">
      <w:start w:val="1"/>
      <w:numFmt w:val="lowerLetter"/>
      <w:lvlText w:val="%2."/>
      <w:lvlJc w:val="left"/>
      <w:pPr>
        <w:ind w:left="1440" w:hanging="360"/>
      </w:pPr>
    </w:lvl>
    <w:lvl w:ilvl="2" w:tplc="B7DA9690">
      <w:start w:val="1"/>
      <w:numFmt w:val="lowerRoman"/>
      <w:lvlText w:val="%3."/>
      <w:lvlJc w:val="right"/>
      <w:pPr>
        <w:ind w:left="2160" w:hanging="180"/>
      </w:pPr>
    </w:lvl>
    <w:lvl w:ilvl="3" w:tplc="9E385D3C">
      <w:start w:val="1"/>
      <w:numFmt w:val="decimal"/>
      <w:lvlText w:val="%4."/>
      <w:lvlJc w:val="left"/>
      <w:pPr>
        <w:ind w:left="2880" w:hanging="360"/>
      </w:pPr>
    </w:lvl>
    <w:lvl w:ilvl="4" w:tplc="26A039E4">
      <w:start w:val="1"/>
      <w:numFmt w:val="lowerLetter"/>
      <w:lvlText w:val="%5."/>
      <w:lvlJc w:val="left"/>
      <w:pPr>
        <w:ind w:left="3600" w:hanging="360"/>
      </w:pPr>
    </w:lvl>
    <w:lvl w:ilvl="5" w:tplc="6AACBA70">
      <w:start w:val="1"/>
      <w:numFmt w:val="lowerRoman"/>
      <w:lvlText w:val="%6."/>
      <w:lvlJc w:val="right"/>
      <w:pPr>
        <w:ind w:left="4320" w:hanging="180"/>
      </w:pPr>
    </w:lvl>
    <w:lvl w:ilvl="6" w:tplc="056A0778">
      <w:start w:val="1"/>
      <w:numFmt w:val="decimal"/>
      <w:lvlText w:val="%7."/>
      <w:lvlJc w:val="left"/>
      <w:pPr>
        <w:ind w:left="5040" w:hanging="360"/>
      </w:pPr>
    </w:lvl>
    <w:lvl w:ilvl="7" w:tplc="C8D08358">
      <w:start w:val="1"/>
      <w:numFmt w:val="lowerLetter"/>
      <w:lvlText w:val="%8."/>
      <w:lvlJc w:val="left"/>
      <w:pPr>
        <w:ind w:left="5760" w:hanging="360"/>
      </w:pPr>
    </w:lvl>
    <w:lvl w:ilvl="8" w:tplc="28EE8AA6">
      <w:start w:val="1"/>
      <w:numFmt w:val="lowerRoman"/>
      <w:lvlText w:val="%9."/>
      <w:lvlJc w:val="right"/>
      <w:pPr>
        <w:ind w:left="6480" w:hanging="180"/>
      </w:pPr>
    </w:lvl>
  </w:abstractNum>
  <w:abstractNum w:abstractNumId="27" w15:restartNumberingAfterBreak="0">
    <w:nsid w:val="763935F2"/>
    <w:multiLevelType w:val="hybridMultilevel"/>
    <w:tmpl w:val="8A209554"/>
    <w:lvl w:ilvl="0" w:tplc="237EE4C6">
      <w:start w:val="1"/>
      <w:numFmt w:val="bullet"/>
      <w:lvlText w:val=""/>
      <w:lvlJc w:val="left"/>
      <w:pPr>
        <w:ind w:left="720" w:hanging="360"/>
      </w:pPr>
      <w:rPr>
        <w:rFonts w:ascii="Symbol" w:hAnsi="Symbol" w:hint="default"/>
      </w:rPr>
    </w:lvl>
    <w:lvl w:ilvl="1" w:tplc="047E9612" w:tentative="1">
      <w:start w:val="1"/>
      <w:numFmt w:val="bullet"/>
      <w:lvlText w:val="o"/>
      <w:lvlJc w:val="left"/>
      <w:pPr>
        <w:ind w:left="1440" w:hanging="360"/>
      </w:pPr>
      <w:rPr>
        <w:rFonts w:ascii="Courier New" w:hAnsi="Courier New" w:cs="Courier New" w:hint="default"/>
      </w:rPr>
    </w:lvl>
    <w:lvl w:ilvl="2" w:tplc="BA109296">
      <w:start w:val="1"/>
      <w:numFmt w:val="bullet"/>
      <w:lvlText w:val=""/>
      <w:lvlJc w:val="left"/>
      <w:pPr>
        <w:ind w:left="2160" w:hanging="360"/>
      </w:pPr>
      <w:rPr>
        <w:rFonts w:ascii="Wingdings" w:hAnsi="Wingdings" w:hint="default"/>
      </w:rPr>
    </w:lvl>
    <w:lvl w:ilvl="3" w:tplc="FE7C73B8" w:tentative="1">
      <w:start w:val="1"/>
      <w:numFmt w:val="bullet"/>
      <w:lvlText w:val=""/>
      <w:lvlJc w:val="left"/>
      <w:pPr>
        <w:ind w:left="2880" w:hanging="360"/>
      </w:pPr>
      <w:rPr>
        <w:rFonts w:ascii="Symbol" w:hAnsi="Symbol" w:hint="default"/>
      </w:rPr>
    </w:lvl>
    <w:lvl w:ilvl="4" w:tplc="DC5C42AA" w:tentative="1">
      <w:start w:val="1"/>
      <w:numFmt w:val="bullet"/>
      <w:lvlText w:val="o"/>
      <w:lvlJc w:val="left"/>
      <w:pPr>
        <w:ind w:left="3600" w:hanging="360"/>
      </w:pPr>
      <w:rPr>
        <w:rFonts w:ascii="Courier New" w:hAnsi="Courier New" w:cs="Courier New" w:hint="default"/>
      </w:rPr>
    </w:lvl>
    <w:lvl w:ilvl="5" w:tplc="F226270C" w:tentative="1">
      <w:start w:val="1"/>
      <w:numFmt w:val="bullet"/>
      <w:lvlText w:val=""/>
      <w:lvlJc w:val="left"/>
      <w:pPr>
        <w:ind w:left="4320" w:hanging="360"/>
      </w:pPr>
      <w:rPr>
        <w:rFonts w:ascii="Wingdings" w:hAnsi="Wingdings" w:hint="default"/>
      </w:rPr>
    </w:lvl>
    <w:lvl w:ilvl="6" w:tplc="7F007FF6" w:tentative="1">
      <w:start w:val="1"/>
      <w:numFmt w:val="bullet"/>
      <w:lvlText w:val=""/>
      <w:lvlJc w:val="left"/>
      <w:pPr>
        <w:ind w:left="5040" w:hanging="360"/>
      </w:pPr>
      <w:rPr>
        <w:rFonts w:ascii="Symbol" w:hAnsi="Symbol" w:hint="default"/>
      </w:rPr>
    </w:lvl>
    <w:lvl w:ilvl="7" w:tplc="9852EC80" w:tentative="1">
      <w:start w:val="1"/>
      <w:numFmt w:val="bullet"/>
      <w:lvlText w:val="o"/>
      <w:lvlJc w:val="left"/>
      <w:pPr>
        <w:ind w:left="5760" w:hanging="360"/>
      </w:pPr>
      <w:rPr>
        <w:rFonts w:ascii="Courier New" w:hAnsi="Courier New" w:cs="Courier New" w:hint="default"/>
      </w:rPr>
    </w:lvl>
    <w:lvl w:ilvl="8" w:tplc="AD9A59C8" w:tentative="1">
      <w:start w:val="1"/>
      <w:numFmt w:val="bullet"/>
      <w:lvlText w:val=""/>
      <w:lvlJc w:val="left"/>
      <w:pPr>
        <w:ind w:left="6480" w:hanging="360"/>
      </w:pPr>
      <w:rPr>
        <w:rFonts w:ascii="Wingdings" w:hAnsi="Wingdings" w:hint="default"/>
      </w:rPr>
    </w:lvl>
  </w:abstractNum>
  <w:abstractNum w:abstractNumId="28" w15:restartNumberingAfterBreak="0">
    <w:nsid w:val="7A751B87"/>
    <w:multiLevelType w:val="multilevel"/>
    <w:tmpl w:val="8DAE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2E656F"/>
    <w:multiLevelType w:val="multilevel"/>
    <w:tmpl w:val="A8E01BD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6362338">
    <w:abstractNumId w:val="18"/>
  </w:num>
  <w:num w:numId="2" w16cid:durableId="412237913">
    <w:abstractNumId w:val="2"/>
  </w:num>
  <w:num w:numId="3" w16cid:durableId="525406879">
    <w:abstractNumId w:val="7"/>
  </w:num>
  <w:num w:numId="4" w16cid:durableId="1634018305">
    <w:abstractNumId w:val="14"/>
  </w:num>
  <w:num w:numId="5" w16cid:durableId="412900873">
    <w:abstractNumId w:val="14"/>
  </w:num>
  <w:num w:numId="6" w16cid:durableId="1945187702">
    <w:abstractNumId w:val="14"/>
  </w:num>
  <w:num w:numId="7" w16cid:durableId="140393714">
    <w:abstractNumId w:val="29"/>
  </w:num>
  <w:num w:numId="8" w16cid:durableId="361831161">
    <w:abstractNumId w:val="22"/>
  </w:num>
  <w:num w:numId="9" w16cid:durableId="1736317934">
    <w:abstractNumId w:val="28"/>
  </w:num>
  <w:num w:numId="10" w16cid:durableId="30226685">
    <w:abstractNumId w:val="25"/>
  </w:num>
  <w:num w:numId="11" w16cid:durableId="1673288827">
    <w:abstractNumId w:val="12"/>
  </w:num>
  <w:num w:numId="12" w16cid:durableId="1761246936">
    <w:abstractNumId w:val="17"/>
  </w:num>
  <w:num w:numId="13" w16cid:durableId="1833255878">
    <w:abstractNumId w:val="10"/>
  </w:num>
  <w:num w:numId="14" w16cid:durableId="2146462155">
    <w:abstractNumId w:val="23"/>
  </w:num>
  <w:num w:numId="15" w16cid:durableId="1040743653">
    <w:abstractNumId w:val="4"/>
  </w:num>
  <w:num w:numId="16" w16cid:durableId="77597771">
    <w:abstractNumId w:val="20"/>
  </w:num>
  <w:num w:numId="17" w16cid:durableId="1758481622">
    <w:abstractNumId w:val="27"/>
  </w:num>
  <w:num w:numId="18" w16cid:durableId="507644753">
    <w:abstractNumId w:val="21"/>
  </w:num>
  <w:num w:numId="19" w16cid:durableId="1962495667">
    <w:abstractNumId w:val="9"/>
  </w:num>
  <w:num w:numId="20" w16cid:durableId="1595749415">
    <w:abstractNumId w:val="3"/>
  </w:num>
  <w:num w:numId="21" w16cid:durableId="155921858">
    <w:abstractNumId w:val="5"/>
  </w:num>
  <w:num w:numId="22" w16cid:durableId="165219094">
    <w:abstractNumId w:val="1"/>
  </w:num>
  <w:num w:numId="23" w16cid:durableId="1252086940">
    <w:abstractNumId w:val="26"/>
  </w:num>
  <w:num w:numId="24" w16cid:durableId="2093506563">
    <w:abstractNumId w:val="6"/>
  </w:num>
  <w:num w:numId="25" w16cid:durableId="21514422">
    <w:abstractNumId w:val="15"/>
  </w:num>
  <w:num w:numId="26" w16cid:durableId="896891210">
    <w:abstractNumId w:val="16"/>
  </w:num>
  <w:num w:numId="27" w16cid:durableId="1127889079">
    <w:abstractNumId w:val="13"/>
  </w:num>
  <w:num w:numId="28" w16cid:durableId="1725060364">
    <w:abstractNumId w:val="24"/>
  </w:num>
  <w:num w:numId="29" w16cid:durableId="1683124737">
    <w:abstractNumId w:val="11"/>
  </w:num>
  <w:num w:numId="30" w16cid:durableId="463039326">
    <w:abstractNumId w:val="19"/>
  </w:num>
  <w:num w:numId="31" w16cid:durableId="1938824940">
    <w:abstractNumId w:val="8"/>
  </w:num>
  <w:num w:numId="32" w16cid:durableId="176511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99"/>
    <w:rsid w:val="00006248"/>
    <w:rsid w:val="0002687B"/>
    <w:rsid w:val="00033247"/>
    <w:rsid w:val="000369A7"/>
    <w:rsid w:val="0005177C"/>
    <w:rsid w:val="000609EF"/>
    <w:rsid w:val="0006482A"/>
    <w:rsid w:val="00081D01"/>
    <w:rsid w:val="000C2CDA"/>
    <w:rsid w:val="000D5089"/>
    <w:rsid w:val="000D7CD4"/>
    <w:rsid w:val="000E36AA"/>
    <w:rsid w:val="000E4400"/>
    <w:rsid w:val="000E5409"/>
    <w:rsid w:val="000F01FD"/>
    <w:rsid w:val="000F13BD"/>
    <w:rsid w:val="000F7728"/>
    <w:rsid w:val="001025F1"/>
    <w:rsid w:val="0010385E"/>
    <w:rsid w:val="001243AE"/>
    <w:rsid w:val="00130748"/>
    <w:rsid w:val="00141E33"/>
    <w:rsid w:val="00151325"/>
    <w:rsid w:val="001706D2"/>
    <w:rsid w:val="00171C2D"/>
    <w:rsid w:val="001727E6"/>
    <w:rsid w:val="0019221B"/>
    <w:rsid w:val="0019481E"/>
    <w:rsid w:val="001D56A0"/>
    <w:rsid w:val="001D6A2D"/>
    <w:rsid w:val="001D6F47"/>
    <w:rsid w:val="001F5244"/>
    <w:rsid w:val="001F6092"/>
    <w:rsid w:val="00210534"/>
    <w:rsid w:val="0023553F"/>
    <w:rsid w:val="00251A09"/>
    <w:rsid w:val="00256592"/>
    <w:rsid w:val="0027111D"/>
    <w:rsid w:val="002A1700"/>
    <w:rsid w:val="002B2D90"/>
    <w:rsid w:val="002B463C"/>
    <w:rsid w:val="002C2575"/>
    <w:rsid w:val="002D64CD"/>
    <w:rsid w:val="002F104F"/>
    <w:rsid w:val="002F50AD"/>
    <w:rsid w:val="0030092A"/>
    <w:rsid w:val="00311D3D"/>
    <w:rsid w:val="00316C68"/>
    <w:rsid w:val="00320AD6"/>
    <w:rsid w:val="00322F60"/>
    <w:rsid w:val="00334327"/>
    <w:rsid w:val="003506AC"/>
    <w:rsid w:val="0035145D"/>
    <w:rsid w:val="003533F6"/>
    <w:rsid w:val="003632FC"/>
    <w:rsid w:val="00363946"/>
    <w:rsid w:val="00394D16"/>
    <w:rsid w:val="003F5D26"/>
    <w:rsid w:val="004024D8"/>
    <w:rsid w:val="0044059E"/>
    <w:rsid w:val="00444D99"/>
    <w:rsid w:val="00462504"/>
    <w:rsid w:val="00466D93"/>
    <w:rsid w:val="00474EE7"/>
    <w:rsid w:val="004A09F5"/>
    <w:rsid w:val="004B0EBE"/>
    <w:rsid w:val="004B6D4D"/>
    <w:rsid w:val="004C2065"/>
    <w:rsid w:val="004C5B62"/>
    <w:rsid w:val="004D0FAD"/>
    <w:rsid w:val="004D1A39"/>
    <w:rsid w:val="004E2368"/>
    <w:rsid w:val="004E6367"/>
    <w:rsid w:val="004E637A"/>
    <w:rsid w:val="004F1B8A"/>
    <w:rsid w:val="004F7916"/>
    <w:rsid w:val="00501EFF"/>
    <w:rsid w:val="005116C6"/>
    <w:rsid w:val="0051363E"/>
    <w:rsid w:val="005305CA"/>
    <w:rsid w:val="00531819"/>
    <w:rsid w:val="00550BF2"/>
    <w:rsid w:val="00587198"/>
    <w:rsid w:val="005A2047"/>
    <w:rsid w:val="005B4E6D"/>
    <w:rsid w:val="005C498B"/>
    <w:rsid w:val="005C7EB0"/>
    <w:rsid w:val="005D21BF"/>
    <w:rsid w:val="005F7E9C"/>
    <w:rsid w:val="0060250C"/>
    <w:rsid w:val="00605ED0"/>
    <w:rsid w:val="00610844"/>
    <w:rsid w:val="006327E1"/>
    <w:rsid w:val="006339A0"/>
    <w:rsid w:val="00644BB9"/>
    <w:rsid w:val="0064749C"/>
    <w:rsid w:val="00656130"/>
    <w:rsid w:val="006570E2"/>
    <w:rsid w:val="00666B7C"/>
    <w:rsid w:val="00670BE5"/>
    <w:rsid w:val="00674D88"/>
    <w:rsid w:val="0067696F"/>
    <w:rsid w:val="00690055"/>
    <w:rsid w:val="00691D4C"/>
    <w:rsid w:val="006A5425"/>
    <w:rsid w:val="006C6C66"/>
    <w:rsid w:val="006D1572"/>
    <w:rsid w:val="006D28A0"/>
    <w:rsid w:val="006D7FC2"/>
    <w:rsid w:val="006E14E1"/>
    <w:rsid w:val="006E64F6"/>
    <w:rsid w:val="00700EBB"/>
    <w:rsid w:val="0071529F"/>
    <w:rsid w:val="00720239"/>
    <w:rsid w:val="00721290"/>
    <w:rsid w:val="00747427"/>
    <w:rsid w:val="00747FD8"/>
    <w:rsid w:val="00760A99"/>
    <w:rsid w:val="00760CCB"/>
    <w:rsid w:val="007821E5"/>
    <w:rsid w:val="007A7042"/>
    <w:rsid w:val="007C035C"/>
    <w:rsid w:val="007D0942"/>
    <w:rsid w:val="007D0D27"/>
    <w:rsid w:val="007D5DC6"/>
    <w:rsid w:val="007E5FDD"/>
    <w:rsid w:val="007F411B"/>
    <w:rsid w:val="007F4BA4"/>
    <w:rsid w:val="007F5831"/>
    <w:rsid w:val="0082382B"/>
    <w:rsid w:val="00831EE1"/>
    <w:rsid w:val="00835357"/>
    <w:rsid w:val="00844160"/>
    <w:rsid w:val="00845D53"/>
    <w:rsid w:val="00864287"/>
    <w:rsid w:val="00866E82"/>
    <w:rsid w:val="008675B4"/>
    <w:rsid w:val="00880A7D"/>
    <w:rsid w:val="008A133A"/>
    <w:rsid w:val="008A6BE4"/>
    <w:rsid w:val="008B3DE3"/>
    <w:rsid w:val="008B5DB1"/>
    <w:rsid w:val="008C2163"/>
    <w:rsid w:val="008E331A"/>
    <w:rsid w:val="008E5E2F"/>
    <w:rsid w:val="008F7E78"/>
    <w:rsid w:val="0091017F"/>
    <w:rsid w:val="00924559"/>
    <w:rsid w:val="009661F2"/>
    <w:rsid w:val="00974DFB"/>
    <w:rsid w:val="00975D2E"/>
    <w:rsid w:val="00977CA3"/>
    <w:rsid w:val="00982A95"/>
    <w:rsid w:val="0098617D"/>
    <w:rsid w:val="009961DA"/>
    <w:rsid w:val="009A4852"/>
    <w:rsid w:val="009A4BAC"/>
    <w:rsid w:val="009B40EE"/>
    <w:rsid w:val="009D0401"/>
    <w:rsid w:val="009D267D"/>
    <w:rsid w:val="009D4816"/>
    <w:rsid w:val="009E4935"/>
    <w:rsid w:val="009E7A03"/>
    <w:rsid w:val="009F6F76"/>
    <w:rsid w:val="00A07B8F"/>
    <w:rsid w:val="00A113E4"/>
    <w:rsid w:val="00A258F7"/>
    <w:rsid w:val="00A266D3"/>
    <w:rsid w:val="00A364D8"/>
    <w:rsid w:val="00A433E3"/>
    <w:rsid w:val="00A6120B"/>
    <w:rsid w:val="00A72E83"/>
    <w:rsid w:val="00A74021"/>
    <w:rsid w:val="00A75323"/>
    <w:rsid w:val="00AA6FF7"/>
    <w:rsid w:val="00AB7988"/>
    <w:rsid w:val="00AB7D68"/>
    <w:rsid w:val="00AC7A4D"/>
    <w:rsid w:val="00AE207F"/>
    <w:rsid w:val="00B01626"/>
    <w:rsid w:val="00B02BF3"/>
    <w:rsid w:val="00B113BB"/>
    <w:rsid w:val="00B20DC4"/>
    <w:rsid w:val="00B27CEF"/>
    <w:rsid w:val="00B41853"/>
    <w:rsid w:val="00B546D2"/>
    <w:rsid w:val="00B80F8E"/>
    <w:rsid w:val="00B87AAB"/>
    <w:rsid w:val="00B97E5F"/>
    <w:rsid w:val="00BA1757"/>
    <w:rsid w:val="00BA1807"/>
    <w:rsid w:val="00BA6E9A"/>
    <w:rsid w:val="00BB1E01"/>
    <w:rsid w:val="00BB7478"/>
    <w:rsid w:val="00BD0A18"/>
    <w:rsid w:val="00BD0F31"/>
    <w:rsid w:val="00BD76EE"/>
    <w:rsid w:val="00BE509C"/>
    <w:rsid w:val="00BE61E8"/>
    <w:rsid w:val="00C00A46"/>
    <w:rsid w:val="00C01589"/>
    <w:rsid w:val="00C144FE"/>
    <w:rsid w:val="00C267C2"/>
    <w:rsid w:val="00C342BB"/>
    <w:rsid w:val="00C41FE8"/>
    <w:rsid w:val="00C46449"/>
    <w:rsid w:val="00C5774E"/>
    <w:rsid w:val="00C81E0C"/>
    <w:rsid w:val="00C83FC7"/>
    <w:rsid w:val="00C95FBE"/>
    <w:rsid w:val="00CB0175"/>
    <w:rsid w:val="00CB0CC6"/>
    <w:rsid w:val="00CC2029"/>
    <w:rsid w:val="00CD5165"/>
    <w:rsid w:val="00CF01F3"/>
    <w:rsid w:val="00CF4ECE"/>
    <w:rsid w:val="00D07D67"/>
    <w:rsid w:val="00D21951"/>
    <w:rsid w:val="00D2694A"/>
    <w:rsid w:val="00D37156"/>
    <w:rsid w:val="00D548C8"/>
    <w:rsid w:val="00D56278"/>
    <w:rsid w:val="00D646FA"/>
    <w:rsid w:val="00D700AC"/>
    <w:rsid w:val="00D72332"/>
    <w:rsid w:val="00D76C2B"/>
    <w:rsid w:val="00D774EA"/>
    <w:rsid w:val="00D812AC"/>
    <w:rsid w:val="00D8318B"/>
    <w:rsid w:val="00D84BAE"/>
    <w:rsid w:val="00D90B1C"/>
    <w:rsid w:val="00D90DBC"/>
    <w:rsid w:val="00D93302"/>
    <w:rsid w:val="00DE2F10"/>
    <w:rsid w:val="00DE777C"/>
    <w:rsid w:val="00DF1CD3"/>
    <w:rsid w:val="00DF3A3E"/>
    <w:rsid w:val="00E00CCE"/>
    <w:rsid w:val="00E05D75"/>
    <w:rsid w:val="00E21852"/>
    <w:rsid w:val="00E22CD7"/>
    <w:rsid w:val="00E27206"/>
    <w:rsid w:val="00E346AE"/>
    <w:rsid w:val="00E3532D"/>
    <w:rsid w:val="00E41628"/>
    <w:rsid w:val="00E419DB"/>
    <w:rsid w:val="00E432E8"/>
    <w:rsid w:val="00E6024E"/>
    <w:rsid w:val="00E65428"/>
    <w:rsid w:val="00E66D68"/>
    <w:rsid w:val="00E83D65"/>
    <w:rsid w:val="00EB6FA8"/>
    <w:rsid w:val="00ED58C0"/>
    <w:rsid w:val="00EE5B82"/>
    <w:rsid w:val="00EE7D60"/>
    <w:rsid w:val="00EF0DF0"/>
    <w:rsid w:val="00EF2EBA"/>
    <w:rsid w:val="00EF3CAA"/>
    <w:rsid w:val="00EF7C84"/>
    <w:rsid w:val="00F300C6"/>
    <w:rsid w:val="00F35900"/>
    <w:rsid w:val="00F4633C"/>
    <w:rsid w:val="00F521E0"/>
    <w:rsid w:val="00F549F2"/>
    <w:rsid w:val="00F6038E"/>
    <w:rsid w:val="00F61B15"/>
    <w:rsid w:val="00F63BB4"/>
    <w:rsid w:val="00F70550"/>
    <w:rsid w:val="00F72D9E"/>
    <w:rsid w:val="00F91095"/>
    <w:rsid w:val="00FA01A1"/>
    <w:rsid w:val="00FA52F4"/>
    <w:rsid w:val="00FD5A6D"/>
    <w:rsid w:val="00FD6548"/>
    <w:rsid w:val="00FE03D0"/>
    <w:rsid w:val="00FF0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F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6A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C25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A17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44B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D99"/>
    <w:rPr>
      <w:color w:val="0563C1" w:themeColor="hyperlink"/>
      <w:u w:val="single"/>
    </w:rPr>
  </w:style>
  <w:style w:type="character" w:customStyle="1" w:styleId="UnresolvedMention1">
    <w:name w:val="Unresolved Mention1"/>
    <w:basedOn w:val="DefaultParagraphFont"/>
    <w:uiPriority w:val="99"/>
    <w:semiHidden/>
    <w:unhideWhenUsed/>
    <w:rsid w:val="00444D99"/>
    <w:rPr>
      <w:color w:val="605E5C"/>
      <w:shd w:val="clear" w:color="auto" w:fill="E1DFDD"/>
    </w:rPr>
  </w:style>
  <w:style w:type="paragraph" w:styleId="Header">
    <w:name w:val="header"/>
    <w:basedOn w:val="Normal"/>
    <w:link w:val="HeaderChar"/>
    <w:uiPriority w:val="99"/>
    <w:unhideWhenUsed/>
    <w:rsid w:val="00700EBB"/>
    <w:pPr>
      <w:tabs>
        <w:tab w:val="center" w:pos="4513"/>
        <w:tab w:val="right" w:pos="9026"/>
      </w:tabs>
    </w:pPr>
  </w:style>
  <w:style w:type="character" w:customStyle="1" w:styleId="HeaderChar">
    <w:name w:val="Header Char"/>
    <w:basedOn w:val="DefaultParagraphFont"/>
    <w:link w:val="Header"/>
    <w:uiPriority w:val="99"/>
    <w:rsid w:val="00700EBB"/>
  </w:style>
  <w:style w:type="paragraph" w:styleId="Footer">
    <w:name w:val="footer"/>
    <w:basedOn w:val="Normal"/>
    <w:link w:val="FooterChar"/>
    <w:uiPriority w:val="99"/>
    <w:unhideWhenUsed/>
    <w:rsid w:val="00700EBB"/>
    <w:pPr>
      <w:tabs>
        <w:tab w:val="center" w:pos="4513"/>
        <w:tab w:val="right" w:pos="9026"/>
      </w:tabs>
    </w:pPr>
  </w:style>
  <w:style w:type="character" w:customStyle="1" w:styleId="FooterChar">
    <w:name w:val="Footer Char"/>
    <w:basedOn w:val="DefaultParagraphFont"/>
    <w:link w:val="Footer"/>
    <w:uiPriority w:val="99"/>
    <w:rsid w:val="00700EBB"/>
  </w:style>
  <w:style w:type="paragraph" w:styleId="ListParagraph">
    <w:name w:val="List Paragraph"/>
    <w:basedOn w:val="Normal"/>
    <w:link w:val="ListParagraphChar"/>
    <w:qFormat/>
    <w:rsid w:val="00FD5A6D"/>
    <w:pPr>
      <w:ind w:left="720"/>
      <w:contextualSpacing/>
    </w:pPr>
  </w:style>
  <w:style w:type="paragraph" w:styleId="NormalWeb">
    <w:name w:val="Normal (Web)"/>
    <w:basedOn w:val="Normal"/>
    <w:uiPriority w:val="99"/>
    <w:semiHidden/>
    <w:unhideWhenUsed/>
    <w:rsid w:val="007C035C"/>
  </w:style>
  <w:style w:type="character" w:styleId="CommentReference">
    <w:name w:val="annotation reference"/>
    <w:basedOn w:val="DefaultParagraphFont"/>
    <w:uiPriority w:val="99"/>
    <w:semiHidden/>
    <w:unhideWhenUsed/>
    <w:rsid w:val="00316C68"/>
    <w:rPr>
      <w:sz w:val="16"/>
      <w:szCs w:val="16"/>
    </w:rPr>
  </w:style>
  <w:style w:type="paragraph" w:styleId="CommentText">
    <w:name w:val="annotation text"/>
    <w:basedOn w:val="Normal"/>
    <w:link w:val="CommentTextChar"/>
    <w:uiPriority w:val="99"/>
    <w:semiHidden/>
    <w:unhideWhenUsed/>
    <w:rsid w:val="00316C68"/>
    <w:rPr>
      <w:sz w:val="20"/>
      <w:szCs w:val="20"/>
    </w:rPr>
  </w:style>
  <w:style w:type="character" w:customStyle="1" w:styleId="CommentTextChar">
    <w:name w:val="Comment Text Char"/>
    <w:basedOn w:val="DefaultParagraphFont"/>
    <w:link w:val="CommentText"/>
    <w:uiPriority w:val="99"/>
    <w:semiHidden/>
    <w:rsid w:val="00316C68"/>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16C68"/>
    <w:rPr>
      <w:b/>
      <w:bCs/>
    </w:rPr>
  </w:style>
  <w:style w:type="character" w:customStyle="1" w:styleId="CommentSubjectChar">
    <w:name w:val="Comment Subject Char"/>
    <w:basedOn w:val="CommentTextChar"/>
    <w:link w:val="CommentSubject"/>
    <w:uiPriority w:val="99"/>
    <w:semiHidden/>
    <w:rsid w:val="00316C68"/>
    <w:rPr>
      <w:rFonts w:ascii="Times New Roman" w:eastAsia="Times New Roman" w:hAnsi="Times New Roman" w:cs="Times New Roman"/>
      <w:b/>
      <w:bCs/>
      <w:kern w:val="0"/>
      <w:sz w:val="20"/>
      <w:szCs w:val="20"/>
      <w:lang w:eastAsia="en-GB"/>
      <w14:ligatures w14:val="none"/>
    </w:rPr>
  </w:style>
  <w:style w:type="paragraph" w:styleId="FootnoteText">
    <w:name w:val="footnote text"/>
    <w:basedOn w:val="Normal"/>
    <w:link w:val="FootnoteTextChar"/>
    <w:uiPriority w:val="99"/>
    <w:semiHidden/>
    <w:unhideWhenUsed/>
    <w:rsid w:val="00033247"/>
    <w:rPr>
      <w:sz w:val="20"/>
      <w:szCs w:val="20"/>
    </w:rPr>
  </w:style>
  <w:style w:type="character" w:customStyle="1" w:styleId="FootnoteTextChar">
    <w:name w:val="Footnote Text Char"/>
    <w:basedOn w:val="DefaultParagraphFont"/>
    <w:link w:val="FootnoteText"/>
    <w:uiPriority w:val="99"/>
    <w:semiHidden/>
    <w:rsid w:val="00033247"/>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033247"/>
    <w:rPr>
      <w:vertAlign w:val="superscript"/>
    </w:rPr>
  </w:style>
  <w:style w:type="paragraph" w:customStyle="1" w:styleId="BodyItal">
    <w:name w:val="Body Ital"/>
    <w:basedOn w:val="Normal"/>
    <w:link w:val="BodyItalChar"/>
    <w:qFormat/>
    <w:rsid w:val="00AA6FF7"/>
    <w:pPr>
      <w:spacing w:after="240"/>
      <w:jc w:val="both"/>
    </w:pPr>
    <w:rPr>
      <w:i/>
      <w:szCs w:val="20"/>
      <w:lang w:val="en-US" w:eastAsia="en-US"/>
    </w:rPr>
  </w:style>
  <w:style w:type="character" w:customStyle="1" w:styleId="BodyItalChar">
    <w:name w:val="Body Ital Char"/>
    <w:basedOn w:val="DefaultParagraphFont"/>
    <w:link w:val="BodyItal"/>
    <w:rsid w:val="00AA6FF7"/>
    <w:rPr>
      <w:rFonts w:ascii="Times New Roman" w:eastAsia="Times New Roman" w:hAnsi="Times New Roman" w:cs="Times New Roman"/>
      <w:i/>
      <w:kern w:val="0"/>
      <w:szCs w:val="20"/>
      <w:lang w:val="en-US"/>
      <w14:ligatures w14:val="none"/>
    </w:rPr>
  </w:style>
  <w:style w:type="character" w:customStyle="1" w:styleId="ListParagraphChar">
    <w:name w:val="List Paragraph Char"/>
    <w:basedOn w:val="DefaultParagraphFont"/>
    <w:link w:val="ListParagraph"/>
    <w:rsid w:val="00AA6FF7"/>
    <w:rPr>
      <w:rFonts w:ascii="Times New Roman" w:eastAsia="Times New Roman" w:hAnsi="Times New Roman" w:cs="Times New Roman"/>
      <w:kern w:val="0"/>
      <w:lang w:eastAsia="en-GB"/>
      <w14:ligatures w14:val="none"/>
    </w:rPr>
  </w:style>
  <w:style w:type="paragraph" w:customStyle="1" w:styleId="SCFileStamp">
    <w:name w:val="S&amp;CFileStamp"/>
    <w:basedOn w:val="Normal"/>
    <w:next w:val="Header"/>
    <w:rsid w:val="00AA6FF7"/>
    <w:pPr>
      <w:numPr>
        <w:numId w:val="12"/>
      </w:numPr>
      <w:ind w:left="0" w:firstLine="0"/>
      <w:jc w:val="right"/>
    </w:pPr>
    <w:rPr>
      <w:szCs w:val="20"/>
      <w:lang w:val="en-US" w:eastAsia="en-US"/>
    </w:rPr>
  </w:style>
  <w:style w:type="character" w:customStyle="1" w:styleId="Heading2Char">
    <w:name w:val="Heading 2 Char"/>
    <w:basedOn w:val="DefaultParagraphFont"/>
    <w:link w:val="Heading2"/>
    <w:uiPriority w:val="9"/>
    <w:semiHidden/>
    <w:rsid w:val="00BA1757"/>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4Char">
    <w:name w:val="Heading 4 Char"/>
    <w:basedOn w:val="DefaultParagraphFont"/>
    <w:link w:val="Heading4"/>
    <w:uiPriority w:val="9"/>
    <w:semiHidden/>
    <w:rsid w:val="00644BB9"/>
    <w:rPr>
      <w:rFonts w:asciiTheme="majorHAnsi" w:eastAsiaTheme="majorEastAsia" w:hAnsiTheme="majorHAnsi" w:cstheme="majorBidi"/>
      <w:i/>
      <w:iCs/>
      <w:color w:val="2F5496" w:themeColor="accent1" w:themeShade="BF"/>
      <w:kern w:val="0"/>
      <w:lang w:eastAsia="en-GB"/>
      <w14:ligatures w14:val="none"/>
    </w:rPr>
  </w:style>
  <w:style w:type="character" w:customStyle="1" w:styleId="Heading1Char">
    <w:name w:val="Heading 1 Char"/>
    <w:basedOn w:val="DefaultParagraphFont"/>
    <w:link w:val="Heading1"/>
    <w:uiPriority w:val="9"/>
    <w:rsid w:val="002C2575"/>
    <w:rPr>
      <w:rFonts w:asciiTheme="majorHAnsi" w:eastAsiaTheme="majorEastAsia" w:hAnsiTheme="majorHAnsi" w:cstheme="majorBidi"/>
      <w:color w:val="2F5496" w:themeColor="accent1" w:themeShade="BF"/>
      <w:kern w:val="0"/>
      <w:sz w:val="32"/>
      <w:szCs w:val="32"/>
      <w:lang w:eastAsia="en-GB"/>
      <w14:ligatures w14:val="none"/>
    </w:rPr>
  </w:style>
  <w:style w:type="paragraph" w:styleId="Revision">
    <w:name w:val="Revision"/>
    <w:hidden/>
    <w:uiPriority w:val="99"/>
    <w:semiHidden/>
    <w:rsid w:val="00760A99"/>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EF7C84"/>
    <w:rPr>
      <w:color w:val="954F72" w:themeColor="followedHyperlink"/>
      <w:u w:val="single"/>
    </w:rPr>
  </w:style>
  <w:style w:type="character" w:styleId="PageNumber">
    <w:name w:val="page number"/>
    <w:basedOn w:val="DefaultParagraphFont"/>
    <w:uiPriority w:val="99"/>
    <w:semiHidden/>
    <w:unhideWhenUsed/>
    <w:rsid w:val="00BD0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593">
      <w:bodyDiv w:val="1"/>
      <w:marLeft w:val="0"/>
      <w:marRight w:val="0"/>
      <w:marTop w:val="0"/>
      <w:marBottom w:val="0"/>
      <w:divBdr>
        <w:top w:val="none" w:sz="0" w:space="0" w:color="auto"/>
        <w:left w:val="none" w:sz="0" w:space="0" w:color="auto"/>
        <w:bottom w:val="none" w:sz="0" w:space="0" w:color="auto"/>
        <w:right w:val="none" w:sz="0" w:space="0" w:color="auto"/>
      </w:divBdr>
    </w:div>
    <w:div w:id="200547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FB65C-18AF-0540-A061-96A33127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3282</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2024-04-26T16:13:00Z</dcterms:created>
  <dcterms:modified xsi:type="dcterms:W3CDTF">2024-04-29T16:45:00Z</dcterms:modified>
</cp:coreProperties>
</file>