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65CC" w14:textId="77777777" w:rsidR="00282272" w:rsidRDefault="0014486A" w:rsidP="006C14FE">
      <w:pPr>
        <w:pStyle w:val="Title"/>
      </w:pPr>
      <w:r>
        <w:t>Consultation Response</w:t>
      </w:r>
    </w:p>
    <w:p w14:paraId="2DC41C20" w14:textId="2680DACA" w:rsidR="00233EF8" w:rsidRDefault="00BF31BA" w:rsidP="00F871DC">
      <w:pPr>
        <w:pStyle w:val="Subtitle"/>
      </w:pPr>
      <w:r>
        <w:t>MiCA: ESMA Consultations on Guidelines on Reverse Solicitation and the Conditions and Criteria for the Qualification of Crypto-Assets as Financial Instruments</w:t>
      </w:r>
    </w:p>
    <w:p w14:paraId="5777C95F" w14:textId="083677BC" w:rsidR="00F871DC" w:rsidRDefault="00F73608" w:rsidP="0095146F">
      <w:pPr>
        <w:pStyle w:val="Date"/>
      </w:pPr>
      <w:r>
        <w:t>April 2024</w:t>
      </w:r>
    </w:p>
    <w:p w14:paraId="297521DF" w14:textId="2EF81CF8" w:rsidR="00AE267C" w:rsidRPr="00E917F3" w:rsidRDefault="00AE267C" w:rsidP="00AE267C">
      <w:pPr>
        <w:pStyle w:val="BodyText"/>
      </w:pPr>
      <w:r w:rsidRPr="00E917F3">
        <w:t>The Association for Financial Markets in Europe (</w:t>
      </w:r>
      <w:r w:rsidRPr="00E917F3">
        <w:rPr>
          <w:bCs/>
        </w:rPr>
        <w:t>AFME</w:t>
      </w:r>
      <w:r w:rsidRPr="00E917F3">
        <w:t xml:space="preserve">) welcomes the opportunity to comment on </w:t>
      </w:r>
      <w:r w:rsidR="005B6328">
        <w:rPr>
          <w:b/>
        </w:rPr>
        <w:t xml:space="preserve">ESMA’s consultation papers on 1) guidelines on reverse solicitation and 2) </w:t>
      </w:r>
      <w:r w:rsidR="001531CA">
        <w:rPr>
          <w:b/>
        </w:rPr>
        <w:t>guidelines on the conditions and criteria for the qualification of crypto-assets as financial instruments</w:t>
      </w:r>
      <w:r w:rsidRPr="00E917F3">
        <w:t>.  AFME represents a broad array of European and global participants in the wholesale financial markets. Its members comprise pan-EU and global banks as well as key regional banks, brokers, law firms, investors</w:t>
      </w:r>
      <w:r w:rsidR="001738A5">
        <w:t>,</w:t>
      </w:r>
      <w:r w:rsidRPr="00E917F3">
        <w:t xml:space="preserve"> and other financial market participants. We advocate stable, competitive, sustainable European financial markets that support economic growth and benefit society.</w:t>
      </w:r>
    </w:p>
    <w:p w14:paraId="0DA1321F" w14:textId="2F3B5009" w:rsidR="00AE267C" w:rsidRPr="00E917F3" w:rsidRDefault="00AE267C" w:rsidP="00AE267C">
      <w:pPr>
        <w:pStyle w:val="BodyText"/>
      </w:pPr>
      <w:r w:rsidRPr="00E917F3">
        <w:t>AFME is the European member of the Global Financial Markets Association (GFMA)</w:t>
      </w:r>
      <w:r w:rsidR="001738A5">
        <w:t>,</w:t>
      </w:r>
      <w:r w:rsidRPr="00E917F3">
        <w:t xml:space="preserve"> a global alliance with the Securities Industry and Financial Markets Association (SIFMA) in the US, and the Asia Securities Industry and Financial Markets Association (ASIFMA) in Asia. </w:t>
      </w:r>
    </w:p>
    <w:p w14:paraId="7C0C7506" w14:textId="77777777" w:rsidR="00AE267C" w:rsidRDefault="00AE267C" w:rsidP="00AE267C">
      <w:pPr>
        <w:pStyle w:val="BodyText"/>
      </w:pPr>
      <w:r w:rsidRPr="00C247F1">
        <w:t>AFME is registered on the EU Transparency Register, registration number 65110063986-76</w:t>
      </w:r>
      <w:r>
        <w:t>.</w:t>
      </w:r>
    </w:p>
    <w:p w14:paraId="04F25601" w14:textId="4EF8128F" w:rsidR="00AE267C" w:rsidRDefault="00AE267C" w:rsidP="003844DE">
      <w:pPr>
        <w:pStyle w:val="BodyText"/>
      </w:pPr>
      <w:r w:rsidRPr="004D16CF">
        <w:t xml:space="preserve">We summarise below our high-level response to the consultation, which is followed by answers to the individual questions raised. </w:t>
      </w:r>
    </w:p>
    <w:p w14:paraId="5FDA0A5A" w14:textId="77777777" w:rsidR="00DC0710" w:rsidRDefault="00DC2DEA" w:rsidP="00DC0710">
      <w:pPr>
        <w:pStyle w:val="Heading1"/>
      </w:pPr>
      <w:r>
        <w:t xml:space="preserve">Executive </w:t>
      </w:r>
      <w:r w:rsidR="00DC0710">
        <w:t>Summary</w:t>
      </w:r>
    </w:p>
    <w:p w14:paraId="7F576908" w14:textId="602AA3D2" w:rsidR="00DE1646" w:rsidRDefault="00577007" w:rsidP="00120ED2">
      <w:pPr>
        <w:pStyle w:val="BodyText"/>
      </w:pPr>
      <w:r>
        <w:t>ESMA’s proposed guidelines on reverse solicitation and the conditions and criteria for the qualification of crypto-assets as financial instruments have significant implications for the development of crypto-asset markets in the EU</w:t>
      </w:r>
      <w:r w:rsidR="00525C9C">
        <w:t>,</w:t>
      </w:r>
      <w:r>
        <w:t xml:space="preserve"> as well as </w:t>
      </w:r>
      <w:r w:rsidR="00DE1646">
        <w:t xml:space="preserve">establishing a </w:t>
      </w:r>
      <w:r w:rsidR="00EA28C8">
        <w:t xml:space="preserve">clear delineation between the MiCA framework </w:t>
      </w:r>
      <w:r w:rsidR="00DE1646">
        <w:t xml:space="preserve">and the established framework for financial instruments. We </w:t>
      </w:r>
      <w:r w:rsidR="00525C9C">
        <w:t xml:space="preserve">therefore </w:t>
      </w:r>
      <w:r w:rsidR="00DE1646">
        <w:t xml:space="preserve">encourage ESMA to take a </w:t>
      </w:r>
      <w:r w:rsidR="00951517">
        <w:t xml:space="preserve">considered approach to both sets of guidelines to mitigate possible negative and unintended consequences for </w:t>
      </w:r>
      <w:r w:rsidR="009A7884">
        <w:t>crypto-asset and traditional financial markets</w:t>
      </w:r>
      <w:r w:rsidR="00120ED2">
        <w:t xml:space="preserve">, </w:t>
      </w:r>
      <w:r w:rsidR="00F7207D">
        <w:t xml:space="preserve">and view that </w:t>
      </w:r>
      <w:r w:rsidR="00160FB1">
        <w:t>the proposed guidelines</w:t>
      </w:r>
      <w:r w:rsidR="006813AA">
        <w:t xml:space="preserve"> </w:t>
      </w:r>
      <w:r w:rsidR="00120ED2">
        <w:t xml:space="preserve">would benefit from the </w:t>
      </w:r>
      <w:r w:rsidR="008219AC">
        <w:t xml:space="preserve">following </w:t>
      </w:r>
      <w:r w:rsidR="00120ED2">
        <w:t>clarifications and changes:</w:t>
      </w:r>
    </w:p>
    <w:p w14:paraId="56B32954" w14:textId="44E266C8" w:rsidR="00160FB1" w:rsidRDefault="00120ED2" w:rsidP="007F4987">
      <w:pPr>
        <w:pStyle w:val="BodyText"/>
        <w:numPr>
          <w:ilvl w:val="0"/>
          <w:numId w:val="8"/>
        </w:numPr>
      </w:pPr>
      <w:r w:rsidRPr="00120ED2">
        <w:rPr>
          <w:b/>
          <w:bCs/>
        </w:rPr>
        <w:t>R</w:t>
      </w:r>
      <w:r w:rsidR="009A7884" w:rsidRPr="00120ED2">
        <w:rPr>
          <w:b/>
          <w:bCs/>
        </w:rPr>
        <w:t>everse solicitation</w:t>
      </w:r>
      <w:r>
        <w:t xml:space="preserve">: </w:t>
      </w:r>
      <w:r w:rsidR="001738A5">
        <w:t xml:space="preserve">We </w:t>
      </w:r>
      <w:r w:rsidR="006813AA">
        <w:t>encourage</w:t>
      </w:r>
      <w:r w:rsidR="000E66DE">
        <w:t xml:space="preserve"> </w:t>
      </w:r>
      <w:r w:rsidR="009A7884">
        <w:t xml:space="preserve">ESMA to </w:t>
      </w:r>
      <w:r w:rsidR="00AE1E27">
        <w:t xml:space="preserve">explicitly </w:t>
      </w:r>
      <w:r w:rsidR="0007249D">
        <w:t>state that</w:t>
      </w:r>
      <w:r w:rsidR="00AE1E27">
        <w:t xml:space="preserve"> </w:t>
      </w:r>
      <w:r w:rsidR="009A7884">
        <w:t>the</w:t>
      </w:r>
      <w:r w:rsidR="000E66DE">
        <w:t xml:space="preserve"> scope</w:t>
      </w:r>
      <w:r w:rsidR="009A7884">
        <w:t xml:space="preserve"> of the </w:t>
      </w:r>
      <w:r w:rsidR="00E21765">
        <w:t xml:space="preserve">proposed </w:t>
      </w:r>
      <w:r w:rsidR="009A7884">
        <w:t xml:space="preserve">guidelines </w:t>
      </w:r>
      <w:r w:rsidR="000E66DE">
        <w:t>appl</w:t>
      </w:r>
      <w:r w:rsidR="0007249D">
        <w:t>ies</w:t>
      </w:r>
      <w:r w:rsidR="000E66DE">
        <w:t xml:space="preserve"> exclusively to </w:t>
      </w:r>
      <w:r w:rsidR="00650D7A">
        <w:t xml:space="preserve">the </w:t>
      </w:r>
      <w:r w:rsidR="004561FC">
        <w:t xml:space="preserve">direct </w:t>
      </w:r>
      <w:r w:rsidR="000E66DE">
        <w:t>provision of crypto-asset services under MiCA</w:t>
      </w:r>
      <w:r w:rsidR="00650D7A">
        <w:t xml:space="preserve"> from third</w:t>
      </w:r>
      <w:r w:rsidR="009E3BD2">
        <w:t xml:space="preserve">-country firms </w:t>
      </w:r>
      <w:r w:rsidR="00650D7A">
        <w:t>to EU clients</w:t>
      </w:r>
      <w:r w:rsidR="009A7884">
        <w:t xml:space="preserve">. We also </w:t>
      </w:r>
      <w:r w:rsidR="006813AA">
        <w:t xml:space="preserve">encourage </w:t>
      </w:r>
      <w:r w:rsidR="009A7884">
        <w:t xml:space="preserve">ESMA to </w:t>
      </w:r>
      <w:r w:rsidR="00E24715">
        <w:t xml:space="preserve">consider </w:t>
      </w:r>
      <w:r w:rsidR="000E66DE">
        <w:t xml:space="preserve">adjustments to </w:t>
      </w:r>
      <w:r w:rsidR="00D97EE4">
        <w:t xml:space="preserve">the </w:t>
      </w:r>
      <w:r w:rsidR="00E24715">
        <w:t xml:space="preserve">proposed restrictions on the means of solicitation to </w:t>
      </w:r>
      <w:r w:rsidR="009E3BD2">
        <w:t xml:space="preserve">allow </w:t>
      </w:r>
      <w:r w:rsidR="00E24715">
        <w:t xml:space="preserve">for </w:t>
      </w:r>
      <w:r w:rsidR="00D97EE4">
        <w:t xml:space="preserve">access to overseas crypto asset services </w:t>
      </w:r>
      <w:r w:rsidR="009E3BD2">
        <w:t xml:space="preserve">as </w:t>
      </w:r>
      <w:r w:rsidR="00E6383C">
        <w:t xml:space="preserve">required </w:t>
      </w:r>
      <w:r w:rsidR="00D97EE4">
        <w:t xml:space="preserve">by EU </w:t>
      </w:r>
      <w:r w:rsidR="00C16B1C">
        <w:t>crypto-asset service providers (</w:t>
      </w:r>
      <w:r w:rsidR="00D97EE4">
        <w:t>CASPs</w:t>
      </w:r>
      <w:r w:rsidR="00C16B1C">
        <w:t>)</w:t>
      </w:r>
      <w:r w:rsidR="00D97EE4">
        <w:t xml:space="preserve"> and professional clients as well as </w:t>
      </w:r>
      <w:r w:rsidR="00E24715">
        <w:t>possible future changes in relation to</w:t>
      </w:r>
      <w:r w:rsidR="00674F08">
        <w:t xml:space="preserve"> the</w:t>
      </w:r>
      <w:r w:rsidR="00E24715">
        <w:t xml:space="preserve"> means of solicitation. </w:t>
      </w:r>
    </w:p>
    <w:p w14:paraId="05A8990A" w14:textId="543A07A3" w:rsidR="00C71D00" w:rsidRDefault="00C71D00" w:rsidP="00C71D00">
      <w:pPr>
        <w:pStyle w:val="BodyText"/>
        <w:numPr>
          <w:ilvl w:val="0"/>
          <w:numId w:val="8"/>
        </w:numPr>
      </w:pPr>
      <w:r w:rsidRPr="00160FB1">
        <w:rPr>
          <w:b/>
          <w:bCs/>
        </w:rPr>
        <w:t>Conditions and criteria for the qualification of crypto-assets as financial instruments</w:t>
      </w:r>
      <w:r>
        <w:t xml:space="preserve">: </w:t>
      </w:r>
      <w:r w:rsidR="001738A5">
        <w:t xml:space="preserve">Whilst </w:t>
      </w:r>
      <w:r>
        <w:t xml:space="preserve">ESMA’s proposed approach to consider qualification circumstances on a case-by-case basis offers required flexibility, we view that ESMA should take an active role in mitigating and harmonising possible divergent interpretations on the same asset by either providing further guidance in consultation with industry and/or maintaining a minimum list of specific </w:t>
      </w:r>
      <w:r w:rsidR="008D2946">
        <w:t>crypto</w:t>
      </w:r>
      <w:r>
        <w:t xml:space="preserve">-assets. This would help promote regulatory certainty, ensure that assets displaying features of financial instruments are characterised as such, and ultimately minimise </w:t>
      </w:r>
      <w:r w:rsidR="001738A5">
        <w:t xml:space="preserve">arbitrage </w:t>
      </w:r>
      <w:r>
        <w:t xml:space="preserve">risks. </w:t>
      </w:r>
    </w:p>
    <w:p w14:paraId="6C0682EF" w14:textId="77777777" w:rsidR="00974194" w:rsidRDefault="00974194" w:rsidP="00783862">
      <w:pPr>
        <w:pStyle w:val="BodyText"/>
        <w:rPr>
          <w:b/>
          <w:bCs/>
        </w:rPr>
      </w:pPr>
    </w:p>
    <w:p w14:paraId="0E918B5E" w14:textId="7F6F4DBF" w:rsidR="00AE267C" w:rsidRPr="00223E9B" w:rsidRDefault="00AE267C" w:rsidP="00783862">
      <w:pPr>
        <w:pStyle w:val="BodyText"/>
        <w:rPr>
          <w:b/>
          <w:bCs/>
        </w:rPr>
      </w:pPr>
      <w:r w:rsidRPr="00223E9B">
        <w:rPr>
          <w:b/>
          <w:bCs/>
        </w:rPr>
        <w:t>Questions</w:t>
      </w:r>
    </w:p>
    <w:p w14:paraId="70FA7447" w14:textId="63B56541" w:rsidR="00781FAD" w:rsidRPr="00781FAD" w:rsidRDefault="00781FAD" w:rsidP="00DC0710">
      <w:pPr>
        <w:pStyle w:val="BodyText"/>
        <w:rPr>
          <w:b/>
          <w:bCs/>
          <w:u w:val="single"/>
        </w:rPr>
      </w:pPr>
      <w:r w:rsidRPr="00781FAD">
        <w:rPr>
          <w:b/>
          <w:bCs/>
          <w:u w:val="single"/>
        </w:rPr>
        <w:lastRenderedPageBreak/>
        <w:t>ESMA Consultation on draft guidelines on reverse solicitation under MiCA</w:t>
      </w:r>
    </w:p>
    <w:p w14:paraId="382D2D22" w14:textId="39DD11A3" w:rsidR="00781FAD" w:rsidRDefault="00781FAD" w:rsidP="00DC0710">
      <w:pPr>
        <w:pStyle w:val="BodyText"/>
      </w:pPr>
      <w:r w:rsidRPr="00E358BF">
        <w:rPr>
          <w:b/>
          <w:bCs/>
        </w:rPr>
        <w:t>Q1</w:t>
      </w:r>
      <w:r>
        <w:t xml:space="preserve">: Do you agree with the approach chosen by ESMA? Do you see any potential loophole that could be exploited by third-country firms to circumvent the MiCA authorisation requirements? </w:t>
      </w:r>
    </w:p>
    <w:p w14:paraId="37FF17C5" w14:textId="1016B2EB" w:rsidR="00074C07" w:rsidRDefault="00854B16" w:rsidP="00223E9B">
      <w:pPr>
        <w:spacing w:line="240" w:lineRule="auto"/>
        <w:jc w:val="both"/>
      </w:pPr>
      <w:r>
        <w:t>We</w:t>
      </w:r>
      <w:r w:rsidR="00570A4B">
        <w:t xml:space="preserve"> broadly</w:t>
      </w:r>
      <w:r>
        <w:t xml:space="preserve"> agree with ESMA’s approach to base the </w:t>
      </w:r>
      <w:r w:rsidR="004A54E6">
        <w:t>reverse solicitation exemption under MiCA on the established practice under the MiFID II framework</w:t>
      </w:r>
      <w:r w:rsidR="00AD5EA4">
        <w:t xml:space="preserve"> (as prescribed by ESMA Q&amp;As)</w:t>
      </w:r>
      <w:r w:rsidR="004A54E6">
        <w:t xml:space="preserve">. </w:t>
      </w:r>
      <w:r w:rsidR="006E4DE3">
        <w:t xml:space="preserve">However, </w:t>
      </w:r>
      <w:r w:rsidR="00074C07">
        <w:t xml:space="preserve">we </w:t>
      </w:r>
      <w:r w:rsidR="005A0EDB">
        <w:t xml:space="preserve">support 1) a clarification </w:t>
      </w:r>
      <w:r w:rsidR="007E6CF9">
        <w:t xml:space="preserve">on scope specifying </w:t>
      </w:r>
      <w:r w:rsidR="005A0EDB">
        <w:t>that the proposed guidelines</w:t>
      </w:r>
      <w:r w:rsidR="00771675">
        <w:t xml:space="preserve"> (including restrictions on means of solicitation)</w:t>
      </w:r>
      <w:r w:rsidR="005A0EDB">
        <w:t xml:space="preserve"> apply exclusively to </w:t>
      </w:r>
      <w:r w:rsidR="00225EB0">
        <w:t xml:space="preserve">the </w:t>
      </w:r>
      <w:r w:rsidR="00AE5980">
        <w:t>third-country</w:t>
      </w:r>
      <w:r w:rsidR="00225EB0">
        <w:t xml:space="preserve"> provision o</w:t>
      </w:r>
      <w:r w:rsidR="007E6CF9">
        <w:t>f crypto-asset services under MiCA</w:t>
      </w:r>
      <w:r w:rsidR="00C873CB">
        <w:t xml:space="preserve"> and are not extended to the established framework under MiFID II</w:t>
      </w:r>
      <w:r w:rsidR="007E6CF9">
        <w:t xml:space="preserve">, and 2) </w:t>
      </w:r>
      <w:r w:rsidR="00622A51">
        <w:t xml:space="preserve">some </w:t>
      </w:r>
      <w:r w:rsidR="00326D20">
        <w:t>adjustments</w:t>
      </w:r>
      <w:r w:rsidR="00AD0AA5">
        <w:t xml:space="preserve"> to </w:t>
      </w:r>
      <w:r w:rsidR="006813AA">
        <w:t>the guidelines as they would apply to crypto asset services in scope of MiCA</w:t>
      </w:r>
      <w:r w:rsidR="003B3043">
        <w:t xml:space="preserve">. </w:t>
      </w:r>
    </w:p>
    <w:p w14:paraId="67788085" w14:textId="77777777" w:rsidR="001F7FDB" w:rsidRDefault="001F7FDB" w:rsidP="00223E9B">
      <w:pPr>
        <w:spacing w:line="240" w:lineRule="auto"/>
      </w:pPr>
    </w:p>
    <w:p w14:paraId="6E6B2665" w14:textId="27DD5141" w:rsidR="002630BD" w:rsidRDefault="00D43BCF" w:rsidP="00223E9B">
      <w:pPr>
        <w:spacing w:line="240" w:lineRule="auto"/>
        <w:jc w:val="both"/>
      </w:pPr>
      <w:r>
        <w:t xml:space="preserve">First, on </w:t>
      </w:r>
      <w:r w:rsidR="001F7FDB">
        <w:t xml:space="preserve">scope clarification, </w:t>
      </w:r>
      <w:r w:rsidR="000A4E10">
        <w:t xml:space="preserve">ESMA </w:t>
      </w:r>
      <w:r w:rsidR="001F7FDB">
        <w:t>should</w:t>
      </w:r>
      <w:r w:rsidR="000A4E10">
        <w:t xml:space="preserve"> clarify </w:t>
      </w:r>
      <w:r w:rsidR="000A4E10" w:rsidRPr="0048147B">
        <w:t xml:space="preserve">that the </w:t>
      </w:r>
      <w:r w:rsidR="00F51A83">
        <w:t>proposed G</w:t>
      </w:r>
      <w:r w:rsidR="00C214F4">
        <w:t>uidelines</w:t>
      </w:r>
      <w:r w:rsidR="000A4E10" w:rsidRPr="0048147B">
        <w:t xml:space="preserve"> apply exclusively to the provision of </w:t>
      </w:r>
      <w:r w:rsidR="00C214F4">
        <w:t>crypto</w:t>
      </w:r>
      <w:r w:rsidR="008D2946">
        <w:t>-</w:t>
      </w:r>
      <w:r w:rsidR="00C214F4">
        <w:t>asset</w:t>
      </w:r>
      <w:r w:rsidR="000A4E10" w:rsidRPr="0048147B">
        <w:t xml:space="preserve"> services</w:t>
      </w:r>
      <w:r w:rsidR="00AE5980">
        <w:t xml:space="preserve"> or activitie</w:t>
      </w:r>
      <w:r w:rsidR="006B017C">
        <w:t>s</w:t>
      </w:r>
      <w:r w:rsidR="00C214F4">
        <w:t xml:space="preserve"> in scope of MiCA</w:t>
      </w:r>
      <w:r w:rsidR="000132BA" w:rsidRPr="000132BA">
        <w:t xml:space="preserve"> </w:t>
      </w:r>
      <w:r w:rsidR="000132BA">
        <w:t>and should not be inferred to apply to the provision of services related to traditional asset classes</w:t>
      </w:r>
      <w:r w:rsidR="000A4E10" w:rsidRPr="0048147B">
        <w:t>.</w:t>
      </w:r>
      <w:r w:rsidR="00242ECD">
        <w:t xml:space="preserve"> </w:t>
      </w:r>
      <w:r w:rsidR="002644AB">
        <w:t>This is an important clarification for firms with multiple business lines and whose business model is not predominantly associated with the provision of crypto asset</w:t>
      </w:r>
      <w:r w:rsidR="00271448">
        <w:t xml:space="preserve"> services</w:t>
      </w:r>
      <w:r w:rsidR="00AE5980">
        <w:t xml:space="preserve"> or activities</w:t>
      </w:r>
      <w:r w:rsidR="00271448">
        <w:t xml:space="preserve">. </w:t>
      </w:r>
    </w:p>
    <w:p w14:paraId="7A40B336" w14:textId="77777777" w:rsidR="006B017C" w:rsidRDefault="006B017C" w:rsidP="00223E9B">
      <w:pPr>
        <w:spacing w:line="240" w:lineRule="auto"/>
        <w:jc w:val="both"/>
      </w:pPr>
    </w:p>
    <w:p w14:paraId="4FED3710" w14:textId="1989297A" w:rsidR="001B7F6A" w:rsidRDefault="00D43BCF">
      <w:pPr>
        <w:spacing w:line="240" w:lineRule="auto"/>
        <w:jc w:val="both"/>
      </w:pPr>
      <w:r>
        <w:t xml:space="preserve">Second, </w:t>
      </w:r>
      <w:r w:rsidR="006E4DE3">
        <w:t xml:space="preserve">we </w:t>
      </w:r>
      <w:r w:rsidR="000B512A">
        <w:t>acknowledge that the provision of crypto asset services may lead to new ways of marketing with digital tools and channels</w:t>
      </w:r>
      <w:r w:rsidR="00381BD3">
        <w:t xml:space="preserve"> and require adaptations to the</w:t>
      </w:r>
      <w:r w:rsidR="004340F4">
        <w:t xml:space="preserve"> restrictions on means of reverse solicitation</w:t>
      </w:r>
      <w:r w:rsidR="00C71D00">
        <w:t xml:space="preserve"> particularly in relation to retail investors</w:t>
      </w:r>
      <w:r w:rsidR="003B3FCB">
        <w:t xml:space="preserve">. However, </w:t>
      </w:r>
      <w:r w:rsidR="00354882">
        <w:t xml:space="preserve">the draft guidelines assume a </w:t>
      </w:r>
      <w:r w:rsidR="0004510F">
        <w:t xml:space="preserve">very broad interpretation of the means of solicitation under MiCA </w:t>
      </w:r>
      <w:r w:rsidR="001B7F6A">
        <w:t xml:space="preserve">that could restrict </w:t>
      </w:r>
      <w:r w:rsidR="000832A1">
        <w:t xml:space="preserve">access to </w:t>
      </w:r>
      <w:r w:rsidR="00A546E2">
        <w:t>the broad range of crypto asset</w:t>
      </w:r>
      <w:r w:rsidR="000832A1">
        <w:t xml:space="preserve"> services </w:t>
      </w:r>
      <w:r w:rsidR="00A546E2">
        <w:t xml:space="preserve">and activities (including to trading venues) </w:t>
      </w:r>
      <w:r w:rsidR="000832A1">
        <w:t>required by EU CASPs and professional clients</w:t>
      </w:r>
      <w:r w:rsidR="001B7F6A">
        <w:t xml:space="preserve"> </w:t>
      </w:r>
      <w:r w:rsidR="00A546E2">
        <w:t>from overseas providers.</w:t>
      </w:r>
    </w:p>
    <w:p w14:paraId="2F61E1BA" w14:textId="77777777" w:rsidR="001B7F6A" w:rsidRDefault="001B7F6A">
      <w:pPr>
        <w:spacing w:line="240" w:lineRule="auto"/>
        <w:jc w:val="both"/>
      </w:pPr>
    </w:p>
    <w:p w14:paraId="7DAF81B9" w14:textId="0D90033A" w:rsidR="001B7F6A" w:rsidRDefault="001B7F6A" w:rsidP="001B7F6A">
      <w:pPr>
        <w:spacing w:line="240" w:lineRule="auto"/>
        <w:jc w:val="both"/>
      </w:pPr>
      <w:r>
        <w:t xml:space="preserve">It would appear that the majority of the proposed guidelines are aimed at addressing risks associated with the provision of crypto asset services and activities directly from third-country firms (that are not authorised in the EU under MiCA) to EU retail clients. This is understandable, but if applied to all clients in a blanket manner, the proposed approach could impact market integration and access, where, for example, an EU CASP seeks, or requires, to use the services of a non-EU crypto asset service provider to provide services to its own clients. We therefore view that the draft guidelines should differentiate between the treatment of retail and professional clients where necessary. </w:t>
      </w:r>
    </w:p>
    <w:p w14:paraId="09A6A689" w14:textId="77777777" w:rsidR="001B7F6A" w:rsidRDefault="001B7F6A">
      <w:pPr>
        <w:spacing w:line="240" w:lineRule="auto"/>
        <w:jc w:val="both"/>
      </w:pPr>
    </w:p>
    <w:p w14:paraId="6D1C731D" w14:textId="51423A7E" w:rsidR="00E30A35" w:rsidRDefault="00354882" w:rsidP="00223E9B">
      <w:pPr>
        <w:spacing w:after="120" w:line="240" w:lineRule="auto"/>
        <w:jc w:val="both"/>
      </w:pPr>
      <w:r>
        <w:t xml:space="preserve">ESMA’s currently proposed approach to restrict solicitation by means of specific electronic and multimedia channels </w:t>
      </w:r>
      <w:r w:rsidR="0004510F">
        <w:t xml:space="preserve">may </w:t>
      </w:r>
      <w:r w:rsidR="004E0890">
        <w:t xml:space="preserve">lack the flexibility to accommodate for future </w:t>
      </w:r>
      <w:r w:rsidR="002729F8">
        <w:t xml:space="preserve">changes in technological means and communication patterns. </w:t>
      </w:r>
      <w:r w:rsidR="00B83D9D">
        <w:t xml:space="preserve"> </w:t>
      </w:r>
      <w:r w:rsidR="000B512A">
        <w:t>For example, t</w:t>
      </w:r>
      <w:r w:rsidR="00AD5EA4">
        <w:t>he</w:t>
      </w:r>
      <w:r w:rsidR="006E4DE3">
        <w:t xml:space="preserve"> draft Guidelines </w:t>
      </w:r>
      <w:r w:rsidR="00523851">
        <w:t>take a strict</w:t>
      </w:r>
      <w:r w:rsidR="000A4E10">
        <w:t xml:space="preserve"> </w:t>
      </w:r>
      <w:r w:rsidR="00523851">
        <w:t>approach</w:t>
      </w:r>
      <w:r w:rsidR="000B512A">
        <w:t xml:space="preserve"> in the following areas</w:t>
      </w:r>
      <w:r w:rsidR="00523851">
        <w:t xml:space="preserve"> </w:t>
      </w:r>
      <w:r w:rsidR="001D05B9">
        <w:t xml:space="preserve">such that </w:t>
      </w:r>
      <w:r w:rsidR="000B512A">
        <w:t>they</w:t>
      </w:r>
      <w:r w:rsidR="001D05B9">
        <w:t xml:space="preserve"> would </w:t>
      </w:r>
      <w:r w:rsidR="00336BC9">
        <w:t xml:space="preserve">be considered as </w:t>
      </w:r>
      <w:r w:rsidR="009C02E3">
        <w:t xml:space="preserve">means of </w:t>
      </w:r>
      <w:r w:rsidR="000B512A">
        <w:t>solicitation</w:t>
      </w:r>
      <w:r w:rsidR="00336BC9">
        <w:t xml:space="preserve"> i</w:t>
      </w:r>
      <w:r w:rsidR="001D05B9">
        <w:t xml:space="preserve">n </w:t>
      </w:r>
      <w:r w:rsidR="00336BC9">
        <w:t>breach of the exemption</w:t>
      </w:r>
      <w:r w:rsidR="00787947">
        <w:t xml:space="preserve"> (under Guideline 1 and 2)</w:t>
      </w:r>
      <w:r w:rsidR="00E30A35">
        <w:t>:</w:t>
      </w:r>
    </w:p>
    <w:p w14:paraId="73A962E7" w14:textId="24F6E6FD" w:rsidR="00C73771" w:rsidRDefault="00C73771" w:rsidP="007F4987">
      <w:pPr>
        <w:pStyle w:val="BodyText"/>
        <w:numPr>
          <w:ilvl w:val="0"/>
          <w:numId w:val="6"/>
        </w:numPr>
      </w:pPr>
      <w:r>
        <w:t>Social media advertising</w:t>
      </w:r>
      <w:r w:rsidR="001D3015">
        <w:t xml:space="preserve">, even where there is no </w:t>
      </w:r>
      <w:r w:rsidR="007841D0">
        <w:t xml:space="preserve">direct reference </w:t>
      </w:r>
      <w:r w:rsidR="001D3015">
        <w:t>to</w:t>
      </w:r>
      <w:r w:rsidR="007841D0">
        <w:t xml:space="preserve"> the provision of</w:t>
      </w:r>
      <w:r w:rsidR="001D3015">
        <w:t xml:space="preserve"> crypto asset</w:t>
      </w:r>
      <w:r w:rsidR="007841D0">
        <w:t xml:space="preserve"> </w:t>
      </w:r>
      <w:r w:rsidR="001D3015">
        <w:t>services</w:t>
      </w:r>
    </w:p>
    <w:p w14:paraId="6BF58CBD" w14:textId="2F083D12" w:rsidR="00080E67" w:rsidRDefault="00080E67" w:rsidP="007F4987">
      <w:pPr>
        <w:pStyle w:val="BodyText"/>
        <w:numPr>
          <w:ilvl w:val="0"/>
          <w:numId w:val="6"/>
        </w:numPr>
      </w:pPr>
      <w:r>
        <w:t>Brand advertisements by way of sponsorship deals</w:t>
      </w:r>
      <w:r w:rsidR="001A60F8">
        <w:t xml:space="preserve">, even where there is no </w:t>
      </w:r>
      <w:r w:rsidR="007841D0">
        <w:t>direct reference to the provision of crypto asset services</w:t>
      </w:r>
    </w:p>
    <w:p w14:paraId="198B53E2" w14:textId="519B1A9B" w:rsidR="001A60F8" w:rsidRDefault="00CA2B1C" w:rsidP="007F4987">
      <w:pPr>
        <w:pStyle w:val="BodyText"/>
        <w:numPr>
          <w:ilvl w:val="0"/>
          <w:numId w:val="6"/>
        </w:numPr>
      </w:pPr>
      <w:r>
        <w:t>Displaying of a third-country firm’s logo</w:t>
      </w:r>
      <w:r w:rsidR="001A60F8">
        <w:t xml:space="preserve">, even where there is no </w:t>
      </w:r>
      <w:r w:rsidR="007841D0">
        <w:t>direct reference to the provision of crypto asset services</w:t>
      </w:r>
      <w:r w:rsidR="00890471">
        <w:t xml:space="preserve">, as </w:t>
      </w:r>
      <w:r w:rsidR="00E5235B">
        <w:t>an indication of</w:t>
      </w:r>
      <w:r w:rsidR="00143B4F">
        <w:t xml:space="preserve"> a person</w:t>
      </w:r>
      <w:r w:rsidR="00E5235B">
        <w:t xml:space="preserve"> acting on behalf of a third-country firm</w:t>
      </w:r>
    </w:p>
    <w:p w14:paraId="1C537114" w14:textId="11B4DCCA" w:rsidR="00284DB2" w:rsidRDefault="00F664A8" w:rsidP="00223E9B">
      <w:pPr>
        <w:spacing w:line="240" w:lineRule="auto"/>
        <w:jc w:val="both"/>
      </w:pPr>
      <w:r>
        <w:t xml:space="preserve">In </w:t>
      </w:r>
      <w:r w:rsidR="00616947">
        <w:t>the above</w:t>
      </w:r>
      <w:r>
        <w:t xml:space="preserve"> areas</w:t>
      </w:r>
      <w:r w:rsidR="006C2C2A">
        <w:t xml:space="preserve">, </w:t>
      </w:r>
      <w:r w:rsidR="000B512A">
        <w:t>w</w:t>
      </w:r>
      <w:r w:rsidR="00D049C6">
        <w:t xml:space="preserve">e view that </w:t>
      </w:r>
      <w:r w:rsidR="009C68CE" w:rsidRPr="009C68CE">
        <w:t>ESMA should</w:t>
      </w:r>
      <w:r w:rsidR="00D049C6">
        <w:t xml:space="preserve"> consider</w:t>
      </w:r>
      <w:r w:rsidR="009C68CE" w:rsidRPr="009C68CE">
        <w:t xml:space="preserve"> </w:t>
      </w:r>
      <w:r w:rsidR="001738A5">
        <w:t>narrowing</w:t>
      </w:r>
      <w:r w:rsidR="009C68CE" w:rsidRPr="009C68CE">
        <w:t xml:space="preserve"> its interpretation of solicitation</w:t>
      </w:r>
      <w:r w:rsidR="000A4E10">
        <w:t xml:space="preserve"> such that </w:t>
      </w:r>
      <w:r w:rsidR="001738A5">
        <w:t xml:space="preserve">such term </w:t>
      </w:r>
      <w:r w:rsidR="000A4E10">
        <w:t xml:space="preserve">only </w:t>
      </w:r>
      <w:r w:rsidR="007C65BC">
        <w:t xml:space="preserve">considers </w:t>
      </w:r>
      <w:r w:rsidR="000A4E10">
        <w:t>means containing direct references to crypto asset services in scope of MiCA as means of solicitation</w:t>
      </w:r>
      <w:r w:rsidR="009C68CE">
        <w:t xml:space="preserve">. </w:t>
      </w:r>
    </w:p>
    <w:p w14:paraId="6F2CA08D" w14:textId="77777777" w:rsidR="00A8082A" w:rsidRDefault="00A8082A" w:rsidP="00800165">
      <w:pPr>
        <w:spacing w:line="240" w:lineRule="auto"/>
      </w:pPr>
    </w:p>
    <w:p w14:paraId="02F3520C" w14:textId="208F9C41" w:rsidR="00E17A9D" w:rsidRPr="00A8082A" w:rsidRDefault="00E17A9D" w:rsidP="00223E9B">
      <w:pPr>
        <w:spacing w:line="240" w:lineRule="auto"/>
        <w:jc w:val="both"/>
      </w:pPr>
      <w:r w:rsidRPr="00A8082A">
        <w:rPr>
          <w:lang w:eastAsia="en-US"/>
        </w:rPr>
        <w:lastRenderedPageBreak/>
        <w:t xml:space="preserve">Finally, </w:t>
      </w:r>
      <w:r w:rsidR="006E2538" w:rsidRPr="00A8082A">
        <w:rPr>
          <w:lang w:eastAsia="en-US"/>
        </w:rPr>
        <w:t xml:space="preserve">MiCA </w:t>
      </w:r>
      <w:r w:rsidRPr="00A8082A">
        <w:rPr>
          <w:lang w:eastAsia="en-US"/>
        </w:rPr>
        <w:t xml:space="preserve">Article 61(1) states that the </w:t>
      </w:r>
      <w:r w:rsidR="002C2749">
        <w:rPr>
          <w:lang w:eastAsia="en-US"/>
        </w:rPr>
        <w:t xml:space="preserve">reverse solicitation </w:t>
      </w:r>
      <w:r w:rsidRPr="00A8082A">
        <w:rPr>
          <w:lang w:eastAsia="en-US"/>
        </w:rPr>
        <w:t xml:space="preserve">exemption applies to a “relationship” between a client and a firm, which by definition </w:t>
      </w:r>
      <w:r w:rsidRPr="00223E9B">
        <w:rPr>
          <w:lang w:eastAsia="en-US"/>
        </w:rPr>
        <w:t xml:space="preserve">can be an ongoing </w:t>
      </w:r>
      <w:r w:rsidRPr="00A8082A">
        <w:rPr>
          <w:lang w:eastAsia="en-US"/>
        </w:rPr>
        <w:t>and long</w:t>
      </w:r>
      <w:r w:rsidRPr="00223E9B">
        <w:rPr>
          <w:lang w:eastAsia="en-US"/>
        </w:rPr>
        <w:t>-</w:t>
      </w:r>
      <w:r w:rsidRPr="00A8082A">
        <w:rPr>
          <w:lang w:eastAsia="en-US"/>
        </w:rPr>
        <w:t xml:space="preserve">term </w:t>
      </w:r>
      <w:r w:rsidRPr="00223E9B">
        <w:rPr>
          <w:lang w:eastAsia="en-US"/>
        </w:rPr>
        <w:t>client relationship</w:t>
      </w:r>
      <w:r w:rsidRPr="00A8082A">
        <w:rPr>
          <w:lang w:eastAsia="en-US"/>
        </w:rPr>
        <w:t xml:space="preserve"> </w:t>
      </w:r>
      <w:r w:rsidRPr="00223E9B">
        <w:rPr>
          <w:lang w:eastAsia="en-US"/>
        </w:rPr>
        <w:t>(as opposed to a one-off service</w:t>
      </w:r>
      <w:r w:rsidR="00A8082A">
        <w:rPr>
          <w:lang w:eastAsia="en-US"/>
        </w:rPr>
        <w:t>).</w:t>
      </w:r>
      <w:r w:rsidRPr="00A8082A">
        <w:rPr>
          <w:lang w:eastAsia="en-US"/>
        </w:rPr>
        <w:t xml:space="preserve"> </w:t>
      </w:r>
      <w:r w:rsidR="002C2749">
        <w:rPr>
          <w:lang w:eastAsia="en-US"/>
        </w:rPr>
        <w:t>T</w:t>
      </w:r>
      <w:r w:rsidRPr="00223E9B">
        <w:rPr>
          <w:lang w:eastAsia="en-US"/>
        </w:rPr>
        <w:t>he draft Guidelines</w:t>
      </w:r>
      <w:r w:rsidR="002C2749">
        <w:rPr>
          <w:lang w:eastAsia="en-US"/>
        </w:rPr>
        <w:t>, however, assert</w:t>
      </w:r>
      <w:r w:rsidRPr="00223E9B">
        <w:rPr>
          <w:lang w:eastAsia="en-US"/>
        </w:rPr>
        <w:t xml:space="preserve"> </w:t>
      </w:r>
      <w:r w:rsidRPr="00A8082A">
        <w:rPr>
          <w:lang w:eastAsia="en-US"/>
        </w:rPr>
        <w:t>that the exemption can only be used for a very short period of time.</w:t>
      </w:r>
      <w:r w:rsidR="00064873">
        <w:rPr>
          <w:lang w:eastAsia="en-US"/>
        </w:rPr>
        <w:t xml:space="preserve"> We therefore </w:t>
      </w:r>
      <w:r w:rsidR="00916071">
        <w:rPr>
          <w:lang w:eastAsia="en-US"/>
        </w:rPr>
        <w:t>encourage</w:t>
      </w:r>
      <w:r w:rsidR="00064873">
        <w:rPr>
          <w:lang w:eastAsia="en-US"/>
        </w:rPr>
        <w:t xml:space="preserve"> ESMA to </w:t>
      </w:r>
      <w:r w:rsidR="0012608A">
        <w:rPr>
          <w:lang w:eastAsia="en-US"/>
        </w:rPr>
        <w:t>reassess whether</w:t>
      </w:r>
      <w:r w:rsidR="00A81520">
        <w:rPr>
          <w:lang w:eastAsia="en-US"/>
        </w:rPr>
        <w:t xml:space="preserve"> the time-limited duration</w:t>
      </w:r>
      <w:r w:rsidR="0012608A">
        <w:rPr>
          <w:lang w:eastAsia="en-US"/>
        </w:rPr>
        <w:t xml:space="preserve"> would be at odds with the Level 1 requirement</w:t>
      </w:r>
      <w:r w:rsidR="00A81520">
        <w:rPr>
          <w:lang w:eastAsia="en-US"/>
        </w:rPr>
        <w:t>.</w:t>
      </w:r>
    </w:p>
    <w:p w14:paraId="05A900BA" w14:textId="50A5C59F" w:rsidR="00E358BF" w:rsidRDefault="00E358BF" w:rsidP="00E17A9D">
      <w:pPr>
        <w:spacing w:line="240" w:lineRule="auto"/>
      </w:pPr>
    </w:p>
    <w:p w14:paraId="2935E682" w14:textId="77777777" w:rsidR="00781FAD" w:rsidRDefault="00781FAD" w:rsidP="00DC0710">
      <w:pPr>
        <w:pStyle w:val="BodyText"/>
      </w:pPr>
      <w:r w:rsidRPr="00E358BF">
        <w:rPr>
          <w:b/>
          <w:bCs/>
        </w:rPr>
        <w:t>Q2</w:t>
      </w:r>
      <w:r>
        <w:t xml:space="preserve">: Are you able to provide further examples of pairs of crypto-assets that would not belong to the same type of crypto-assets for the purposes of Article 61 of MiCA? Or are you able to provide other criteria to be taken into account to determine whether two crypto-assets belong to the same type? </w:t>
      </w:r>
    </w:p>
    <w:p w14:paraId="3EE76AC6" w14:textId="5F0E74ED" w:rsidR="00CA3086" w:rsidRDefault="00C45650" w:rsidP="00781FAD">
      <w:pPr>
        <w:pStyle w:val="BodyText"/>
        <w:jc w:val="left"/>
      </w:pPr>
      <w:r>
        <w:t>No comment.</w:t>
      </w:r>
    </w:p>
    <w:p w14:paraId="009C464E" w14:textId="12E243C7" w:rsidR="00AE267C" w:rsidRDefault="00781FAD" w:rsidP="00781FAD">
      <w:pPr>
        <w:pStyle w:val="BodyText"/>
        <w:jc w:val="left"/>
      </w:pPr>
      <w:r w:rsidRPr="00E358BF">
        <w:rPr>
          <w:b/>
          <w:bCs/>
        </w:rPr>
        <w:t>Q3</w:t>
      </w:r>
      <w:r>
        <w:t>: Do you consider the proposed supervision practices effective with respect to detecting undue solicitations? Would you have other suggestions?</w:t>
      </w:r>
    </w:p>
    <w:p w14:paraId="50594652" w14:textId="5C0921AA" w:rsidR="005A2556" w:rsidRPr="005A2556" w:rsidRDefault="00602E2B" w:rsidP="00223E9B">
      <w:pPr>
        <w:spacing w:line="240" w:lineRule="auto"/>
        <w:jc w:val="both"/>
      </w:pPr>
      <w:r>
        <w:t xml:space="preserve">We agree </w:t>
      </w:r>
      <w:r w:rsidR="00556081">
        <w:t xml:space="preserve">that competent authorities should be empowered with the necessary tools to monitor entities targeting clients established or situated or active in the EU, where they have detected possible breaches of the reverse solicitation </w:t>
      </w:r>
      <w:r w:rsidR="0089502B">
        <w:t xml:space="preserve">exemption. </w:t>
      </w:r>
      <w:r w:rsidR="001738A5">
        <w:t>W</w:t>
      </w:r>
      <w:r w:rsidR="0089502B">
        <w:t>e</w:t>
      </w:r>
      <w:r w:rsidR="001738A5">
        <w:t>, however,</w:t>
      </w:r>
      <w:r w:rsidR="0089502B">
        <w:t xml:space="preserve"> </w:t>
      </w:r>
      <w:r w:rsidR="006D5288">
        <w:t xml:space="preserve">view that the </w:t>
      </w:r>
      <w:r w:rsidR="005A2556" w:rsidRPr="005A2556">
        <w:t xml:space="preserve">starting assumption </w:t>
      </w:r>
      <w:r w:rsidR="006D5288">
        <w:t xml:space="preserve">should not be </w:t>
      </w:r>
      <w:r w:rsidR="005A2556" w:rsidRPr="005A2556">
        <w:t xml:space="preserve">that firms adopting certain practices (local email or website addresses) are doing so to conduct prohibited activities. </w:t>
      </w:r>
      <w:r w:rsidR="00AE6594">
        <w:t>I</w:t>
      </w:r>
      <w:r w:rsidR="005A2556" w:rsidRPr="005A2556">
        <w:t xml:space="preserve">t should be clarified that a suspicion of wrongdoing (based on reasonable grounds) should be the determinant for investigating a firm. </w:t>
      </w:r>
    </w:p>
    <w:p w14:paraId="01F3B24F" w14:textId="77777777" w:rsidR="005A2556" w:rsidRDefault="005A2556" w:rsidP="005A2556">
      <w:pPr>
        <w:spacing w:line="240" w:lineRule="auto"/>
      </w:pPr>
    </w:p>
    <w:p w14:paraId="61F61441" w14:textId="78762950" w:rsidR="00197A38" w:rsidRPr="00197A38" w:rsidRDefault="00197A38" w:rsidP="00781FAD">
      <w:pPr>
        <w:pStyle w:val="BodyText"/>
        <w:jc w:val="left"/>
        <w:rPr>
          <w:b/>
          <w:bCs/>
          <w:u w:val="single"/>
        </w:rPr>
      </w:pPr>
      <w:r w:rsidRPr="00197A38">
        <w:rPr>
          <w:b/>
          <w:bCs/>
          <w:u w:val="single"/>
        </w:rPr>
        <w:t>ESMA Consultation on draft guidelines on the conditions and criteria for the qualification of crypto-assets as financial instruments</w:t>
      </w:r>
    </w:p>
    <w:p w14:paraId="39378CDB" w14:textId="77777777" w:rsidR="004053E0" w:rsidRDefault="004053E0" w:rsidP="004053E0">
      <w:pPr>
        <w:pStyle w:val="Bullets1"/>
        <w:numPr>
          <w:ilvl w:val="0"/>
          <w:numId w:val="0"/>
        </w:numPr>
        <w:ind w:left="284" w:hanging="284"/>
      </w:pPr>
    </w:p>
    <w:p w14:paraId="45E600B2" w14:textId="77777777" w:rsidR="004053E0" w:rsidRDefault="004053E0" w:rsidP="007C65BC">
      <w:pPr>
        <w:pStyle w:val="Bullets1"/>
        <w:numPr>
          <w:ilvl w:val="0"/>
          <w:numId w:val="0"/>
        </w:numPr>
        <w:jc w:val="both"/>
      </w:pPr>
      <w:r w:rsidRPr="007C4CEE">
        <w:rPr>
          <w:b/>
          <w:bCs/>
        </w:rPr>
        <w:t>Q1</w:t>
      </w:r>
      <w:r>
        <w:t xml:space="preserve">. Do you agree with the suggested approach on providing general conditions and criteria by avoiding establishing a one-size-fits-all guidance on the concepts of financial instruments and crypto-assets or would you support the establishment of more concrete condition and criteria? </w:t>
      </w:r>
    </w:p>
    <w:p w14:paraId="03CDED5F" w14:textId="77777777" w:rsidR="004053E0" w:rsidRDefault="004053E0" w:rsidP="004053E0">
      <w:pPr>
        <w:pStyle w:val="Bullets1"/>
        <w:numPr>
          <w:ilvl w:val="0"/>
          <w:numId w:val="0"/>
        </w:numPr>
      </w:pPr>
    </w:p>
    <w:p w14:paraId="66AAE8E8" w14:textId="485B76C9" w:rsidR="00E137A2" w:rsidRDefault="007C4CEE" w:rsidP="00223E9B">
      <w:pPr>
        <w:pStyle w:val="Bullets1"/>
        <w:numPr>
          <w:ilvl w:val="0"/>
          <w:numId w:val="0"/>
        </w:numPr>
        <w:jc w:val="both"/>
      </w:pPr>
      <w:r>
        <w:t>We strongly welcome the technologically neutral approach of the</w:t>
      </w:r>
      <w:r w:rsidR="00FB2D75">
        <w:t xml:space="preserve"> draft</w:t>
      </w:r>
      <w:r>
        <w:t xml:space="preserve"> Guidelines to ensure that assets are subject to the same </w:t>
      </w:r>
      <w:r w:rsidR="00894211">
        <w:t xml:space="preserve">qualification conditions and criteria regardless of their underlying technology. </w:t>
      </w:r>
      <w:r w:rsidR="00051E42">
        <w:t xml:space="preserve">We also agree that the proposed approach </w:t>
      </w:r>
      <w:r w:rsidR="003C7DBB">
        <w:t xml:space="preserve">supports the diversity of the types of existing crypto-assets and </w:t>
      </w:r>
      <w:r w:rsidR="00240A2F">
        <w:t xml:space="preserve">facilitates the </w:t>
      </w:r>
      <w:r w:rsidR="003E49F4">
        <w:t>innovation of financial technologies</w:t>
      </w:r>
      <w:r w:rsidR="00051E42">
        <w:t>.</w:t>
      </w:r>
      <w:r w:rsidR="00C45650">
        <w:t xml:space="preserve"> </w:t>
      </w:r>
      <w:r w:rsidR="001738A5">
        <w:t>W</w:t>
      </w:r>
      <w:r w:rsidR="00037830">
        <w:t>e</w:t>
      </w:r>
      <w:r w:rsidR="001738A5">
        <w:t>, however,</w:t>
      </w:r>
      <w:r w:rsidR="00037830">
        <w:t xml:space="preserve"> </w:t>
      </w:r>
      <w:r w:rsidR="00050E2D">
        <w:t xml:space="preserve">view that the </w:t>
      </w:r>
      <w:r w:rsidR="001738A5">
        <w:rPr>
          <w:rFonts w:ascii="Cambria" w:hAnsi="Cambria" w:cs="Cambria"/>
          <w:color w:val="000000"/>
        </w:rPr>
        <w:t xml:space="preserve">proposed </w:t>
      </w:r>
      <w:r w:rsidR="00050E2D">
        <w:t xml:space="preserve">flexible </w:t>
      </w:r>
      <w:r w:rsidR="00546E87" w:rsidRPr="00050E2D">
        <w:rPr>
          <w:rFonts w:ascii="Cambria" w:hAnsi="Cambria" w:cs="Cambria"/>
          <w:color w:val="000000"/>
        </w:rPr>
        <w:t xml:space="preserve">approach </w:t>
      </w:r>
      <w:r w:rsidR="003D71AF">
        <w:rPr>
          <w:rFonts w:ascii="Cambria" w:hAnsi="Cambria" w:cs="Cambria"/>
          <w:color w:val="000000"/>
        </w:rPr>
        <w:t>may also lead to</w:t>
      </w:r>
      <w:r w:rsidR="00546E87" w:rsidRPr="00050E2D">
        <w:rPr>
          <w:rFonts w:ascii="Cambria" w:hAnsi="Cambria" w:cs="Cambria"/>
          <w:color w:val="000000"/>
        </w:rPr>
        <w:t xml:space="preserve"> potential legal uncertainty</w:t>
      </w:r>
      <w:r w:rsidR="00F54AD5">
        <w:rPr>
          <w:rFonts w:ascii="Cambria" w:hAnsi="Cambria" w:cs="Cambria"/>
          <w:color w:val="000000"/>
        </w:rPr>
        <w:t xml:space="preserve"> (due to its dependency on the underlying MiFID </w:t>
      </w:r>
      <w:r w:rsidR="001738A5">
        <w:rPr>
          <w:rFonts w:ascii="Cambria" w:hAnsi="Cambria" w:cs="Cambria"/>
          <w:color w:val="000000"/>
        </w:rPr>
        <w:t xml:space="preserve">financial instruments </w:t>
      </w:r>
      <w:r w:rsidR="00F54AD5">
        <w:rPr>
          <w:rFonts w:ascii="Cambria" w:hAnsi="Cambria" w:cs="Cambria"/>
          <w:color w:val="000000"/>
        </w:rPr>
        <w:t>definition )</w:t>
      </w:r>
      <w:r w:rsidR="00F0436E">
        <w:rPr>
          <w:rFonts w:ascii="Cambria" w:hAnsi="Cambria" w:cs="Cambria"/>
          <w:color w:val="000000"/>
        </w:rPr>
        <w:t xml:space="preserve"> </w:t>
      </w:r>
      <w:r w:rsidR="00546E87" w:rsidRPr="00050E2D">
        <w:rPr>
          <w:rFonts w:ascii="Cambria" w:hAnsi="Cambria" w:cs="Cambria"/>
          <w:color w:val="000000"/>
        </w:rPr>
        <w:t xml:space="preserve">and </w:t>
      </w:r>
      <w:r w:rsidR="003D71AF">
        <w:rPr>
          <w:rFonts w:ascii="Cambria" w:hAnsi="Cambria" w:cs="Cambria"/>
          <w:color w:val="000000"/>
        </w:rPr>
        <w:t xml:space="preserve">the </w:t>
      </w:r>
      <w:r w:rsidR="00546E87" w:rsidRPr="00050E2D">
        <w:rPr>
          <w:rFonts w:ascii="Cambria" w:hAnsi="Cambria" w:cs="Cambria"/>
          <w:color w:val="000000"/>
        </w:rPr>
        <w:t xml:space="preserve">possibility to have different views on the same asset depending on the </w:t>
      </w:r>
      <w:r w:rsidR="00050E2D" w:rsidRPr="00050E2D">
        <w:rPr>
          <w:rFonts w:ascii="Cambria" w:hAnsi="Cambria" w:cs="Cambria"/>
        </w:rPr>
        <w:t>responsible N</w:t>
      </w:r>
      <w:r w:rsidR="00546E87" w:rsidRPr="00050E2D">
        <w:rPr>
          <w:rFonts w:ascii="Cambria" w:hAnsi="Cambria" w:cs="Cambria"/>
          <w:color w:val="000000"/>
        </w:rPr>
        <w:t xml:space="preserve">ational </w:t>
      </w:r>
      <w:r w:rsidR="00050E2D" w:rsidRPr="00050E2D">
        <w:rPr>
          <w:rFonts w:ascii="Cambria" w:hAnsi="Cambria" w:cs="Cambria"/>
        </w:rPr>
        <w:t>C</w:t>
      </w:r>
      <w:r w:rsidR="00546E87" w:rsidRPr="00050E2D">
        <w:rPr>
          <w:rFonts w:ascii="Cambria" w:hAnsi="Cambria" w:cs="Cambria"/>
          <w:color w:val="000000"/>
        </w:rPr>
        <w:t xml:space="preserve">ompetent </w:t>
      </w:r>
      <w:r w:rsidR="00050E2D" w:rsidRPr="00050E2D">
        <w:rPr>
          <w:rFonts w:ascii="Cambria" w:hAnsi="Cambria" w:cs="Cambria"/>
        </w:rPr>
        <w:t>A</w:t>
      </w:r>
      <w:r w:rsidR="00546E87" w:rsidRPr="00050E2D">
        <w:rPr>
          <w:rFonts w:ascii="Cambria" w:hAnsi="Cambria" w:cs="Cambria"/>
          <w:color w:val="000000"/>
        </w:rPr>
        <w:t>uthority</w:t>
      </w:r>
      <w:r w:rsidR="00050E2D" w:rsidRPr="00050E2D">
        <w:rPr>
          <w:rFonts w:ascii="Cambria" w:hAnsi="Cambria" w:cs="Cambria"/>
        </w:rPr>
        <w:t xml:space="preserve"> (NCA)</w:t>
      </w:r>
      <w:r w:rsidR="00546E87" w:rsidRPr="00050E2D">
        <w:rPr>
          <w:rFonts w:ascii="Cambria" w:hAnsi="Cambria" w:cs="Cambria"/>
          <w:color w:val="000000"/>
        </w:rPr>
        <w:t>.</w:t>
      </w:r>
      <w:r w:rsidR="00050E2D" w:rsidRPr="00050E2D">
        <w:rPr>
          <w:rFonts w:ascii="Cambria" w:hAnsi="Cambria" w:cs="Cambria"/>
        </w:rPr>
        <w:t xml:space="preserve"> For example, </w:t>
      </w:r>
      <w:r w:rsidR="00050E2D">
        <w:t xml:space="preserve">NCAs </w:t>
      </w:r>
      <w:r w:rsidR="00037830">
        <w:t xml:space="preserve">could take different interpretations of the proposed guidelines, which could lead to </w:t>
      </w:r>
      <w:r w:rsidR="00803637">
        <w:t>fragmentation in the implementation of MiCA</w:t>
      </w:r>
      <w:r w:rsidR="00050E2D">
        <w:t xml:space="preserve"> also depending on the</w:t>
      </w:r>
      <w:r w:rsidR="003D71AF">
        <w:t xml:space="preserve"> final guidelines’</w:t>
      </w:r>
      <w:r w:rsidR="00050E2D">
        <w:t xml:space="preserve"> interaction with local law</w:t>
      </w:r>
      <w:r w:rsidR="00803637">
        <w:t xml:space="preserve">. </w:t>
      </w:r>
    </w:p>
    <w:p w14:paraId="5180FA2C" w14:textId="77777777" w:rsidR="00E137A2" w:rsidRDefault="00E137A2" w:rsidP="00F817EC">
      <w:pPr>
        <w:pStyle w:val="Bullets1"/>
        <w:numPr>
          <w:ilvl w:val="0"/>
          <w:numId w:val="0"/>
        </w:numPr>
      </w:pPr>
    </w:p>
    <w:p w14:paraId="37CA4DCF" w14:textId="0C6D5510" w:rsidR="00F0436E" w:rsidRDefault="00FF0309" w:rsidP="00223E9B">
      <w:pPr>
        <w:pStyle w:val="Bullets1"/>
        <w:numPr>
          <w:ilvl w:val="0"/>
          <w:numId w:val="0"/>
        </w:numPr>
        <w:jc w:val="both"/>
      </w:pPr>
      <w:r>
        <w:t>In this context, w</w:t>
      </w:r>
      <w:r w:rsidR="00942914">
        <w:t xml:space="preserve">e encourage </w:t>
      </w:r>
      <w:r w:rsidR="00E654E1">
        <w:t xml:space="preserve">ESMA to take an active role </w:t>
      </w:r>
      <w:r w:rsidR="009466A9">
        <w:t xml:space="preserve">in ensuring that the conditions and criteria for the qualification of crypto-assets as financial instruments are sufficiently harmonised across Member States, for example through the issuance of Q&amp;As. </w:t>
      </w:r>
      <w:r w:rsidR="00F817EC">
        <w:t>As an alternative solution, we view that ESMA could maintain a “minimum list” of</w:t>
      </w:r>
      <w:r w:rsidR="00F54AD5">
        <w:t xml:space="preserve"> specific</w:t>
      </w:r>
      <w:r w:rsidR="00F817EC">
        <w:t xml:space="preserve"> </w:t>
      </w:r>
      <w:r w:rsidR="00B14845">
        <w:t xml:space="preserve">crypto-assets to facilitate the assessment exercise whilst leaving open the possibility to assess the qualification of assets </w:t>
      </w:r>
      <w:r w:rsidR="007D06A5">
        <w:t xml:space="preserve">if </w:t>
      </w:r>
      <w:r w:rsidR="00B14845">
        <w:t xml:space="preserve">an asset has specific features </w:t>
      </w:r>
      <w:r w:rsidR="007D06A5">
        <w:t xml:space="preserve">that </w:t>
      </w:r>
      <w:r w:rsidR="00B14845">
        <w:t>do not allow it to be appropriately categorised by applying the criteria.</w:t>
      </w:r>
      <w:r w:rsidR="008F0478">
        <w:t xml:space="preserve"> </w:t>
      </w:r>
      <w:r w:rsidR="007B67B4">
        <w:t>Without these solutions, the implementation costs would necessarily be higher for firms</w:t>
      </w:r>
      <w:r w:rsidR="00AD4553">
        <w:t>.</w:t>
      </w:r>
    </w:p>
    <w:p w14:paraId="61CD18CF" w14:textId="77777777" w:rsidR="007C4CEE" w:rsidRDefault="007C4CEE" w:rsidP="00223E9B">
      <w:pPr>
        <w:pStyle w:val="Bullets1"/>
        <w:numPr>
          <w:ilvl w:val="0"/>
          <w:numId w:val="0"/>
        </w:numPr>
        <w:jc w:val="both"/>
      </w:pPr>
    </w:p>
    <w:p w14:paraId="48E47D30" w14:textId="77777777" w:rsidR="004053E0" w:rsidRDefault="004053E0" w:rsidP="007C65BC">
      <w:pPr>
        <w:pStyle w:val="Bullets1"/>
        <w:numPr>
          <w:ilvl w:val="0"/>
          <w:numId w:val="0"/>
        </w:numPr>
        <w:jc w:val="both"/>
      </w:pPr>
      <w:r w:rsidRPr="007C4CEE">
        <w:rPr>
          <w:b/>
          <w:bCs/>
        </w:rPr>
        <w:lastRenderedPageBreak/>
        <w:t>Q2</w:t>
      </w:r>
      <w:r>
        <w:t xml:space="preserve">: Do you agree with the conditions and criteria to help the identification of cryptoassets qualifying as transferable securities? Do you have any additional condition and/or criteria to suggest? Please illustrate, if possible, your response with concrete examples. </w:t>
      </w:r>
    </w:p>
    <w:p w14:paraId="1B2C0865" w14:textId="77777777" w:rsidR="004053E0" w:rsidRDefault="004053E0" w:rsidP="004053E0">
      <w:pPr>
        <w:pStyle w:val="Bullets1"/>
        <w:numPr>
          <w:ilvl w:val="0"/>
          <w:numId w:val="0"/>
        </w:numPr>
      </w:pPr>
    </w:p>
    <w:p w14:paraId="0B2F4FD5" w14:textId="469B9E79" w:rsidR="00053ABA" w:rsidRDefault="00A35313" w:rsidP="00223E9B">
      <w:pPr>
        <w:pStyle w:val="Bullets1"/>
        <w:numPr>
          <w:ilvl w:val="0"/>
          <w:numId w:val="0"/>
        </w:numPr>
        <w:jc w:val="both"/>
      </w:pPr>
      <w:r>
        <w:t>As indicated above, w</w:t>
      </w:r>
      <w:r w:rsidRPr="00A35313">
        <w:t>e support the technology</w:t>
      </w:r>
      <w:r>
        <w:t>-</w:t>
      </w:r>
      <w:r w:rsidRPr="00A35313">
        <w:t>neutral approach and substance</w:t>
      </w:r>
      <w:r w:rsidR="00026584">
        <w:t>-</w:t>
      </w:r>
      <w:r w:rsidRPr="00A35313">
        <w:t>over</w:t>
      </w:r>
      <w:r w:rsidR="00026584">
        <w:t>-</w:t>
      </w:r>
      <w:r w:rsidRPr="00A35313">
        <w:t xml:space="preserve">form principle laid down in </w:t>
      </w:r>
      <w:r w:rsidR="00131E46">
        <w:t>G</w:t>
      </w:r>
      <w:r w:rsidRPr="00A35313">
        <w:t xml:space="preserve">uidelines 1 and 2. </w:t>
      </w:r>
      <w:r w:rsidR="00447DB0">
        <w:t xml:space="preserve">Relating to technological neutrality, </w:t>
      </w:r>
      <w:r w:rsidR="00CE56B5">
        <w:t>we view that the proposed Guidelines could benefit from an additional clarification stating</w:t>
      </w:r>
      <w:r w:rsidR="00447DB0">
        <w:t xml:space="preserve"> that </w:t>
      </w:r>
      <w:r w:rsidR="003D19AD">
        <w:t xml:space="preserve">the </w:t>
      </w:r>
      <w:r w:rsidR="00447DB0">
        <w:t>tokenisation</w:t>
      </w:r>
      <w:r w:rsidR="0010197E">
        <w:t xml:space="preserve"> of a transferable security</w:t>
      </w:r>
      <w:r w:rsidR="00447DB0">
        <w:t xml:space="preserve"> does not impact </w:t>
      </w:r>
      <w:r w:rsidR="0010197E">
        <w:t xml:space="preserve">its qualification as a transferable security. </w:t>
      </w:r>
      <w:r w:rsidR="00447DB0">
        <w:t xml:space="preserve"> </w:t>
      </w:r>
    </w:p>
    <w:p w14:paraId="2E8EC9DB" w14:textId="77777777" w:rsidR="00053ABA" w:rsidRDefault="00053ABA" w:rsidP="00A35313">
      <w:pPr>
        <w:pStyle w:val="Bullets1"/>
        <w:numPr>
          <w:ilvl w:val="0"/>
          <w:numId w:val="0"/>
        </w:numPr>
      </w:pPr>
    </w:p>
    <w:p w14:paraId="2293DD21" w14:textId="203F82CE" w:rsidR="00A35313" w:rsidRDefault="007D06A5" w:rsidP="00223E9B">
      <w:pPr>
        <w:pStyle w:val="Bullets1"/>
        <w:numPr>
          <w:ilvl w:val="0"/>
          <w:numId w:val="0"/>
        </w:numPr>
        <w:jc w:val="both"/>
      </w:pPr>
      <w:r>
        <w:t>W</w:t>
      </w:r>
      <w:r w:rsidR="00327491">
        <w:t xml:space="preserve">e </w:t>
      </w:r>
      <w:r>
        <w:t xml:space="preserve">also </w:t>
      </w:r>
      <w:r w:rsidR="00026584">
        <w:t xml:space="preserve">note that </w:t>
      </w:r>
      <w:r w:rsidR="00053ABA">
        <w:t>the proposed</w:t>
      </w:r>
      <w:r w:rsidR="00053ABA" w:rsidRPr="00A35313">
        <w:t xml:space="preserve"> </w:t>
      </w:r>
      <w:r w:rsidR="00A35313" w:rsidRPr="00A35313">
        <w:t xml:space="preserve">principles combined with the recognition of </w:t>
      </w:r>
      <w:r w:rsidR="0063326E">
        <w:t>instruments</w:t>
      </w:r>
      <w:r w:rsidR="00E41DF8">
        <w:t xml:space="preserve"> issued by means of DLT </w:t>
      </w:r>
      <w:r w:rsidR="00A35313" w:rsidRPr="00A35313">
        <w:t>under MiFID (</w:t>
      </w:r>
      <w:r w:rsidR="00E41DF8">
        <w:t>as amended</w:t>
      </w:r>
      <w:r w:rsidR="00A35313" w:rsidRPr="00A35313">
        <w:t xml:space="preserve"> </w:t>
      </w:r>
      <w:r w:rsidR="00131E46">
        <w:t>under</w:t>
      </w:r>
      <w:r w:rsidR="00A35313" w:rsidRPr="00A35313">
        <w:t xml:space="preserve"> Article 18 of the DLT Pilot Regime) and </w:t>
      </w:r>
      <w:r w:rsidR="000C6FC3">
        <w:t xml:space="preserve">proposed approach </w:t>
      </w:r>
      <w:r w:rsidR="00E41DF8">
        <w:t xml:space="preserve">to </w:t>
      </w:r>
      <w:r w:rsidR="00A35313" w:rsidRPr="00A35313">
        <w:t>hybrid</w:t>
      </w:r>
      <w:r w:rsidR="00E41DF8">
        <w:t>-type</w:t>
      </w:r>
      <w:r w:rsidR="00A35313" w:rsidRPr="00A35313">
        <w:t xml:space="preserve"> tokens</w:t>
      </w:r>
      <w:r w:rsidR="00E41DF8">
        <w:t xml:space="preserve"> (under Guidelines 9)</w:t>
      </w:r>
      <w:r w:rsidR="00A35313" w:rsidRPr="00A35313">
        <w:t xml:space="preserve"> could open the possibility to have various crypto-assets</w:t>
      </w:r>
      <w:r>
        <w:t>’</w:t>
      </w:r>
      <w:r w:rsidR="00A35313" w:rsidRPr="00A35313">
        <w:t xml:space="preserve"> falling within the scope of MiFID.</w:t>
      </w:r>
      <w:r w:rsidR="003D19AD">
        <w:t xml:space="preserve"> </w:t>
      </w:r>
      <w:r w:rsidR="00026584">
        <w:t xml:space="preserve">As such, we support </w:t>
      </w:r>
      <w:r w:rsidR="001D6191">
        <w:t>ESMA</w:t>
      </w:r>
      <w:r>
        <w:t>’s</w:t>
      </w:r>
      <w:r w:rsidR="001D6191">
        <w:t xml:space="preserve"> assuming an active role in limiting the room for regulatory uncertainty on the </w:t>
      </w:r>
      <w:r>
        <w:t xml:space="preserve">differentiation </w:t>
      </w:r>
      <w:r w:rsidR="001D6191">
        <w:t>between transferable securities and crypt</w:t>
      </w:r>
      <w:r w:rsidR="00803C6E">
        <w:t>o</w:t>
      </w:r>
      <w:r w:rsidR="001D6191">
        <w:t xml:space="preserve">-assets under MiCA. </w:t>
      </w:r>
    </w:p>
    <w:p w14:paraId="30293893" w14:textId="386C39FE" w:rsidR="00D67424" w:rsidRDefault="00D67424" w:rsidP="00A35313">
      <w:pPr>
        <w:pStyle w:val="Bullets1"/>
        <w:numPr>
          <w:ilvl w:val="0"/>
          <w:numId w:val="0"/>
        </w:numPr>
      </w:pPr>
    </w:p>
    <w:p w14:paraId="35997DF4" w14:textId="6DC60C71" w:rsidR="00B9060A" w:rsidRDefault="00A35313" w:rsidP="00223E9B">
      <w:pPr>
        <w:pStyle w:val="Bullets1"/>
        <w:numPr>
          <w:ilvl w:val="0"/>
          <w:numId w:val="0"/>
        </w:numPr>
        <w:jc w:val="both"/>
      </w:pPr>
      <w:r w:rsidRPr="00A35313">
        <w:t xml:space="preserve">As regards the exclusion of </w:t>
      </w:r>
      <w:r w:rsidR="004B59A7">
        <w:t>“</w:t>
      </w:r>
      <w:r w:rsidRPr="00A35313">
        <w:t>instrument of payment</w:t>
      </w:r>
      <w:r w:rsidR="004B59A7">
        <w:t>”</w:t>
      </w:r>
      <w:r w:rsidRPr="00A35313">
        <w:t xml:space="preserve"> from the definition of “transferable security</w:t>
      </w:r>
      <w:r w:rsidR="007D06A5">
        <w:t>,</w:t>
      </w:r>
      <w:r w:rsidRPr="00A35313">
        <w:t xml:space="preserve">” </w:t>
      </w:r>
      <w:r w:rsidR="001D6191">
        <w:t xml:space="preserve">we </w:t>
      </w:r>
      <w:r w:rsidR="00347D48">
        <w:t>view that</w:t>
      </w:r>
      <w:r w:rsidR="001D6191">
        <w:t xml:space="preserve"> </w:t>
      </w:r>
      <w:r w:rsidR="00980A2D">
        <w:t xml:space="preserve">additional </w:t>
      </w:r>
      <w:r w:rsidRPr="00A35313">
        <w:t>clarification</w:t>
      </w:r>
      <w:r w:rsidR="00DD141A">
        <w:t>s</w:t>
      </w:r>
      <w:r w:rsidRPr="00A35313">
        <w:t xml:space="preserve"> </w:t>
      </w:r>
      <w:r w:rsidR="00DD141A">
        <w:t>are</w:t>
      </w:r>
      <w:r w:rsidR="00347D48">
        <w:t xml:space="preserve"> required</w:t>
      </w:r>
      <w:r w:rsidRPr="00A35313">
        <w:t xml:space="preserve"> regarding the potential “payment function” of a crypto-asset that may </w:t>
      </w:r>
      <w:r w:rsidR="00A12454">
        <w:t>result in</w:t>
      </w:r>
      <w:r w:rsidRPr="00A35313">
        <w:t xml:space="preserve"> both (1) a potential payment function and (2) an investment purpose.</w:t>
      </w:r>
      <w:r w:rsidR="008C0131">
        <w:t xml:space="preserve"> Such</w:t>
      </w:r>
      <w:r w:rsidR="00A1200C">
        <w:t xml:space="preserve"> clarification</w:t>
      </w:r>
      <w:r w:rsidR="00DD141A">
        <w:t>s</w:t>
      </w:r>
      <w:r w:rsidR="008C0131">
        <w:t xml:space="preserve"> should be provided </w:t>
      </w:r>
      <w:r w:rsidR="00ED695A">
        <w:t>with regards to</w:t>
      </w:r>
      <w:r w:rsidR="00A1200C">
        <w:t xml:space="preserve"> </w:t>
      </w:r>
      <w:r>
        <w:t>the Joint</w:t>
      </w:r>
      <w:r w:rsidR="000850F1">
        <w:t xml:space="preserve"> </w:t>
      </w:r>
      <w:r>
        <w:t xml:space="preserve">ESA Guidelines </w:t>
      </w:r>
      <w:r w:rsidR="00A1200C">
        <w:t>on</w:t>
      </w:r>
      <w:r>
        <w:t xml:space="preserve"> the content and form of the explanation accompanying the crypto-asset white paper and the legal opinions on the qualification of ARTs under Article 97(1) of MiCA. </w:t>
      </w:r>
    </w:p>
    <w:p w14:paraId="3B9B99B9" w14:textId="77777777" w:rsidR="00B9060A" w:rsidRDefault="00B9060A" w:rsidP="00A35313">
      <w:pPr>
        <w:pStyle w:val="Bullets1"/>
        <w:numPr>
          <w:ilvl w:val="0"/>
          <w:numId w:val="0"/>
        </w:numPr>
      </w:pPr>
    </w:p>
    <w:p w14:paraId="799E2A50" w14:textId="2685DCB5" w:rsidR="00A35313" w:rsidRPr="00A35313" w:rsidRDefault="00A35313" w:rsidP="00223E9B">
      <w:pPr>
        <w:pStyle w:val="Bullets1"/>
        <w:numPr>
          <w:ilvl w:val="0"/>
          <w:numId w:val="0"/>
        </w:numPr>
        <w:jc w:val="both"/>
      </w:pPr>
      <w:r>
        <w:t xml:space="preserve">These clarifications would have the </w:t>
      </w:r>
      <w:r w:rsidR="008D7AAD">
        <w:t>benefit of</w:t>
      </w:r>
      <w:r>
        <w:t xml:space="preserve"> foster</w:t>
      </w:r>
      <w:r w:rsidR="008D7AAD">
        <w:t>ing</w:t>
      </w:r>
      <w:r>
        <w:t xml:space="preserve"> a consistent assessment </w:t>
      </w:r>
      <w:r w:rsidR="00ED695A">
        <w:t>for the qualification of crypto-assets as transferable securities</w:t>
      </w:r>
      <w:r w:rsidR="004B59A7">
        <w:t xml:space="preserve"> and also avoid situations where </w:t>
      </w:r>
      <w:r w:rsidR="00D759B3">
        <w:t>instruments that should be</w:t>
      </w:r>
      <w:r w:rsidR="00B82760">
        <w:t xml:space="preserve"> classified as</w:t>
      </w:r>
      <w:r w:rsidR="009960E8">
        <w:t xml:space="preserve"> </w:t>
      </w:r>
      <w:r w:rsidR="00013DDD">
        <w:t xml:space="preserve">transferable securities </w:t>
      </w:r>
      <w:r w:rsidR="00933F6B">
        <w:t>(</w:t>
      </w:r>
      <w:r w:rsidR="00B82760">
        <w:t xml:space="preserve">including certain </w:t>
      </w:r>
      <w:r w:rsidR="00933F6B">
        <w:t>stablecoins) may seek to circumvent regulatory requirements</w:t>
      </w:r>
      <w:r w:rsidR="002853A4">
        <w:t xml:space="preserve"> under MiFID</w:t>
      </w:r>
      <w:r w:rsidR="00013DDD">
        <w:t xml:space="preserve">, including </w:t>
      </w:r>
      <w:r w:rsidR="00933F6B">
        <w:t>consumer protection</w:t>
      </w:r>
      <w:r w:rsidR="00BC64F7">
        <w:t xml:space="preserve"> rules</w:t>
      </w:r>
      <w:r>
        <w:t xml:space="preserve">. </w:t>
      </w:r>
      <w:r w:rsidR="00152AF1">
        <w:t>As the notion of “instrument of payment” is key in the assessment, we would support clarification around that term to provide clear guidance on the treatment of assets</w:t>
      </w:r>
      <w:r w:rsidR="00A9325E">
        <w:t xml:space="preserve"> that would facilitate the qualification of crypto assets </w:t>
      </w:r>
      <w:r w:rsidR="00D55526">
        <w:t>with features of transferable securities being qualified as such</w:t>
      </w:r>
      <w:r w:rsidR="00152AF1">
        <w:t>.</w:t>
      </w:r>
      <w:r w:rsidR="001542B1">
        <w:t xml:space="preserve"> </w:t>
      </w:r>
    </w:p>
    <w:p w14:paraId="17437DFE" w14:textId="77777777" w:rsidR="00A35313" w:rsidRDefault="00A35313" w:rsidP="00A35313">
      <w:pPr>
        <w:pStyle w:val="Bullets1"/>
        <w:numPr>
          <w:ilvl w:val="0"/>
          <w:numId w:val="0"/>
        </w:numPr>
        <w:rPr>
          <w:rFonts w:ascii="Arial" w:hAnsi="Arial" w:cs="Arial"/>
          <w:color w:val="000000"/>
        </w:rPr>
      </w:pPr>
    </w:p>
    <w:p w14:paraId="4A28CC52" w14:textId="24DAEB96" w:rsidR="00DB6479" w:rsidRDefault="00EA31C2" w:rsidP="00223E9B">
      <w:pPr>
        <w:pStyle w:val="Bullets1"/>
        <w:numPr>
          <w:ilvl w:val="0"/>
          <w:numId w:val="0"/>
        </w:numPr>
        <w:jc w:val="both"/>
      </w:pPr>
      <w:r w:rsidRPr="00EA31C2">
        <w:t>As noted under our answer to Question 1, g</w:t>
      </w:r>
      <w:r w:rsidR="00DB6479" w:rsidRPr="00EA31C2">
        <w:t>iven the wide range of possible interpretations of the criteria for the classification of crypto-assets, we support ESMA</w:t>
      </w:r>
      <w:r w:rsidR="007D06A5">
        <w:t>’s</w:t>
      </w:r>
      <w:r w:rsidR="00DB6479" w:rsidRPr="00EA31C2">
        <w:t xml:space="preserve"> taking an active role in harmonising </w:t>
      </w:r>
      <w:r w:rsidR="003B5287" w:rsidRPr="00EA31C2">
        <w:t xml:space="preserve">the criteria </w:t>
      </w:r>
      <w:r w:rsidR="00DB6479" w:rsidRPr="00EA31C2">
        <w:t xml:space="preserve">to </w:t>
      </w:r>
      <w:r w:rsidR="003B5287" w:rsidRPr="00EA31C2">
        <w:t>en</w:t>
      </w:r>
      <w:r w:rsidR="00DB6479" w:rsidRPr="00EA31C2">
        <w:t xml:space="preserve">sure consumers benefit from the same level of consumer protection </w:t>
      </w:r>
      <w:r w:rsidR="003B5287" w:rsidRPr="00EA31C2">
        <w:t>across the EU</w:t>
      </w:r>
      <w:r w:rsidR="00DB6479" w:rsidRPr="00EA31C2">
        <w:t xml:space="preserve"> and </w:t>
      </w:r>
      <w:r w:rsidR="003B5287" w:rsidRPr="00EA31C2">
        <w:t>to minimise</w:t>
      </w:r>
      <w:r w:rsidR="00DB6479" w:rsidRPr="00EA31C2">
        <w:t xml:space="preserve"> differences in interpretation between NCAs</w:t>
      </w:r>
      <w:r w:rsidR="007D06A5">
        <w:t>,</w:t>
      </w:r>
      <w:r w:rsidR="00DB6479" w:rsidRPr="00EA31C2">
        <w:t xml:space="preserve"> </w:t>
      </w:r>
      <w:r w:rsidR="003B5287" w:rsidRPr="00EA31C2">
        <w:t xml:space="preserve">which could </w:t>
      </w:r>
      <w:r w:rsidR="002A24C4">
        <w:t>create risks of</w:t>
      </w:r>
      <w:r w:rsidR="002A24C4" w:rsidRPr="00EA31C2">
        <w:t xml:space="preserve"> </w:t>
      </w:r>
      <w:r w:rsidR="003B5287" w:rsidRPr="00EA31C2">
        <w:t xml:space="preserve">regulatory arbitrage and </w:t>
      </w:r>
      <w:r w:rsidR="002A24C4">
        <w:t xml:space="preserve">offering </w:t>
      </w:r>
      <w:r w:rsidR="003B5287" w:rsidRPr="00EA31C2">
        <w:t xml:space="preserve">competitive advantages to certain Member States. </w:t>
      </w:r>
    </w:p>
    <w:p w14:paraId="616DA0ED" w14:textId="77777777" w:rsidR="00A35313" w:rsidRDefault="00A35313" w:rsidP="00A35313">
      <w:pPr>
        <w:pStyle w:val="Bullets1"/>
        <w:numPr>
          <w:ilvl w:val="0"/>
          <w:numId w:val="0"/>
        </w:numPr>
      </w:pPr>
    </w:p>
    <w:p w14:paraId="00C5BC6E" w14:textId="77777777" w:rsidR="007D06A5" w:rsidRDefault="004053E0" w:rsidP="007D06A5">
      <w:pPr>
        <w:pStyle w:val="Bullets1"/>
        <w:numPr>
          <w:ilvl w:val="0"/>
          <w:numId w:val="0"/>
        </w:numPr>
        <w:jc w:val="both"/>
      </w:pPr>
      <w:r w:rsidRPr="007C4CEE">
        <w:rPr>
          <w:b/>
          <w:bCs/>
        </w:rPr>
        <w:t>Q3</w:t>
      </w:r>
      <w:r>
        <w:t>: Based on your experience, how is the settlement process for derivatives conducted using crypto-assets or stablecoins? Please illustrate, if possible, your response with concrete examples</w:t>
      </w:r>
      <w:r w:rsidR="007D06A5">
        <w:t>.</w:t>
      </w:r>
    </w:p>
    <w:p w14:paraId="4C325CD4" w14:textId="77777777" w:rsidR="009E1A0D" w:rsidRDefault="009E1A0D" w:rsidP="007D06A5">
      <w:pPr>
        <w:pStyle w:val="Bullets1"/>
        <w:numPr>
          <w:ilvl w:val="0"/>
          <w:numId w:val="0"/>
        </w:numPr>
        <w:jc w:val="both"/>
      </w:pPr>
    </w:p>
    <w:p w14:paraId="3D227E31" w14:textId="2CF4F9EE" w:rsidR="009E1A0D" w:rsidRDefault="009E1A0D" w:rsidP="007D06A5">
      <w:pPr>
        <w:pStyle w:val="Bullets1"/>
        <w:numPr>
          <w:ilvl w:val="0"/>
          <w:numId w:val="0"/>
        </w:numPr>
        <w:jc w:val="both"/>
      </w:pPr>
      <w:r>
        <w:t>No comment.</w:t>
      </w:r>
    </w:p>
    <w:p w14:paraId="0147D392" w14:textId="77777777" w:rsidR="004053E0" w:rsidRDefault="004053E0" w:rsidP="004053E0">
      <w:pPr>
        <w:pStyle w:val="Bullets1"/>
        <w:numPr>
          <w:ilvl w:val="0"/>
          <w:numId w:val="0"/>
        </w:numPr>
      </w:pPr>
    </w:p>
    <w:p w14:paraId="49D5909E" w14:textId="5441A6A4" w:rsidR="004053E0" w:rsidRDefault="004053E0" w:rsidP="007C65BC">
      <w:pPr>
        <w:pStyle w:val="Bullets1"/>
        <w:numPr>
          <w:ilvl w:val="0"/>
          <w:numId w:val="0"/>
        </w:numPr>
        <w:jc w:val="both"/>
      </w:pPr>
      <w:r w:rsidRPr="007C4CEE">
        <w:rPr>
          <w:b/>
          <w:bCs/>
        </w:rPr>
        <w:t>Q4</w:t>
      </w:r>
      <w:r>
        <w:t>: Do you agree with the conditions and criteria to help the identification of cryptoassets qualifying as another financial instrument (</w:t>
      </w:r>
      <w:r w:rsidRPr="007C65BC">
        <w:rPr>
          <w:i/>
          <w:iCs/>
        </w:rPr>
        <w:t>i.e.</w:t>
      </w:r>
      <w:r w:rsidR="007D06A5">
        <w:t>,</w:t>
      </w:r>
      <w:r>
        <w:t xml:space="preserve"> a money market instrument, a unit in collective investment undertakings, a derivative or an emission allowance instrument)? Do you have any additional condition, criteria and/or concrete examples to suggest? </w:t>
      </w:r>
    </w:p>
    <w:p w14:paraId="5DE11568" w14:textId="608A2251" w:rsidR="006E4580" w:rsidRPr="006E4580" w:rsidRDefault="006E4580" w:rsidP="00223E9B">
      <w:pPr>
        <w:pStyle w:val="Bullets1"/>
        <w:numPr>
          <w:ilvl w:val="0"/>
          <w:numId w:val="0"/>
        </w:numPr>
        <w:jc w:val="both"/>
      </w:pPr>
      <w:r w:rsidRPr="006E4580">
        <w:lastRenderedPageBreak/>
        <w:t xml:space="preserve">We understand that ESMA is </w:t>
      </w:r>
      <w:r w:rsidR="008D7AAD">
        <w:t>applying the</w:t>
      </w:r>
      <w:r w:rsidRPr="006E4580">
        <w:t xml:space="preserve"> “same activity, same rules” principle </w:t>
      </w:r>
      <w:r w:rsidR="008D7AAD">
        <w:t>to</w:t>
      </w:r>
      <w:r w:rsidRPr="006E4580">
        <w:t xml:space="preserve"> each category of financial instrument (money market instrument, unit in collective investment undertakings, derivative, emission allowance instrument). This implies that crypto-assets that have the features of the related MiFID financial instrument </w:t>
      </w:r>
      <w:r w:rsidR="008412DA">
        <w:t>would</w:t>
      </w:r>
      <w:r w:rsidRPr="006E4580">
        <w:t xml:space="preserve"> be captured by MiFID, thus echoing the exclusion approach laid down in MiCA. </w:t>
      </w:r>
    </w:p>
    <w:p w14:paraId="2DD7EDEA" w14:textId="77777777" w:rsidR="006E4580" w:rsidRPr="006E4580" w:rsidRDefault="006E4580" w:rsidP="006E4580">
      <w:pPr>
        <w:pStyle w:val="Bullets1"/>
        <w:numPr>
          <w:ilvl w:val="0"/>
          <w:numId w:val="0"/>
        </w:numPr>
      </w:pPr>
    </w:p>
    <w:p w14:paraId="1AD967A7" w14:textId="2A947536" w:rsidR="006E4580" w:rsidRPr="006E4580" w:rsidRDefault="006E4580" w:rsidP="00223E9B">
      <w:pPr>
        <w:pStyle w:val="Bullets1"/>
        <w:numPr>
          <w:ilvl w:val="0"/>
          <w:numId w:val="0"/>
        </w:numPr>
        <w:jc w:val="both"/>
      </w:pPr>
      <w:r w:rsidRPr="006E4580">
        <w:t xml:space="preserve">To facilitate the identification exercise, we </w:t>
      </w:r>
      <w:r w:rsidR="002A24C4">
        <w:t xml:space="preserve">view that </w:t>
      </w:r>
      <w:r w:rsidR="00DA1AB5">
        <w:t>additional</w:t>
      </w:r>
      <w:r w:rsidR="0098457D">
        <w:t xml:space="preserve"> and ongoing</w:t>
      </w:r>
      <w:r w:rsidR="00DA1AB5">
        <w:t xml:space="preserve"> discussion</w:t>
      </w:r>
      <w:r w:rsidR="002F69DA">
        <w:t xml:space="preserve">s </w:t>
      </w:r>
      <w:r w:rsidR="0098457D">
        <w:t xml:space="preserve">with the industry </w:t>
      </w:r>
      <w:r w:rsidR="002F69DA">
        <w:t>are necessary to detail the criteria laid down in the guidelines</w:t>
      </w:r>
      <w:r w:rsidR="008779EA">
        <w:t xml:space="preserve"> and through examples</w:t>
      </w:r>
      <w:r w:rsidRPr="006E4580">
        <w:t xml:space="preserve"> (without </w:t>
      </w:r>
      <w:r w:rsidR="008412DA">
        <w:t>resulting in</w:t>
      </w:r>
      <w:r w:rsidRPr="006E4580">
        <w:t xml:space="preserve"> a “one-size-fits-all” approach)</w:t>
      </w:r>
      <w:r w:rsidR="008779EA">
        <w:t>,</w:t>
      </w:r>
      <w:r w:rsidR="002F69DA">
        <w:t xml:space="preserve"> so that crypto assets that have the features of </w:t>
      </w:r>
      <w:r w:rsidR="00D162FF">
        <w:t>other financial instruments should be classified as such</w:t>
      </w:r>
      <w:r w:rsidRPr="006E4580">
        <w:t>.</w:t>
      </w:r>
      <w:r w:rsidR="00D162FF" w:rsidRPr="006E4580" w:rsidDel="00D162FF">
        <w:t xml:space="preserve"> </w:t>
      </w:r>
    </w:p>
    <w:p w14:paraId="3F83ED91" w14:textId="77777777" w:rsidR="006E4580" w:rsidRDefault="006E4580" w:rsidP="006E4580">
      <w:pPr>
        <w:pStyle w:val="Bullets1"/>
        <w:numPr>
          <w:ilvl w:val="0"/>
          <w:numId w:val="0"/>
        </w:numPr>
      </w:pPr>
    </w:p>
    <w:p w14:paraId="77BF0CB1" w14:textId="77777777" w:rsidR="004053E0" w:rsidRDefault="004053E0" w:rsidP="007C65BC">
      <w:pPr>
        <w:pStyle w:val="Bullets1"/>
        <w:numPr>
          <w:ilvl w:val="0"/>
          <w:numId w:val="0"/>
        </w:numPr>
        <w:jc w:val="both"/>
      </w:pPr>
      <w:r w:rsidRPr="007C4CEE">
        <w:rPr>
          <w:b/>
          <w:bCs/>
        </w:rPr>
        <w:t>Q5</w:t>
      </w:r>
      <w:r>
        <w:t xml:space="preserve">: Do you agree with the suggested conditions and criteria to differentiate between MiFID II financial instruments and MiCA crypto-assets? Do you have concrete condition and/or criteria to suggest that could be used in the Guidelines? Please illustrate, if possible, your response with concrete examples. </w:t>
      </w:r>
    </w:p>
    <w:p w14:paraId="58A71E5B" w14:textId="77777777" w:rsidR="004053E0" w:rsidRDefault="004053E0" w:rsidP="004053E0">
      <w:pPr>
        <w:pStyle w:val="Bullets1"/>
        <w:numPr>
          <w:ilvl w:val="0"/>
          <w:numId w:val="0"/>
        </w:numPr>
      </w:pPr>
    </w:p>
    <w:p w14:paraId="0A24A568" w14:textId="7478DE68" w:rsidR="006B75C2" w:rsidRDefault="006D7D41" w:rsidP="00223E9B">
      <w:pPr>
        <w:pStyle w:val="Bullets1"/>
        <w:numPr>
          <w:ilvl w:val="0"/>
          <w:numId w:val="0"/>
        </w:numPr>
        <w:jc w:val="both"/>
      </w:pPr>
      <w:r w:rsidRPr="00AD4534">
        <w:t>We agree with the conditions and criteria to differentiate between MIFID II financial instruments and</w:t>
      </w:r>
      <w:r w:rsidR="00AD4534">
        <w:t xml:space="preserve"> </w:t>
      </w:r>
      <w:r w:rsidRPr="00AD4534">
        <w:t>MiCA crypto assets</w:t>
      </w:r>
      <w:r w:rsidR="003A60B2" w:rsidRPr="00AD4534">
        <w:t xml:space="preserve">, but we view that the inclusion of more concrete examples could enhance the </w:t>
      </w:r>
      <w:r w:rsidR="00AD4534">
        <w:t>delineation</w:t>
      </w:r>
      <w:r w:rsidR="00D332A6">
        <w:t>, strengthen harmonisation, and promote common understanding between supervisors and market participants</w:t>
      </w:r>
      <w:r w:rsidR="007727DD">
        <w:t>.</w:t>
      </w:r>
    </w:p>
    <w:p w14:paraId="302617B2" w14:textId="77777777" w:rsidR="007B0DF2" w:rsidRDefault="007B0DF2" w:rsidP="006D7D41">
      <w:pPr>
        <w:pStyle w:val="Bullets1"/>
        <w:numPr>
          <w:ilvl w:val="0"/>
          <w:numId w:val="0"/>
        </w:numPr>
      </w:pPr>
    </w:p>
    <w:p w14:paraId="315D77E1" w14:textId="04F4DCCD" w:rsidR="00E70F36" w:rsidRDefault="003508D9" w:rsidP="00223E9B">
      <w:pPr>
        <w:pStyle w:val="Bullets1"/>
        <w:numPr>
          <w:ilvl w:val="0"/>
          <w:numId w:val="0"/>
        </w:numPr>
        <w:jc w:val="both"/>
      </w:pPr>
      <w:r w:rsidRPr="007727DD">
        <w:t xml:space="preserve">For example, </w:t>
      </w:r>
      <w:r w:rsidR="0092137C">
        <w:t>w</w:t>
      </w:r>
      <w:r w:rsidR="006B75C2">
        <w:t xml:space="preserve">e </w:t>
      </w:r>
      <w:r w:rsidR="007D06A5">
        <w:t xml:space="preserve">believe </w:t>
      </w:r>
      <w:r w:rsidR="006B75C2">
        <w:t xml:space="preserve">the guidelines for utility tokens require further clarifications. </w:t>
      </w:r>
      <w:r w:rsidR="007727DD">
        <w:t>W</w:t>
      </w:r>
      <w:r w:rsidR="005F6922" w:rsidRPr="00AD4534">
        <w:t xml:space="preserve">e </w:t>
      </w:r>
      <w:r w:rsidR="007727DD">
        <w:t>have observed</w:t>
      </w:r>
      <w:r w:rsidR="005F6922" w:rsidRPr="00AD4534">
        <w:t xml:space="preserve"> that </w:t>
      </w:r>
      <w:r w:rsidR="00D12D3F" w:rsidRPr="00AD4534">
        <w:t xml:space="preserve">some utility tokens </w:t>
      </w:r>
      <w:r w:rsidR="00E904F9">
        <w:t>may</w:t>
      </w:r>
      <w:r w:rsidR="00050B61">
        <w:t xml:space="preserve"> </w:t>
      </w:r>
      <w:r w:rsidR="00C349FC" w:rsidRPr="00AD4534">
        <w:t>accrue</w:t>
      </w:r>
      <w:r w:rsidR="00326C83">
        <w:t xml:space="preserve"> revenues</w:t>
      </w:r>
      <w:r w:rsidR="00C349FC" w:rsidRPr="00AD4534">
        <w:t xml:space="preserve"> from protocol fees to token holders</w:t>
      </w:r>
      <w:r w:rsidR="005D1EEE">
        <w:t xml:space="preserve"> </w:t>
      </w:r>
      <w:r w:rsidR="00050B61">
        <w:t>or</w:t>
      </w:r>
      <w:r w:rsidR="005D1EEE">
        <w:t xml:space="preserve"> allow community voting </w:t>
      </w:r>
      <w:r w:rsidR="00050B61">
        <w:t>by</w:t>
      </w:r>
      <w:r w:rsidR="005D1EEE">
        <w:t xml:space="preserve"> </w:t>
      </w:r>
      <w:r w:rsidR="00050B61">
        <w:t>holders</w:t>
      </w:r>
      <w:r w:rsidR="00C349FC" w:rsidRPr="00AD4534">
        <w:t xml:space="preserve">, </w:t>
      </w:r>
      <w:r w:rsidR="00050B61">
        <w:t xml:space="preserve">and </w:t>
      </w:r>
      <w:r w:rsidR="007727DD">
        <w:t>these characteristics</w:t>
      </w:r>
      <w:r w:rsidR="00C349FC" w:rsidRPr="00AD4534">
        <w:t xml:space="preserve"> could </w:t>
      </w:r>
      <w:r w:rsidR="00117BC1">
        <w:t xml:space="preserve">lead to an interpretation that the tokens could be considered as financial </w:t>
      </w:r>
      <w:r w:rsidR="00E904F9">
        <w:t>instruments</w:t>
      </w:r>
      <w:r w:rsidR="007727DD">
        <w:t xml:space="preserve"> due to the hierarchical approach being propose</w:t>
      </w:r>
      <w:r w:rsidR="000329F2">
        <w:t>d for hybrid-type tokens (where qualification as a financial instrument would take precedence over qualification as a crypto-asset)</w:t>
      </w:r>
      <w:r w:rsidR="00E904F9">
        <w:t>.</w:t>
      </w:r>
      <w:r w:rsidR="00621874">
        <w:t xml:space="preserve"> </w:t>
      </w:r>
      <w:r w:rsidR="007D06A5">
        <w:t>W</w:t>
      </w:r>
      <w:r w:rsidR="00621874">
        <w:t xml:space="preserve">e </w:t>
      </w:r>
      <w:r w:rsidR="00534CF8">
        <w:t>do not agree</w:t>
      </w:r>
      <w:r w:rsidR="007D06A5">
        <w:t>, however, that</w:t>
      </w:r>
      <w:r w:rsidR="00534CF8">
        <w:t xml:space="preserve"> </w:t>
      </w:r>
      <w:r w:rsidR="00E70F36">
        <w:t xml:space="preserve">sharing </w:t>
      </w:r>
      <w:r w:rsidR="0093248D">
        <w:t>revenue</w:t>
      </w:r>
      <w:r w:rsidR="00E70F36">
        <w:t>s</w:t>
      </w:r>
      <w:r w:rsidR="0093248D">
        <w:t xml:space="preserve"> accrued from protocol fees </w:t>
      </w:r>
      <w:r w:rsidR="00E70F36">
        <w:t xml:space="preserve">represents </w:t>
      </w:r>
      <w:r w:rsidR="002B56A1">
        <w:t xml:space="preserve">an </w:t>
      </w:r>
      <w:r w:rsidR="00E70F36">
        <w:t>ownership position in a company</w:t>
      </w:r>
      <w:r w:rsidR="00C22B45">
        <w:t>, nor</w:t>
      </w:r>
      <w:r w:rsidR="00273F8E">
        <w:t xml:space="preserve"> do we agree</w:t>
      </w:r>
      <w:r w:rsidR="00C22B45">
        <w:t xml:space="preserve"> that community voting </w:t>
      </w:r>
      <w:r w:rsidR="002B56A1">
        <w:t xml:space="preserve">on fund distribution </w:t>
      </w:r>
      <w:r w:rsidR="00273F8E">
        <w:t xml:space="preserve">is the same as participating in a company’s decision-making process. As such, utility tokens with such characteristics should not be considered as </w:t>
      </w:r>
      <w:r w:rsidR="00F33C59">
        <w:t xml:space="preserve">financial instruments. </w:t>
      </w:r>
    </w:p>
    <w:p w14:paraId="62E5CFAF" w14:textId="77777777" w:rsidR="006D7D41" w:rsidRDefault="006D7D41" w:rsidP="006D7D41">
      <w:pPr>
        <w:pStyle w:val="Bullets1"/>
        <w:numPr>
          <w:ilvl w:val="0"/>
          <w:numId w:val="0"/>
        </w:numPr>
      </w:pPr>
    </w:p>
    <w:p w14:paraId="3FE0AB3F" w14:textId="77777777" w:rsidR="004053E0" w:rsidRDefault="004053E0" w:rsidP="007C65BC">
      <w:pPr>
        <w:pStyle w:val="Bullets1"/>
        <w:numPr>
          <w:ilvl w:val="0"/>
          <w:numId w:val="0"/>
        </w:numPr>
        <w:jc w:val="both"/>
      </w:pPr>
      <w:r w:rsidRPr="007C4CEE">
        <w:rPr>
          <w:b/>
          <w:bCs/>
        </w:rPr>
        <w:t>Q6</w:t>
      </w:r>
      <w:r>
        <w:t xml:space="preserve">: Do you agree with the conditions and criteria proposed for NFTs in order to clarify the scope of crypto-assets that may fall under the MiCA regulation? Do you have any additional condition and/or criteria to suggest? Please illustrate, if possible, your response with concrete examples. </w:t>
      </w:r>
    </w:p>
    <w:p w14:paraId="59DD6D85" w14:textId="77777777" w:rsidR="004053E0" w:rsidRDefault="004053E0" w:rsidP="004053E0">
      <w:pPr>
        <w:pStyle w:val="Bullets1"/>
        <w:numPr>
          <w:ilvl w:val="0"/>
          <w:numId w:val="0"/>
        </w:numPr>
      </w:pPr>
    </w:p>
    <w:p w14:paraId="4D524B8A" w14:textId="291B4AAC" w:rsidR="005A1D68" w:rsidRPr="00844BAD" w:rsidRDefault="00516BDC" w:rsidP="00223E9B">
      <w:pPr>
        <w:pStyle w:val="Bullets1"/>
        <w:numPr>
          <w:ilvl w:val="0"/>
          <w:numId w:val="0"/>
        </w:numPr>
        <w:jc w:val="both"/>
      </w:pPr>
      <w:r>
        <w:t>We note that most NFT collections are valued at “floor price</w:t>
      </w:r>
      <w:r w:rsidR="007D06A5">
        <w:t>,</w:t>
      </w:r>
      <w:r>
        <w:t>” which means that each piece of</w:t>
      </w:r>
      <w:r w:rsidR="00D536C3">
        <w:t xml:space="preserve"> a collection </w:t>
      </w:r>
      <w:r w:rsidR="00F33C59">
        <w:t xml:space="preserve">would be valued at that price at a minimum. </w:t>
      </w:r>
      <w:r w:rsidR="007D06A5">
        <w:t>T</w:t>
      </w:r>
      <w:r w:rsidR="007A5A37">
        <w:t>his pricing model</w:t>
      </w:r>
      <w:r w:rsidR="007D06A5">
        <w:t>, however,</w:t>
      </w:r>
      <w:r w:rsidR="007A5A37">
        <w:t xml:space="preserve"> does not mean that all pieces within a </w:t>
      </w:r>
      <w:r w:rsidR="007A5A37" w:rsidRPr="00844BAD">
        <w:t xml:space="preserve">collection have the same value nor </w:t>
      </w:r>
      <w:r w:rsidR="00A20852" w:rsidRPr="00844BAD">
        <w:t xml:space="preserve">detract from the uniqueness of the pieces. </w:t>
      </w:r>
      <w:r w:rsidR="007D06A5">
        <w:t>T</w:t>
      </w:r>
      <w:r w:rsidR="00CB526C" w:rsidRPr="00844BAD">
        <w:t xml:space="preserve">here </w:t>
      </w:r>
      <w:r w:rsidR="007D06A5">
        <w:t xml:space="preserve">also </w:t>
      </w:r>
      <w:r w:rsidR="00CB526C" w:rsidRPr="00844BAD">
        <w:t xml:space="preserve">exist protocols </w:t>
      </w:r>
      <w:r w:rsidR="007D06A5">
        <w:t xml:space="preserve">that </w:t>
      </w:r>
      <w:r w:rsidR="00CB526C" w:rsidRPr="00844BAD">
        <w:t xml:space="preserve">allow buyers to </w:t>
      </w:r>
      <w:r w:rsidR="00350671" w:rsidRPr="00844BAD">
        <w:t xml:space="preserve">purchase and bid </w:t>
      </w:r>
      <w:r w:rsidR="0013550A" w:rsidRPr="00844BAD">
        <w:t xml:space="preserve">in a similar way to fungible tokens. We do not </w:t>
      </w:r>
      <w:r w:rsidR="00F17245" w:rsidRPr="00844BAD">
        <w:t>agree</w:t>
      </w:r>
      <w:r w:rsidR="0013550A" w:rsidRPr="00844BAD">
        <w:t xml:space="preserve"> that </w:t>
      </w:r>
      <w:r w:rsidR="0034666D" w:rsidRPr="00844BAD">
        <w:t xml:space="preserve">the mere availability of </w:t>
      </w:r>
      <w:r w:rsidR="0013550A" w:rsidRPr="00844BAD">
        <w:t>collection valuation and bidding protocols</w:t>
      </w:r>
      <w:r w:rsidR="0034666D" w:rsidRPr="00844BAD">
        <w:t xml:space="preserve"> should</w:t>
      </w:r>
      <w:r w:rsidR="0013550A" w:rsidRPr="00844BAD">
        <w:t xml:space="preserve"> </w:t>
      </w:r>
      <w:r w:rsidR="0034666D" w:rsidRPr="00844BAD">
        <w:t>impact the non-fungibility and uniqueness of a</w:t>
      </w:r>
      <w:r w:rsidR="007D06A5">
        <w:t>n</w:t>
      </w:r>
      <w:r w:rsidR="0034666D" w:rsidRPr="00844BAD">
        <w:t xml:space="preserve"> NFT. </w:t>
      </w:r>
    </w:p>
    <w:p w14:paraId="45DA091C" w14:textId="77777777" w:rsidR="00F06EEF" w:rsidRPr="00844BAD" w:rsidRDefault="00F06EEF" w:rsidP="004053E0">
      <w:pPr>
        <w:pStyle w:val="Bullets1"/>
        <w:numPr>
          <w:ilvl w:val="0"/>
          <w:numId w:val="0"/>
        </w:numPr>
      </w:pPr>
    </w:p>
    <w:p w14:paraId="45D6DBF0" w14:textId="4CD393B5" w:rsidR="00844BAD" w:rsidRPr="00844BAD" w:rsidRDefault="007D06A5" w:rsidP="00844BAD">
      <w:pPr>
        <w:pStyle w:val="Default"/>
        <w:rPr>
          <w:rFonts w:asciiTheme="minorHAnsi" w:eastAsia="Calibri" w:hAnsiTheme="minorHAnsi" w:cs="Arial"/>
          <w:sz w:val="22"/>
          <w:szCs w:val="22"/>
          <w:lang w:val="en-GB" w:eastAsia="en-GB"/>
        </w:rPr>
      </w:pPr>
      <w:r>
        <w:rPr>
          <w:rFonts w:asciiTheme="minorHAnsi" w:hAnsiTheme="minorHAnsi"/>
          <w:sz w:val="22"/>
          <w:szCs w:val="22"/>
        </w:rPr>
        <w:t>W</w:t>
      </w:r>
      <w:proofErr w:type="spellStart"/>
      <w:r w:rsidR="00F06EEF" w:rsidRPr="00844BAD">
        <w:rPr>
          <w:rFonts w:asciiTheme="minorHAnsi" w:eastAsia="Calibri" w:hAnsiTheme="minorHAnsi" w:cs="Arial"/>
          <w:sz w:val="22"/>
          <w:szCs w:val="22"/>
          <w:lang w:val="en-GB" w:eastAsia="en-GB"/>
        </w:rPr>
        <w:t>e</w:t>
      </w:r>
      <w:proofErr w:type="spellEnd"/>
      <w:r w:rsidR="00F06EEF" w:rsidRPr="00844BAD">
        <w:rPr>
          <w:rFonts w:asciiTheme="minorHAnsi" w:eastAsia="Calibri" w:hAnsiTheme="minorHAnsi" w:cs="Arial"/>
          <w:sz w:val="22"/>
          <w:szCs w:val="22"/>
          <w:lang w:val="en-GB" w:eastAsia="en-GB"/>
        </w:rPr>
        <w:t xml:space="preserve"> </w:t>
      </w:r>
      <w:r>
        <w:rPr>
          <w:rFonts w:asciiTheme="minorHAnsi" w:eastAsia="Calibri" w:hAnsiTheme="minorHAnsi" w:cs="Arial"/>
          <w:sz w:val="22"/>
          <w:szCs w:val="22"/>
          <w:lang w:val="en-GB" w:eastAsia="en-GB"/>
        </w:rPr>
        <w:t xml:space="preserve">also </w:t>
      </w:r>
      <w:r w:rsidR="00F06EEF" w:rsidRPr="00844BAD">
        <w:rPr>
          <w:rFonts w:asciiTheme="minorHAnsi" w:eastAsia="Calibri" w:hAnsiTheme="minorHAnsi" w:cs="Arial"/>
          <w:sz w:val="22"/>
          <w:szCs w:val="22"/>
          <w:lang w:val="en-GB" w:eastAsia="en-GB"/>
        </w:rPr>
        <w:t>support ESMA</w:t>
      </w:r>
      <w:r>
        <w:rPr>
          <w:rFonts w:asciiTheme="minorHAnsi" w:eastAsia="Calibri" w:hAnsiTheme="minorHAnsi" w:cs="Arial"/>
          <w:sz w:val="22"/>
          <w:szCs w:val="22"/>
          <w:lang w:val="en-GB" w:eastAsia="en-GB"/>
        </w:rPr>
        <w:t>’s</w:t>
      </w:r>
      <w:r w:rsidR="00F06EEF" w:rsidRPr="00844BAD">
        <w:rPr>
          <w:rFonts w:asciiTheme="minorHAnsi" w:eastAsia="Calibri" w:hAnsiTheme="minorHAnsi" w:cs="Arial"/>
          <w:sz w:val="22"/>
          <w:szCs w:val="22"/>
          <w:lang w:val="en-GB" w:eastAsia="en-GB"/>
        </w:rPr>
        <w:t xml:space="preserve"> </w:t>
      </w:r>
      <w:r>
        <w:rPr>
          <w:rFonts w:asciiTheme="minorHAnsi" w:eastAsia="Calibri" w:hAnsiTheme="minorHAnsi" w:cs="Arial"/>
          <w:sz w:val="22"/>
          <w:szCs w:val="22"/>
          <w:lang w:val="en-GB" w:eastAsia="en-GB"/>
        </w:rPr>
        <w:t xml:space="preserve">considering </w:t>
      </w:r>
      <w:r w:rsidR="00844BAD">
        <w:rPr>
          <w:rFonts w:asciiTheme="minorHAnsi" w:eastAsia="Calibri" w:hAnsiTheme="minorHAnsi" w:cs="Arial"/>
          <w:sz w:val="22"/>
          <w:szCs w:val="22"/>
          <w:lang w:val="en-GB" w:eastAsia="en-GB"/>
        </w:rPr>
        <w:t>providing clarifications</w:t>
      </w:r>
      <w:r w:rsidR="00F06EEF" w:rsidRPr="00844BAD">
        <w:rPr>
          <w:rFonts w:asciiTheme="minorHAnsi" w:eastAsia="Calibri" w:hAnsiTheme="minorHAnsi" w:cs="Arial"/>
          <w:sz w:val="22"/>
          <w:szCs w:val="22"/>
          <w:lang w:val="en-GB" w:eastAsia="en-GB"/>
        </w:rPr>
        <w:t xml:space="preserve"> </w:t>
      </w:r>
      <w:r w:rsidR="009D5F6B">
        <w:rPr>
          <w:rFonts w:asciiTheme="minorHAnsi" w:eastAsia="Calibri" w:hAnsiTheme="minorHAnsi" w:cs="Arial"/>
          <w:sz w:val="22"/>
          <w:szCs w:val="22"/>
          <w:lang w:val="en-GB" w:eastAsia="en-GB"/>
        </w:rPr>
        <w:t>on how the proposed Guidelines would apply to</w:t>
      </w:r>
      <w:r w:rsidR="00953FE9">
        <w:rPr>
          <w:rFonts w:asciiTheme="minorHAnsi" w:eastAsia="Calibri" w:hAnsiTheme="minorHAnsi" w:cs="Arial"/>
          <w:sz w:val="22"/>
          <w:szCs w:val="22"/>
          <w:lang w:val="en-GB" w:eastAsia="en-GB"/>
        </w:rPr>
        <w:t xml:space="preserve"> </w:t>
      </w:r>
      <w:r w:rsidR="00844BAD">
        <w:rPr>
          <w:rFonts w:asciiTheme="minorHAnsi" w:eastAsia="Calibri" w:hAnsiTheme="minorHAnsi" w:cs="Arial"/>
          <w:sz w:val="22"/>
          <w:szCs w:val="22"/>
          <w:lang w:val="en-GB" w:eastAsia="en-GB"/>
        </w:rPr>
        <w:t xml:space="preserve">the </w:t>
      </w:r>
      <w:r w:rsidR="00F06EEF" w:rsidRPr="00844BAD">
        <w:rPr>
          <w:rFonts w:asciiTheme="minorHAnsi" w:eastAsia="Calibri" w:hAnsiTheme="minorHAnsi" w:cs="Arial"/>
          <w:sz w:val="22"/>
          <w:szCs w:val="22"/>
          <w:lang w:val="en-GB" w:eastAsia="en-GB"/>
        </w:rPr>
        <w:t xml:space="preserve">various </w:t>
      </w:r>
      <w:r w:rsidR="00953FE9">
        <w:rPr>
          <w:rFonts w:asciiTheme="minorHAnsi" w:eastAsia="Calibri" w:hAnsiTheme="minorHAnsi" w:cs="Arial"/>
          <w:sz w:val="22"/>
          <w:szCs w:val="22"/>
          <w:lang w:val="en-GB" w:eastAsia="en-GB"/>
        </w:rPr>
        <w:t>sub-</w:t>
      </w:r>
      <w:r w:rsidR="00F06EEF" w:rsidRPr="00844BAD">
        <w:rPr>
          <w:rFonts w:asciiTheme="minorHAnsi" w:eastAsia="Calibri" w:hAnsiTheme="minorHAnsi" w:cs="Arial"/>
          <w:sz w:val="22"/>
          <w:szCs w:val="22"/>
          <w:lang w:val="en-GB" w:eastAsia="en-GB"/>
        </w:rPr>
        <w:t xml:space="preserve">categories </w:t>
      </w:r>
      <w:r w:rsidR="00844BAD" w:rsidRPr="00844BAD">
        <w:rPr>
          <w:rFonts w:asciiTheme="minorHAnsi" w:eastAsia="Calibri" w:hAnsiTheme="minorHAnsi" w:cs="Arial"/>
          <w:sz w:val="22"/>
          <w:szCs w:val="22"/>
          <w:lang w:val="en-GB" w:eastAsia="en-GB"/>
        </w:rPr>
        <w:t>of NFTs</w:t>
      </w:r>
      <w:r w:rsidR="00953FE9">
        <w:rPr>
          <w:rFonts w:asciiTheme="minorHAnsi" w:eastAsia="Calibri" w:hAnsiTheme="minorHAnsi" w:cs="Arial"/>
          <w:sz w:val="22"/>
          <w:szCs w:val="22"/>
          <w:lang w:val="en-GB" w:eastAsia="en-GB"/>
        </w:rPr>
        <w:t>, which display different characteristics</w:t>
      </w:r>
      <w:r w:rsidR="00F06EEF" w:rsidRPr="00844BAD">
        <w:rPr>
          <w:rFonts w:asciiTheme="minorHAnsi" w:eastAsia="Calibri" w:hAnsiTheme="minorHAnsi" w:cs="Arial"/>
          <w:sz w:val="22"/>
          <w:szCs w:val="22"/>
          <w:lang w:val="en-GB" w:eastAsia="en-GB"/>
        </w:rPr>
        <w:t xml:space="preserve">: </w:t>
      </w:r>
    </w:p>
    <w:p w14:paraId="0B2747D0" w14:textId="77777777" w:rsidR="00844BAD" w:rsidRPr="00844BAD" w:rsidRDefault="00F06EEF" w:rsidP="007F4987">
      <w:pPr>
        <w:pStyle w:val="Default"/>
        <w:numPr>
          <w:ilvl w:val="0"/>
          <w:numId w:val="7"/>
        </w:numPr>
        <w:rPr>
          <w:rFonts w:asciiTheme="minorHAnsi" w:eastAsia="Calibri" w:hAnsiTheme="minorHAnsi" w:cs="Arial"/>
          <w:sz w:val="22"/>
          <w:szCs w:val="22"/>
          <w:lang w:val="en-GB" w:eastAsia="en-GB"/>
        </w:rPr>
      </w:pPr>
      <w:proofErr w:type="spellStart"/>
      <w:r w:rsidRPr="00F06EEF">
        <w:rPr>
          <w:rFonts w:asciiTheme="minorHAnsi" w:hAnsiTheme="minorHAnsi"/>
          <w:sz w:val="22"/>
          <w:szCs w:val="22"/>
        </w:rPr>
        <w:t>MiCA’s</w:t>
      </w:r>
      <w:proofErr w:type="spellEnd"/>
      <w:r w:rsidRPr="00F06EEF">
        <w:rPr>
          <w:rFonts w:asciiTheme="minorHAnsi" w:hAnsiTheme="minorHAnsi"/>
          <w:sz w:val="22"/>
          <w:szCs w:val="22"/>
        </w:rPr>
        <w:t xml:space="preserve"> eligible NFTs (i.e. those that are not unique/fungible/fractionable); </w:t>
      </w:r>
    </w:p>
    <w:p w14:paraId="4E7228D5" w14:textId="5BDE8104" w:rsidR="00844BAD" w:rsidRPr="00844BAD" w:rsidRDefault="00844BAD" w:rsidP="007F4987">
      <w:pPr>
        <w:pStyle w:val="Default"/>
        <w:numPr>
          <w:ilvl w:val="0"/>
          <w:numId w:val="7"/>
        </w:numPr>
        <w:rPr>
          <w:rFonts w:asciiTheme="minorHAnsi" w:eastAsia="Calibri" w:hAnsiTheme="minorHAnsi" w:cs="Arial"/>
          <w:sz w:val="22"/>
          <w:szCs w:val="22"/>
          <w:lang w:val="en-GB" w:eastAsia="en-GB"/>
        </w:rPr>
      </w:pPr>
      <w:r w:rsidRPr="00844BAD">
        <w:rPr>
          <w:rFonts w:asciiTheme="minorHAnsi" w:hAnsiTheme="minorHAnsi"/>
          <w:sz w:val="22"/>
          <w:szCs w:val="22"/>
          <w:lang w:val="en-GB"/>
        </w:rPr>
        <w:t xml:space="preserve">NFTs </w:t>
      </w:r>
      <w:r w:rsidRPr="00844BAD">
        <w:rPr>
          <w:rFonts w:asciiTheme="minorHAnsi" w:hAnsiTheme="minorHAnsi" w:cs="Arial"/>
          <w:sz w:val="22"/>
          <w:szCs w:val="22"/>
        </w:rPr>
        <w:t>that</w:t>
      </w:r>
      <w:r w:rsidR="00F06EEF" w:rsidRPr="00844BAD">
        <w:rPr>
          <w:rFonts w:asciiTheme="minorHAnsi" w:hAnsiTheme="minorHAnsi" w:cs="Arial"/>
          <w:sz w:val="22"/>
          <w:szCs w:val="22"/>
        </w:rPr>
        <w:t xml:space="preserve"> are out of the scope of MiCA (as they are truly unique) and </w:t>
      </w:r>
      <w:r w:rsidRPr="00844BAD">
        <w:rPr>
          <w:rFonts w:asciiTheme="minorHAnsi" w:hAnsiTheme="minorHAnsi" w:cs="Arial"/>
          <w:sz w:val="22"/>
          <w:szCs w:val="22"/>
        </w:rPr>
        <w:t>that</w:t>
      </w:r>
      <w:r w:rsidR="00F06EEF" w:rsidRPr="00844BAD">
        <w:rPr>
          <w:rFonts w:asciiTheme="minorHAnsi" w:hAnsiTheme="minorHAnsi" w:cs="Arial"/>
          <w:sz w:val="22"/>
          <w:szCs w:val="22"/>
        </w:rPr>
        <w:t xml:space="preserve"> are also not in the scope of MiFID as they cannot be interchangeable/ do not constitute a class of securities; and </w:t>
      </w:r>
    </w:p>
    <w:p w14:paraId="443C42B1" w14:textId="5786E063" w:rsidR="00F06EEF" w:rsidRPr="00844BAD" w:rsidRDefault="00844BAD" w:rsidP="007F4987">
      <w:pPr>
        <w:pStyle w:val="Default"/>
        <w:numPr>
          <w:ilvl w:val="0"/>
          <w:numId w:val="7"/>
        </w:numPr>
        <w:rPr>
          <w:rFonts w:asciiTheme="minorHAnsi" w:eastAsia="Calibri" w:hAnsiTheme="minorHAnsi" w:cs="Arial"/>
          <w:sz w:val="22"/>
          <w:szCs w:val="22"/>
          <w:lang w:val="en-GB" w:eastAsia="en-GB"/>
        </w:rPr>
      </w:pPr>
      <w:r w:rsidRPr="00844BAD">
        <w:rPr>
          <w:rFonts w:asciiTheme="minorHAnsi" w:hAnsiTheme="minorHAnsi" w:cs="Arial"/>
          <w:sz w:val="22"/>
          <w:szCs w:val="22"/>
          <w:lang w:val="en-GB"/>
        </w:rPr>
        <w:t xml:space="preserve">Fractionalised NFTs, as it remains possible for them to be </w:t>
      </w:r>
      <w:r w:rsidR="00F06EEF" w:rsidRPr="00844BAD">
        <w:rPr>
          <w:rFonts w:asciiTheme="minorHAnsi" w:hAnsiTheme="minorHAnsi" w:cs="Arial"/>
          <w:sz w:val="22"/>
          <w:szCs w:val="22"/>
        </w:rPr>
        <w:t xml:space="preserve">qualified as transferable </w:t>
      </w:r>
      <w:r w:rsidRPr="00844BAD">
        <w:rPr>
          <w:rFonts w:asciiTheme="minorHAnsi" w:hAnsiTheme="minorHAnsi" w:cs="Arial"/>
          <w:sz w:val="22"/>
          <w:szCs w:val="22"/>
        </w:rPr>
        <w:t>securities</w:t>
      </w:r>
      <w:r w:rsidR="00F06EEF" w:rsidRPr="00844BAD">
        <w:rPr>
          <w:rFonts w:asciiTheme="minorHAnsi" w:hAnsiTheme="minorHAnsi" w:cs="Arial"/>
          <w:sz w:val="22"/>
          <w:szCs w:val="22"/>
        </w:rPr>
        <w:t xml:space="preserve"> (eligible under MiFID regime)</w:t>
      </w:r>
      <w:r w:rsidRPr="00844BAD">
        <w:rPr>
          <w:rFonts w:asciiTheme="minorHAnsi" w:hAnsiTheme="minorHAnsi" w:cs="Arial"/>
          <w:sz w:val="22"/>
          <w:szCs w:val="22"/>
        </w:rPr>
        <w:t>.</w:t>
      </w:r>
    </w:p>
    <w:p w14:paraId="5F293050" w14:textId="77777777" w:rsidR="005A1D68" w:rsidRDefault="005A1D68" w:rsidP="004053E0">
      <w:pPr>
        <w:pStyle w:val="Bullets1"/>
        <w:numPr>
          <w:ilvl w:val="0"/>
          <w:numId w:val="0"/>
        </w:numPr>
      </w:pPr>
    </w:p>
    <w:p w14:paraId="51543CF0" w14:textId="77777777" w:rsidR="007D06A5" w:rsidRDefault="004053E0" w:rsidP="007C65BC">
      <w:pPr>
        <w:pStyle w:val="Bullets1"/>
        <w:numPr>
          <w:ilvl w:val="0"/>
          <w:numId w:val="0"/>
        </w:numPr>
        <w:jc w:val="both"/>
      </w:pPr>
      <w:r w:rsidRPr="007C4CEE">
        <w:rPr>
          <w:b/>
          <w:bCs/>
        </w:rPr>
        <w:t>Q7</w:t>
      </w:r>
      <w:r>
        <w:t>: Do you agree with the conditions and criteria proposed for hybrid-type tokens? Do you have any additional condition and/or criteria to suggest that could be used in the Guidelines? Please illustrate, if possible, your response with concrete examples.</w:t>
      </w:r>
    </w:p>
    <w:p w14:paraId="2F9C5822" w14:textId="19467A68" w:rsidR="007E5037" w:rsidRDefault="007E5037" w:rsidP="007E5037">
      <w:pPr>
        <w:pStyle w:val="Bullets1"/>
        <w:numPr>
          <w:ilvl w:val="0"/>
          <w:numId w:val="0"/>
        </w:numPr>
        <w:rPr>
          <w:rFonts w:ascii="Arial" w:hAnsi="Arial" w:cs="Arial"/>
          <w:color w:val="000000"/>
        </w:rPr>
      </w:pPr>
    </w:p>
    <w:p w14:paraId="7D9A9C77" w14:textId="2E593107" w:rsidR="00C33FB3" w:rsidRDefault="00D422A0" w:rsidP="00223E9B">
      <w:pPr>
        <w:pStyle w:val="Bullets1"/>
        <w:numPr>
          <w:ilvl w:val="0"/>
          <w:numId w:val="0"/>
        </w:numPr>
        <w:jc w:val="both"/>
      </w:pPr>
      <w:r>
        <w:t>We support the hi</w:t>
      </w:r>
      <w:r w:rsidR="00A139B1">
        <w:t xml:space="preserve">erarchical approach to classifying hybrid-type tokens, which would prioritise their identification as financial instruments </w:t>
      </w:r>
      <w:r w:rsidR="00913A8A">
        <w:t xml:space="preserve">if </w:t>
      </w:r>
      <w:r w:rsidR="008779EA">
        <w:t>displaying</w:t>
      </w:r>
      <w:r w:rsidR="00913A8A">
        <w:t xml:space="preserve"> features of a financial instruments. </w:t>
      </w:r>
      <w:r w:rsidR="00415FB3">
        <w:t>We are concerned</w:t>
      </w:r>
      <w:r w:rsidR="00F560E1">
        <w:t>, however,</w:t>
      </w:r>
      <w:r w:rsidR="00415FB3">
        <w:t xml:space="preserve"> about the implications </w:t>
      </w:r>
      <w:r w:rsidR="004B301A">
        <w:t>for the</w:t>
      </w:r>
      <w:r w:rsidR="004B301A" w:rsidRPr="00364147">
        <w:t xml:space="preserve"> r</w:t>
      </w:r>
      <w:r w:rsidR="004B301A" w:rsidRPr="007E5037">
        <w:t>esponsibility</w:t>
      </w:r>
      <w:r w:rsidR="004B301A" w:rsidRPr="00364147">
        <w:t xml:space="preserve"> and liability</w:t>
      </w:r>
      <w:r w:rsidR="004B301A" w:rsidRPr="007E5037">
        <w:t xml:space="preserve"> attached to the determination of </w:t>
      </w:r>
      <w:r w:rsidR="007D06A5">
        <w:t xml:space="preserve">an asset’s </w:t>
      </w:r>
      <w:r w:rsidR="004B301A" w:rsidRPr="00364147">
        <w:t>qualification</w:t>
      </w:r>
      <w:r w:rsidR="004B301A" w:rsidRPr="007E5037">
        <w:t xml:space="preserve"> </w:t>
      </w:r>
      <w:r w:rsidR="004B301A">
        <w:t>that</w:t>
      </w:r>
      <w:r w:rsidR="00764755">
        <w:t xml:space="preserve"> </w:t>
      </w:r>
      <w:r w:rsidR="00B94EC3">
        <w:t>may</w:t>
      </w:r>
      <w:r w:rsidR="004B301A">
        <w:t xml:space="preserve"> result </w:t>
      </w:r>
      <w:r w:rsidR="00415FB3">
        <w:t xml:space="preserve">from </w:t>
      </w:r>
      <w:r w:rsidR="004B301A">
        <w:t>ESMA’s</w:t>
      </w:r>
      <w:r w:rsidR="00415FB3">
        <w:t xml:space="preserve"> </w:t>
      </w:r>
      <w:r w:rsidR="00364147">
        <w:t>proposal that</w:t>
      </w:r>
      <w:r w:rsidR="00364147" w:rsidRPr="00364147">
        <w:t xml:space="preserve"> the</w:t>
      </w:r>
      <w:r w:rsidR="00A45E6C" w:rsidRPr="00364147">
        <w:t xml:space="preserve"> criteria for the qualification of hybrid-type tokens</w:t>
      </w:r>
      <w:r w:rsidR="00364147" w:rsidRPr="00364147">
        <w:t xml:space="preserve"> </w:t>
      </w:r>
      <w:r w:rsidR="00364147">
        <w:t xml:space="preserve">should consider </w:t>
      </w:r>
      <w:r w:rsidR="00364147" w:rsidRPr="00364147">
        <w:t>possible changes over the course of an asset’s lifecycle</w:t>
      </w:r>
      <w:r w:rsidR="007E5037" w:rsidRPr="007E5037">
        <w:t xml:space="preserve">. </w:t>
      </w:r>
      <w:r w:rsidR="00A01D80">
        <w:t>W</w:t>
      </w:r>
      <w:r w:rsidR="00C33FB3">
        <w:t xml:space="preserve">e </w:t>
      </w:r>
      <w:r w:rsidR="00A01D80">
        <w:t xml:space="preserve">therefore </w:t>
      </w:r>
      <w:r w:rsidR="00C33FB3">
        <w:t xml:space="preserve">encourage ESMA to consider how it would minimise risks </w:t>
      </w:r>
      <w:r w:rsidR="00B94EC3">
        <w:t>and</w:t>
      </w:r>
      <w:r w:rsidR="00C33FB3">
        <w:t xml:space="preserve"> provide satisfactory mitigation to market participants</w:t>
      </w:r>
      <w:r w:rsidR="00B94EC3">
        <w:t xml:space="preserve"> should such scenarios arise</w:t>
      </w:r>
      <w:r w:rsidR="00C33FB3">
        <w:t>.</w:t>
      </w:r>
      <w:r w:rsidR="00A01D80">
        <w:t xml:space="preserve"> </w:t>
      </w:r>
      <w:r w:rsidR="005F484D">
        <w:t xml:space="preserve">A potential solution is for ESMA to clarify that a hybrid-type token classified as a financial instrument at any point in its lifecycle should be considered as a financial instrument for its entire lifecycle. </w:t>
      </w:r>
    </w:p>
    <w:p w14:paraId="6F448C50" w14:textId="77777777" w:rsidR="00C33FB3" w:rsidRDefault="00C33FB3" w:rsidP="007E5037">
      <w:pPr>
        <w:pStyle w:val="Bullets1"/>
        <w:numPr>
          <w:ilvl w:val="0"/>
          <w:numId w:val="0"/>
        </w:numPr>
      </w:pPr>
    </w:p>
    <w:p w14:paraId="6D499895" w14:textId="0C634C56" w:rsidR="00421845" w:rsidRDefault="00A01D80" w:rsidP="00223E9B">
      <w:pPr>
        <w:pStyle w:val="Bullets1"/>
        <w:numPr>
          <w:ilvl w:val="0"/>
          <w:numId w:val="0"/>
        </w:numPr>
        <w:jc w:val="both"/>
      </w:pPr>
      <w:r>
        <w:t>W</w:t>
      </w:r>
      <w:r w:rsidR="00B94EC3" w:rsidRPr="007E5037">
        <w:t xml:space="preserve">e </w:t>
      </w:r>
      <w:r w:rsidR="007E5037" w:rsidRPr="007E5037">
        <w:t xml:space="preserve">understand </w:t>
      </w:r>
      <w:r w:rsidR="00364147">
        <w:t>that</w:t>
      </w:r>
      <w:r w:rsidR="007E5037" w:rsidRPr="007E5037">
        <w:t xml:space="preserve"> </w:t>
      </w:r>
      <w:r w:rsidR="00364147">
        <w:t xml:space="preserve">an </w:t>
      </w:r>
      <w:r w:rsidR="007E5037" w:rsidRPr="007E5037">
        <w:t xml:space="preserve">issuer </w:t>
      </w:r>
      <w:r w:rsidR="00364147">
        <w:t xml:space="preserve">is responsible for an asset’s qualification; however, this </w:t>
      </w:r>
      <w:r w:rsidR="007E5037" w:rsidRPr="007E5037">
        <w:t xml:space="preserve">may pose </w:t>
      </w:r>
      <w:r w:rsidR="00364147">
        <w:t>uncertainty</w:t>
      </w:r>
      <w:r w:rsidR="007E5037" w:rsidRPr="007E5037">
        <w:t xml:space="preserve"> in case a</w:t>
      </w:r>
      <w:r w:rsidR="00A45E6C" w:rsidRPr="00364147">
        <w:t xml:space="preserve"> participant </w:t>
      </w:r>
      <w:r w:rsidR="007E5037" w:rsidRPr="007E5037">
        <w:t>in the value</w:t>
      </w:r>
      <w:r w:rsidR="004B301A">
        <w:t>-</w:t>
      </w:r>
      <w:r w:rsidR="007E5037" w:rsidRPr="007E5037">
        <w:t xml:space="preserve">chain </w:t>
      </w:r>
      <w:r w:rsidR="00364147">
        <w:t>takes a different view or challenges the</w:t>
      </w:r>
      <w:r w:rsidR="007E5037" w:rsidRPr="007E5037">
        <w:t xml:space="preserve"> qualification. This may result in situations where an issuer qualifies the assets as </w:t>
      </w:r>
      <w:r w:rsidR="00364147">
        <w:t xml:space="preserve">a </w:t>
      </w:r>
      <w:r w:rsidR="007E5037" w:rsidRPr="007E5037">
        <w:t>MiFID instrument whereas a provider</w:t>
      </w:r>
      <w:r w:rsidR="00364147">
        <w:t xml:space="preserve"> or another participant</w:t>
      </w:r>
      <w:r w:rsidR="007E5037" w:rsidRPr="007E5037">
        <w:t xml:space="preserve"> considers that the asset </w:t>
      </w:r>
      <w:r w:rsidR="00364147">
        <w:t>should</w:t>
      </w:r>
      <w:r w:rsidR="007E5037" w:rsidRPr="007E5037">
        <w:t xml:space="preserve"> qualify as </w:t>
      </w:r>
      <w:r w:rsidR="00364147">
        <w:t xml:space="preserve">a </w:t>
      </w:r>
      <w:r w:rsidR="007E5037" w:rsidRPr="007E5037">
        <w:t xml:space="preserve">MiCA crypto-asset. </w:t>
      </w:r>
      <w:r w:rsidR="00364147">
        <w:t>A</w:t>
      </w:r>
      <w:r w:rsidR="007E5037" w:rsidRPr="007E5037">
        <w:t xml:space="preserve"> divergent analysis could </w:t>
      </w:r>
      <w:r w:rsidR="00364147">
        <w:t xml:space="preserve">negatively </w:t>
      </w:r>
      <w:r w:rsidR="007E5037" w:rsidRPr="007E5037">
        <w:t xml:space="preserve">expose both the issuer and a service provider to </w:t>
      </w:r>
      <w:r w:rsidR="00364147">
        <w:t xml:space="preserve">risks arising from the </w:t>
      </w:r>
      <w:r w:rsidR="007E5037" w:rsidRPr="007E5037">
        <w:t>qualification of the asset</w:t>
      </w:r>
      <w:r w:rsidR="00364147">
        <w:t xml:space="preserve">, the </w:t>
      </w:r>
      <w:r w:rsidR="007E5037" w:rsidRPr="007E5037">
        <w:t>licencing regime of the service providers</w:t>
      </w:r>
      <w:r w:rsidR="00364147">
        <w:t>, as well as potential prudential implications</w:t>
      </w:r>
      <w:r w:rsidR="007E5037" w:rsidRPr="007E5037">
        <w:t xml:space="preserve">. </w:t>
      </w:r>
    </w:p>
    <w:p w14:paraId="3C09ED6D" w14:textId="77777777" w:rsidR="00421845" w:rsidRDefault="00421845" w:rsidP="007E5037">
      <w:pPr>
        <w:pStyle w:val="Bullets1"/>
        <w:numPr>
          <w:ilvl w:val="0"/>
          <w:numId w:val="0"/>
        </w:numPr>
      </w:pPr>
    </w:p>
    <w:p w14:paraId="223991AA" w14:textId="5346172B" w:rsidR="007E5037" w:rsidRPr="00364147" w:rsidRDefault="00283EA5" w:rsidP="00223E9B">
      <w:pPr>
        <w:pStyle w:val="Bullets1"/>
        <w:numPr>
          <w:ilvl w:val="0"/>
          <w:numId w:val="0"/>
        </w:numPr>
        <w:jc w:val="both"/>
      </w:pPr>
      <w:r>
        <w:t>To further illustrate</w:t>
      </w:r>
      <w:r w:rsidR="007E5037" w:rsidRPr="007E5037">
        <w:t>,</w:t>
      </w:r>
      <w:r w:rsidR="00D67424" w:rsidRPr="00421845">
        <w:t xml:space="preserve"> </w:t>
      </w:r>
      <w:r w:rsidR="00A108E9" w:rsidRPr="00421845">
        <w:t xml:space="preserve">a </w:t>
      </w:r>
      <w:r w:rsidR="00D67424" w:rsidRPr="00421845">
        <w:t>CASP</w:t>
      </w:r>
      <w:r w:rsidR="00A108E9" w:rsidRPr="00421845">
        <w:t xml:space="preserve"> authorised under MiCA may initially offer services </w:t>
      </w:r>
      <w:r w:rsidR="002661BB" w:rsidRPr="00421845">
        <w:t xml:space="preserve">for crypto assets considered within the scope of MiCA. However, if the assets are later reclassified as financial instrument subject to MiFID, then the CASP could find itself dealing with MiFID instruments without the necessary licensing. This scenario would expose investors to </w:t>
      </w:r>
      <w:r w:rsidR="00421845" w:rsidRPr="00421845">
        <w:t xml:space="preserve">risks since the CASP, whilst compliant with MiCA, </w:t>
      </w:r>
      <w:r w:rsidR="00C16B1C">
        <w:t xml:space="preserve">neither has </w:t>
      </w:r>
      <w:r w:rsidR="00421845" w:rsidRPr="00421845">
        <w:t>the necessary authorisation to operate under MiFID</w:t>
      </w:r>
      <w:r w:rsidR="000E6B14">
        <w:t xml:space="preserve"> nor be prepared to fulfil</w:t>
      </w:r>
      <w:r w:rsidR="008C4BA4">
        <w:t xml:space="preserve"> the</w:t>
      </w:r>
      <w:r w:rsidR="000E6B14">
        <w:t xml:space="preserve"> different obligations</w:t>
      </w:r>
      <w:r w:rsidR="008C4BA4">
        <w:t xml:space="preserve"> between MiFID and MiCA</w:t>
      </w:r>
      <w:r w:rsidR="00421845" w:rsidRPr="00421845">
        <w:t>. The converse example could also apply:</w:t>
      </w:r>
      <w:r w:rsidR="00421845">
        <w:rPr>
          <w:rFonts w:ascii="Arial" w:eastAsiaTheme="minorEastAsia" w:hAnsi="Arial"/>
          <w:kern w:val="24"/>
        </w:rPr>
        <w:t xml:space="preserve"> </w:t>
      </w:r>
      <w:r w:rsidR="007E5037" w:rsidRPr="007E5037">
        <w:t xml:space="preserve">a service provider </w:t>
      </w:r>
      <w:r w:rsidR="00C16B1C">
        <w:t xml:space="preserve">that </w:t>
      </w:r>
      <w:r w:rsidR="007E5037" w:rsidRPr="007E5037">
        <w:t xml:space="preserve">does not have authorisation to act as </w:t>
      </w:r>
      <w:r w:rsidR="00364147">
        <w:t xml:space="preserve">a </w:t>
      </w:r>
      <w:r w:rsidR="007E5037" w:rsidRPr="007E5037">
        <w:t xml:space="preserve">CASP under MiCA could start to provide service </w:t>
      </w:r>
      <w:r w:rsidR="00C16B1C">
        <w:t xml:space="preserve">for </w:t>
      </w:r>
      <w:r w:rsidR="007E5037" w:rsidRPr="007E5037">
        <w:t xml:space="preserve">assets that are initially qualified as MiFID financial instrument but </w:t>
      </w:r>
      <w:r w:rsidR="003D6463">
        <w:t xml:space="preserve">re-categorised </w:t>
      </w:r>
      <w:r w:rsidR="007E5037" w:rsidRPr="007E5037">
        <w:t>as MiCA crypto-asset</w:t>
      </w:r>
      <w:r w:rsidR="003D6463">
        <w:t xml:space="preserve">s </w:t>
      </w:r>
      <w:r w:rsidR="007E5037" w:rsidRPr="007E5037">
        <w:t>or vice-versa</w:t>
      </w:r>
      <w:r w:rsidR="003D6463">
        <w:t xml:space="preserve"> during the lifecycle</w:t>
      </w:r>
      <w:r w:rsidR="007E5037" w:rsidRPr="007E5037">
        <w:t xml:space="preserve">. This </w:t>
      </w:r>
      <w:r w:rsidR="004B301A">
        <w:t xml:space="preserve">would lead to </w:t>
      </w:r>
      <w:r w:rsidR="007E5037" w:rsidRPr="007E5037">
        <w:t xml:space="preserve">risks for investors and for the service provider. </w:t>
      </w:r>
    </w:p>
    <w:p w14:paraId="223D5E4C" w14:textId="77777777" w:rsidR="007E5037" w:rsidRPr="007E5037" w:rsidRDefault="007E5037" w:rsidP="003D6463">
      <w:pPr>
        <w:pStyle w:val="Bullets1"/>
        <w:numPr>
          <w:ilvl w:val="0"/>
          <w:numId w:val="0"/>
        </w:numPr>
      </w:pPr>
    </w:p>
    <w:p w14:paraId="03CDF085" w14:textId="48245604" w:rsidR="007E5037" w:rsidRPr="00E7267D" w:rsidRDefault="003D6463" w:rsidP="00887704">
      <w:pPr>
        <w:spacing w:line="240" w:lineRule="auto"/>
        <w:contextualSpacing/>
        <w:jc w:val="both"/>
      </w:pPr>
      <w:r w:rsidRPr="003D6463">
        <w:t>As highlighted above, t</w:t>
      </w:r>
      <w:r w:rsidR="007E5037" w:rsidRPr="007E5037">
        <w:t>here is also a need to provide clarification on the number of features required to be captured by the definition of financial instrument.</w:t>
      </w:r>
      <w:r w:rsidR="007711BF">
        <w:t xml:space="preserve"> For example, </w:t>
      </w:r>
      <w:r w:rsidR="00283EA5">
        <w:t xml:space="preserve">ESMA should clarify that </w:t>
      </w:r>
      <w:r w:rsidR="007711BF">
        <w:t xml:space="preserve">the adoption of </w:t>
      </w:r>
      <w:r w:rsidR="00887704">
        <w:t>the proposed</w:t>
      </w:r>
      <w:r w:rsidR="007711BF">
        <w:t xml:space="preserve"> hierarchical approach is </w:t>
      </w:r>
      <w:r w:rsidR="00D0202F">
        <w:t xml:space="preserve">predicated on </w:t>
      </w:r>
      <w:r w:rsidR="00283EA5">
        <w:t>either certain or all of the</w:t>
      </w:r>
      <w:r w:rsidR="00D0202F">
        <w:t xml:space="preserve"> characteristics of a financial instrument being satisfied. </w:t>
      </w:r>
      <w:r w:rsidR="007E5037" w:rsidRPr="003D6463">
        <w:t xml:space="preserve">There is therefore a need to clarify these key notions to provide a higher level of </w:t>
      </w:r>
      <w:r>
        <w:t xml:space="preserve">regulatory </w:t>
      </w:r>
      <w:r w:rsidR="007E5037" w:rsidRPr="003D6463">
        <w:t xml:space="preserve">certainty on the qualification of </w:t>
      </w:r>
      <w:r>
        <w:t>these</w:t>
      </w:r>
      <w:r w:rsidR="007E5037" w:rsidRPr="003D6463">
        <w:t xml:space="preserve"> assets.</w:t>
      </w:r>
    </w:p>
    <w:p w14:paraId="509374B7" w14:textId="77777777" w:rsidR="007E5037" w:rsidRPr="00781FAD" w:rsidRDefault="007E5037" w:rsidP="007E5037">
      <w:pPr>
        <w:pStyle w:val="Bullets1"/>
        <w:numPr>
          <w:ilvl w:val="0"/>
          <w:numId w:val="0"/>
        </w:numPr>
      </w:pPr>
    </w:p>
    <w:p w14:paraId="47138968" w14:textId="77777777" w:rsidR="00DC0710" w:rsidRPr="00546E87" w:rsidRDefault="00DC0710" w:rsidP="00242D30">
      <w:pPr>
        <w:pStyle w:val="NormalBold"/>
      </w:pPr>
      <w:r w:rsidRPr="00546E87">
        <w:t>AFME Contacts</w:t>
      </w:r>
    </w:p>
    <w:p w14:paraId="538B239C" w14:textId="00A5510D" w:rsidR="0033522B" w:rsidRPr="00546E87" w:rsidRDefault="005A064A" w:rsidP="00622EC6">
      <w:r w:rsidRPr="00546E87">
        <w:t>Coco Chen</w:t>
      </w:r>
    </w:p>
    <w:p w14:paraId="1BE206CB" w14:textId="43D635E4" w:rsidR="00242D30" w:rsidRPr="005A064A" w:rsidRDefault="005A064A" w:rsidP="00622EC6">
      <w:r w:rsidRPr="005A064A">
        <w:t xml:space="preserve">Associate Director, Technology and </w:t>
      </w:r>
      <w:r>
        <w:t>Operations</w:t>
      </w:r>
      <w:r w:rsidR="00622EC6" w:rsidRPr="005A064A">
        <w:br/>
      </w:r>
      <w:hyperlink r:id="rId11" w:history="1">
        <w:r w:rsidR="00781FAD" w:rsidRPr="0077536A">
          <w:rPr>
            <w:rStyle w:val="Hyperlink"/>
          </w:rPr>
          <w:t>Coco.Chen@afme.eu</w:t>
        </w:r>
      </w:hyperlink>
      <w:r w:rsidR="00622EC6" w:rsidRPr="005A064A">
        <w:t xml:space="preserve"> </w:t>
      </w:r>
    </w:p>
    <w:p w14:paraId="5660F8B6" w14:textId="768B2A07" w:rsidR="007118F0" w:rsidRPr="005A064A" w:rsidRDefault="00242D30" w:rsidP="008121B5">
      <w:pPr>
        <w:rPr>
          <w:lang w:val="fr-FR"/>
        </w:rPr>
      </w:pPr>
      <w:r w:rsidRPr="005A064A">
        <w:rPr>
          <w:lang w:val="fr-FR"/>
        </w:rPr>
        <w:t xml:space="preserve">+44 (0)20 </w:t>
      </w:r>
      <w:r w:rsidR="00770CF8">
        <w:rPr>
          <w:lang w:val="fr-FR"/>
        </w:rPr>
        <w:t>3828 2749</w:t>
      </w:r>
    </w:p>
    <w:sectPr w:rsidR="007118F0" w:rsidRPr="005A064A" w:rsidSect="003B78EF">
      <w:footerReference w:type="even" r:id="rId12"/>
      <w:footerReference w:type="default" r:id="rId13"/>
      <w:headerReference w:type="first" r:id="rId14"/>
      <w:footerReference w:type="first" r:id="rId15"/>
      <w:pgSz w:w="11906" w:h="16838" w:code="9"/>
      <w:pgMar w:top="2268" w:right="851" w:bottom="1985"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56393" w14:textId="77777777" w:rsidR="003B78EF" w:rsidRDefault="003B78EF" w:rsidP="00C42475">
      <w:pPr>
        <w:spacing w:line="240" w:lineRule="auto"/>
      </w:pPr>
      <w:r>
        <w:separator/>
      </w:r>
    </w:p>
  </w:endnote>
  <w:endnote w:type="continuationSeparator" w:id="0">
    <w:p w14:paraId="75E0BEAB" w14:textId="77777777" w:rsidR="003B78EF" w:rsidRDefault="003B78EF" w:rsidP="00C42475">
      <w:pPr>
        <w:spacing w:line="240" w:lineRule="auto"/>
      </w:pPr>
      <w:r>
        <w:continuationSeparator/>
      </w:r>
    </w:p>
  </w:endnote>
  <w:endnote w:type="continuationNotice" w:id="1">
    <w:p w14:paraId="6DD38462" w14:textId="77777777" w:rsidR="003B78EF" w:rsidRDefault="003B78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9371C" w14:textId="2CFACFB2" w:rsidR="00D67424" w:rsidRDefault="00D67424">
    <w:pPr>
      <w:pStyle w:val="Footer"/>
    </w:pPr>
    <w:r>
      <w:rPr>
        <w:noProof/>
      </w:rPr>
      <mc:AlternateContent>
        <mc:Choice Requires="wps">
          <w:drawing>
            <wp:anchor distT="0" distB="0" distL="0" distR="0" simplePos="0" relativeHeight="251658243" behindDoc="0" locked="0" layoutInCell="1" allowOverlap="1" wp14:anchorId="2CFEAB31" wp14:editId="3E1C42F1">
              <wp:simplePos x="635" y="635"/>
              <wp:positionH relativeFrom="page">
                <wp:align>right</wp:align>
              </wp:positionH>
              <wp:positionV relativeFrom="page">
                <wp:align>bottom</wp:align>
              </wp:positionV>
              <wp:extent cx="443865" cy="443865"/>
              <wp:effectExtent l="0" t="0" r="0" b="0"/>
              <wp:wrapNone/>
              <wp:docPr id="2" name="Text Box 2"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6CC64" w14:textId="6F8BF889"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FEAB31" id="_x0000_t202" coordsize="21600,21600" o:spt="202" path="m,l,21600r21600,l21600,xe">
              <v:stroke joinstyle="miter"/>
              <v:path gradientshapeok="t" o:connecttype="rect"/>
            </v:shapetype>
            <v:shape id="Text Box 2" o:spid="_x0000_s1026" type="#_x0000_t202" alt="Classification : Confidential" style="position:absolute;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376CC64" w14:textId="6F8BF889"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697B" w14:textId="2145464F" w:rsidR="008564C7" w:rsidRPr="007422DC" w:rsidRDefault="00D67424" w:rsidP="007422DC">
    <w:pPr>
      <w:pStyle w:val="AFMEPagenumber"/>
      <w:rPr>
        <w:noProof/>
      </w:rPr>
    </w:pPr>
    <w:r>
      <w:rPr>
        <w:noProof/>
      </w:rPr>
      <mc:AlternateContent>
        <mc:Choice Requires="wps">
          <w:drawing>
            <wp:anchor distT="0" distB="0" distL="0" distR="0" simplePos="0" relativeHeight="251658244" behindDoc="0" locked="0" layoutInCell="1" allowOverlap="1" wp14:anchorId="79A716E4" wp14:editId="0DA658D1">
              <wp:simplePos x="542925" y="10020300"/>
              <wp:positionH relativeFrom="page">
                <wp:align>right</wp:align>
              </wp:positionH>
              <wp:positionV relativeFrom="page">
                <wp:align>bottom</wp:align>
              </wp:positionV>
              <wp:extent cx="443865" cy="443865"/>
              <wp:effectExtent l="0" t="0" r="0" b="0"/>
              <wp:wrapNone/>
              <wp:docPr id="5" name="Text Box 5"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2AF9E" w14:textId="1137F3BA"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A716E4" id="_x0000_t202" coordsize="21600,21600" o:spt="202" path="m,l,21600r21600,l21600,xe">
              <v:stroke joinstyle="miter"/>
              <v:path gradientshapeok="t" o:connecttype="rect"/>
            </v:shapetype>
            <v:shape id="Text Box 5" o:spid="_x0000_s1027" type="#_x0000_t202" alt="Classification : Confidential" style="position:absolute;left:0;text-align:left;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9A2AF9E" w14:textId="1137F3BA"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v:textbox>
              <w10:wrap anchorx="page" anchory="page"/>
            </v:shape>
          </w:pict>
        </mc:Fallback>
      </mc:AlternateContent>
    </w:r>
    <w:r w:rsidR="007422DC" w:rsidRPr="00D73F02">
      <w:rPr>
        <w:noProof/>
      </w:rPr>
      <w:drawing>
        <wp:anchor distT="0" distB="0" distL="114300" distR="114300" simplePos="0" relativeHeight="251658241" behindDoc="0" locked="0" layoutInCell="1" allowOverlap="1" wp14:anchorId="23AD9505" wp14:editId="553A9BB6">
          <wp:simplePos x="0" y="0"/>
          <wp:positionH relativeFrom="page">
            <wp:posOffset>6732905</wp:posOffset>
          </wp:positionH>
          <wp:positionV relativeFrom="page">
            <wp:posOffset>10009505</wp:posOffset>
          </wp:positionV>
          <wp:extent cx="101880" cy="14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ME_rgb_sla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80" cy="144000"/>
                  </a:xfrm>
                  <a:prstGeom prst="rect">
                    <a:avLst/>
                  </a:prstGeom>
                </pic:spPr>
              </pic:pic>
            </a:graphicData>
          </a:graphic>
          <wp14:sizeRelH relativeFrom="margin">
            <wp14:pctWidth>0</wp14:pctWidth>
          </wp14:sizeRelH>
          <wp14:sizeRelV relativeFrom="margin">
            <wp14:pctHeight>0</wp14:pctHeight>
          </wp14:sizeRelV>
        </wp:anchor>
      </w:drawing>
    </w:r>
    <w:r w:rsidR="007422DC">
      <w:fldChar w:fldCharType="begin"/>
    </w:r>
    <w:r w:rsidR="007422DC">
      <w:instrText xml:space="preserve"> PAGE   \* MERGEFORMAT </w:instrText>
    </w:r>
    <w:r w:rsidR="007422DC">
      <w:fldChar w:fldCharType="separate"/>
    </w:r>
    <w:r w:rsidR="00911A73">
      <w:rPr>
        <w:noProof/>
      </w:rPr>
      <w:t>2</w:t>
    </w:r>
    <w:r w:rsidR="007422D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9346B" w14:textId="1536E6E3" w:rsidR="007D69DF" w:rsidRPr="007D69DF" w:rsidRDefault="00D67424" w:rsidP="007F2BA5">
    <w:pPr>
      <w:pStyle w:val="FooterHeading"/>
      <w:rPr>
        <w:b w:val="0"/>
      </w:rPr>
    </w:pPr>
    <w:r>
      <w:rPr>
        <w:noProof/>
      </w:rPr>
      <mc:AlternateContent>
        <mc:Choice Requires="wps">
          <w:drawing>
            <wp:anchor distT="0" distB="0" distL="0" distR="0" simplePos="0" relativeHeight="251658242" behindDoc="0" locked="0" layoutInCell="1" allowOverlap="1" wp14:anchorId="7644517A" wp14:editId="100348A2">
              <wp:simplePos x="541020" y="9453880"/>
              <wp:positionH relativeFrom="page">
                <wp:align>right</wp:align>
              </wp:positionH>
              <wp:positionV relativeFrom="page">
                <wp:align>bottom</wp:align>
              </wp:positionV>
              <wp:extent cx="443865" cy="443865"/>
              <wp:effectExtent l="0" t="0" r="0" b="0"/>
              <wp:wrapNone/>
              <wp:docPr id="1" name="Text Box 1" descr="Classificatio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22088" w14:textId="7196EE46"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44517A" id="_x0000_t202" coordsize="21600,21600" o:spt="202" path="m,l,21600r21600,l21600,xe">
              <v:stroke joinstyle="miter"/>
              <v:path gradientshapeok="t" o:connecttype="rect"/>
            </v:shapetype>
            <v:shape id="Text Box 1" o:spid="_x0000_s1028" type="#_x0000_t202" alt="Classification : Confidential" style="position:absolute;margin-left:-16.25pt;margin-top:0;width:34.95pt;height:34.9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69B22088" w14:textId="7196EE46" w:rsidR="00D67424" w:rsidRPr="00D67424" w:rsidRDefault="00D67424" w:rsidP="00D67424">
                    <w:pPr>
                      <w:rPr>
                        <w:rFonts w:ascii="Calibri" w:hAnsi="Calibri" w:cs="Calibri"/>
                        <w:noProof/>
                        <w:color w:val="FF8C00"/>
                        <w:sz w:val="20"/>
                        <w:szCs w:val="20"/>
                      </w:rPr>
                    </w:pPr>
                    <w:r w:rsidRPr="00D67424">
                      <w:rPr>
                        <w:rFonts w:ascii="Calibri" w:hAnsi="Calibri" w:cs="Calibri"/>
                        <w:noProof/>
                        <w:color w:val="FF8C00"/>
                        <w:sz w:val="20"/>
                        <w:szCs w:val="20"/>
                      </w:rPr>
                      <w:t>Classification : Confidential</w:t>
                    </w:r>
                  </w:p>
                </w:txbxContent>
              </v:textbox>
              <w10:wrap anchorx="page" anchory="page"/>
            </v:shape>
          </w:pict>
        </mc:Fallback>
      </mc:AlternateContent>
    </w:r>
    <w:r w:rsidR="007D69DF" w:rsidRPr="007D69DF">
      <w:t>Association for Financial Markets in Europe</w:t>
    </w:r>
  </w:p>
  <w:p w14:paraId="381CAA17" w14:textId="77777777" w:rsidR="007D69DF" w:rsidRPr="00965EF7" w:rsidRDefault="007D69DF" w:rsidP="005935F7">
    <w:pPr>
      <w:pStyle w:val="FooterOffices"/>
    </w:pPr>
    <w:r w:rsidRPr="00C143AE">
      <w:rPr>
        <w:rFonts w:asciiTheme="majorHAnsi" w:hAnsiTheme="majorHAnsi" w:cstheme="majorHAnsi"/>
        <w:b/>
        <w:color w:val="808285" w:themeColor="accent5"/>
      </w:rPr>
      <w:t>London Office:</w:t>
    </w:r>
    <w:r w:rsidR="00474648" w:rsidRPr="00C143AE">
      <w:rPr>
        <w:rFonts w:asciiTheme="majorHAnsi" w:hAnsiTheme="majorHAnsi" w:cstheme="majorHAnsi"/>
      </w:rPr>
      <w:t xml:space="preserve"> </w:t>
    </w:r>
    <w:r w:rsidR="009E188A">
      <w:rPr>
        <w:rFonts w:asciiTheme="majorHAnsi" w:hAnsiTheme="majorHAnsi" w:cstheme="majorHAnsi"/>
      </w:rPr>
      <w:tab/>
    </w:r>
    <w:r w:rsidR="00B3364E" w:rsidRPr="00B3364E">
      <w:rPr>
        <w:rFonts w:cstheme="majorHAnsi"/>
      </w:rPr>
      <w:t>Level 10,</w:t>
    </w:r>
    <w:r w:rsidR="00B3364E">
      <w:rPr>
        <w:rFonts w:asciiTheme="majorHAnsi" w:hAnsiTheme="majorHAnsi" w:cstheme="majorHAnsi"/>
      </w:rPr>
      <w:t xml:space="preserve"> </w:t>
    </w:r>
    <w:r w:rsidR="001D32D8" w:rsidRPr="001D32D8">
      <w:t>20 Churchill Place, London E14 5</w:t>
    </w:r>
    <w:r w:rsidR="000C5FE3">
      <w:t>HJ</w:t>
    </w:r>
    <w:r w:rsidR="00474648">
      <w:t>, United Kingdom</w:t>
    </w:r>
    <w:r w:rsidR="0072211A">
      <w:t xml:space="preserve"> </w:t>
    </w:r>
    <w:r w:rsidR="00474648">
      <w:t xml:space="preserve"> T: +44 (0)20 3828 2700</w:t>
    </w:r>
  </w:p>
  <w:p w14:paraId="3EB5F731" w14:textId="77777777" w:rsidR="00C03D6B" w:rsidRPr="00462FDC" w:rsidRDefault="00C03D6B" w:rsidP="00C03D6B">
    <w:pPr>
      <w:pStyle w:val="FooterOffices"/>
      <w:rPr>
        <w:lang w:val="fr-FR"/>
      </w:rPr>
    </w:pPr>
    <w:r w:rsidRPr="00462FDC">
      <w:rPr>
        <w:rFonts w:asciiTheme="majorHAnsi" w:hAnsiTheme="majorHAnsi" w:cstheme="majorHAnsi"/>
        <w:b/>
        <w:color w:val="808285" w:themeColor="accent5"/>
        <w:lang w:val="fr-FR"/>
      </w:rPr>
      <w:t>Brussels Office:</w:t>
    </w:r>
    <w:r w:rsidRPr="00462FDC">
      <w:rPr>
        <w:rFonts w:asciiTheme="majorHAnsi" w:hAnsiTheme="majorHAnsi" w:cstheme="majorHAnsi"/>
        <w:lang w:val="fr-FR"/>
      </w:rPr>
      <w:t xml:space="preserve"> </w:t>
    </w:r>
    <w:r w:rsidRPr="00462FDC">
      <w:rPr>
        <w:rFonts w:asciiTheme="majorHAnsi" w:hAnsiTheme="majorHAnsi" w:cstheme="majorHAnsi"/>
        <w:lang w:val="fr-FR"/>
      </w:rPr>
      <w:tab/>
    </w:r>
    <w:r w:rsidRPr="00462FDC">
      <w:rPr>
        <w:lang w:val="fr-FR"/>
      </w:rPr>
      <w:t xml:space="preserve">Rue de la Loi 82, 1040 Brussels, </w:t>
    </w:r>
    <w:proofErr w:type="spellStart"/>
    <w:r w:rsidRPr="00462FDC">
      <w:rPr>
        <w:lang w:val="fr-FR"/>
      </w:rPr>
      <w:t>Belgium</w:t>
    </w:r>
    <w:proofErr w:type="spellEnd"/>
    <w:r w:rsidR="003D592E">
      <w:rPr>
        <w:lang w:val="fr-FR"/>
      </w:rPr>
      <w:t xml:space="preserve"> </w:t>
    </w:r>
    <w:r w:rsidRPr="00462FDC">
      <w:rPr>
        <w:lang w:val="fr-FR"/>
      </w:rPr>
      <w:t xml:space="preserve">T: +32 (0)2 </w:t>
    </w:r>
    <w:r w:rsidRPr="0037510E">
      <w:rPr>
        <w:lang w:val="fr-FR"/>
      </w:rPr>
      <w:t>883</w:t>
    </w:r>
    <w:r>
      <w:rPr>
        <w:lang w:val="fr-FR"/>
      </w:rPr>
      <w:t xml:space="preserve"> </w:t>
    </w:r>
    <w:r w:rsidRPr="0037510E">
      <w:rPr>
        <w:lang w:val="fr-FR"/>
      </w:rPr>
      <w:t>5540</w:t>
    </w:r>
    <w:r w:rsidRPr="00462FDC">
      <w:rPr>
        <w:lang w:val="fr-FR"/>
      </w:rPr>
      <w:t xml:space="preserve"> </w:t>
    </w:r>
  </w:p>
  <w:p w14:paraId="65D8ED89" w14:textId="77777777" w:rsidR="003B15C6" w:rsidRPr="00642CC0" w:rsidRDefault="00C03D6B" w:rsidP="00C03D6B">
    <w:pPr>
      <w:pStyle w:val="FooterOffices"/>
      <w:rPr>
        <w:lang w:val="de-DE"/>
      </w:rPr>
    </w:pPr>
    <w:r w:rsidRPr="00462FDC">
      <w:rPr>
        <w:rFonts w:asciiTheme="majorHAnsi" w:hAnsiTheme="majorHAnsi" w:cstheme="majorHAnsi"/>
        <w:b/>
        <w:color w:val="808285" w:themeColor="accent5"/>
        <w:lang w:val="de-DE"/>
      </w:rPr>
      <w:t>Frankfurt Office:</w:t>
    </w:r>
    <w:r w:rsidRPr="00462FDC">
      <w:rPr>
        <w:lang w:val="de-DE"/>
      </w:rPr>
      <w:t xml:space="preserve"> </w:t>
    </w:r>
    <w:r w:rsidR="0020769F" w:rsidRPr="00D948F6">
      <w:rPr>
        <w:lang w:val="de-DE"/>
      </w:rPr>
      <w:t>WorkRepublic, Zeil 127, 60313 Frankfurt am Main</w:t>
    </w:r>
    <w:r w:rsidR="0020769F">
      <w:rPr>
        <w:lang w:val="de-DE"/>
      </w:rPr>
      <w:t>, Germany</w:t>
    </w:r>
    <w:r w:rsidR="0020769F" w:rsidRPr="00462FDC">
      <w:rPr>
        <w:lang w:val="de-DE"/>
      </w:rPr>
      <w:t xml:space="preserve"> T:+ 49 (0)69 </w:t>
    </w:r>
    <w:r w:rsidR="0020769F" w:rsidRPr="0037510E">
      <w:rPr>
        <w:lang w:val="de-DE"/>
      </w:rPr>
      <w:t>710</w:t>
    </w:r>
    <w:r w:rsidR="0020769F">
      <w:rPr>
        <w:lang w:val="de-DE"/>
      </w:rPr>
      <w:t xml:space="preserve"> </w:t>
    </w:r>
    <w:r w:rsidR="0020769F" w:rsidRPr="0037510E">
      <w:rPr>
        <w:lang w:val="de-DE"/>
      </w:rPr>
      <w:t>456</w:t>
    </w:r>
    <w:r w:rsidR="0020769F">
      <w:rPr>
        <w:lang w:val="de-DE"/>
      </w:rPr>
      <w:t xml:space="preserve"> </w:t>
    </w:r>
    <w:r w:rsidR="0020769F" w:rsidRPr="0037510E">
      <w:rPr>
        <w:lang w:val="de-DE"/>
      </w:rPr>
      <w:t>660</w:t>
    </w:r>
  </w:p>
  <w:p w14:paraId="4E1D9FB3" w14:textId="77777777" w:rsidR="00474648" w:rsidRPr="00541E1B" w:rsidRDefault="00C143AE" w:rsidP="00C143AE">
    <w:pPr>
      <w:pStyle w:val="FooterHeading"/>
      <w:rPr>
        <w:lang w:val="de-DE"/>
      </w:rPr>
    </w:pPr>
    <w:r w:rsidRPr="00541E1B">
      <w:rPr>
        <w:lang w:val="de-DE"/>
      </w:rPr>
      <w:t>www.afme.eu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B6F37" w14:textId="77777777" w:rsidR="003B78EF" w:rsidRPr="00FB1672" w:rsidRDefault="003B78EF" w:rsidP="00C42475">
      <w:pPr>
        <w:spacing w:line="240" w:lineRule="auto"/>
        <w:rPr>
          <w:color w:val="78A22F" w:themeColor="accent1"/>
        </w:rPr>
      </w:pPr>
      <w:r w:rsidRPr="00FB1672">
        <w:rPr>
          <w:color w:val="78A22F" w:themeColor="accent1"/>
        </w:rPr>
        <w:separator/>
      </w:r>
    </w:p>
  </w:footnote>
  <w:footnote w:type="continuationSeparator" w:id="0">
    <w:p w14:paraId="69366A7B" w14:textId="77777777" w:rsidR="003B78EF" w:rsidRDefault="003B78EF" w:rsidP="00C42475">
      <w:pPr>
        <w:spacing w:line="240" w:lineRule="auto"/>
      </w:pPr>
      <w:r>
        <w:continuationSeparator/>
      </w:r>
    </w:p>
  </w:footnote>
  <w:footnote w:type="continuationNotice" w:id="1">
    <w:p w14:paraId="7A1D71D8" w14:textId="77777777" w:rsidR="003B78EF" w:rsidRDefault="003B78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EE4DC" w14:textId="77777777" w:rsidR="00F93E16" w:rsidRDefault="0072211A" w:rsidP="007422DC">
    <w:pPr>
      <w:pStyle w:val="AFMEFullName"/>
    </w:pPr>
    <w:r>
      <w:drawing>
        <wp:anchor distT="0" distB="0" distL="114300" distR="114300" simplePos="0" relativeHeight="251658240" behindDoc="0" locked="0" layoutInCell="1" allowOverlap="1" wp14:anchorId="4474661D" wp14:editId="407E4DF0">
          <wp:simplePos x="0" y="0"/>
          <wp:positionH relativeFrom="margin">
            <wp:align>left</wp:align>
          </wp:positionH>
          <wp:positionV relativeFrom="page">
            <wp:posOffset>540385</wp:posOffset>
          </wp:positionV>
          <wp:extent cx="1439545" cy="5632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640" cy="5637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22DC" w:rsidRPr="00BA7875">
      <w:t>Association for Financial Markets in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10B9"/>
    <w:multiLevelType w:val="multilevel"/>
    <w:tmpl w:val="023E8784"/>
    <w:styleLink w:val="AFMEBullets"/>
    <w:lvl w:ilvl="0">
      <w:start w:val="1"/>
      <w:numFmt w:val="bullet"/>
      <w:pStyle w:val="Bullets1"/>
      <w:lvlText w:val=""/>
      <w:lvlJc w:val="left"/>
      <w:pPr>
        <w:tabs>
          <w:tab w:val="num" w:pos="284"/>
        </w:tabs>
        <w:ind w:left="284" w:hanging="284"/>
      </w:pPr>
      <w:rPr>
        <w:rFonts w:ascii="Symbol" w:hAnsi="Symbol" w:hint="default"/>
        <w:color w:val="78A22F" w:themeColor="accent1"/>
      </w:rPr>
    </w:lvl>
    <w:lvl w:ilvl="1">
      <w:start w:val="1"/>
      <w:numFmt w:val="bullet"/>
      <w:pStyle w:val="Bullets2"/>
      <w:lvlText w:val=""/>
      <w:lvlJc w:val="left"/>
      <w:pPr>
        <w:tabs>
          <w:tab w:val="num" w:pos="567"/>
        </w:tabs>
        <w:ind w:left="567" w:hanging="283"/>
      </w:pPr>
      <w:rPr>
        <w:rFonts w:ascii="Symbol" w:hAnsi="Symbol" w:hint="default"/>
        <w:color w:val="58595B" w:themeColor="accent6"/>
      </w:rPr>
    </w:lvl>
    <w:lvl w:ilvl="2">
      <w:start w:val="1"/>
      <w:numFmt w:val="bullet"/>
      <w:pStyle w:val="Bullets3"/>
      <w:lvlText w:val=""/>
      <w:lvlJc w:val="left"/>
      <w:pPr>
        <w:tabs>
          <w:tab w:val="num" w:pos="851"/>
        </w:tabs>
        <w:ind w:left="851" w:hanging="284"/>
      </w:pPr>
      <w:rPr>
        <w:rFonts w:ascii="Symbol" w:hAnsi="Symbol" w:hint="default"/>
        <w:color w:val="C9DAAC" w:themeColor="accent2"/>
      </w:rPr>
    </w:lvl>
    <w:lvl w:ilvl="3">
      <w:start w:val="1"/>
      <w:numFmt w:val="bullet"/>
      <w:lvlText w:val=""/>
      <w:lvlJc w:val="left"/>
      <w:pPr>
        <w:tabs>
          <w:tab w:val="num" w:pos="1134"/>
        </w:tabs>
        <w:ind w:left="1134" w:hanging="283"/>
      </w:pPr>
      <w:rPr>
        <w:rFonts w:ascii="Symbol" w:hAnsi="Symbol" w:hint="default"/>
        <w:color w:val="CFD0D2" w:themeColor="accent3"/>
      </w:rPr>
    </w:lvl>
    <w:lvl w:ilvl="4">
      <w:start w:val="1"/>
      <w:numFmt w:val="bullet"/>
      <w:lvlText w:val=""/>
      <w:lvlJc w:val="left"/>
      <w:pPr>
        <w:tabs>
          <w:tab w:val="num" w:pos="1418"/>
        </w:tabs>
        <w:ind w:left="1418" w:hanging="284"/>
      </w:pPr>
      <w:rPr>
        <w:rFonts w:ascii="Symbol" w:hAnsi="Symbol" w:hint="default"/>
        <w:color w:val="808285" w:themeColor="accent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18D227F"/>
    <w:multiLevelType w:val="multilevel"/>
    <w:tmpl w:val="1778BEA0"/>
    <w:styleLink w:val="AFMENumbering"/>
    <w:lvl w:ilvl="0">
      <w:start w:val="1"/>
      <w:numFmt w:val="none"/>
      <w:pStyle w:val="TOCHeading"/>
      <w:suff w:val="nothing"/>
      <w:lvlText w:val=""/>
      <w:lvlJc w:val="left"/>
      <w:pPr>
        <w:ind w:left="0" w:firstLine="0"/>
      </w:pPr>
      <w:rPr>
        <w:rFonts w:hint="default"/>
      </w:rPr>
    </w:lvl>
    <w:lvl w:ilvl="1">
      <w:start w:val="1"/>
      <w:numFmt w:val="decimal"/>
      <w:lvlRestart w:val="0"/>
      <w:pStyle w:val="Level1"/>
      <w:lvlText w:val="%2"/>
      <w:lvlJc w:val="left"/>
      <w:pPr>
        <w:tabs>
          <w:tab w:val="num" w:pos="567"/>
        </w:tabs>
        <w:ind w:left="567" w:hanging="567"/>
      </w:pPr>
      <w:rPr>
        <w:rFonts w:hint="default"/>
      </w:rPr>
    </w:lvl>
    <w:lvl w:ilvl="2">
      <w:start w:val="1"/>
      <w:numFmt w:val="decimal"/>
      <w:pStyle w:val="Level2"/>
      <w:lvlText w:val="%2.%3"/>
      <w:lvlJc w:val="left"/>
      <w:pPr>
        <w:tabs>
          <w:tab w:val="num" w:pos="567"/>
        </w:tabs>
        <w:ind w:left="567" w:hanging="567"/>
      </w:pPr>
      <w:rPr>
        <w:rFonts w:hint="default"/>
      </w:rPr>
    </w:lvl>
    <w:lvl w:ilvl="3">
      <w:start w:val="1"/>
      <w:numFmt w:val="lowerLetter"/>
      <w:pStyle w:val="Level3"/>
      <w:lvlText w:val="%4)"/>
      <w:lvlJc w:val="left"/>
      <w:pPr>
        <w:tabs>
          <w:tab w:val="num" w:pos="567"/>
        </w:tabs>
        <w:ind w:left="567" w:hanging="567"/>
      </w:pPr>
      <w:rPr>
        <w:rFonts w:hint="default"/>
      </w:rPr>
    </w:lvl>
    <w:lvl w:ilvl="4">
      <w:start w:val="1"/>
      <w:numFmt w:val="lowerRoman"/>
      <w:pStyle w:val="Level4"/>
      <w:lvlText w:val="%5."/>
      <w:lvlJc w:val="left"/>
      <w:pPr>
        <w:tabs>
          <w:tab w:val="num" w:pos="567"/>
        </w:tabs>
        <w:ind w:left="567" w:hanging="567"/>
      </w:pPr>
      <w:rPr>
        <w:rFonts w:hint="default"/>
      </w:rPr>
    </w:lvl>
    <w:lvl w:ilvl="5">
      <w:start w:val="1"/>
      <w:numFmt w:val="lowerLetter"/>
      <w:pStyle w:val="Level5"/>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1F09B6"/>
    <w:multiLevelType w:val="hybridMultilevel"/>
    <w:tmpl w:val="9AD09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C1CEA"/>
    <w:multiLevelType w:val="multilevel"/>
    <w:tmpl w:val="023E8784"/>
    <w:numStyleLink w:val="AFMEBullets"/>
  </w:abstractNum>
  <w:abstractNum w:abstractNumId="4" w15:restartNumberingAfterBreak="0">
    <w:nsid w:val="4ECD521C"/>
    <w:multiLevelType w:val="hybridMultilevel"/>
    <w:tmpl w:val="62EC6E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81AB1"/>
    <w:multiLevelType w:val="multilevel"/>
    <w:tmpl w:val="1778BEA0"/>
    <w:numStyleLink w:val="AFMENumbering"/>
  </w:abstractNum>
  <w:abstractNum w:abstractNumId="6" w15:restartNumberingAfterBreak="0">
    <w:nsid w:val="6F7357F5"/>
    <w:multiLevelType w:val="hybridMultilevel"/>
    <w:tmpl w:val="3D86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245A87"/>
    <w:multiLevelType w:val="multilevel"/>
    <w:tmpl w:val="7254854C"/>
    <w:styleLink w:val="Sources"/>
    <w:lvl w:ilvl="0">
      <w:start w:val="1"/>
      <w:numFmt w:val="none"/>
      <w:pStyle w:val="Source"/>
      <w:suff w:val="space"/>
      <w:lvlText w:val="Source:"/>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1636000">
    <w:abstractNumId w:val="1"/>
  </w:num>
  <w:num w:numId="2" w16cid:durableId="1805387485">
    <w:abstractNumId w:val="0"/>
  </w:num>
  <w:num w:numId="3" w16cid:durableId="158271134">
    <w:abstractNumId w:val="7"/>
  </w:num>
  <w:num w:numId="4" w16cid:durableId="1482111077">
    <w:abstractNumId w:val="5"/>
  </w:num>
  <w:num w:numId="5" w16cid:durableId="1670020196">
    <w:abstractNumId w:val="3"/>
  </w:num>
  <w:num w:numId="6" w16cid:durableId="1419399005">
    <w:abstractNumId w:val="6"/>
  </w:num>
  <w:num w:numId="7" w16cid:durableId="321667994">
    <w:abstractNumId w:val="2"/>
  </w:num>
  <w:num w:numId="8" w16cid:durableId="128134161">
    <w:abstractNumId w:val="4"/>
  </w:num>
  <w:num w:numId="9" w16cid:durableId="34520786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sjS2tDAytjC2NDJQ0lEKTi0uzszPAykwrQUAcgGySiwAAAA="/>
  </w:docVars>
  <w:rsids>
    <w:rsidRoot w:val="009C28AF"/>
    <w:rsid w:val="000007D2"/>
    <w:rsid w:val="000042A9"/>
    <w:rsid w:val="000060A2"/>
    <w:rsid w:val="00011E9B"/>
    <w:rsid w:val="000132BA"/>
    <w:rsid w:val="00013DDD"/>
    <w:rsid w:val="000200E8"/>
    <w:rsid w:val="00021379"/>
    <w:rsid w:val="00026584"/>
    <w:rsid w:val="0003294A"/>
    <w:rsid w:val="000329F2"/>
    <w:rsid w:val="00037830"/>
    <w:rsid w:val="0004510F"/>
    <w:rsid w:val="00050B61"/>
    <w:rsid w:val="00050E2D"/>
    <w:rsid w:val="00051E42"/>
    <w:rsid w:val="00053ABA"/>
    <w:rsid w:val="000557D0"/>
    <w:rsid w:val="000579A1"/>
    <w:rsid w:val="00064873"/>
    <w:rsid w:val="0007249D"/>
    <w:rsid w:val="000730A8"/>
    <w:rsid w:val="00074C07"/>
    <w:rsid w:val="00080E67"/>
    <w:rsid w:val="00081B2A"/>
    <w:rsid w:val="000832A1"/>
    <w:rsid w:val="00083A63"/>
    <w:rsid w:val="000850F1"/>
    <w:rsid w:val="000924F1"/>
    <w:rsid w:val="00092670"/>
    <w:rsid w:val="00092B1A"/>
    <w:rsid w:val="00093CA5"/>
    <w:rsid w:val="00093CE7"/>
    <w:rsid w:val="0009491F"/>
    <w:rsid w:val="0009515A"/>
    <w:rsid w:val="00096486"/>
    <w:rsid w:val="00097266"/>
    <w:rsid w:val="000A4E10"/>
    <w:rsid w:val="000A7EE6"/>
    <w:rsid w:val="000B1C73"/>
    <w:rsid w:val="000B512A"/>
    <w:rsid w:val="000C380A"/>
    <w:rsid w:val="000C5FE3"/>
    <w:rsid w:val="000C6FC3"/>
    <w:rsid w:val="000D4BB3"/>
    <w:rsid w:val="000D52FE"/>
    <w:rsid w:val="000D63F1"/>
    <w:rsid w:val="000D7561"/>
    <w:rsid w:val="000D7ECB"/>
    <w:rsid w:val="000E086F"/>
    <w:rsid w:val="000E66DE"/>
    <w:rsid w:val="000E6B14"/>
    <w:rsid w:val="000E712B"/>
    <w:rsid w:val="000F6737"/>
    <w:rsid w:val="000F7DBB"/>
    <w:rsid w:val="0010197E"/>
    <w:rsid w:val="001052FF"/>
    <w:rsid w:val="00107018"/>
    <w:rsid w:val="00107C6D"/>
    <w:rsid w:val="00110178"/>
    <w:rsid w:val="001175C6"/>
    <w:rsid w:val="00117BC1"/>
    <w:rsid w:val="00120ED2"/>
    <w:rsid w:val="00124D4C"/>
    <w:rsid w:val="0012608A"/>
    <w:rsid w:val="00130312"/>
    <w:rsid w:val="00131E46"/>
    <w:rsid w:val="0013202B"/>
    <w:rsid w:val="001347DA"/>
    <w:rsid w:val="0013550A"/>
    <w:rsid w:val="0013576E"/>
    <w:rsid w:val="00142687"/>
    <w:rsid w:val="00143B4F"/>
    <w:rsid w:val="0014486A"/>
    <w:rsid w:val="00146014"/>
    <w:rsid w:val="001502C1"/>
    <w:rsid w:val="001502E5"/>
    <w:rsid w:val="00152AF1"/>
    <w:rsid w:val="001531CA"/>
    <w:rsid w:val="00153470"/>
    <w:rsid w:val="001542B1"/>
    <w:rsid w:val="00160FB1"/>
    <w:rsid w:val="00163D9A"/>
    <w:rsid w:val="00166F9A"/>
    <w:rsid w:val="001738A5"/>
    <w:rsid w:val="001820EE"/>
    <w:rsid w:val="00187D34"/>
    <w:rsid w:val="00191F50"/>
    <w:rsid w:val="00191FC0"/>
    <w:rsid w:val="00197A38"/>
    <w:rsid w:val="001A0936"/>
    <w:rsid w:val="001A3946"/>
    <w:rsid w:val="001A4258"/>
    <w:rsid w:val="001A60F8"/>
    <w:rsid w:val="001B0434"/>
    <w:rsid w:val="001B3EE7"/>
    <w:rsid w:val="001B4416"/>
    <w:rsid w:val="001B4C71"/>
    <w:rsid w:val="001B7F6A"/>
    <w:rsid w:val="001C5CA7"/>
    <w:rsid w:val="001C7CDB"/>
    <w:rsid w:val="001D05B9"/>
    <w:rsid w:val="001D08E3"/>
    <w:rsid w:val="001D3015"/>
    <w:rsid w:val="001D32D8"/>
    <w:rsid w:val="001D6191"/>
    <w:rsid w:val="001D7E1E"/>
    <w:rsid w:val="001E2604"/>
    <w:rsid w:val="001E635B"/>
    <w:rsid w:val="001F7FDB"/>
    <w:rsid w:val="0020769F"/>
    <w:rsid w:val="00207CF3"/>
    <w:rsid w:val="002114F6"/>
    <w:rsid w:val="00213F17"/>
    <w:rsid w:val="002157B8"/>
    <w:rsid w:val="00217665"/>
    <w:rsid w:val="00223E9B"/>
    <w:rsid w:val="00225EB0"/>
    <w:rsid w:val="0023030C"/>
    <w:rsid w:val="00233EF8"/>
    <w:rsid w:val="00236430"/>
    <w:rsid w:val="00240A2F"/>
    <w:rsid w:val="002427CE"/>
    <w:rsid w:val="00242D30"/>
    <w:rsid w:val="00242ECD"/>
    <w:rsid w:val="00252185"/>
    <w:rsid w:val="0026244A"/>
    <w:rsid w:val="00262710"/>
    <w:rsid w:val="002630BD"/>
    <w:rsid w:val="0026352C"/>
    <w:rsid w:val="00264436"/>
    <w:rsid w:val="002644AB"/>
    <w:rsid w:val="002660E9"/>
    <w:rsid w:val="002661BB"/>
    <w:rsid w:val="0026706D"/>
    <w:rsid w:val="00271448"/>
    <w:rsid w:val="002729F8"/>
    <w:rsid w:val="002735A4"/>
    <w:rsid w:val="00273846"/>
    <w:rsid w:val="00273C1A"/>
    <w:rsid w:val="00273F8E"/>
    <w:rsid w:val="00277BBE"/>
    <w:rsid w:val="00282272"/>
    <w:rsid w:val="00283EA5"/>
    <w:rsid w:val="002844ED"/>
    <w:rsid w:val="00284DB2"/>
    <w:rsid w:val="002853A4"/>
    <w:rsid w:val="002859C7"/>
    <w:rsid w:val="00285EED"/>
    <w:rsid w:val="00286953"/>
    <w:rsid w:val="002926E4"/>
    <w:rsid w:val="00295499"/>
    <w:rsid w:val="00297752"/>
    <w:rsid w:val="002A11C1"/>
    <w:rsid w:val="002A24C4"/>
    <w:rsid w:val="002A3069"/>
    <w:rsid w:val="002A3E78"/>
    <w:rsid w:val="002A46F3"/>
    <w:rsid w:val="002A4F9C"/>
    <w:rsid w:val="002A5285"/>
    <w:rsid w:val="002A6AAB"/>
    <w:rsid w:val="002B56A1"/>
    <w:rsid w:val="002C2749"/>
    <w:rsid w:val="002C74AD"/>
    <w:rsid w:val="002D19A8"/>
    <w:rsid w:val="002D7AF3"/>
    <w:rsid w:val="002E0E89"/>
    <w:rsid w:val="002F69DA"/>
    <w:rsid w:val="00301C0A"/>
    <w:rsid w:val="00302D9D"/>
    <w:rsid w:val="003049D0"/>
    <w:rsid w:val="00304D57"/>
    <w:rsid w:val="00307BB2"/>
    <w:rsid w:val="00316820"/>
    <w:rsid w:val="003227A2"/>
    <w:rsid w:val="00326C83"/>
    <w:rsid w:val="00326D20"/>
    <w:rsid w:val="00326D33"/>
    <w:rsid w:val="00327491"/>
    <w:rsid w:val="00331058"/>
    <w:rsid w:val="00333AFE"/>
    <w:rsid w:val="0033522B"/>
    <w:rsid w:val="00336BC9"/>
    <w:rsid w:val="00340618"/>
    <w:rsid w:val="00341E95"/>
    <w:rsid w:val="00342401"/>
    <w:rsid w:val="003433CB"/>
    <w:rsid w:val="003459B1"/>
    <w:rsid w:val="0034666D"/>
    <w:rsid w:val="00347D48"/>
    <w:rsid w:val="00350671"/>
    <w:rsid w:val="003508D9"/>
    <w:rsid w:val="00352CB7"/>
    <w:rsid w:val="00353215"/>
    <w:rsid w:val="00354882"/>
    <w:rsid w:val="003618DD"/>
    <w:rsid w:val="00364147"/>
    <w:rsid w:val="00365D44"/>
    <w:rsid w:val="003676FA"/>
    <w:rsid w:val="00372139"/>
    <w:rsid w:val="00373853"/>
    <w:rsid w:val="00381BD3"/>
    <w:rsid w:val="00381FB1"/>
    <w:rsid w:val="0038315E"/>
    <w:rsid w:val="003844DE"/>
    <w:rsid w:val="003861E8"/>
    <w:rsid w:val="003869CC"/>
    <w:rsid w:val="00394D9E"/>
    <w:rsid w:val="003A07D6"/>
    <w:rsid w:val="003A1804"/>
    <w:rsid w:val="003A1E7F"/>
    <w:rsid w:val="003A5290"/>
    <w:rsid w:val="003A60B2"/>
    <w:rsid w:val="003B15C6"/>
    <w:rsid w:val="003B2776"/>
    <w:rsid w:val="003B3043"/>
    <w:rsid w:val="003B3FCB"/>
    <w:rsid w:val="003B4390"/>
    <w:rsid w:val="003B4A16"/>
    <w:rsid w:val="003B5287"/>
    <w:rsid w:val="003B5A9B"/>
    <w:rsid w:val="003B78EF"/>
    <w:rsid w:val="003C01F6"/>
    <w:rsid w:val="003C77F2"/>
    <w:rsid w:val="003C7DBB"/>
    <w:rsid w:val="003D19AD"/>
    <w:rsid w:val="003D2374"/>
    <w:rsid w:val="003D3804"/>
    <w:rsid w:val="003D438C"/>
    <w:rsid w:val="003D592E"/>
    <w:rsid w:val="003D6463"/>
    <w:rsid w:val="003D7097"/>
    <w:rsid w:val="003D71AF"/>
    <w:rsid w:val="003E011E"/>
    <w:rsid w:val="003E327F"/>
    <w:rsid w:val="003E411D"/>
    <w:rsid w:val="003E49F4"/>
    <w:rsid w:val="003E6654"/>
    <w:rsid w:val="003F1F9B"/>
    <w:rsid w:val="004053E0"/>
    <w:rsid w:val="00406103"/>
    <w:rsid w:val="0041070D"/>
    <w:rsid w:val="00415FB3"/>
    <w:rsid w:val="00416FC6"/>
    <w:rsid w:val="00421845"/>
    <w:rsid w:val="00421D98"/>
    <w:rsid w:val="004340F4"/>
    <w:rsid w:val="0043684F"/>
    <w:rsid w:val="0044490B"/>
    <w:rsid w:val="00444D80"/>
    <w:rsid w:val="00446763"/>
    <w:rsid w:val="00447DB0"/>
    <w:rsid w:val="00453736"/>
    <w:rsid w:val="004561FC"/>
    <w:rsid w:val="00456567"/>
    <w:rsid w:val="004669FF"/>
    <w:rsid w:val="00471976"/>
    <w:rsid w:val="00473614"/>
    <w:rsid w:val="00474648"/>
    <w:rsid w:val="0048147B"/>
    <w:rsid w:val="00496840"/>
    <w:rsid w:val="00496915"/>
    <w:rsid w:val="0049695C"/>
    <w:rsid w:val="004A4206"/>
    <w:rsid w:val="004A54E6"/>
    <w:rsid w:val="004A7C07"/>
    <w:rsid w:val="004B301A"/>
    <w:rsid w:val="004B59A7"/>
    <w:rsid w:val="004C3FCC"/>
    <w:rsid w:val="004D1D7D"/>
    <w:rsid w:val="004D4296"/>
    <w:rsid w:val="004E0890"/>
    <w:rsid w:val="004E730E"/>
    <w:rsid w:val="004F3B90"/>
    <w:rsid w:val="004F566E"/>
    <w:rsid w:val="00507A22"/>
    <w:rsid w:val="00507CF7"/>
    <w:rsid w:val="00513FDE"/>
    <w:rsid w:val="005141F5"/>
    <w:rsid w:val="00514CC6"/>
    <w:rsid w:val="00516BDC"/>
    <w:rsid w:val="005215BC"/>
    <w:rsid w:val="00523851"/>
    <w:rsid w:val="0052532E"/>
    <w:rsid w:val="00525C9C"/>
    <w:rsid w:val="005308D8"/>
    <w:rsid w:val="00534CF8"/>
    <w:rsid w:val="005351A2"/>
    <w:rsid w:val="00535AF3"/>
    <w:rsid w:val="005362A5"/>
    <w:rsid w:val="00541E1B"/>
    <w:rsid w:val="00542B6F"/>
    <w:rsid w:val="0054441F"/>
    <w:rsid w:val="00546E87"/>
    <w:rsid w:val="00550077"/>
    <w:rsid w:val="00556081"/>
    <w:rsid w:val="00561BF4"/>
    <w:rsid w:val="00563D48"/>
    <w:rsid w:val="0056611D"/>
    <w:rsid w:val="005702FF"/>
    <w:rsid w:val="00570A4B"/>
    <w:rsid w:val="005741A1"/>
    <w:rsid w:val="00577007"/>
    <w:rsid w:val="005773C0"/>
    <w:rsid w:val="005859A6"/>
    <w:rsid w:val="0059177B"/>
    <w:rsid w:val="00593077"/>
    <w:rsid w:val="005935F7"/>
    <w:rsid w:val="005A064A"/>
    <w:rsid w:val="005A0EDB"/>
    <w:rsid w:val="005A1D68"/>
    <w:rsid w:val="005A2556"/>
    <w:rsid w:val="005A40A6"/>
    <w:rsid w:val="005B6328"/>
    <w:rsid w:val="005C1E2D"/>
    <w:rsid w:val="005C5760"/>
    <w:rsid w:val="005D1EEE"/>
    <w:rsid w:val="005D4D30"/>
    <w:rsid w:val="005E252B"/>
    <w:rsid w:val="005E4DDA"/>
    <w:rsid w:val="005F0A4E"/>
    <w:rsid w:val="005F3DE6"/>
    <w:rsid w:val="005F484D"/>
    <w:rsid w:val="005F6922"/>
    <w:rsid w:val="005F7CB7"/>
    <w:rsid w:val="00601169"/>
    <w:rsid w:val="006025EB"/>
    <w:rsid w:val="00602E2B"/>
    <w:rsid w:val="00603102"/>
    <w:rsid w:val="00605F27"/>
    <w:rsid w:val="006121F5"/>
    <w:rsid w:val="00616947"/>
    <w:rsid w:val="00620DE8"/>
    <w:rsid w:val="00621874"/>
    <w:rsid w:val="006228E3"/>
    <w:rsid w:val="00622A51"/>
    <w:rsid w:val="00622EC6"/>
    <w:rsid w:val="0062496F"/>
    <w:rsid w:val="00627211"/>
    <w:rsid w:val="0063326E"/>
    <w:rsid w:val="00642C85"/>
    <w:rsid w:val="00642CC0"/>
    <w:rsid w:val="0064395D"/>
    <w:rsid w:val="00650D7A"/>
    <w:rsid w:val="00652333"/>
    <w:rsid w:val="00657CC1"/>
    <w:rsid w:val="00661BA2"/>
    <w:rsid w:val="006644E4"/>
    <w:rsid w:val="006661AE"/>
    <w:rsid w:val="00666D5E"/>
    <w:rsid w:val="00674F08"/>
    <w:rsid w:val="006813AA"/>
    <w:rsid w:val="00685232"/>
    <w:rsid w:val="00685B20"/>
    <w:rsid w:val="006907D6"/>
    <w:rsid w:val="006916E4"/>
    <w:rsid w:val="00691E5B"/>
    <w:rsid w:val="00691FF6"/>
    <w:rsid w:val="00692E3D"/>
    <w:rsid w:val="00692FF7"/>
    <w:rsid w:val="006955B6"/>
    <w:rsid w:val="00695B5A"/>
    <w:rsid w:val="0069628A"/>
    <w:rsid w:val="006A0342"/>
    <w:rsid w:val="006A132D"/>
    <w:rsid w:val="006A1798"/>
    <w:rsid w:val="006B017C"/>
    <w:rsid w:val="006B6543"/>
    <w:rsid w:val="006B672C"/>
    <w:rsid w:val="006B75C2"/>
    <w:rsid w:val="006C0609"/>
    <w:rsid w:val="006C12F4"/>
    <w:rsid w:val="006C14FE"/>
    <w:rsid w:val="006C2C2A"/>
    <w:rsid w:val="006C4D1A"/>
    <w:rsid w:val="006D11C7"/>
    <w:rsid w:val="006D2047"/>
    <w:rsid w:val="006D2135"/>
    <w:rsid w:val="006D5288"/>
    <w:rsid w:val="006D7D41"/>
    <w:rsid w:val="006E2538"/>
    <w:rsid w:val="006E4580"/>
    <w:rsid w:val="006E4DE3"/>
    <w:rsid w:val="006E792A"/>
    <w:rsid w:val="006F7BEC"/>
    <w:rsid w:val="00704A22"/>
    <w:rsid w:val="00706429"/>
    <w:rsid w:val="007118F0"/>
    <w:rsid w:val="00713EDD"/>
    <w:rsid w:val="00720367"/>
    <w:rsid w:val="0072211A"/>
    <w:rsid w:val="00722963"/>
    <w:rsid w:val="0072407C"/>
    <w:rsid w:val="00733438"/>
    <w:rsid w:val="00734C82"/>
    <w:rsid w:val="00737382"/>
    <w:rsid w:val="007422DC"/>
    <w:rsid w:val="00743B22"/>
    <w:rsid w:val="00745EE8"/>
    <w:rsid w:val="00760F04"/>
    <w:rsid w:val="00762FE9"/>
    <w:rsid w:val="00764755"/>
    <w:rsid w:val="007666D0"/>
    <w:rsid w:val="00770991"/>
    <w:rsid w:val="00770CF8"/>
    <w:rsid w:val="007711BF"/>
    <w:rsid w:val="00771675"/>
    <w:rsid w:val="007727DD"/>
    <w:rsid w:val="007752C2"/>
    <w:rsid w:val="0078122B"/>
    <w:rsid w:val="00781FAD"/>
    <w:rsid w:val="00783862"/>
    <w:rsid w:val="007841D0"/>
    <w:rsid w:val="00787947"/>
    <w:rsid w:val="00791FC9"/>
    <w:rsid w:val="00796CBD"/>
    <w:rsid w:val="007A14DF"/>
    <w:rsid w:val="007A5A37"/>
    <w:rsid w:val="007B0DF2"/>
    <w:rsid w:val="007B5A1D"/>
    <w:rsid w:val="007B67B4"/>
    <w:rsid w:val="007C4CEE"/>
    <w:rsid w:val="007C52CB"/>
    <w:rsid w:val="007C5908"/>
    <w:rsid w:val="007C65BC"/>
    <w:rsid w:val="007D06A5"/>
    <w:rsid w:val="007D1425"/>
    <w:rsid w:val="007D69DF"/>
    <w:rsid w:val="007E0E64"/>
    <w:rsid w:val="007E1EC1"/>
    <w:rsid w:val="007E297F"/>
    <w:rsid w:val="007E5037"/>
    <w:rsid w:val="007E6CF9"/>
    <w:rsid w:val="007F0666"/>
    <w:rsid w:val="007F2BA5"/>
    <w:rsid w:val="007F3F72"/>
    <w:rsid w:val="007F41E4"/>
    <w:rsid w:val="007F4987"/>
    <w:rsid w:val="007F6FE6"/>
    <w:rsid w:val="00800165"/>
    <w:rsid w:val="00803637"/>
    <w:rsid w:val="00803C56"/>
    <w:rsid w:val="00803C6E"/>
    <w:rsid w:val="008121B5"/>
    <w:rsid w:val="00812646"/>
    <w:rsid w:val="0081386B"/>
    <w:rsid w:val="00814EF1"/>
    <w:rsid w:val="008216D9"/>
    <w:rsid w:val="008219AC"/>
    <w:rsid w:val="00825B0D"/>
    <w:rsid w:val="00826E07"/>
    <w:rsid w:val="00833119"/>
    <w:rsid w:val="00833420"/>
    <w:rsid w:val="00836F8B"/>
    <w:rsid w:val="008412DA"/>
    <w:rsid w:val="008422FE"/>
    <w:rsid w:val="00844BAD"/>
    <w:rsid w:val="00844C69"/>
    <w:rsid w:val="00854B16"/>
    <w:rsid w:val="008564C7"/>
    <w:rsid w:val="0085740D"/>
    <w:rsid w:val="00857599"/>
    <w:rsid w:val="0086167C"/>
    <w:rsid w:val="00874486"/>
    <w:rsid w:val="008779EA"/>
    <w:rsid w:val="0088349B"/>
    <w:rsid w:val="008836F1"/>
    <w:rsid w:val="0088504B"/>
    <w:rsid w:val="00887704"/>
    <w:rsid w:val="00887A20"/>
    <w:rsid w:val="00890471"/>
    <w:rsid w:val="00894211"/>
    <w:rsid w:val="0089502B"/>
    <w:rsid w:val="00897959"/>
    <w:rsid w:val="008A367F"/>
    <w:rsid w:val="008B2A46"/>
    <w:rsid w:val="008B47F9"/>
    <w:rsid w:val="008C0131"/>
    <w:rsid w:val="008C256A"/>
    <w:rsid w:val="008C2E63"/>
    <w:rsid w:val="008C2EFB"/>
    <w:rsid w:val="008C4BA4"/>
    <w:rsid w:val="008C7894"/>
    <w:rsid w:val="008D0407"/>
    <w:rsid w:val="008D13F9"/>
    <w:rsid w:val="008D2946"/>
    <w:rsid w:val="008D5B34"/>
    <w:rsid w:val="008D7AAD"/>
    <w:rsid w:val="008F0478"/>
    <w:rsid w:val="00900958"/>
    <w:rsid w:val="00901375"/>
    <w:rsid w:val="0090766A"/>
    <w:rsid w:val="00911A73"/>
    <w:rsid w:val="00913A8A"/>
    <w:rsid w:val="00916071"/>
    <w:rsid w:val="0092120A"/>
    <w:rsid w:val="0092137C"/>
    <w:rsid w:val="00921D90"/>
    <w:rsid w:val="009238F8"/>
    <w:rsid w:val="00923F8B"/>
    <w:rsid w:val="0092503A"/>
    <w:rsid w:val="00925707"/>
    <w:rsid w:val="009258FA"/>
    <w:rsid w:val="0093248D"/>
    <w:rsid w:val="00933B2D"/>
    <w:rsid w:val="00933F6B"/>
    <w:rsid w:val="00935382"/>
    <w:rsid w:val="00942914"/>
    <w:rsid w:val="009466A9"/>
    <w:rsid w:val="0095146F"/>
    <w:rsid w:val="00951517"/>
    <w:rsid w:val="009530B2"/>
    <w:rsid w:val="00953FE9"/>
    <w:rsid w:val="0095419B"/>
    <w:rsid w:val="00955781"/>
    <w:rsid w:val="00956D2B"/>
    <w:rsid w:val="009646FA"/>
    <w:rsid w:val="00965EF7"/>
    <w:rsid w:val="00966986"/>
    <w:rsid w:val="00967021"/>
    <w:rsid w:val="009729A8"/>
    <w:rsid w:val="00974194"/>
    <w:rsid w:val="0098027D"/>
    <w:rsid w:val="00980A2D"/>
    <w:rsid w:val="0098457D"/>
    <w:rsid w:val="00985AF3"/>
    <w:rsid w:val="009902BE"/>
    <w:rsid w:val="009939AD"/>
    <w:rsid w:val="009960E8"/>
    <w:rsid w:val="009A61D2"/>
    <w:rsid w:val="009A77A7"/>
    <w:rsid w:val="009A7884"/>
    <w:rsid w:val="009B145D"/>
    <w:rsid w:val="009B3E1A"/>
    <w:rsid w:val="009B7529"/>
    <w:rsid w:val="009C02E3"/>
    <w:rsid w:val="009C28AF"/>
    <w:rsid w:val="009C56E5"/>
    <w:rsid w:val="009C68CE"/>
    <w:rsid w:val="009C6C18"/>
    <w:rsid w:val="009C6E70"/>
    <w:rsid w:val="009D192A"/>
    <w:rsid w:val="009D3F89"/>
    <w:rsid w:val="009D4500"/>
    <w:rsid w:val="009D5F6B"/>
    <w:rsid w:val="009E188A"/>
    <w:rsid w:val="009E1A0D"/>
    <w:rsid w:val="009E3BD2"/>
    <w:rsid w:val="009E6552"/>
    <w:rsid w:val="009F10FB"/>
    <w:rsid w:val="009F36A4"/>
    <w:rsid w:val="009F6995"/>
    <w:rsid w:val="009F703F"/>
    <w:rsid w:val="00A00B3A"/>
    <w:rsid w:val="00A01D80"/>
    <w:rsid w:val="00A108E9"/>
    <w:rsid w:val="00A1200C"/>
    <w:rsid w:val="00A121B9"/>
    <w:rsid w:val="00A12454"/>
    <w:rsid w:val="00A139B1"/>
    <w:rsid w:val="00A1443C"/>
    <w:rsid w:val="00A14A36"/>
    <w:rsid w:val="00A1751C"/>
    <w:rsid w:val="00A17B14"/>
    <w:rsid w:val="00A17D27"/>
    <w:rsid w:val="00A20852"/>
    <w:rsid w:val="00A21A81"/>
    <w:rsid w:val="00A21B83"/>
    <w:rsid w:val="00A23B0B"/>
    <w:rsid w:val="00A35313"/>
    <w:rsid w:val="00A45C0D"/>
    <w:rsid w:val="00A45E6C"/>
    <w:rsid w:val="00A500C0"/>
    <w:rsid w:val="00A5045A"/>
    <w:rsid w:val="00A546E2"/>
    <w:rsid w:val="00A6499B"/>
    <w:rsid w:val="00A72780"/>
    <w:rsid w:val="00A72AEB"/>
    <w:rsid w:val="00A73932"/>
    <w:rsid w:val="00A8082A"/>
    <w:rsid w:val="00A81520"/>
    <w:rsid w:val="00A9325E"/>
    <w:rsid w:val="00A9331E"/>
    <w:rsid w:val="00A9396D"/>
    <w:rsid w:val="00A94DB4"/>
    <w:rsid w:val="00A9563D"/>
    <w:rsid w:val="00AA24F4"/>
    <w:rsid w:val="00AA39EE"/>
    <w:rsid w:val="00AA6E59"/>
    <w:rsid w:val="00AB1438"/>
    <w:rsid w:val="00AB5023"/>
    <w:rsid w:val="00AC69D3"/>
    <w:rsid w:val="00AD0AA5"/>
    <w:rsid w:val="00AD4534"/>
    <w:rsid w:val="00AD4553"/>
    <w:rsid w:val="00AD523F"/>
    <w:rsid w:val="00AD5EA4"/>
    <w:rsid w:val="00AE0A1C"/>
    <w:rsid w:val="00AE1E27"/>
    <w:rsid w:val="00AE267C"/>
    <w:rsid w:val="00AE2FED"/>
    <w:rsid w:val="00AE5980"/>
    <w:rsid w:val="00AE6594"/>
    <w:rsid w:val="00AE7863"/>
    <w:rsid w:val="00AF49B0"/>
    <w:rsid w:val="00B02155"/>
    <w:rsid w:val="00B03796"/>
    <w:rsid w:val="00B03BA9"/>
    <w:rsid w:val="00B05AC0"/>
    <w:rsid w:val="00B11FEB"/>
    <w:rsid w:val="00B125C7"/>
    <w:rsid w:val="00B14845"/>
    <w:rsid w:val="00B304D8"/>
    <w:rsid w:val="00B32ED3"/>
    <w:rsid w:val="00B3364E"/>
    <w:rsid w:val="00B4796F"/>
    <w:rsid w:val="00B51DF4"/>
    <w:rsid w:val="00B5519D"/>
    <w:rsid w:val="00B57D10"/>
    <w:rsid w:val="00B629C6"/>
    <w:rsid w:val="00B70AA2"/>
    <w:rsid w:val="00B71970"/>
    <w:rsid w:val="00B82760"/>
    <w:rsid w:val="00B82901"/>
    <w:rsid w:val="00B83699"/>
    <w:rsid w:val="00B837E9"/>
    <w:rsid w:val="00B83D9D"/>
    <w:rsid w:val="00B9060A"/>
    <w:rsid w:val="00B94EC3"/>
    <w:rsid w:val="00B95534"/>
    <w:rsid w:val="00B957F8"/>
    <w:rsid w:val="00BA2B47"/>
    <w:rsid w:val="00BB4288"/>
    <w:rsid w:val="00BC515C"/>
    <w:rsid w:val="00BC64F7"/>
    <w:rsid w:val="00BE64E1"/>
    <w:rsid w:val="00BE66A1"/>
    <w:rsid w:val="00BF31BA"/>
    <w:rsid w:val="00BF4DB6"/>
    <w:rsid w:val="00BF6807"/>
    <w:rsid w:val="00BF7247"/>
    <w:rsid w:val="00C03D6B"/>
    <w:rsid w:val="00C112D6"/>
    <w:rsid w:val="00C129CF"/>
    <w:rsid w:val="00C143AE"/>
    <w:rsid w:val="00C15C67"/>
    <w:rsid w:val="00C16B1C"/>
    <w:rsid w:val="00C17B90"/>
    <w:rsid w:val="00C214F4"/>
    <w:rsid w:val="00C22B45"/>
    <w:rsid w:val="00C26521"/>
    <w:rsid w:val="00C27A28"/>
    <w:rsid w:val="00C32571"/>
    <w:rsid w:val="00C33FB3"/>
    <w:rsid w:val="00C349FC"/>
    <w:rsid w:val="00C42475"/>
    <w:rsid w:val="00C42E2B"/>
    <w:rsid w:val="00C45650"/>
    <w:rsid w:val="00C53047"/>
    <w:rsid w:val="00C541B8"/>
    <w:rsid w:val="00C548AF"/>
    <w:rsid w:val="00C60A8C"/>
    <w:rsid w:val="00C63531"/>
    <w:rsid w:val="00C67ACA"/>
    <w:rsid w:val="00C71D00"/>
    <w:rsid w:val="00C71FBF"/>
    <w:rsid w:val="00C73771"/>
    <w:rsid w:val="00C81446"/>
    <w:rsid w:val="00C873CB"/>
    <w:rsid w:val="00C87C89"/>
    <w:rsid w:val="00C93FB0"/>
    <w:rsid w:val="00CA2B1C"/>
    <w:rsid w:val="00CA3086"/>
    <w:rsid w:val="00CB526C"/>
    <w:rsid w:val="00CD3E6D"/>
    <w:rsid w:val="00CD6B05"/>
    <w:rsid w:val="00CE126B"/>
    <w:rsid w:val="00CE2EFD"/>
    <w:rsid w:val="00CE56B5"/>
    <w:rsid w:val="00CE7B53"/>
    <w:rsid w:val="00CF1195"/>
    <w:rsid w:val="00CF247B"/>
    <w:rsid w:val="00CF26CF"/>
    <w:rsid w:val="00CF4371"/>
    <w:rsid w:val="00CF77DC"/>
    <w:rsid w:val="00D0202F"/>
    <w:rsid w:val="00D049C6"/>
    <w:rsid w:val="00D05B3A"/>
    <w:rsid w:val="00D12D3F"/>
    <w:rsid w:val="00D14BF0"/>
    <w:rsid w:val="00D162FF"/>
    <w:rsid w:val="00D245B9"/>
    <w:rsid w:val="00D2496E"/>
    <w:rsid w:val="00D27373"/>
    <w:rsid w:val="00D332A6"/>
    <w:rsid w:val="00D35459"/>
    <w:rsid w:val="00D422A0"/>
    <w:rsid w:val="00D43BCF"/>
    <w:rsid w:val="00D44F4F"/>
    <w:rsid w:val="00D520E6"/>
    <w:rsid w:val="00D5255F"/>
    <w:rsid w:val="00D536C3"/>
    <w:rsid w:val="00D55526"/>
    <w:rsid w:val="00D56BBF"/>
    <w:rsid w:val="00D64C74"/>
    <w:rsid w:val="00D66ECB"/>
    <w:rsid w:val="00D67424"/>
    <w:rsid w:val="00D7069D"/>
    <w:rsid w:val="00D70E95"/>
    <w:rsid w:val="00D7399E"/>
    <w:rsid w:val="00D759B3"/>
    <w:rsid w:val="00D75CF6"/>
    <w:rsid w:val="00D81611"/>
    <w:rsid w:val="00D8169A"/>
    <w:rsid w:val="00D863B0"/>
    <w:rsid w:val="00D903BC"/>
    <w:rsid w:val="00D94520"/>
    <w:rsid w:val="00D97EE4"/>
    <w:rsid w:val="00DA0A7E"/>
    <w:rsid w:val="00DA1AB5"/>
    <w:rsid w:val="00DA3125"/>
    <w:rsid w:val="00DB554C"/>
    <w:rsid w:val="00DB6479"/>
    <w:rsid w:val="00DB6EB4"/>
    <w:rsid w:val="00DC0710"/>
    <w:rsid w:val="00DC2DEA"/>
    <w:rsid w:val="00DD141A"/>
    <w:rsid w:val="00DD654F"/>
    <w:rsid w:val="00DE1646"/>
    <w:rsid w:val="00DE5BAD"/>
    <w:rsid w:val="00E009F8"/>
    <w:rsid w:val="00E02145"/>
    <w:rsid w:val="00E1095F"/>
    <w:rsid w:val="00E11D53"/>
    <w:rsid w:val="00E137A2"/>
    <w:rsid w:val="00E17A9D"/>
    <w:rsid w:val="00E21765"/>
    <w:rsid w:val="00E23E31"/>
    <w:rsid w:val="00E24715"/>
    <w:rsid w:val="00E30824"/>
    <w:rsid w:val="00E30A35"/>
    <w:rsid w:val="00E3486C"/>
    <w:rsid w:val="00E358BF"/>
    <w:rsid w:val="00E41DF8"/>
    <w:rsid w:val="00E44ABE"/>
    <w:rsid w:val="00E5235B"/>
    <w:rsid w:val="00E5328C"/>
    <w:rsid w:val="00E615AA"/>
    <w:rsid w:val="00E6281A"/>
    <w:rsid w:val="00E6383C"/>
    <w:rsid w:val="00E654E1"/>
    <w:rsid w:val="00E65DE2"/>
    <w:rsid w:val="00E70F36"/>
    <w:rsid w:val="00E7267D"/>
    <w:rsid w:val="00E72EA6"/>
    <w:rsid w:val="00E75E8A"/>
    <w:rsid w:val="00E76C12"/>
    <w:rsid w:val="00E77F81"/>
    <w:rsid w:val="00E85856"/>
    <w:rsid w:val="00E877B2"/>
    <w:rsid w:val="00E904F9"/>
    <w:rsid w:val="00E927A9"/>
    <w:rsid w:val="00E93028"/>
    <w:rsid w:val="00E942F7"/>
    <w:rsid w:val="00E97043"/>
    <w:rsid w:val="00EA28C8"/>
    <w:rsid w:val="00EA31C2"/>
    <w:rsid w:val="00EA552A"/>
    <w:rsid w:val="00EB6517"/>
    <w:rsid w:val="00EC162F"/>
    <w:rsid w:val="00EC3F1C"/>
    <w:rsid w:val="00EC4048"/>
    <w:rsid w:val="00EC4BF9"/>
    <w:rsid w:val="00EC56AA"/>
    <w:rsid w:val="00EC5AAB"/>
    <w:rsid w:val="00EC6B4F"/>
    <w:rsid w:val="00ED03B5"/>
    <w:rsid w:val="00ED0601"/>
    <w:rsid w:val="00ED695A"/>
    <w:rsid w:val="00EE379C"/>
    <w:rsid w:val="00F00464"/>
    <w:rsid w:val="00F03B81"/>
    <w:rsid w:val="00F0436E"/>
    <w:rsid w:val="00F06EEF"/>
    <w:rsid w:val="00F11D30"/>
    <w:rsid w:val="00F142F8"/>
    <w:rsid w:val="00F1710A"/>
    <w:rsid w:val="00F17245"/>
    <w:rsid w:val="00F17C4B"/>
    <w:rsid w:val="00F24370"/>
    <w:rsid w:val="00F25196"/>
    <w:rsid w:val="00F30A56"/>
    <w:rsid w:val="00F30A73"/>
    <w:rsid w:val="00F33C59"/>
    <w:rsid w:val="00F36E2B"/>
    <w:rsid w:val="00F37AC0"/>
    <w:rsid w:val="00F40EA7"/>
    <w:rsid w:val="00F50711"/>
    <w:rsid w:val="00F51A83"/>
    <w:rsid w:val="00F53E76"/>
    <w:rsid w:val="00F54142"/>
    <w:rsid w:val="00F54AD5"/>
    <w:rsid w:val="00F560E1"/>
    <w:rsid w:val="00F664A8"/>
    <w:rsid w:val="00F7083A"/>
    <w:rsid w:val="00F7207D"/>
    <w:rsid w:val="00F73608"/>
    <w:rsid w:val="00F80736"/>
    <w:rsid w:val="00F817EC"/>
    <w:rsid w:val="00F85C6C"/>
    <w:rsid w:val="00F871DC"/>
    <w:rsid w:val="00F93E16"/>
    <w:rsid w:val="00F95D27"/>
    <w:rsid w:val="00FA097B"/>
    <w:rsid w:val="00FA2906"/>
    <w:rsid w:val="00FA608E"/>
    <w:rsid w:val="00FB1672"/>
    <w:rsid w:val="00FB2864"/>
    <w:rsid w:val="00FB2D75"/>
    <w:rsid w:val="00FB322B"/>
    <w:rsid w:val="00FB5F22"/>
    <w:rsid w:val="00FC31CC"/>
    <w:rsid w:val="00FC5BF4"/>
    <w:rsid w:val="00FD707D"/>
    <w:rsid w:val="00FE2193"/>
    <w:rsid w:val="00FF0309"/>
    <w:rsid w:val="00FF071F"/>
    <w:rsid w:val="00FF3F44"/>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D676"/>
  <w15:docId w15:val="{C542E8AE-68CF-437D-AE9A-22610475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imes New Roman"/>
        <w:lang w:val="en-GB" w:eastAsia="en-GB"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2" w:unhideWhenUsed="1" w:qFormat="1"/>
    <w:lsdException w:name="heading 3" w:semiHidden="1" w:uiPriority="2" w:unhideWhenUsed="1"/>
    <w:lsdException w:name="heading 4" w:semiHidden="1" w:unhideWhenUsed="1" w:qFormat="1"/>
    <w:lsdException w:name="heading 5" w:semiHidden="1"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2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F41E4"/>
    <w:pPr>
      <w:spacing w:line="260" w:lineRule="atLeast"/>
    </w:pPr>
    <w:rPr>
      <w:sz w:val="22"/>
      <w:szCs w:val="22"/>
    </w:rPr>
  </w:style>
  <w:style w:type="paragraph" w:styleId="Heading1">
    <w:name w:val="heading 1"/>
    <w:basedOn w:val="Normal"/>
    <w:next w:val="BodyText"/>
    <w:link w:val="Heading1Char"/>
    <w:uiPriority w:val="2"/>
    <w:qFormat/>
    <w:rsid w:val="007F41E4"/>
    <w:pPr>
      <w:spacing w:before="240" w:after="120"/>
      <w:outlineLvl w:val="0"/>
    </w:pPr>
    <w:rPr>
      <w:b/>
    </w:rPr>
  </w:style>
  <w:style w:type="paragraph" w:styleId="Heading2">
    <w:name w:val="heading 2"/>
    <w:basedOn w:val="Heading1"/>
    <w:next w:val="BodyText"/>
    <w:link w:val="Heading2Char"/>
    <w:uiPriority w:val="2"/>
    <w:qFormat/>
    <w:rsid w:val="007F41E4"/>
    <w:pPr>
      <w:numPr>
        <w:ilvl w:val="1"/>
      </w:numPr>
      <w:spacing w:after="0"/>
      <w:outlineLvl w:val="1"/>
    </w:pPr>
  </w:style>
  <w:style w:type="paragraph" w:styleId="Heading3">
    <w:name w:val="heading 3"/>
    <w:basedOn w:val="Normal"/>
    <w:next w:val="BodyText"/>
    <w:link w:val="Heading3Char"/>
    <w:uiPriority w:val="2"/>
    <w:rsid w:val="007F41E4"/>
    <w:pPr>
      <w:keepNext/>
      <w:keepLines/>
      <w:spacing w:before="240"/>
      <w:outlineLvl w:val="2"/>
    </w:pPr>
    <w:rPr>
      <w:rFonts w:eastAsiaTheme="majorEastAsia" w:cstheme="majorBidi"/>
      <w:color w:val="78A22F" w:themeColor="accent1"/>
      <w:szCs w:val="24"/>
    </w:rPr>
  </w:style>
  <w:style w:type="paragraph" w:styleId="Heading4">
    <w:name w:val="heading 4"/>
    <w:basedOn w:val="Normal"/>
    <w:next w:val="BodyText"/>
    <w:link w:val="Heading4Char"/>
    <w:uiPriority w:val="99"/>
    <w:rsid w:val="007F41E4"/>
    <w:pPr>
      <w:keepNext/>
      <w:keepLines/>
      <w:outlineLvl w:val="3"/>
    </w:pPr>
    <w:rPr>
      <w:rFonts w:eastAsiaTheme="majorEastAsia" w:cstheme="majorBidi"/>
      <w:b/>
      <w:iCs/>
      <w:color w:val="808285" w:themeColor="accent5"/>
    </w:rPr>
  </w:style>
  <w:style w:type="paragraph" w:styleId="Heading5">
    <w:name w:val="heading 5"/>
    <w:basedOn w:val="Normal"/>
    <w:next w:val="BodyText"/>
    <w:link w:val="Heading5Char"/>
    <w:uiPriority w:val="99"/>
    <w:rsid w:val="007F41E4"/>
    <w:pPr>
      <w:keepNext/>
      <w:keepLines/>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rsid w:val="007F41E4"/>
    <w:pPr>
      <w:tabs>
        <w:tab w:val="center" w:pos="4513"/>
        <w:tab w:val="right" w:pos="9026"/>
      </w:tabs>
      <w:spacing w:line="240" w:lineRule="auto"/>
      <w:jc w:val="right"/>
    </w:pPr>
    <w:rPr>
      <w:rFonts w:asciiTheme="majorHAnsi" w:hAnsiTheme="majorHAnsi"/>
      <w:sz w:val="18"/>
    </w:rPr>
  </w:style>
  <w:style w:type="character" w:customStyle="1" w:styleId="HeaderChar">
    <w:name w:val="Header Char"/>
    <w:basedOn w:val="DefaultParagraphFont"/>
    <w:link w:val="Header"/>
    <w:uiPriority w:val="29"/>
    <w:rsid w:val="007F41E4"/>
    <w:rPr>
      <w:rFonts w:asciiTheme="majorHAnsi" w:hAnsiTheme="majorHAnsi"/>
      <w:sz w:val="18"/>
      <w:szCs w:val="22"/>
    </w:rPr>
  </w:style>
  <w:style w:type="paragraph" w:styleId="Footer">
    <w:name w:val="footer"/>
    <w:basedOn w:val="Normal"/>
    <w:link w:val="FooterChar"/>
    <w:uiPriority w:val="29"/>
    <w:rsid w:val="007F41E4"/>
    <w:pPr>
      <w:tabs>
        <w:tab w:val="center" w:pos="4513"/>
        <w:tab w:val="right" w:pos="9026"/>
      </w:tabs>
      <w:spacing w:line="240" w:lineRule="auto"/>
      <w:ind w:right="397"/>
    </w:pPr>
    <w:rPr>
      <w:rFonts w:asciiTheme="majorHAnsi" w:hAnsiTheme="majorHAnsi"/>
      <w:color w:val="78A22F" w:themeColor="accent1"/>
      <w:sz w:val="18"/>
    </w:rPr>
  </w:style>
  <w:style w:type="character" w:customStyle="1" w:styleId="FooterChar">
    <w:name w:val="Footer Char"/>
    <w:basedOn w:val="DefaultParagraphFont"/>
    <w:link w:val="Footer"/>
    <w:uiPriority w:val="29"/>
    <w:rsid w:val="007F41E4"/>
    <w:rPr>
      <w:rFonts w:asciiTheme="majorHAnsi" w:hAnsiTheme="majorHAnsi"/>
      <w:color w:val="78A22F" w:themeColor="accent1"/>
      <w:sz w:val="18"/>
      <w:szCs w:val="22"/>
    </w:rPr>
  </w:style>
  <w:style w:type="paragraph" w:customStyle="1" w:styleId="FooterHeading">
    <w:name w:val="Footer Heading"/>
    <w:basedOn w:val="Normal"/>
    <w:uiPriority w:val="29"/>
    <w:rsid w:val="007F41E4"/>
    <w:pPr>
      <w:spacing w:line="220" w:lineRule="atLeast"/>
    </w:pPr>
    <w:rPr>
      <w:rFonts w:asciiTheme="majorHAnsi" w:eastAsiaTheme="minorEastAsia" w:hAnsiTheme="majorHAnsi" w:cstheme="minorBidi"/>
      <w:b/>
      <w:color w:val="78A22F" w:themeColor="accent1"/>
      <w:sz w:val="18"/>
    </w:rPr>
  </w:style>
  <w:style w:type="paragraph" w:customStyle="1" w:styleId="FooterOffices">
    <w:name w:val="Footer Offices"/>
    <w:basedOn w:val="Normal"/>
    <w:uiPriority w:val="27"/>
    <w:rsid w:val="007F41E4"/>
    <w:pPr>
      <w:spacing w:line="220" w:lineRule="atLeast"/>
    </w:pPr>
    <w:rPr>
      <w:rFonts w:eastAsiaTheme="minorEastAsia" w:cstheme="minorBidi"/>
      <w:color w:val="000000" w:themeColor="text1"/>
      <w:sz w:val="18"/>
    </w:rPr>
  </w:style>
  <w:style w:type="paragraph" w:customStyle="1" w:styleId="FooterRegistration">
    <w:name w:val="Footer Registration"/>
    <w:basedOn w:val="FooterOffices"/>
    <w:uiPriority w:val="29"/>
    <w:rsid w:val="007F41E4"/>
    <w:rPr>
      <w:sz w:val="14"/>
    </w:rPr>
  </w:style>
  <w:style w:type="paragraph" w:styleId="Title">
    <w:name w:val="Title"/>
    <w:next w:val="Subtitle"/>
    <w:link w:val="TitleChar"/>
    <w:uiPriority w:val="8"/>
    <w:qFormat/>
    <w:rsid w:val="007F41E4"/>
    <w:pPr>
      <w:pBdr>
        <w:top w:val="single" w:sz="8" w:space="5" w:color="78A22F" w:themeColor="accent1"/>
      </w:pBdr>
      <w:spacing w:line="320" w:lineRule="atLeast"/>
    </w:pPr>
    <w:rPr>
      <w:rFonts w:asciiTheme="majorHAnsi" w:eastAsiaTheme="majorEastAsia" w:hAnsiTheme="majorHAnsi" w:cstheme="majorBidi"/>
      <w:b/>
      <w:color w:val="78A22F" w:themeColor="accent1"/>
      <w:sz w:val="32"/>
      <w:szCs w:val="32"/>
    </w:rPr>
  </w:style>
  <w:style w:type="character" w:customStyle="1" w:styleId="TitleChar">
    <w:name w:val="Title Char"/>
    <w:basedOn w:val="DefaultParagraphFont"/>
    <w:link w:val="Title"/>
    <w:uiPriority w:val="8"/>
    <w:rsid w:val="007F41E4"/>
    <w:rPr>
      <w:rFonts w:asciiTheme="majorHAnsi" w:eastAsiaTheme="majorEastAsia" w:hAnsiTheme="majorHAnsi" w:cstheme="majorBidi"/>
      <w:b/>
      <w:color w:val="78A22F" w:themeColor="accent1"/>
      <w:sz w:val="32"/>
      <w:szCs w:val="32"/>
    </w:rPr>
  </w:style>
  <w:style w:type="character" w:styleId="Hyperlink">
    <w:name w:val="Hyperlink"/>
    <w:uiPriority w:val="99"/>
    <w:unhideWhenUsed/>
    <w:rsid w:val="007F41E4"/>
    <w:rPr>
      <w:color w:val="78A22F" w:themeColor="accent1"/>
      <w:u w:val="single"/>
    </w:rPr>
  </w:style>
  <w:style w:type="character" w:styleId="FollowedHyperlink">
    <w:name w:val="FollowedHyperlink"/>
    <w:basedOn w:val="DefaultParagraphFont"/>
    <w:uiPriority w:val="99"/>
    <w:semiHidden/>
    <w:unhideWhenUsed/>
    <w:rsid w:val="007F41E4"/>
    <w:rPr>
      <w:color w:val="800080" w:themeColor="followedHyperlink"/>
      <w:u w:val="single"/>
    </w:rPr>
  </w:style>
  <w:style w:type="character" w:customStyle="1" w:styleId="Heading1Char">
    <w:name w:val="Heading 1 Char"/>
    <w:basedOn w:val="DefaultParagraphFont"/>
    <w:link w:val="Heading1"/>
    <w:uiPriority w:val="2"/>
    <w:rsid w:val="007F41E4"/>
    <w:rPr>
      <w:b/>
      <w:sz w:val="22"/>
      <w:szCs w:val="22"/>
    </w:rPr>
  </w:style>
  <w:style w:type="character" w:customStyle="1" w:styleId="Heading2Char">
    <w:name w:val="Heading 2 Char"/>
    <w:basedOn w:val="DefaultParagraphFont"/>
    <w:link w:val="Heading2"/>
    <w:uiPriority w:val="2"/>
    <w:rsid w:val="007F41E4"/>
    <w:rPr>
      <w:b/>
      <w:sz w:val="22"/>
      <w:szCs w:val="22"/>
    </w:rPr>
  </w:style>
  <w:style w:type="character" w:customStyle="1" w:styleId="Heading3Char">
    <w:name w:val="Heading 3 Char"/>
    <w:basedOn w:val="DefaultParagraphFont"/>
    <w:link w:val="Heading3"/>
    <w:uiPriority w:val="2"/>
    <w:rsid w:val="007F41E4"/>
    <w:rPr>
      <w:rFonts w:eastAsiaTheme="majorEastAsia" w:cstheme="majorBidi"/>
      <w:color w:val="78A22F" w:themeColor="accent1"/>
      <w:sz w:val="22"/>
      <w:szCs w:val="24"/>
    </w:rPr>
  </w:style>
  <w:style w:type="character" w:customStyle="1" w:styleId="Heading4Char">
    <w:name w:val="Heading 4 Char"/>
    <w:basedOn w:val="DefaultParagraphFont"/>
    <w:link w:val="Heading4"/>
    <w:uiPriority w:val="99"/>
    <w:rsid w:val="007F41E4"/>
    <w:rPr>
      <w:rFonts w:eastAsiaTheme="majorEastAsia" w:cstheme="majorBidi"/>
      <w:b/>
      <w:iCs/>
      <w:color w:val="808285" w:themeColor="accent5"/>
      <w:sz w:val="22"/>
      <w:szCs w:val="22"/>
    </w:rPr>
  </w:style>
  <w:style w:type="paragraph" w:styleId="Subtitle">
    <w:name w:val="Subtitle"/>
    <w:next w:val="Date"/>
    <w:link w:val="SubtitleChar"/>
    <w:uiPriority w:val="9"/>
    <w:qFormat/>
    <w:rsid w:val="007F41E4"/>
    <w:pPr>
      <w:spacing w:line="320" w:lineRule="atLeast"/>
    </w:pPr>
    <w:rPr>
      <w:rFonts w:eastAsiaTheme="majorEastAsia" w:cstheme="majorBidi"/>
      <w:b/>
      <w:sz w:val="28"/>
      <w:szCs w:val="26"/>
    </w:rPr>
  </w:style>
  <w:style w:type="character" w:customStyle="1" w:styleId="SubtitleChar">
    <w:name w:val="Subtitle Char"/>
    <w:basedOn w:val="DefaultParagraphFont"/>
    <w:link w:val="Subtitle"/>
    <w:uiPriority w:val="9"/>
    <w:rsid w:val="007F41E4"/>
    <w:rPr>
      <w:rFonts w:eastAsiaTheme="majorEastAsia" w:cstheme="majorBidi"/>
      <w:b/>
      <w:sz w:val="28"/>
      <w:szCs w:val="26"/>
    </w:rPr>
  </w:style>
  <w:style w:type="paragraph" w:customStyle="1" w:styleId="CoverDate">
    <w:name w:val="CoverDate"/>
    <w:basedOn w:val="Normal"/>
    <w:uiPriority w:val="25"/>
    <w:qFormat/>
    <w:rsid w:val="00EC4BF9"/>
    <w:pPr>
      <w:spacing w:before="120" w:after="120"/>
    </w:pPr>
    <w:rPr>
      <w:rFonts w:asciiTheme="majorHAnsi" w:hAnsiTheme="majorHAnsi"/>
      <w:sz w:val="36"/>
    </w:rPr>
  </w:style>
  <w:style w:type="character" w:customStyle="1" w:styleId="Heading5Char">
    <w:name w:val="Heading 5 Char"/>
    <w:basedOn w:val="DefaultParagraphFont"/>
    <w:link w:val="Heading5"/>
    <w:uiPriority w:val="99"/>
    <w:rsid w:val="007F41E4"/>
    <w:rPr>
      <w:rFonts w:eastAsiaTheme="majorEastAsia" w:cstheme="majorBidi"/>
      <w:sz w:val="18"/>
      <w:szCs w:val="22"/>
    </w:rPr>
  </w:style>
  <w:style w:type="paragraph" w:styleId="BalloonText">
    <w:name w:val="Balloon Text"/>
    <w:basedOn w:val="Normal"/>
    <w:link w:val="BalloonTextChar"/>
    <w:uiPriority w:val="99"/>
    <w:semiHidden/>
    <w:unhideWhenUsed/>
    <w:rsid w:val="007F41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E4"/>
    <w:rPr>
      <w:rFonts w:ascii="Segoe UI" w:hAnsi="Segoe UI" w:cs="Segoe UI"/>
      <w:sz w:val="18"/>
      <w:szCs w:val="18"/>
    </w:rPr>
  </w:style>
  <w:style w:type="paragraph" w:customStyle="1" w:styleId="Subject">
    <w:name w:val="Subject"/>
    <w:basedOn w:val="BodyText"/>
    <w:next w:val="BodyTextIndented2"/>
    <w:uiPriority w:val="13"/>
    <w:qFormat/>
    <w:rsid w:val="007F41E4"/>
    <w:pPr>
      <w:spacing w:before="60" w:after="60"/>
      <w:jc w:val="left"/>
    </w:pPr>
    <w:rPr>
      <w:rFonts w:asciiTheme="majorHAnsi" w:hAnsiTheme="majorHAnsi"/>
      <w:b/>
      <w:color w:val="78A22F" w:themeColor="accent1"/>
    </w:rPr>
  </w:style>
  <w:style w:type="paragraph" w:styleId="NoSpacing">
    <w:name w:val="No Spacing"/>
    <w:uiPriority w:val="99"/>
    <w:semiHidden/>
    <w:qFormat/>
    <w:rsid w:val="007F41E4"/>
    <w:pPr>
      <w:jc w:val="both"/>
    </w:pPr>
    <w:rPr>
      <w:sz w:val="22"/>
      <w:szCs w:val="22"/>
    </w:rPr>
  </w:style>
  <w:style w:type="paragraph" w:customStyle="1" w:styleId="Subject2">
    <w:name w:val="Subject2"/>
    <w:basedOn w:val="BodyText"/>
    <w:next w:val="BodyTextIndented2"/>
    <w:uiPriority w:val="13"/>
    <w:qFormat/>
    <w:rsid w:val="007F41E4"/>
    <w:pPr>
      <w:spacing w:before="60" w:after="60"/>
      <w:jc w:val="left"/>
    </w:pPr>
    <w:rPr>
      <w:rFonts w:asciiTheme="majorHAnsi" w:hAnsiTheme="majorHAnsi"/>
      <w:b/>
      <w:color w:val="58595B" w:themeColor="accent6"/>
    </w:rPr>
  </w:style>
  <w:style w:type="numbering" w:customStyle="1" w:styleId="AFMENumbering">
    <w:name w:val="AFME Numbering"/>
    <w:uiPriority w:val="99"/>
    <w:rsid w:val="007F41E4"/>
    <w:pPr>
      <w:numPr>
        <w:numId w:val="1"/>
      </w:numPr>
    </w:pPr>
  </w:style>
  <w:style w:type="numbering" w:customStyle="1" w:styleId="AFMEBullets">
    <w:name w:val="AFME Bullets"/>
    <w:uiPriority w:val="99"/>
    <w:rsid w:val="007F41E4"/>
    <w:pPr>
      <w:numPr>
        <w:numId w:val="2"/>
      </w:numPr>
    </w:pPr>
  </w:style>
  <w:style w:type="paragraph" w:styleId="ListParagraph">
    <w:name w:val="List Paragraph"/>
    <w:basedOn w:val="Normal"/>
    <w:uiPriority w:val="34"/>
    <w:qFormat/>
    <w:rsid w:val="007F41E4"/>
    <w:pPr>
      <w:ind w:left="720"/>
      <w:contextualSpacing/>
    </w:pPr>
  </w:style>
  <w:style w:type="paragraph" w:customStyle="1" w:styleId="Bullets1">
    <w:name w:val="Bullets 1"/>
    <w:basedOn w:val="Normal"/>
    <w:uiPriority w:val="4"/>
    <w:qFormat/>
    <w:rsid w:val="007F41E4"/>
    <w:pPr>
      <w:numPr>
        <w:numId w:val="5"/>
      </w:numPr>
      <w:spacing w:after="120"/>
      <w:contextualSpacing/>
    </w:pPr>
  </w:style>
  <w:style w:type="paragraph" w:customStyle="1" w:styleId="Bullets2">
    <w:name w:val="Bullets 2"/>
    <w:basedOn w:val="Bullets1"/>
    <w:uiPriority w:val="4"/>
    <w:qFormat/>
    <w:rsid w:val="007F41E4"/>
    <w:pPr>
      <w:numPr>
        <w:ilvl w:val="1"/>
      </w:numPr>
    </w:pPr>
  </w:style>
  <w:style w:type="paragraph" w:customStyle="1" w:styleId="Bullets3">
    <w:name w:val="Bullets 3"/>
    <w:basedOn w:val="Bullets2"/>
    <w:uiPriority w:val="4"/>
    <w:unhideWhenUsed/>
    <w:rsid w:val="007F41E4"/>
    <w:pPr>
      <w:numPr>
        <w:ilvl w:val="2"/>
      </w:numPr>
    </w:pPr>
  </w:style>
  <w:style w:type="paragraph" w:styleId="BodyText">
    <w:name w:val="Body Text"/>
    <w:basedOn w:val="Normal"/>
    <w:link w:val="BodyTextChar"/>
    <w:qFormat/>
    <w:rsid w:val="007F41E4"/>
    <w:pPr>
      <w:spacing w:after="120"/>
      <w:jc w:val="both"/>
    </w:pPr>
  </w:style>
  <w:style w:type="character" w:customStyle="1" w:styleId="BodyTextChar">
    <w:name w:val="Body Text Char"/>
    <w:basedOn w:val="DefaultParagraphFont"/>
    <w:link w:val="BodyText"/>
    <w:rsid w:val="007F41E4"/>
    <w:rPr>
      <w:sz w:val="22"/>
      <w:szCs w:val="22"/>
    </w:rPr>
  </w:style>
  <w:style w:type="paragraph" w:styleId="FootnoteText">
    <w:name w:val="footnote text"/>
    <w:basedOn w:val="Normal"/>
    <w:link w:val="FootnoteTextChar"/>
    <w:uiPriority w:val="29"/>
    <w:rsid w:val="007F41E4"/>
    <w:pPr>
      <w:spacing w:line="240" w:lineRule="auto"/>
    </w:pPr>
    <w:rPr>
      <w:rFonts w:asciiTheme="majorHAnsi" w:hAnsiTheme="majorHAnsi"/>
      <w:sz w:val="14"/>
    </w:rPr>
  </w:style>
  <w:style w:type="character" w:customStyle="1" w:styleId="FootnoteTextChar">
    <w:name w:val="Footnote Text Char"/>
    <w:basedOn w:val="DefaultParagraphFont"/>
    <w:link w:val="FootnoteText"/>
    <w:uiPriority w:val="29"/>
    <w:rsid w:val="007F41E4"/>
    <w:rPr>
      <w:rFonts w:asciiTheme="majorHAnsi" w:hAnsiTheme="majorHAnsi"/>
      <w:sz w:val="14"/>
      <w:szCs w:val="22"/>
    </w:rPr>
  </w:style>
  <w:style w:type="character" w:styleId="FootnoteReference">
    <w:name w:val="footnote reference"/>
    <w:basedOn w:val="DefaultParagraphFont"/>
    <w:uiPriority w:val="99"/>
    <w:semiHidden/>
    <w:unhideWhenUsed/>
    <w:rsid w:val="007F41E4"/>
    <w:rPr>
      <w:vertAlign w:val="superscript"/>
    </w:rPr>
  </w:style>
  <w:style w:type="paragraph" w:customStyle="1" w:styleId="GreenLine">
    <w:name w:val="Green Line"/>
    <w:basedOn w:val="Normal"/>
    <w:next w:val="BodyText"/>
    <w:uiPriority w:val="23"/>
    <w:qFormat/>
    <w:rsid w:val="007F41E4"/>
    <w:pPr>
      <w:pBdr>
        <w:bottom w:val="single" w:sz="8" w:space="1" w:color="78A22F" w:themeColor="accent1"/>
      </w:pBdr>
      <w:spacing w:after="240"/>
    </w:pPr>
    <w:rPr>
      <w:rFonts w:asciiTheme="majorHAnsi" w:hAnsiTheme="majorHAnsi"/>
      <w:color w:val="78A22F" w:themeColor="accent1"/>
    </w:rPr>
  </w:style>
  <w:style w:type="paragraph" w:customStyle="1" w:styleId="BodyTextIndented2">
    <w:name w:val="Body Text Indented 2"/>
    <w:basedOn w:val="BodyText"/>
    <w:uiPriority w:val="1"/>
    <w:rsid w:val="007F41E4"/>
    <w:pPr>
      <w:ind w:left="284"/>
    </w:pPr>
  </w:style>
  <w:style w:type="table" w:styleId="TableGrid">
    <w:name w:val="Table Grid"/>
    <w:basedOn w:val="TableNormal"/>
    <w:uiPriority w:val="59"/>
    <w:rsid w:val="007F41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CoverOffices">
    <w:name w:val="Back Cover Offices"/>
    <w:basedOn w:val="Normal"/>
    <w:uiPriority w:val="29"/>
    <w:rsid w:val="007F41E4"/>
    <w:rPr>
      <w:rFonts w:asciiTheme="majorHAnsi" w:hAnsiTheme="majorHAnsi" w:cstheme="majorHAnsi"/>
      <w:b/>
      <w:color w:val="78A22F" w:themeColor="accent1"/>
    </w:rPr>
  </w:style>
  <w:style w:type="paragraph" w:customStyle="1" w:styleId="BackCoverNames">
    <w:name w:val="Back Cover Names"/>
    <w:basedOn w:val="Normal"/>
    <w:link w:val="BackCoverNamesChar"/>
    <w:uiPriority w:val="29"/>
    <w:rsid w:val="007F41E4"/>
    <w:rPr>
      <w:b/>
      <w:color w:val="58595B" w:themeColor="text2"/>
    </w:rPr>
  </w:style>
  <w:style w:type="paragraph" w:customStyle="1" w:styleId="BackCoverURL">
    <w:name w:val="Back Cover URL"/>
    <w:basedOn w:val="BackCoverOffices"/>
    <w:uiPriority w:val="29"/>
    <w:rsid w:val="007F41E4"/>
    <w:rPr>
      <w:b w:val="0"/>
    </w:rPr>
  </w:style>
  <w:style w:type="character" w:customStyle="1" w:styleId="BackCoverNamesChar">
    <w:name w:val="Back Cover Names Char"/>
    <w:basedOn w:val="DefaultParagraphFont"/>
    <w:link w:val="BackCoverNames"/>
    <w:uiPriority w:val="29"/>
    <w:rsid w:val="007F41E4"/>
    <w:rPr>
      <w:b/>
      <w:color w:val="58595B" w:themeColor="text2"/>
      <w:sz w:val="22"/>
      <w:szCs w:val="22"/>
    </w:rPr>
  </w:style>
  <w:style w:type="paragraph" w:styleId="TOC1">
    <w:name w:val="toc 1"/>
    <w:basedOn w:val="Normal"/>
    <w:next w:val="Normal"/>
    <w:autoRedefine/>
    <w:uiPriority w:val="39"/>
    <w:rsid w:val="007F41E4"/>
    <w:pPr>
      <w:spacing w:before="60" w:after="60" w:line="240" w:lineRule="auto"/>
    </w:pPr>
    <w:rPr>
      <w:rFonts w:asciiTheme="majorHAnsi" w:hAnsiTheme="majorHAnsi"/>
      <w:b/>
      <w:color w:val="78A22F" w:themeColor="accent1"/>
      <w:sz w:val="18"/>
    </w:rPr>
  </w:style>
  <w:style w:type="paragraph" w:styleId="TOC2">
    <w:name w:val="toc 2"/>
    <w:basedOn w:val="Normal"/>
    <w:next w:val="Normal"/>
    <w:autoRedefine/>
    <w:uiPriority w:val="39"/>
    <w:rsid w:val="007F41E4"/>
    <w:pPr>
      <w:spacing w:line="240" w:lineRule="auto"/>
      <w:ind w:left="397" w:hanging="284"/>
    </w:pPr>
    <w:rPr>
      <w:rFonts w:asciiTheme="majorHAnsi" w:hAnsiTheme="majorHAnsi"/>
      <w:b/>
      <w:sz w:val="16"/>
    </w:rPr>
  </w:style>
  <w:style w:type="paragraph" w:styleId="TOC3">
    <w:name w:val="toc 3"/>
    <w:basedOn w:val="Normal"/>
    <w:next w:val="Normal"/>
    <w:autoRedefine/>
    <w:uiPriority w:val="39"/>
    <w:rsid w:val="007F41E4"/>
    <w:pPr>
      <w:spacing w:line="240" w:lineRule="auto"/>
      <w:ind w:left="624" w:hanging="397"/>
    </w:pPr>
    <w:rPr>
      <w:sz w:val="16"/>
    </w:rPr>
  </w:style>
  <w:style w:type="paragraph" w:styleId="Quote">
    <w:name w:val="Quote"/>
    <w:basedOn w:val="Normal"/>
    <w:next w:val="Normal"/>
    <w:link w:val="QuoteChar"/>
    <w:uiPriority w:val="99"/>
    <w:semiHidden/>
    <w:qFormat/>
    <w:rsid w:val="007F41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7F41E4"/>
    <w:rPr>
      <w:i/>
      <w:iCs/>
      <w:color w:val="404040" w:themeColor="text1" w:themeTint="BF"/>
      <w:sz w:val="22"/>
      <w:szCs w:val="22"/>
    </w:rPr>
  </w:style>
  <w:style w:type="paragraph" w:styleId="TOCHeading">
    <w:name w:val="TOC Heading"/>
    <w:basedOn w:val="Normal"/>
    <w:next w:val="Normal"/>
    <w:uiPriority w:val="24"/>
    <w:rsid w:val="007F41E4"/>
    <w:pPr>
      <w:numPr>
        <w:numId w:val="4"/>
      </w:numPr>
      <w:pBdr>
        <w:bottom w:val="single" w:sz="8" w:space="1" w:color="78A22F" w:themeColor="accent1"/>
      </w:pBdr>
      <w:spacing w:after="240" w:line="360" w:lineRule="atLeast"/>
    </w:pPr>
    <w:rPr>
      <w:rFonts w:asciiTheme="majorHAnsi" w:hAnsiTheme="majorHAnsi"/>
      <w:color w:val="78A22F" w:themeColor="accent1"/>
      <w:sz w:val="32"/>
    </w:rPr>
  </w:style>
  <w:style w:type="paragraph" w:customStyle="1" w:styleId="Source">
    <w:name w:val="Source"/>
    <w:basedOn w:val="BodyText"/>
    <w:next w:val="BodyText"/>
    <w:uiPriority w:val="15"/>
    <w:qFormat/>
    <w:rsid w:val="007F41E4"/>
    <w:pPr>
      <w:numPr>
        <w:numId w:val="3"/>
      </w:numPr>
      <w:jc w:val="right"/>
    </w:pPr>
    <w:rPr>
      <w:rFonts w:asciiTheme="majorHAnsi" w:hAnsiTheme="majorHAnsi"/>
      <w:i/>
      <w:color w:val="58595B" w:themeColor="text2"/>
      <w:sz w:val="16"/>
    </w:rPr>
  </w:style>
  <w:style w:type="numbering" w:customStyle="1" w:styleId="Sources">
    <w:name w:val="Sources"/>
    <w:uiPriority w:val="99"/>
    <w:rsid w:val="007F41E4"/>
    <w:pPr>
      <w:numPr>
        <w:numId w:val="3"/>
      </w:numPr>
    </w:pPr>
  </w:style>
  <w:style w:type="paragraph" w:customStyle="1" w:styleId="Charts">
    <w:name w:val="Charts"/>
    <w:basedOn w:val="Normal"/>
    <w:next w:val="Source"/>
    <w:uiPriority w:val="14"/>
    <w:qFormat/>
    <w:rsid w:val="007F41E4"/>
    <w:pPr>
      <w:spacing w:line="240" w:lineRule="auto"/>
    </w:pPr>
    <w:rPr>
      <w:noProof/>
    </w:rPr>
  </w:style>
  <w:style w:type="paragraph" w:customStyle="1" w:styleId="Pictures">
    <w:name w:val="Pictures"/>
    <w:basedOn w:val="BodyText"/>
    <w:next w:val="Source"/>
    <w:uiPriority w:val="14"/>
    <w:rsid w:val="007F41E4"/>
  </w:style>
  <w:style w:type="paragraph" w:customStyle="1" w:styleId="Notes">
    <w:name w:val="Notes"/>
    <w:basedOn w:val="Normal"/>
    <w:next w:val="BodyText"/>
    <w:uiPriority w:val="17"/>
    <w:qFormat/>
    <w:rsid w:val="007F41E4"/>
    <w:pPr>
      <w:spacing w:after="120"/>
    </w:pPr>
    <w:rPr>
      <w:b/>
      <w:sz w:val="16"/>
    </w:rPr>
  </w:style>
  <w:style w:type="paragraph" w:customStyle="1" w:styleId="SectionHeading">
    <w:name w:val="Section Heading"/>
    <w:basedOn w:val="BodyText"/>
    <w:next w:val="Level1"/>
    <w:uiPriority w:val="11"/>
    <w:qFormat/>
    <w:rsid w:val="007F41E4"/>
    <w:pPr>
      <w:pBdr>
        <w:bottom w:val="single" w:sz="8" w:space="1" w:color="78A22F" w:themeColor="accent1"/>
      </w:pBdr>
      <w:spacing w:line="360" w:lineRule="atLeast"/>
      <w:jc w:val="left"/>
    </w:pPr>
    <w:rPr>
      <w:rFonts w:asciiTheme="majorHAnsi" w:hAnsiTheme="majorHAnsi"/>
      <w:color w:val="78A22F" w:themeColor="accent1"/>
      <w:sz w:val="32"/>
    </w:rPr>
  </w:style>
  <w:style w:type="paragraph" w:customStyle="1" w:styleId="BodyTextIndented1">
    <w:name w:val="Body Text Indented 1"/>
    <w:basedOn w:val="BodyText"/>
    <w:uiPriority w:val="1"/>
    <w:qFormat/>
    <w:rsid w:val="007F41E4"/>
    <w:pPr>
      <w:ind w:left="567"/>
    </w:pPr>
  </w:style>
  <w:style w:type="paragraph" w:customStyle="1" w:styleId="CoverTitle">
    <w:name w:val="Cover Title"/>
    <w:basedOn w:val="BodyText"/>
    <w:next w:val="CoverSubtitle"/>
    <w:uiPriority w:val="25"/>
    <w:qFormat/>
    <w:rsid w:val="007F41E4"/>
    <w:pPr>
      <w:spacing w:after="360" w:line="240" w:lineRule="auto"/>
      <w:jc w:val="left"/>
    </w:pPr>
    <w:rPr>
      <w:rFonts w:asciiTheme="majorHAnsi" w:hAnsiTheme="majorHAnsi"/>
      <w:b/>
      <w:color w:val="78A22F" w:themeColor="accent1"/>
      <w:sz w:val="72"/>
    </w:rPr>
  </w:style>
  <w:style w:type="paragraph" w:customStyle="1" w:styleId="BodyTextHighlight">
    <w:name w:val="Body Text Highlight"/>
    <w:basedOn w:val="BodyText"/>
    <w:next w:val="BodyText"/>
    <w:link w:val="BodyTextHighlightChar"/>
    <w:uiPriority w:val="7"/>
    <w:rsid w:val="007F41E4"/>
    <w:rPr>
      <w:rFonts w:asciiTheme="majorHAnsi" w:hAnsiTheme="majorHAnsi" w:cstheme="majorHAnsi"/>
      <w:b/>
      <w:color w:val="58595B" w:themeColor="text2"/>
    </w:rPr>
  </w:style>
  <w:style w:type="paragraph" w:customStyle="1" w:styleId="NormalHighlight">
    <w:name w:val="Normal Highlight"/>
    <w:basedOn w:val="Normal"/>
    <w:next w:val="Normal"/>
    <w:link w:val="NormalHighlightChar"/>
    <w:uiPriority w:val="7"/>
    <w:qFormat/>
    <w:rsid w:val="007F41E4"/>
    <w:rPr>
      <w:noProof/>
      <w:color w:val="78A22F" w:themeColor="accent1"/>
    </w:rPr>
  </w:style>
  <w:style w:type="paragraph" w:customStyle="1" w:styleId="Level1">
    <w:name w:val="Level 1"/>
    <w:basedOn w:val="BodyText"/>
    <w:next w:val="BodyTextIndented1"/>
    <w:uiPriority w:val="12"/>
    <w:qFormat/>
    <w:rsid w:val="007F41E4"/>
    <w:pPr>
      <w:numPr>
        <w:ilvl w:val="1"/>
        <w:numId w:val="4"/>
      </w:numPr>
      <w:spacing w:before="60" w:after="60"/>
    </w:pPr>
    <w:rPr>
      <w:rFonts w:asciiTheme="majorHAnsi" w:hAnsiTheme="majorHAnsi"/>
      <w:b/>
      <w:color w:val="78A22F" w:themeColor="accent1"/>
    </w:rPr>
  </w:style>
  <w:style w:type="paragraph" w:customStyle="1" w:styleId="Level2">
    <w:name w:val="Level 2"/>
    <w:basedOn w:val="BodyText"/>
    <w:next w:val="BodyTextIndented1"/>
    <w:uiPriority w:val="12"/>
    <w:qFormat/>
    <w:rsid w:val="007F41E4"/>
    <w:pPr>
      <w:numPr>
        <w:ilvl w:val="2"/>
        <w:numId w:val="4"/>
      </w:numPr>
      <w:spacing w:before="60" w:after="60"/>
    </w:pPr>
    <w:rPr>
      <w:rFonts w:asciiTheme="majorHAnsi" w:hAnsiTheme="majorHAnsi"/>
      <w:b/>
      <w:color w:val="58595B" w:themeColor="text2"/>
    </w:rPr>
  </w:style>
  <w:style w:type="paragraph" w:customStyle="1" w:styleId="Level3">
    <w:name w:val="Level 3"/>
    <w:basedOn w:val="BodyText"/>
    <w:next w:val="BodyTextIndented1"/>
    <w:uiPriority w:val="12"/>
    <w:rsid w:val="007F41E4"/>
    <w:pPr>
      <w:numPr>
        <w:ilvl w:val="3"/>
        <w:numId w:val="4"/>
      </w:numPr>
      <w:spacing w:before="60" w:after="60"/>
    </w:pPr>
    <w:rPr>
      <w:rFonts w:asciiTheme="majorHAnsi" w:hAnsiTheme="majorHAnsi"/>
      <w:color w:val="58595B" w:themeColor="text2"/>
    </w:rPr>
  </w:style>
  <w:style w:type="paragraph" w:customStyle="1" w:styleId="Level4">
    <w:name w:val="Level 4"/>
    <w:basedOn w:val="BodyText"/>
    <w:next w:val="BodyTextIndented1"/>
    <w:uiPriority w:val="12"/>
    <w:rsid w:val="007F41E4"/>
    <w:pPr>
      <w:numPr>
        <w:ilvl w:val="4"/>
        <w:numId w:val="4"/>
      </w:numPr>
      <w:spacing w:before="60" w:after="60"/>
    </w:pPr>
    <w:rPr>
      <w:rFonts w:asciiTheme="majorHAnsi" w:hAnsiTheme="majorHAnsi"/>
      <w:color w:val="58595B" w:themeColor="text2"/>
      <w:sz w:val="18"/>
    </w:rPr>
  </w:style>
  <w:style w:type="paragraph" w:customStyle="1" w:styleId="Level5">
    <w:name w:val="Level 5"/>
    <w:basedOn w:val="BodyText"/>
    <w:next w:val="BodyTextIndented1"/>
    <w:uiPriority w:val="12"/>
    <w:rsid w:val="007F41E4"/>
    <w:pPr>
      <w:numPr>
        <w:ilvl w:val="5"/>
        <w:numId w:val="4"/>
      </w:numPr>
      <w:spacing w:before="60" w:after="60"/>
    </w:pPr>
    <w:rPr>
      <w:rFonts w:asciiTheme="majorHAnsi" w:hAnsiTheme="majorHAnsi"/>
      <w:sz w:val="18"/>
    </w:rPr>
  </w:style>
  <w:style w:type="paragraph" w:customStyle="1" w:styleId="CoverSubtitle">
    <w:name w:val="Cover Subtitle"/>
    <w:basedOn w:val="BodyText"/>
    <w:next w:val="CoverDate0"/>
    <w:uiPriority w:val="26"/>
    <w:qFormat/>
    <w:rsid w:val="007F41E4"/>
    <w:pPr>
      <w:spacing w:after="360"/>
      <w:jc w:val="left"/>
    </w:pPr>
    <w:rPr>
      <w:rFonts w:asciiTheme="majorHAnsi" w:hAnsiTheme="majorHAnsi"/>
      <w:sz w:val="52"/>
    </w:rPr>
  </w:style>
  <w:style w:type="paragraph" w:customStyle="1" w:styleId="CoverFooterHeading">
    <w:name w:val="Cover Footer Heading"/>
    <w:basedOn w:val="BodyText"/>
    <w:uiPriority w:val="29"/>
    <w:rsid w:val="007F41E4"/>
    <w:pPr>
      <w:spacing w:after="0" w:line="220" w:lineRule="atLeast"/>
      <w:ind w:left="397"/>
      <w:jc w:val="left"/>
    </w:pPr>
    <w:rPr>
      <w:rFonts w:asciiTheme="majorHAnsi" w:hAnsiTheme="majorHAnsi"/>
      <w:color w:val="78A22F" w:themeColor="accent1"/>
    </w:rPr>
  </w:style>
  <w:style w:type="paragraph" w:customStyle="1" w:styleId="BodyTextBold">
    <w:name w:val="Body Text Bold"/>
    <w:basedOn w:val="BodyText"/>
    <w:next w:val="BodyText"/>
    <w:link w:val="BodyTextBoldChar"/>
    <w:uiPriority w:val="1"/>
    <w:qFormat/>
    <w:rsid w:val="007F41E4"/>
    <w:rPr>
      <w:b/>
      <w:noProof/>
    </w:rPr>
  </w:style>
  <w:style w:type="paragraph" w:styleId="Date">
    <w:name w:val="Date"/>
    <w:basedOn w:val="CoverDate0"/>
    <w:next w:val="Heading1"/>
    <w:link w:val="DateChar"/>
    <w:uiPriority w:val="10"/>
    <w:qFormat/>
    <w:rsid w:val="007F41E4"/>
    <w:pPr>
      <w:pBdr>
        <w:bottom w:val="single" w:sz="8" w:space="5" w:color="78A22F" w:themeColor="accent1"/>
      </w:pBdr>
      <w:spacing w:before="0" w:after="240"/>
    </w:pPr>
    <w:rPr>
      <w:rFonts w:asciiTheme="minorHAnsi" w:hAnsiTheme="minorHAnsi"/>
      <w:sz w:val="22"/>
    </w:rPr>
  </w:style>
  <w:style w:type="character" w:customStyle="1" w:styleId="DateChar">
    <w:name w:val="Date Char"/>
    <w:basedOn w:val="DefaultParagraphFont"/>
    <w:link w:val="Date"/>
    <w:uiPriority w:val="10"/>
    <w:rsid w:val="007F41E4"/>
    <w:rPr>
      <w:sz w:val="22"/>
      <w:szCs w:val="22"/>
    </w:rPr>
  </w:style>
  <w:style w:type="paragraph" w:customStyle="1" w:styleId="Subject3">
    <w:name w:val="Subject3"/>
    <w:basedOn w:val="BodyText"/>
    <w:next w:val="BodyTextIndented2"/>
    <w:uiPriority w:val="13"/>
    <w:rsid w:val="007F41E4"/>
    <w:pPr>
      <w:spacing w:before="60" w:after="60"/>
    </w:pPr>
    <w:rPr>
      <w:rFonts w:asciiTheme="majorHAnsi" w:hAnsiTheme="majorHAnsi"/>
      <w:color w:val="58595B" w:themeColor="text2"/>
    </w:rPr>
  </w:style>
  <w:style w:type="paragraph" w:customStyle="1" w:styleId="Reportheader">
    <w:name w:val="Report header"/>
    <w:basedOn w:val="Header"/>
    <w:uiPriority w:val="29"/>
    <w:rsid w:val="007F41E4"/>
    <w:rPr>
      <w:b/>
      <w:color w:val="78A22F" w:themeColor="accent1"/>
      <w:sz w:val="22"/>
    </w:rPr>
  </w:style>
  <w:style w:type="paragraph" w:customStyle="1" w:styleId="CoverDate0">
    <w:name w:val="Cover Date"/>
    <w:basedOn w:val="Normal"/>
    <w:next w:val="BodyText"/>
    <w:uiPriority w:val="27"/>
    <w:qFormat/>
    <w:rsid w:val="007F41E4"/>
    <w:pPr>
      <w:spacing w:before="120" w:after="120"/>
    </w:pPr>
    <w:rPr>
      <w:rFonts w:asciiTheme="majorHAnsi" w:hAnsiTheme="majorHAnsi"/>
      <w:sz w:val="36"/>
    </w:rPr>
  </w:style>
  <w:style w:type="paragraph" w:customStyle="1" w:styleId="NormalBold">
    <w:name w:val="Normal Bold"/>
    <w:basedOn w:val="Normal"/>
    <w:next w:val="Normal"/>
    <w:uiPriority w:val="5"/>
    <w:qFormat/>
    <w:rsid w:val="007F41E4"/>
    <w:rPr>
      <w:b/>
    </w:rPr>
  </w:style>
  <w:style w:type="character" w:customStyle="1" w:styleId="NormalHighlightChar">
    <w:name w:val="Normal Highlight Char"/>
    <w:basedOn w:val="DefaultParagraphFont"/>
    <w:link w:val="NormalHighlight"/>
    <w:uiPriority w:val="7"/>
    <w:rsid w:val="007F41E4"/>
    <w:rPr>
      <w:noProof/>
      <w:color w:val="78A22F" w:themeColor="accent1"/>
      <w:sz w:val="22"/>
      <w:szCs w:val="22"/>
    </w:rPr>
  </w:style>
  <w:style w:type="character" w:customStyle="1" w:styleId="BodyTextBoldChar">
    <w:name w:val="Body Text Bold Char"/>
    <w:basedOn w:val="BodyTextChar"/>
    <w:link w:val="BodyTextBold"/>
    <w:uiPriority w:val="1"/>
    <w:rsid w:val="007F41E4"/>
    <w:rPr>
      <w:b/>
      <w:noProof/>
      <w:sz w:val="22"/>
      <w:szCs w:val="22"/>
    </w:rPr>
  </w:style>
  <w:style w:type="character" w:customStyle="1" w:styleId="BodyTextHighlightChar">
    <w:name w:val="Body Text Highlight Char"/>
    <w:basedOn w:val="BodyTextChar"/>
    <w:link w:val="BodyTextHighlight"/>
    <w:uiPriority w:val="7"/>
    <w:rsid w:val="007F41E4"/>
    <w:rPr>
      <w:rFonts w:asciiTheme="majorHAnsi" w:hAnsiTheme="majorHAnsi" w:cstheme="majorHAnsi"/>
      <w:b/>
      <w:color w:val="58595B" w:themeColor="text2"/>
      <w:sz w:val="22"/>
      <w:szCs w:val="22"/>
    </w:rPr>
  </w:style>
  <w:style w:type="paragraph" w:customStyle="1" w:styleId="AFMEPagenumber">
    <w:name w:val="AFME Page number"/>
    <w:basedOn w:val="Footer"/>
    <w:uiPriority w:val="29"/>
    <w:qFormat/>
    <w:rsid w:val="007F41E4"/>
    <w:pPr>
      <w:ind w:right="0"/>
      <w:jc w:val="right"/>
    </w:pPr>
    <w:rPr>
      <w:b/>
    </w:rPr>
  </w:style>
  <w:style w:type="paragraph" w:customStyle="1" w:styleId="AFMEFullName">
    <w:name w:val="AFME Full Name"/>
    <w:basedOn w:val="BodyTextBold"/>
    <w:uiPriority w:val="29"/>
    <w:qFormat/>
    <w:rsid w:val="007F41E4"/>
    <w:pPr>
      <w:spacing w:before="400" w:after="0"/>
      <w:jc w:val="right"/>
    </w:pPr>
    <w:rPr>
      <w:sz w:val="18"/>
      <w:szCs w:val="18"/>
    </w:rPr>
  </w:style>
  <w:style w:type="paragraph" w:customStyle="1" w:styleId="AFMEContactEmail">
    <w:name w:val="AFME Contact Email"/>
    <w:basedOn w:val="NormalHighlight"/>
    <w:next w:val="Normal"/>
    <w:uiPriority w:val="28"/>
    <w:qFormat/>
    <w:rsid w:val="007F41E4"/>
    <w:pPr>
      <w:spacing w:before="120" w:after="120"/>
    </w:pPr>
  </w:style>
  <w:style w:type="paragraph" w:customStyle="1" w:styleId="FooterLegal-letter">
    <w:name w:val="Footer Legal -  letter"/>
    <w:basedOn w:val="FooterOffices"/>
    <w:uiPriority w:val="29"/>
    <w:rsid w:val="007F41E4"/>
    <w:pPr>
      <w:spacing w:line="180" w:lineRule="atLeast"/>
      <w:ind w:left="-794"/>
    </w:pPr>
    <w:rPr>
      <w:sz w:val="14"/>
    </w:rPr>
  </w:style>
  <w:style w:type="paragraph" w:customStyle="1" w:styleId="FooterHeading-letter">
    <w:name w:val="Footer Heading - letter"/>
    <w:basedOn w:val="FooterHeading"/>
    <w:uiPriority w:val="29"/>
    <w:qFormat/>
    <w:rsid w:val="007F41E4"/>
    <w:pPr>
      <w:ind w:left="-794"/>
    </w:pPr>
  </w:style>
  <w:style w:type="paragraph" w:customStyle="1" w:styleId="FooterOffices-letter">
    <w:name w:val="Footer Offices - letter"/>
    <w:basedOn w:val="FooterOffices"/>
    <w:uiPriority w:val="29"/>
    <w:qFormat/>
    <w:rsid w:val="007F41E4"/>
    <w:pPr>
      <w:ind w:left="-794"/>
    </w:pPr>
  </w:style>
  <w:style w:type="paragraph" w:customStyle="1" w:styleId="Default">
    <w:name w:val="Default"/>
    <w:rsid w:val="00AE267C"/>
    <w:pPr>
      <w:autoSpaceDE w:val="0"/>
      <w:autoSpaceDN w:val="0"/>
      <w:adjustRightInd w:val="0"/>
      <w:spacing w:before="120"/>
      <w:jc w:val="both"/>
    </w:pPr>
    <w:rPr>
      <w:rFonts w:ascii="Cambria" w:eastAsiaTheme="minorHAnsi" w:hAnsi="Cambria" w:cs="Cambria"/>
      <w:color w:val="000000"/>
      <w:sz w:val="24"/>
      <w:szCs w:val="24"/>
      <w:lang w:val="en-US" w:eastAsia="en-US"/>
    </w:rPr>
  </w:style>
  <w:style w:type="character" w:styleId="UnresolvedMention">
    <w:name w:val="Unresolved Mention"/>
    <w:basedOn w:val="DefaultParagraphFont"/>
    <w:uiPriority w:val="99"/>
    <w:semiHidden/>
    <w:unhideWhenUsed/>
    <w:rsid w:val="00622EC6"/>
    <w:rPr>
      <w:color w:val="605E5C"/>
      <w:shd w:val="clear" w:color="auto" w:fill="E1DFDD"/>
    </w:rPr>
  </w:style>
  <w:style w:type="character" w:styleId="CommentReference">
    <w:name w:val="annotation reference"/>
    <w:basedOn w:val="DefaultParagraphFont"/>
    <w:uiPriority w:val="99"/>
    <w:semiHidden/>
    <w:unhideWhenUsed/>
    <w:rsid w:val="00F24370"/>
    <w:rPr>
      <w:sz w:val="16"/>
      <w:szCs w:val="16"/>
    </w:rPr>
  </w:style>
  <w:style w:type="paragraph" w:styleId="CommentText">
    <w:name w:val="annotation text"/>
    <w:basedOn w:val="Normal"/>
    <w:link w:val="CommentTextChar"/>
    <w:uiPriority w:val="99"/>
    <w:unhideWhenUsed/>
    <w:rsid w:val="00F24370"/>
    <w:pPr>
      <w:spacing w:line="240" w:lineRule="auto"/>
    </w:pPr>
    <w:rPr>
      <w:sz w:val="20"/>
      <w:szCs w:val="20"/>
    </w:rPr>
  </w:style>
  <w:style w:type="character" w:customStyle="1" w:styleId="CommentTextChar">
    <w:name w:val="Comment Text Char"/>
    <w:basedOn w:val="DefaultParagraphFont"/>
    <w:link w:val="CommentText"/>
    <w:uiPriority w:val="99"/>
    <w:rsid w:val="00F24370"/>
  </w:style>
  <w:style w:type="paragraph" w:styleId="CommentSubject">
    <w:name w:val="annotation subject"/>
    <w:basedOn w:val="CommentText"/>
    <w:next w:val="CommentText"/>
    <w:link w:val="CommentSubjectChar"/>
    <w:uiPriority w:val="99"/>
    <w:semiHidden/>
    <w:unhideWhenUsed/>
    <w:rsid w:val="00F24370"/>
    <w:rPr>
      <w:b/>
      <w:bCs/>
    </w:rPr>
  </w:style>
  <w:style w:type="character" w:customStyle="1" w:styleId="CommentSubjectChar">
    <w:name w:val="Comment Subject Char"/>
    <w:basedOn w:val="CommentTextChar"/>
    <w:link w:val="CommentSubject"/>
    <w:uiPriority w:val="99"/>
    <w:semiHidden/>
    <w:rsid w:val="00F24370"/>
    <w:rPr>
      <w:b/>
      <w:bCs/>
    </w:rPr>
  </w:style>
  <w:style w:type="paragraph" w:styleId="Revision">
    <w:name w:val="Revision"/>
    <w:hidden/>
    <w:uiPriority w:val="99"/>
    <w:semiHidden/>
    <w:rsid w:val="00D67424"/>
    <w:rPr>
      <w:sz w:val="22"/>
      <w:szCs w:val="22"/>
    </w:rPr>
  </w:style>
  <w:style w:type="paragraph" w:styleId="NormalWeb">
    <w:name w:val="Normal (Web)"/>
    <w:basedOn w:val="Normal"/>
    <w:uiPriority w:val="99"/>
    <w:semiHidden/>
    <w:unhideWhenUsed/>
    <w:rsid w:val="00D67424"/>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814E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40589">
      <w:bodyDiv w:val="1"/>
      <w:marLeft w:val="0"/>
      <w:marRight w:val="0"/>
      <w:marTop w:val="0"/>
      <w:marBottom w:val="0"/>
      <w:divBdr>
        <w:top w:val="none" w:sz="0" w:space="0" w:color="auto"/>
        <w:left w:val="none" w:sz="0" w:space="0" w:color="auto"/>
        <w:bottom w:val="none" w:sz="0" w:space="0" w:color="auto"/>
        <w:right w:val="none" w:sz="0" w:space="0" w:color="auto"/>
      </w:divBdr>
    </w:div>
    <w:div w:id="283925528">
      <w:bodyDiv w:val="1"/>
      <w:marLeft w:val="0"/>
      <w:marRight w:val="0"/>
      <w:marTop w:val="0"/>
      <w:marBottom w:val="0"/>
      <w:divBdr>
        <w:top w:val="none" w:sz="0" w:space="0" w:color="auto"/>
        <w:left w:val="none" w:sz="0" w:space="0" w:color="auto"/>
        <w:bottom w:val="none" w:sz="0" w:space="0" w:color="auto"/>
        <w:right w:val="none" w:sz="0" w:space="0" w:color="auto"/>
      </w:divBdr>
    </w:div>
    <w:div w:id="306276501">
      <w:bodyDiv w:val="1"/>
      <w:marLeft w:val="0"/>
      <w:marRight w:val="0"/>
      <w:marTop w:val="0"/>
      <w:marBottom w:val="0"/>
      <w:divBdr>
        <w:top w:val="none" w:sz="0" w:space="0" w:color="auto"/>
        <w:left w:val="none" w:sz="0" w:space="0" w:color="auto"/>
        <w:bottom w:val="none" w:sz="0" w:space="0" w:color="auto"/>
        <w:right w:val="none" w:sz="0" w:space="0" w:color="auto"/>
      </w:divBdr>
    </w:div>
    <w:div w:id="317197449">
      <w:bodyDiv w:val="1"/>
      <w:marLeft w:val="0"/>
      <w:marRight w:val="0"/>
      <w:marTop w:val="0"/>
      <w:marBottom w:val="0"/>
      <w:divBdr>
        <w:top w:val="none" w:sz="0" w:space="0" w:color="auto"/>
        <w:left w:val="none" w:sz="0" w:space="0" w:color="auto"/>
        <w:bottom w:val="none" w:sz="0" w:space="0" w:color="auto"/>
        <w:right w:val="none" w:sz="0" w:space="0" w:color="auto"/>
      </w:divBdr>
    </w:div>
    <w:div w:id="319237697">
      <w:bodyDiv w:val="1"/>
      <w:marLeft w:val="0"/>
      <w:marRight w:val="0"/>
      <w:marTop w:val="0"/>
      <w:marBottom w:val="0"/>
      <w:divBdr>
        <w:top w:val="none" w:sz="0" w:space="0" w:color="auto"/>
        <w:left w:val="none" w:sz="0" w:space="0" w:color="auto"/>
        <w:bottom w:val="none" w:sz="0" w:space="0" w:color="auto"/>
        <w:right w:val="none" w:sz="0" w:space="0" w:color="auto"/>
      </w:divBdr>
    </w:div>
    <w:div w:id="680935028">
      <w:bodyDiv w:val="1"/>
      <w:marLeft w:val="0"/>
      <w:marRight w:val="0"/>
      <w:marTop w:val="0"/>
      <w:marBottom w:val="0"/>
      <w:divBdr>
        <w:top w:val="none" w:sz="0" w:space="0" w:color="auto"/>
        <w:left w:val="none" w:sz="0" w:space="0" w:color="auto"/>
        <w:bottom w:val="none" w:sz="0" w:space="0" w:color="auto"/>
        <w:right w:val="none" w:sz="0" w:space="0" w:color="auto"/>
      </w:divBdr>
    </w:div>
    <w:div w:id="1383942362">
      <w:bodyDiv w:val="1"/>
      <w:marLeft w:val="0"/>
      <w:marRight w:val="0"/>
      <w:marTop w:val="0"/>
      <w:marBottom w:val="0"/>
      <w:divBdr>
        <w:top w:val="none" w:sz="0" w:space="0" w:color="auto"/>
        <w:left w:val="none" w:sz="0" w:space="0" w:color="auto"/>
        <w:bottom w:val="none" w:sz="0" w:space="0" w:color="auto"/>
        <w:right w:val="none" w:sz="0" w:space="0" w:color="auto"/>
      </w:divBdr>
    </w:div>
    <w:div w:id="1551458848">
      <w:bodyDiv w:val="1"/>
      <w:marLeft w:val="0"/>
      <w:marRight w:val="0"/>
      <w:marTop w:val="0"/>
      <w:marBottom w:val="0"/>
      <w:divBdr>
        <w:top w:val="none" w:sz="0" w:space="0" w:color="auto"/>
        <w:left w:val="none" w:sz="0" w:space="0" w:color="auto"/>
        <w:bottom w:val="none" w:sz="0" w:space="0" w:color="auto"/>
        <w:right w:val="none" w:sz="0" w:space="0" w:color="auto"/>
      </w:divBdr>
    </w:div>
    <w:div w:id="2009137870">
      <w:bodyDiv w:val="1"/>
      <w:marLeft w:val="0"/>
      <w:marRight w:val="0"/>
      <w:marTop w:val="0"/>
      <w:marBottom w:val="0"/>
      <w:divBdr>
        <w:top w:val="none" w:sz="0" w:space="0" w:color="auto"/>
        <w:left w:val="none" w:sz="0" w:space="0" w:color="auto"/>
        <w:bottom w:val="none" w:sz="0" w:space="0" w:color="auto"/>
        <w:right w:val="none" w:sz="0" w:space="0" w:color="auto"/>
      </w:divBdr>
    </w:div>
    <w:div w:id="21122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co.Chen@afme.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oChen\Association%20for%20Financial%20Markets%20in%20Europe\Templates%20-%20Docs\Consultation%20Response.dotx" TargetMode="External"/></Relationships>
</file>

<file path=word/theme/theme1.xml><?xml version="1.0" encoding="utf-8"?>
<a:theme xmlns:a="http://schemas.openxmlformats.org/drawingml/2006/main" name="AFME">
  <a:themeElements>
    <a:clrScheme name="AFME">
      <a:dk1>
        <a:sysClr val="windowText" lastClr="000000"/>
      </a:dk1>
      <a:lt1>
        <a:sysClr val="window" lastClr="FFFFFF"/>
      </a:lt1>
      <a:dk2>
        <a:srgbClr val="58595B"/>
      </a:dk2>
      <a:lt2>
        <a:srgbClr val="CFD0D2"/>
      </a:lt2>
      <a:accent1>
        <a:srgbClr val="78A22F"/>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AFME">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FME" id="{46E60531-B48E-4EE8-9BA3-C3F6A6429AB7}" vid="{DFAD1022-53B1-402F-87A4-C9D8E056B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1EEB8983CA24798F40374CBD591FF" ma:contentTypeVersion="18" ma:contentTypeDescription="Create a new document." ma:contentTypeScope="" ma:versionID="78693bea7ae0b26df5833ceb91eec49d">
  <xsd:schema xmlns:xsd="http://www.w3.org/2001/XMLSchema" xmlns:xs="http://www.w3.org/2001/XMLSchema" xmlns:p="http://schemas.microsoft.com/office/2006/metadata/properties" xmlns:ns2="ba7f0816-f8c9-4964-9fad-d55b5770d626" xmlns:ns3="b647418d-44e1-48b8-8605-6e0678f35206" targetNamespace="http://schemas.microsoft.com/office/2006/metadata/properties" ma:root="true" ma:fieldsID="a93f881b039c4de402b56d19698460bd" ns2:_="" ns3:_="">
    <xsd:import namespace="ba7f0816-f8c9-4964-9fad-d55b5770d626"/>
    <xsd:import namespace="b647418d-44e1-48b8-8605-6e0678f35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0816-f8c9-4964-9fad-d55b5770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7418d-44e1-48b8-8605-6e0678f352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e1009b-b6ba-4392-83a2-dc79cf530015}" ma:internalName="TaxCatchAll" ma:showField="CatchAllData" ma:web="b647418d-44e1-48b8-8605-6e0678f3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47418d-44e1-48b8-8605-6e0678f35206" xsi:nil="true"/>
    <lcf76f155ced4ddcb4097134ff3c332f xmlns="ba7f0816-f8c9-4964-9fad-d55b5770d626">
      <Terms xmlns="http://schemas.microsoft.com/office/infopath/2007/PartnerControls"/>
    </lcf76f155ced4ddcb4097134ff3c332f>
    <SharedWithUsers xmlns="b647418d-44e1-48b8-8605-6e0678f35206">
      <UserInfo>
        <DisplayName>Raouiya Lebbakh</DisplayName>
        <AccountId>437</AccountId>
        <AccountType/>
      </UserInfo>
    </SharedWithUsers>
  </documentManagement>
</p:properties>
</file>

<file path=customXml/itemProps1.xml><?xml version="1.0" encoding="utf-8"?>
<ds:datastoreItem xmlns:ds="http://schemas.openxmlformats.org/officeDocument/2006/customXml" ds:itemID="{835277CE-0769-4061-96F7-F49A7A84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0816-f8c9-4964-9fad-d55b5770d626"/>
    <ds:schemaRef ds:uri="b647418d-44e1-48b8-8605-6e0678f3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081CE-0271-4721-AF94-C3BDF29CE3F2}">
  <ds:schemaRefs>
    <ds:schemaRef ds:uri="http://schemas.openxmlformats.org/officeDocument/2006/bibliography"/>
  </ds:schemaRefs>
</ds:datastoreItem>
</file>

<file path=customXml/itemProps3.xml><?xml version="1.0" encoding="utf-8"?>
<ds:datastoreItem xmlns:ds="http://schemas.openxmlformats.org/officeDocument/2006/customXml" ds:itemID="{61A9687B-5F6F-45AA-A0FA-849D5A334148}">
  <ds:schemaRefs>
    <ds:schemaRef ds:uri="http://schemas.microsoft.com/sharepoint/v3/contenttype/forms"/>
  </ds:schemaRefs>
</ds:datastoreItem>
</file>

<file path=customXml/itemProps4.xml><?xml version="1.0" encoding="utf-8"?>
<ds:datastoreItem xmlns:ds="http://schemas.openxmlformats.org/officeDocument/2006/customXml" ds:itemID="{AD1FAD3B-D102-43F6-9C2A-E19326C12546}">
  <ds:schemaRefs>
    <ds:schemaRef ds:uri="http://schemas.microsoft.com/office/2006/documentManagement/types"/>
    <ds:schemaRef ds:uri="http://schemas.openxmlformats.org/package/2006/metadata/core-properties"/>
    <ds:schemaRef ds:uri="ba7f0816-f8c9-4964-9fad-d55b5770d626"/>
    <ds:schemaRef ds:uri="http://www.w3.org/XML/1998/namespace"/>
    <ds:schemaRef ds:uri="http://schemas.microsoft.com/office/infopath/2007/PartnerControls"/>
    <ds:schemaRef ds:uri="b647418d-44e1-48b8-8605-6e0678f35206"/>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Consultation Response</Template>
  <TotalTime>0</TotalTime>
  <Pages>6</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Capgemini UK plc</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Coco Chen</dc:creator>
  <cp:lastModifiedBy>Coco Chen</cp:lastModifiedBy>
  <cp:revision>12</cp:revision>
  <cp:lastPrinted>2015-10-27T19:53:00Z</cp:lastPrinted>
  <dcterms:created xsi:type="dcterms:W3CDTF">2024-04-23T22:17:00Z</dcterms:created>
  <dcterms:modified xsi:type="dcterms:W3CDTF">2024-04-23T22:28:00Z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1,2,5</vt:lpwstr>
  </property>
  <property fmtid="{D5CDD505-2E9C-101B-9397-08002B2CF9AE}" pid="4" name="ClassificationContentMarkingFooterFontProps">
    <vt:lpwstr>#ff8c00,10,Calibri</vt:lpwstr>
  </property>
  <property fmtid="{D5CDD505-2E9C-101B-9397-08002B2CF9AE}" pid="5" name="ClassificationContentMarkingFooterText">
    <vt:lpwstr>Classification : Confidential</vt:lpwstr>
  </property>
  <property fmtid="{D5CDD505-2E9C-101B-9397-08002B2CF9AE}" pid="6" name="MSIP_Label_a6b9b49c-3903-4fd4-a343-18d82815dc85_Enabled">
    <vt:lpwstr>true</vt:lpwstr>
  </property>
  <property fmtid="{D5CDD505-2E9C-101B-9397-08002B2CF9AE}" pid="7" name="MSIP_Label_a6b9b49c-3903-4fd4-a343-18d82815dc85_SetDate">
    <vt:lpwstr>2024-03-22T16:31:42Z</vt:lpwstr>
  </property>
  <property fmtid="{D5CDD505-2E9C-101B-9397-08002B2CF9AE}" pid="8" name="MSIP_Label_a6b9b49c-3903-4fd4-a343-18d82815dc85_Method">
    <vt:lpwstr>Privileged</vt:lpwstr>
  </property>
  <property fmtid="{D5CDD505-2E9C-101B-9397-08002B2CF9AE}" pid="9" name="MSIP_Label_a6b9b49c-3903-4fd4-a343-18d82815dc85_Name">
    <vt:lpwstr>Intra and extragroup use</vt:lpwstr>
  </property>
  <property fmtid="{D5CDD505-2E9C-101B-9397-08002B2CF9AE}" pid="10" name="MSIP_Label_a6b9b49c-3903-4fd4-a343-18d82815dc85_SiteId">
    <vt:lpwstr>614f9c25-bffa-42c7-86d8-964101f55fa2</vt:lpwstr>
  </property>
  <property fmtid="{D5CDD505-2E9C-101B-9397-08002B2CF9AE}" pid="11" name="MSIP_Label_a6b9b49c-3903-4fd4-a343-18d82815dc85_ActionId">
    <vt:lpwstr>4bade543-16c4-40a8-923c-5d4bc3e0f9c2</vt:lpwstr>
  </property>
  <property fmtid="{D5CDD505-2E9C-101B-9397-08002B2CF9AE}" pid="12" name="MSIP_Label_a6b9b49c-3903-4fd4-a343-18d82815dc85_ContentBits">
    <vt:lpwstr>2</vt:lpwstr>
  </property>
  <property fmtid="{D5CDD505-2E9C-101B-9397-08002B2CF9AE}" pid="13" name="ContentTypeId">
    <vt:lpwstr>0x01010049B1EEB8983CA24798F40374CBD591FF</vt:lpwstr>
  </property>
  <property fmtid="{D5CDD505-2E9C-101B-9397-08002B2CF9AE}" pid="14" name="MSIP_Label_0699b097-9bf6-4f61-bb2a-796cf4f311c2_Enabled">
    <vt:lpwstr>true</vt:lpwstr>
  </property>
  <property fmtid="{D5CDD505-2E9C-101B-9397-08002B2CF9AE}" pid="15" name="MSIP_Label_0699b097-9bf6-4f61-bb2a-796cf4f311c2_SetDate">
    <vt:lpwstr>2024-04-20T16:53:45Z</vt:lpwstr>
  </property>
  <property fmtid="{D5CDD505-2E9C-101B-9397-08002B2CF9AE}" pid="16" name="MSIP_Label_0699b097-9bf6-4f61-bb2a-796cf4f311c2_Method">
    <vt:lpwstr>Privileged</vt:lpwstr>
  </property>
  <property fmtid="{D5CDD505-2E9C-101B-9397-08002B2CF9AE}" pid="17" name="MSIP_Label_0699b097-9bf6-4f61-bb2a-796cf4f311c2_Name">
    <vt:lpwstr>IUO - Classify Only</vt:lpwstr>
  </property>
  <property fmtid="{D5CDD505-2E9C-101B-9397-08002B2CF9AE}" pid="18" name="MSIP_Label_0699b097-9bf6-4f61-bb2a-796cf4f311c2_SiteId">
    <vt:lpwstr>106bdeea-f616-4dfc-bc1d-6cbbf45e2011</vt:lpwstr>
  </property>
  <property fmtid="{D5CDD505-2E9C-101B-9397-08002B2CF9AE}" pid="19" name="MSIP_Label_0699b097-9bf6-4f61-bb2a-796cf4f311c2_ActionId">
    <vt:lpwstr>a6db813a-f57e-43dc-9e43-eac6b97a252f</vt:lpwstr>
  </property>
  <property fmtid="{D5CDD505-2E9C-101B-9397-08002B2CF9AE}" pid="20" name="MSIP_Label_0699b097-9bf6-4f61-bb2a-796cf4f311c2_ContentBits">
    <vt:lpwstr>0</vt:lpwstr>
  </property>
</Properties>
</file>