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AF2EF7" w:rsidRPr="00B16706" w:rsidP="00AF2EF7" w14:paraId="61BFF4B7" w14:textId="77777777">
      <w:pPr>
        <w:spacing w:line="276" w:lineRule="auto"/>
        <w:rPr>
          <w:rFonts w:asciiTheme="minorHAnsi" w:hAnsiTheme="minorHAnsi" w:cstheme="minorHAnsi"/>
          <w:color w:val="FF0000"/>
          <w:sz w:val="20"/>
          <w:szCs w:val="20"/>
        </w:rPr>
      </w:pPr>
    </w:p>
    <w:p w:rsidR="00AF2EF7" w:rsidRPr="00B16706" w:rsidP="00AF2EF7" w14:paraId="1C1BFAE2" w14:textId="77777777">
      <w:pPr>
        <w:spacing w:after="120" w:line="276" w:lineRule="auto"/>
        <w:rPr>
          <w:rFonts w:asciiTheme="minorHAnsi" w:hAnsiTheme="minorHAnsi" w:cstheme="minorHAnsi"/>
          <w:sz w:val="20"/>
          <w:szCs w:val="20"/>
        </w:rPr>
      </w:pPr>
    </w:p>
    <w:p w:rsidR="00AF2EF7" w:rsidRPr="00B16706" w:rsidP="00AF2EF7" w14:paraId="787460E0" w14:textId="7777777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tblPr>
      <w:tblGrid>
        <w:gridCol w:w="10490"/>
      </w:tblGrid>
      <w:tr w14:paraId="0C950478" w14:textId="77777777" w:rsidTr="006A5E48">
        <w:tblPrEx>
          <w:tblW w:w="10490" w:type="dxa"/>
          <w:tblLayout w:type="fixed"/>
          <w:tblCellMar>
            <w:left w:w="0" w:type="dxa"/>
            <w:right w:w="0" w:type="dxa"/>
          </w:tblCellMar>
          <w:tblLook w:val="01E0"/>
        </w:tblPrEx>
        <w:trPr>
          <w:trHeight w:hRule="exact" w:val="1492"/>
        </w:trPr>
        <w:tc>
          <w:tcPr>
            <w:tcW w:w="10490" w:type="dxa"/>
            <w:vAlign w:val="bottom"/>
          </w:tcPr>
          <w:p w:rsidR="00FA64BE" w:rsidRPr="00FA64BE" w:rsidP="00FA64BE" w14:paraId="7592A37E" w14:textId="30C4D00D">
            <w:pPr>
              <w:pStyle w:val="Title"/>
              <w:rPr>
                <w:sz w:val="48"/>
                <w:szCs w:val="48"/>
              </w:rPr>
            </w:pPr>
            <w:r w:rsidRPr="00FA64BE">
              <w:rPr>
                <w:sz w:val="48"/>
                <w:szCs w:val="48"/>
              </w:rPr>
              <w:t xml:space="preserve">Reply form </w:t>
            </w:r>
          </w:p>
          <w:p w:rsidR="00FA64BE" w:rsidRPr="00FA64BE" w:rsidP="00FA64BE" w14:paraId="096E5E5D" w14:textId="77777777"/>
          <w:p w:rsidR="006A5E48" w:rsidRPr="00FA64BE" w:rsidP="00FA64BE" w14:paraId="0665DB26" w14:textId="766E1254">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Pr="005664AB" w:rsid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14:paraId="6442D9C9" w14:textId="77777777" w:rsidTr="006A5E48">
        <w:tblPrEx>
          <w:tblW w:w="10490" w:type="dxa"/>
          <w:tblLayout w:type="fixed"/>
          <w:tblCellMar>
            <w:left w:w="0" w:type="dxa"/>
            <w:right w:w="0" w:type="dxa"/>
          </w:tblCellMar>
          <w:tblLook w:val="01E0"/>
        </w:tblPrEx>
        <w:trPr>
          <w:trHeight w:hRule="exact" w:val="747"/>
        </w:trPr>
        <w:tc>
          <w:tcPr>
            <w:tcW w:w="10490" w:type="dxa"/>
            <w:tcMar>
              <w:top w:w="142" w:type="dxa"/>
            </w:tcMar>
          </w:tcPr>
          <w:p w:rsidR="006A5E48" w:rsidRPr="00B16706" w:rsidP="006A5E48" w14:paraId="4BD923E5" w14:textId="77777777">
            <w:pPr>
              <w:pStyle w:val="Heading2"/>
              <w:numPr>
                <w:ilvl w:val="0"/>
                <w:numId w:val="0"/>
              </w:numPr>
              <w:spacing w:before="0"/>
              <w:rPr>
                <w:sz w:val="22"/>
                <w:szCs w:val="22"/>
              </w:rPr>
            </w:pPr>
          </w:p>
        </w:tc>
      </w:tr>
    </w:tbl>
    <w:p w:rsidR="00AF2EF7" w:rsidRPr="00B16706" w:rsidP="00AF2EF7" w14:paraId="23B57B18" w14:textId="77777777">
      <w:pPr>
        <w:spacing w:line="276" w:lineRule="auto"/>
        <w:rPr>
          <w:rFonts w:asciiTheme="minorHAnsi" w:hAnsiTheme="minorHAnsi" w:cstheme="minorHAnsi"/>
          <w:sz w:val="20"/>
          <w:szCs w:val="20"/>
        </w:rPr>
      </w:pPr>
    </w:p>
    <w:p w:rsidR="00AF2EF7" w:rsidRPr="00B16706" w:rsidP="00AF2EF7" w14:paraId="04401C2B" w14:textId="77777777">
      <w:pPr>
        <w:spacing w:line="276" w:lineRule="auto"/>
        <w:rPr>
          <w:rFonts w:asciiTheme="minorHAnsi" w:hAnsiTheme="minorHAnsi" w:cstheme="minorHAnsi"/>
          <w:sz w:val="20"/>
          <w:szCs w:val="20"/>
        </w:rPr>
      </w:pPr>
    </w:p>
    <w:p w:rsidR="00AF2EF7" w:rsidRPr="00B16706" w:rsidP="00FA64BE" w14:paraId="5B933631" w14:textId="2F88045F">
      <w:pPr>
        <w:pStyle w:val="Heading2"/>
        <w:numPr>
          <w:ilvl w:val="0"/>
          <w:numId w:val="0"/>
        </w:numPr>
        <w:sectPr w:rsidSect="007E7997">
          <w:headerReference w:type="default"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9779055" w="7569200" stroke="1">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xmlns:r="http://schemas.openxmlformats.org/officeDocument/2006/relationships"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8" o:spid="_x0000_s1025" style="width:596.1pt;height:769.85pt;margin-top:91.15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57216" coordsize="7569200,9779055" o:allowoverlap="f" path="m2939613,926867c5038819,-714379,6826523,267027,7569200,545025l7569200,3173124l7569200,9779055l7569200,9779055l,9779055l,9779055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anchorlock/>
              </v:shape>
            </w:pict>
          </mc:Fallback>
        </mc:AlternateContent>
      </w:r>
    </w:p>
    <w:p w:rsidR="00AF2EF7" w:rsidRPr="00B16706" w:rsidP="00AF2EF7" w14:paraId="3992D496" w14:textId="77777777">
      <w:pPr>
        <w:numPr>
          <w:ilvl w:val="1"/>
          <w:numId w:val="0"/>
        </w:numPr>
        <w:spacing w:after="250" w:line="276" w:lineRule="auto"/>
        <w:jc w:val="both"/>
        <w:rPr>
          <w:rFonts w:asciiTheme="majorHAnsi" w:eastAsiaTheme="majorEastAsia" w:hAnsiTheme="majorHAnsi" w:cstheme="majorBidi"/>
          <w:b/>
          <w:sz w:val="22"/>
          <w:szCs w:val="20"/>
          <w:lang w:eastAsia="en-US"/>
        </w:rPr>
      </w:pPr>
    </w:p>
    <w:p w:rsidR="00AF2EF7" w:rsidRPr="00B16706" w:rsidP="00AF2EF7" w14:paraId="50F24FB7" w14:textId="7777777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rsidR="00AB6157" w:rsidRPr="00B16706" w:rsidP="00AB6157" w14:paraId="46CF9AD5" w14:textId="79253B20">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Pr="00B16706" w:rsidR="001F23C9">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rsidR="00AB6157" w:rsidRPr="00B16706" w:rsidP="00AB6157" w14:paraId="2573C72E" w14:textId="7777777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rsidR="00AB6157" w:rsidRPr="00B16706" w:rsidP="00AB6157" w14:paraId="65ACF578" w14:textId="7777777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rsidR="00AB6157" w:rsidRPr="00B16706" w:rsidP="00AB6157" w14:paraId="3751DA8E" w14:textId="7777777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rsidR="00AB6157" w:rsidRPr="00B16706" w:rsidP="00AB6157" w14:paraId="5A3A4AE2" w14:textId="7777777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rsidR="00AB6157" w:rsidRPr="00B16706" w:rsidP="00AB6157" w14:paraId="09579D04" w14:textId="586715F9">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Pr="00A76C98" w:rsidR="002C76AE">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Pr="00A76C98" w:rsidR="002C76AE">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Pr="00A76C98" w:rsidR="002C76AE">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rsidR="00C85C8B" w:rsidRPr="00B16706" w:rsidP="00C85C8B" w14:paraId="71848F2A" w14:textId="7777777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rsidR="00C85C8B" w:rsidRPr="00B16706" w:rsidP="00C85C8B" w14:paraId="057542CF" w14:textId="7777777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rsidR="00A409C2" w:rsidRPr="00A409C2" w:rsidP="00A409C2" w14:paraId="7AAE3F58" w14:textId="1913ECC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rsidR="00A409C2" w:rsidRPr="00871163" w:rsidP="00A409C2" w14:paraId="28D63108" w14:textId="0392516A">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Pr="00A409C2">
        <w:rPr>
          <w:rFonts w:eastAsiaTheme="minorEastAsia" w:cstheme="minorBidi"/>
          <w:sz w:val="18"/>
          <w:szCs w:val="16"/>
          <w:lang w:eastAsia="en-US"/>
        </w:rPr>
        <w:t>se this form and send your responses in Word format (</w:t>
      </w:r>
      <w:r w:rsidRPr="00871163">
        <w:rPr>
          <w:rFonts w:eastAsiaTheme="minorEastAsia" w:cstheme="minorBidi"/>
          <w:b/>
          <w:bCs/>
          <w:sz w:val="18"/>
          <w:szCs w:val="16"/>
          <w:u w:val="single"/>
          <w:lang w:eastAsia="en-US"/>
        </w:rPr>
        <w:t>pdf documents will not be considered except for annexes</w:t>
      </w:r>
      <w:r w:rsidRPr="00871163">
        <w:rPr>
          <w:rFonts w:eastAsiaTheme="minorEastAsia" w:cstheme="minorBidi"/>
          <w:sz w:val="18"/>
          <w:szCs w:val="16"/>
          <w:u w:val="single"/>
          <w:lang w:eastAsia="en-US"/>
        </w:rPr>
        <w:t>);</w:t>
      </w:r>
    </w:p>
    <w:p w:rsidR="00B16706" w:rsidRPr="00A409C2" w:rsidP="00A409C2" w14:paraId="6692798E" w14:textId="1F2B9B3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Pr="00A409C2" w:rsidR="007148CC">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rsidR="00B16706" w:rsidRPr="00A409C2" w:rsidP="00A409C2" w14:paraId="1C4E226A" w14:textId="1D43AA8A">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rsidR="00B16706" w:rsidRPr="00A409C2" w:rsidP="00A409C2" w14:paraId="7C8B1093" w14:textId="51BD5CC4">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rsidR="00A02199" w:rsidRPr="00A409C2" w:rsidP="00AF2EF7" w14:paraId="28EEA743" w14:textId="13ECFE7B">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Pr="003D1099" w:rsidR="003D1099">
        <w:rPr>
          <w:rFonts w:eastAsiaTheme="minorEastAsia" w:cstheme="minorBidi"/>
          <w:sz w:val="18"/>
          <w:szCs w:val="16"/>
          <w:lang w:eastAsia="en-US"/>
        </w:rPr>
        <w:t>on guidelines on conditions and criteria for the classification of crypto-assets as financial instruments</w:t>
      </w:r>
      <w:r w:rsidRPr="00A409C2" w:rsidR="00A409C2">
        <w:rPr>
          <w:rFonts w:eastAsiaTheme="minorEastAsia" w:cstheme="minorBidi"/>
          <w:sz w:val="18"/>
          <w:szCs w:val="16"/>
          <w:lang w:eastAsia="en-US"/>
        </w:rPr>
        <w:t xml:space="preserve">”). </w:t>
      </w:r>
    </w:p>
    <w:p w:rsidR="00AF2EF7" w:rsidRPr="00B16706" w:rsidP="00AF2EF7" w14:paraId="6BB993D0" w14:textId="7777777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rsidR="00AB6157" w:rsidRPr="00B16706" w:rsidP="00AB6157" w14:paraId="214D8BBA" w14:textId="7777777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AF2EF7" w:rsidRPr="00B16706" w:rsidP="00AF2EF7" w14:paraId="144C43BA" w14:textId="4C539C0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rsidR="00AB6157" w:rsidRPr="00B16706" w:rsidP="00AB6157" w14:paraId="1D46B82F" w14:textId="7777777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5"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6"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rsidR="008279D3" w:rsidP="00AF2EF7" w14:paraId="76C89F0D" w14:textId="77777777">
      <w:pPr>
        <w:spacing w:after="250" w:line="276" w:lineRule="auto"/>
        <w:jc w:val="both"/>
        <w:rPr>
          <w:rFonts w:asciiTheme="minorHAnsi" w:eastAsiaTheme="minorEastAsia" w:hAnsiTheme="minorHAnsi" w:cstheme="minorBidi"/>
          <w:b/>
          <w:sz w:val="18"/>
          <w:szCs w:val="16"/>
          <w:lang w:eastAsia="en-US"/>
        </w:rPr>
      </w:pPr>
    </w:p>
    <w:p w:rsidR="00AF2EF7" w:rsidRPr="00B16706" w:rsidP="00AF2EF7" w14:paraId="7C02CD7B" w14:textId="1F4A0C5A">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p w:rsidR="00C85C8B" w:rsidP="008279D3" w14:paraId="1F90B8D3" w14:textId="3CC4F9CC">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Pr="00B16706" w:rsidR="00AF2EF7">
        <w:rPr>
          <w:rFonts w:asciiTheme="minorHAnsi" w:hAnsiTheme="minorHAnsi" w:cstheme="minorHAnsi"/>
          <w:sz w:val="20"/>
          <w:szCs w:val="20"/>
        </w:rPr>
        <w:br w:type="page"/>
      </w:r>
      <w:bookmarkStart w:id="0" w:name="_Toc515564428"/>
    </w:p>
    <w:p w:rsidR="008279D3" w:rsidRPr="008279D3" w:rsidP="008279D3" w14:paraId="16A587D0" w14:textId="77777777"/>
    <w:p w:rsidR="00C85C8B" w:rsidRPr="00B16706" w:rsidP="00C85C8B" w14:paraId="622C18E8" w14:textId="77777777">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14:paraId="63AA68E2" w14:textId="77777777" w:rsidTr="00C16775">
        <w:tblPrEx>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29" w:type="dxa"/>
            <w:shd w:val="clear" w:color="auto" w:fill="auto"/>
          </w:tcPr>
          <w:p w:rsidR="00C85C8B" w:rsidRPr="00B16706" w:rsidP="00C85C8B" w14:paraId="50C47271" w14:textId="77777777">
            <w:pPr>
              <w:rPr>
                <w:rFonts w:ascii="Arial" w:hAnsi="Arial" w:cs="Arial"/>
                <w:sz w:val="18"/>
                <w:szCs w:val="20"/>
                <w:lang w:eastAsia="de-DE"/>
              </w:rPr>
            </w:pPr>
            <w:permStart w:id="1" w:colFirst="1" w:colLast="1" w:edGrp="everyone"/>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rsidR="00C85C8B" w:rsidRPr="00B16706" w:rsidP="00C85C8B" w14:paraId="1B67440D" w14:textId="1ADA999B">
                <w:pPr>
                  <w:rPr>
                    <w:rFonts w:ascii="Arial" w:hAnsi="Arial" w:cs="Arial"/>
                    <w:color w:val="808080"/>
                    <w:sz w:val="16"/>
                    <w:szCs w:val="20"/>
                    <w:lang w:eastAsia="de-DE"/>
                  </w:rPr>
                </w:pPr>
                <w:r>
                  <w:rPr>
                    <w:rFonts w:ascii="Arial" w:hAnsi="Arial" w:cs="Arial"/>
                    <w:color w:val="808080"/>
                    <w:sz w:val="16"/>
                    <w:szCs w:val="20"/>
                    <w:lang w:eastAsia="de-DE"/>
                  </w:rPr>
                  <w:t>KBC Group</w:t>
                </w:r>
              </w:p>
            </w:tc>
          </w:sdtContent>
        </w:sdt>
      </w:tr>
      <w:tr w14:paraId="216F3E57" w14:textId="77777777" w:rsidTr="00C16775">
        <w:tblPrEx>
          <w:tblW w:w="9524" w:type="dxa"/>
          <w:tblLook w:val="04A0"/>
        </w:tblPrEx>
        <w:tc>
          <w:tcPr>
            <w:tcW w:w="3929" w:type="dxa"/>
            <w:shd w:val="clear" w:color="auto" w:fill="auto"/>
          </w:tcPr>
          <w:p w:rsidR="00C85C8B" w:rsidRPr="00B16706" w:rsidP="00C85C8B" w14:paraId="1B868EDB" w14:textId="77777777">
            <w:pPr>
              <w:rPr>
                <w:rFonts w:ascii="Arial" w:hAnsi="Arial" w:cs="Arial"/>
                <w:sz w:val="18"/>
                <w:szCs w:val="20"/>
                <w:lang w:eastAsia="de-DE"/>
              </w:rPr>
            </w:pPr>
            <w:permStart w:id="2" w:colFirst="1" w:colLast="1" w:edGrp="everyone"/>
            <w:permEnd w:id="1"/>
            <w:r w:rsidRPr="00B16706">
              <w:rPr>
                <w:rFonts w:ascii="Arial" w:hAnsi="Arial" w:cs="Arial"/>
                <w:sz w:val="18"/>
                <w:szCs w:val="20"/>
                <w:lang w:eastAsia="de-DE"/>
              </w:rPr>
              <w:t>Activity</w:t>
            </w:r>
          </w:p>
        </w:tc>
        <w:tc>
          <w:tcPr>
            <w:tcW w:w="5595" w:type="dxa"/>
            <w:shd w:val="clear" w:color="auto" w:fill="auto"/>
          </w:tcPr>
          <w:p w:rsidR="00C85C8B" w:rsidRPr="00B16706" w:rsidP="00C85C8B" w14:paraId="1423187D" w14:textId="27E1BCD5">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astValue="Banking sector">
                  <w:listItem w:value="Choose an item."/>
                  <w:listItem w:value="Audit/Legal/Individual" w:displayText="Audit/Legal/Individual"/>
                  <w:listItem w:value="Banking sector" w:displayText="Banking sector"/>
                  <w:listItem w:value="Central Counterparty" w:displayText="Central Counterparty"/>
                  <w:listItem w:value="Government, Regulatory and Enforcement" w:displayText="Government, Regulatory and Enforcement"/>
                  <w:listItem w:value="Insurance and Pension" w:displayText="Insurance and Pension"/>
                  <w:listItem w:value="Investment Services" w:displayText="Investment Services"/>
                  <w:listItem w:value="Non-financial counterparty" w:displayText="Non-financial counterparty"/>
                  <w:listItem w:value="Regulated markets/Exchanges/Trading Systems" w:displayText="Regulated markets/Exchanges/Trading Systems"/>
                  <w:listItem w:value="Other Financial service providers" w:displayText="Other Financial service providers"/>
                </w:comboBox>
              </w:sdtPr>
              <w:sdtContent>
                <w:r>
                  <w:rPr>
                    <w:rFonts w:ascii="Arial" w:hAnsi="Arial" w:cs="Arial"/>
                    <w:sz w:val="16"/>
                    <w:szCs w:val="20"/>
                    <w:lang w:eastAsia="de-DE"/>
                  </w:rPr>
                  <w:t>Banking sector</w:t>
                </w:r>
              </w:sdtContent>
            </w:sdt>
          </w:p>
        </w:tc>
      </w:tr>
      <w:tr w14:paraId="0D216581" w14:textId="77777777" w:rsidTr="00C16775">
        <w:tblPrEx>
          <w:tblW w:w="9524" w:type="dxa"/>
          <w:tblLook w:val="04A0"/>
        </w:tblPrEx>
        <w:tc>
          <w:tcPr>
            <w:tcW w:w="3929" w:type="dxa"/>
            <w:shd w:val="clear" w:color="auto" w:fill="auto"/>
          </w:tcPr>
          <w:p w:rsidR="00C85C8B" w:rsidRPr="00B16706" w:rsidP="00C85C8B" w14:paraId="43B75BA8" w14:textId="77777777">
            <w:pPr>
              <w:rPr>
                <w:rFonts w:ascii="Arial" w:hAnsi="Arial" w:cs="Arial"/>
                <w:sz w:val="18"/>
                <w:szCs w:val="20"/>
                <w:lang w:eastAsia="de-DE"/>
              </w:rPr>
            </w:pPr>
            <w:permStart w:id="3" w:colFirst="1" w:colLast="1" w:edGrp="everyone"/>
            <w:permEnd w:id="2"/>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rsidR="00C85C8B" w:rsidRPr="00B16706" w:rsidP="00C85C8B" w14:paraId="6C4423E1" w14:textId="3F02B91A">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14:paraId="41DA9EA6" w14:textId="77777777" w:rsidTr="00C16775">
        <w:tblPrEx>
          <w:tblW w:w="9524" w:type="dxa"/>
          <w:tblLook w:val="04A0"/>
        </w:tblPrEx>
        <w:tc>
          <w:tcPr>
            <w:tcW w:w="3929" w:type="dxa"/>
            <w:shd w:val="clear" w:color="auto" w:fill="auto"/>
          </w:tcPr>
          <w:p w:rsidR="00C85C8B" w:rsidRPr="00B16706" w:rsidP="00C85C8B" w14:paraId="553FB597" w14:textId="77777777">
            <w:pPr>
              <w:rPr>
                <w:rFonts w:ascii="Arial" w:hAnsi="Arial" w:cs="Arial"/>
                <w:sz w:val="18"/>
                <w:szCs w:val="20"/>
                <w:lang w:eastAsia="de-DE"/>
              </w:rPr>
            </w:pPr>
            <w:permStart w:id="4" w:colFirst="1" w:colLast="1" w:edGrp="everyone"/>
            <w:permEnd w:id="3"/>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astValue="Belgium">
              <w:listItem w:value="Choose an item."/>
              <w:listItem w:value="Europe" w:displayText="Europe"/>
              <w:listItem w:value="Asia-Pacific" w:displayText="Asia-Pacific"/>
              <w:listItem w:value="North-America" w:displayText="North-America"/>
              <w:listItem w:value="International" w:displayText="International"/>
              <w:listItem w:value="Austria" w:displayText="Austria"/>
              <w:listItem w:value="Belgium" w:displayText="Belgium"/>
              <w:listItem w:value="Bulgaria" w:displayText="Bulgaria"/>
              <w:listItem w:value="Croatia" w:displayText="Croatia"/>
              <w:listItem w:value="Cyprus" w:displayText="Cyprus"/>
              <w:listItem w:value="Czech Republic" w:displayText="Czech Republic"/>
              <w:listItem w:value="Germany" w:displayText="Germany"/>
              <w:listItem w:value="Denmark" w:displayText="Denmark"/>
              <w:listItem w:value="Estonia" w:displayText="Estonia"/>
              <w:listItem w:value="Greece" w:displayText="Greece"/>
              <w:listItem w:value="Spain" w:displayText="Spain"/>
              <w:listItem w:value="Finland" w:displayText="Finland"/>
              <w:listItem w:value="France" w:displayText="France"/>
              <w:listItem w:value="Hungary" w:displayText="Hungary"/>
              <w:listItem w:value="Iceland" w:displayText="Iceland"/>
              <w:listItem w:value="Ireland" w:displayText="Ireland"/>
              <w:listItem w:value="Italy" w:displayText="Italy"/>
              <w:listItem w:value="Lichtenstein" w:displayText="Lichtenstein"/>
              <w:listItem w:value="Lithuania" w:displayText="Lithuania"/>
              <w:listItem w:value="Luxembourg" w:displayText="Luxembourg"/>
              <w:listItem w:value="Malta" w:displayText="Malta"/>
              <w:listItem w:value="Norway" w:displayText="Norway"/>
              <w:listItem w:value="Netherlands" w:displayText="Netherlands"/>
              <w:listItem w:value="Poland" w:displayText="Poland"/>
              <w:listItem w:value="Portugal" w:displayText="Portugal"/>
              <w:listItem w:value="Romania" w:displayText="Romania"/>
              <w:listItem w:value="Slovakia" w:displayText="Slovakia"/>
              <w:listItem w:value="Slovenia" w:displayText="Slovenia"/>
              <w:listItem w:value="Sweden" w:displayText="Sweden"/>
              <w:listItem w:value="Switzerland" w:displayText="Switzerland"/>
              <w:listItem w:value="UK" w:displayText="UK"/>
              <w:listItem w:value="Other" w:displayText="Other"/>
            </w:comboBox>
          </w:sdtPr>
          <w:sdtContent>
            <w:tc>
              <w:tcPr>
                <w:tcW w:w="5595" w:type="dxa"/>
                <w:shd w:val="clear" w:color="auto" w:fill="auto"/>
              </w:tcPr>
              <w:p w:rsidR="00C85C8B" w:rsidRPr="00B16706" w:rsidP="00C85C8B" w14:paraId="082656BF" w14:textId="3343FDC5">
                <w:pPr>
                  <w:rPr>
                    <w:rFonts w:ascii="Arial" w:hAnsi="Arial" w:cs="Arial"/>
                    <w:sz w:val="16"/>
                    <w:szCs w:val="20"/>
                    <w:lang w:eastAsia="de-DE"/>
                  </w:rPr>
                </w:pPr>
                <w:r>
                  <w:rPr>
                    <w:rFonts w:ascii="Arial" w:hAnsi="Arial" w:cs="Arial"/>
                    <w:sz w:val="16"/>
                    <w:szCs w:val="20"/>
                    <w:lang w:eastAsia="de-DE"/>
                  </w:rPr>
                  <w:t>Belgium</w:t>
                </w:r>
              </w:p>
            </w:tc>
          </w:sdtContent>
        </w:sdt>
      </w:tr>
    </w:tbl>
    <w:p w:rsidR="000C5032" w14:paraId="2F5D9ECE" w14:textId="77777777">
      <w:pPr>
        <w:spacing w:after="120" w:line="264" w:lineRule="auto"/>
        <w:rPr>
          <w:rFonts w:asciiTheme="minorHAnsi" w:hAnsiTheme="minorHAnsi" w:cstheme="minorHAnsi"/>
          <w:b/>
          <w:sz w:val="22"/>
          <w:szCs w:val="22"/>
        </w:rPr>
      </w:pPr>
      <w:permEnd w:id="4"/>
      <w:r>
        <w:rPr>
          <w:rFonts w:asciiTheme="minorHAnsi" w:hAnsiTheme="minorHAnsi" w:cstheme="minorHAnsi"/>
          <w:b/>
          <w:sz w:val="22"/>
          <w:szCs w:val="22"/>
        </w:rPr>
        <w:br w:type="page"/>
      </w:r>
    </w:p>
    <w:p w:rsidR="009835AD" w14:paraId="721779C4" w14:textId="518CE3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p w:rsidR="001B1B48" w14:paraId="14C3989A" w14:textId="77777777">
      <w:pPr>
        <w:spacing w:after="120" w:line="264" w:lineRule="auto"/>
        <w:rPr>
          <w:rFonts w:ascii="Arial" w:hAnsi="Arial" w:cs="Arial"/>
          <w:b/>
          <w:sz w:val="22"/>
          <w:szCs w:val="22"/>
          <w:lang w:val="en-US" w:eastAsia="en-US"/>
        </w:rPr>
      </w:pPr>
    </w:p>
    <w:bookmarkEnd w:id="0"/>
    <w:p w:rsidR="001B1B48" w:rsidRPr="001B1B48" w:rsidP="001B1B48" w14:paraId="5B87C99A" w14:textId="77777777">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rsidR="001B1B48" w:rsidRPr="001B1B48" w:rsidP="001B1B48" w14:paraId="034DFB41"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rsidR="001B1B48" w:rsidRPr="001B1B48" w:rsidP="001B1B48" w14:paraId="61ACAC13" w14:textId="77777777">
      <w:pPr>
        <w:spacing w:after="160" w:line="259" w:lineRule="auto"/>
        <w:rPr>
          <w:rFonts w:ascii="Calibri" w:eastAsia="Calibri" w:hAnsi="Calibri"/>
          <w:kern w:val="2"/>
          <w:sz w:val="22"/>
          <w:szCs w:val="22"/>
          <w:lang w:eastAsia="en-US"/>
          <w14:ligatures w14:val="standardContextual"/>
        </w:rPr>
      </w:pPr>
      <w:permStart w:id="5" w:edGrp="everyone"/>
      <w:r w:rsidRPr="001B1B48">
        <w:rPr>
          <w:rFonts w:ascii="Calibri" w:eastAsia="Calibri" w:hAnsi="Calibri"/>
          <w:kern w:val="2"/>
          <w:sz w:val="22"/>
          <w:szCs w:val="22"/>
          <w:lang w:eastAsia="en-US"/>
          <w14:ligatures w14:val="standardContextual"/>
        </w:rPr>
        <w:t>TYPE YOUR TEXT HERE</w:t>
      </w:r>
    </w:p>
    <w:p w:rsidR="001B1B48" w:rsidRPr="001B1B48" w:rsidP="001B1B48" w14:paraId="38524F57" w14:textId="77777777">
      <w:pPr>
        <w:spacing w:after="160" w:line="259" w:lineRule="auto"/>
        <w:rPr>
          <w:rFonts w:ascii="Calibri" w:eastAsia="Calibri" w:hAnsi="Calibri"/>
          <w:kern w:val="2"/>
          <w:sz w:val="22"/>
          <w:szCs w:val="22"/>
          <w:lang w:eastAsia="en-US"/>
          <w14:ligatures w14:val="standardContextual"/>
        </w:rPr>
      </w:pPr>
      <w:permEnd w:id="5"/>
      <w:r w:rsidRPr="001B1B48">
        <w:rPr>
          <w:rFonts w:ascii="Calibri" w:eastAsia="Calibri" w:hAnsi="Calibri"/>
          <w:kern w:val="2"/>
          <w:sz w:val="22"/>
          <w:szCs w:val="22"/>
          <w:lang w:eastAsia="en-US"/>
          <w14:ligatures w14:val="standardContextual"/>
        </w:rPr>
        <w:t>&lt;ESMA_QUESTION_MIC3_1&gt;</w:t>
      </w:r>
    </w:p>
    <w:p w:rsidR="001B1B48" w:rsidRPr="001B1B48" w:rsidP="001B1B48" w14:paraId="48BA7F71" w14:textId="77777777">
      <w:pPr>
        <w:spacing w:after="160" w:line="259" w:lineRule="auto"/>
        <w:rPr>
          <w:rFonts w:ascii="Calibri" w:eastAsia="Calibri" w:hAnsi="Calibri"/>
          <w:kern w:val="2"/>
          <w:sz w:val="22"/>
          <w:szCs w:val="22"/>
          <w:lang w:eastAsia="en-US"/>
          <w14:ligatures w14:val="standardContextual"/>
        </w:rPr>
      </w:pPr>
    </w:p>
    <w:p w:rsidR="001B1B48" w:rsidRPr="001B1B48" w:rsidP="42EC885E" w14:paraId="35B7ECCA" w14:textId="79EA9F39">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Pr="42EC885E" w:rsidR="3EC79034">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rsidR="001B1B48" w:rsidRPr="001B1B48" w:rsidP="001B1B48" w14:paraId="6C03D9F2"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rsidR="008937D9" w:rsidRPr="00327E00" w:rsidP="008937D9" w14:paraId="296A2F44" w14:textId="1FF56518">
      <w:pPr>
        <w:ind w:left="708"/>
        <w:jc w:val="both"/>
        <w:rPr>
          <w:rFonts w:ascii="Arial" w:hAnsi="Arial" w:cs="Arial"/>
          <w:sz w:val="21"/>
          <w:szCs w:val="21"/>
          <w:lang w:eastAsia="en-US"/>
        </w:rPr>
      </w:pPr>
      <w:permStart w:id="6" w:edGrp="everyone"/>
      <w:r w:rsidRPr="00327E00">
        <w:rPr>
          <w:rFonts w:ascii="Arial" w:hAnsi="Arial" w:cs="Arial"/>
          <w:sz w:val="21"/>
          <w:szCs w:val="21"/>
          <w:lang w:eastAsia="en-US"/>
        </w:rPr>
        <w:t xml:space="preserve">KBC broadly agrees with the suggested conditions and criteria. </w:t>
      </w:r>
    </w:p>
    <w:p w:rsidR="008937D9" w:rsidRPr="00327E00" w:rsidP="008937D9" w14:paraId="69A41CA4" w14:textId="77777777">
      <w:pPr>
        <w:jc w:val="both"/>
        <w:rPr>
          <w:rFonts w:ascii="Arial" w:hAnsi="Arial" w:cs="Arial"/>
          <w:sz w:val="21"/>
          <w:szCs w:val="21"/>
          <w:lang w:eastAsia="en-US"/>
        </w:rPr>
      </w:pPr>
      <w:r w:rsidRPr="00327E00">
        <w:rPr>
          <w:rFonts w:ascii="Arial" w:hAnsi="Arial" w:cs="Arial"/>
          <w:sz w:val="21"/>
          <w:szCs w:val="21"/>
          <w:lang w:eastAsia="en-US"/>
        </w:rPr>
        <w:t> </w:t>
      </w:r>
    </w:p>
    <w:p w:rsidR="008937D9" w:rsidP="008937D9" w14:paraId="57EBB0B8" w14:textId="77777777">
      <w:pPr>
        <w:ind w:left="708"/>
        <w:jc w:val="both"/>
        <w:rPr>
          <w:rFonts w:ascii="Arial" w:hAnsi="Arial" w:cs="Arial"/>
          <w:sz w:val="21"/>
          <w:szCs w:val="21"/>
          <w:lang w:eastAsia="en-US"/>
        </w:rPr>
      </w:pPr>
      <w:r w:rsidRPr="00327E00">
        <w:rPr>
          <w:rFonts w:ascii="Arial" w:hAnsi="Arial" w:cs="Arial"/>
          <w:sz w:val="21"/>
          <w:szCs w:val="21"/>
          <w:lang w:eastAsia="en-US"/>
        </w:rPr>
        <w:t>However, one area where further clarification may be required is regarding the notion of "</w:t>
      </w:r>
      <w:r w:rsidRPr="00327E00">
        <w:rPr>
          <w:rFonts w:ascii="Arial" w:hAnsi="Arial" w:cs="Arial"/>
          <w:i/>
          <w:iCs/>
          <w:sz w:val="21"/>
          <w:szCs w:val="21"/>
          <w:lang w:eastAsia="en-US"/>
        </w:rPr>
        <w:t>negotiability</w:t>
      </w:r>
      <w:r w:rsidRPr="00327E00">
        <w:rPr>
          <w:rFonts w:ascii="Arial" w:hAnsi="Arial" w:cs="Arial"/>
          <w:sz w:val="21"/>
          <w:szCs w:val="21"/>
          <w:lang w:eastAsia="en-US"/>
        </w:rPr>
        <w:t xml:space="preserve">". KBC considers that it would be prudent to ensure Guideline 2 is consistent with Guideline 7 "Classification of crypto-assets" (see answer to question 5 below). </w:t>
      </w:r>
    </w:p>
    <w:p w:rsidR="008937D9" w:rsidP="008937D9" w14:paraId="07E76754" w14:textId="77777777">
      <w:pPr>
        <w:jc w:val="both"/>
        <w:rPr>
          <w:rFonts w:ascii="Arial" w:hAnsi="Arial" w:cs="Arial"/>
          <w:sz w:val="21"/>
          <w:szCs w:val="21"/>
          <w:lang w:eastAsia="en-US"/>
        </w:rPr>
      </w:pPr>
    </w:p>
    <w:p w:rsidR="008937D9" w:rsidP="008937D9" w14:paraId="5373A4E2" w14:textId="77777777">
      <w:pPr>
        <w:ind w:left="708"/>
        <w:jc w:val="both"/>
        <w:rPr>
          <w:rFonts w:ascii="Arial" w:hAnsi="Arial" w:cs="Arial"/>
          <w:sz w:val="21"/>
          <w:szCs w:val="21"/>
          <w:lang w:eastAsia="en-US"/>
        </w:rPr>
      </w:pPr>
      <w:r w:rsidRPr="00327E00">
        <w:rPr>
          <w:rFonts w:ascii="Arial" w:hAnsi="Arial" w:cs="Arial"/>
          <w:sz w:val="21"/>
          <w:szCs w:val="21"/>
          <w:lang w:eastAsia="en-US"/>
        </w:rPr>
        <w:t>In paragraph 132 of Guideline</w:t>
      </w:r>
      <w:r>
        <w:rPr>
          <w:rFonts w:ascii="Arial" w:hAnsi="Arial" w:cs="Arial"/>
          <w:sz w:val="21"/>
          <w:szCs w:val="21"/>
          <w:lang w:eastAsia="en-US"/>
        </w:rPr>
        <w:t xml:space="preserve"> </w:t>
      </w:r>
      <w:r w:rsidRPr="00327E00">
        <w:rPr>
          <w:rFonts w:ascii="Arial" w:hAnsi="Arial" w:cs="Arial"/>
          <w:sz w:val="21"/>
          <w:szCs w:val="21"/>
          <w:lang w:eastAsia="en-US"/>
        </w:rPr>
        <w:t xml:space="preserve">7 it is stated that crypto-assets that are non-transferable to other holders and that are only accepted either by the issuer or by the offeror do not fall within the definition of crypto-assets and should be excluded from the scope of </w:t>
      </w:r>
      <w:r w:rsidRPr="00327E00">
        <w:rPr>
          <w:rFonts w:ascii="Arial" w:hAnsi="Arial" w:cs="Arial"/>
          <w:sz w:val="21"/>
          <w:szCs w:val="21"/>
          <w:lang w:eastAsia="en-US"/>
        </w:rPr>
        <w:t>MiCA</w:t>
      </w:r>
      <w:r w:rsidRPr="00327E00">
        <w:rPr>
          <w:rFonts w:ascii="Arial" w:hAnsi="Arial" w:cs="Arial"/>
          <w:sz w:val="21"/>
          <w:szCs w:val="21"/>
          <w:lang w:eastAsia="en-US"/>
        </w:rPr>
        <w:t xml:space="preserve">. </w:t>
      </w:r>
    </w:p>
    <w:p w:rsidR="008937D9" w:rsidP="008937D9" w14:paraId="168941C1" w14:textId="77777777">
      <w:pPr>
        <w:jc w:val="both"/>
        <w:rPr>
          <w:rFonts w:ascii="Arial" w:hAnsi="Arial" w:cs="Arial"/>
          <w:sz w:val="21"/>
          <w:szCs w:val="21"/>
          <w:lang w:eastAsia="en-US"/>
        </w:rPr>
      </w:pPr>
    </w:p>
    <w:p w:rsidR="008937D9" w:rsidRPr="00327E00" w:rsidP="008937D9" w14:paraId="2AAC3FD0" w14:textId="77777777">
      <w:pPr>
        <w:ind w:left="708"/>
        <w:jc w:val="both"/>
        <w:rPr>
          <w:rFonts w:ascii="Arial" w:hAnsi="Arial" w:cs="Arial"/>
          <w:sz w:val="21"/>
          <w:szCs w:val="21"/>
          <w:lang w:eastAsia="en-US"/>
        </w:rPr>
      </w:pPr>
      <w:r w:rsidRPr="00327E00">
        <w:rPr>
          <w:rFonts w:ascii="Arial" w:hAnsi="Arial" w:cs="Arial"/>
          <w:sz w:val="21"/>
          <w:szCs w:val="21"/>
          <w:lang w:eastAsia="en-US"/>
        </w:rPr>
        <w:t xml:space="preserve">As per our rationale set out below, KBC considers that Guideline </w:t>
      </w:r>
      <w:r>
        <w:rPr>
          <w:rFonts w:ascii="Arial" w:hAnsi="Arial" w:cs="Arial"/>
          <w:sz w:val="21"/>
          <w:szCs w:val="21"/>
          <w:lang w:eastAsia="en-US"/>
        </w:rPr>
        <w:t>2</w:t>
      </w:r>
      <w:r w:rsidRPr="00327E00">
        <w:rPr>
          <w:rFonts w:ascii="Arial" w:hAnsi="Arial" w:cs="Arial"/>
          <w:sz w:val="21"/>
          <w:szCs w:val="21"/>
          <w:lang w:eastAsia="en-US"/>
        </w:rPr>
        <w:t xml:space="preserve"> should be redrafted as follows:</w:t>
      </w:r>
    </w:p>
    <w:p w:rsidR="008937D9" w:rsidRPr="00327E00" w:rsidP="008937D9" w14:paraId="2D18D8F8" w14:textId="77777777">
      <w:pPr>
        <w:jc w:val="both"/>
        <w:rPr>
          <w:rFonts w:ascii="Arial" w:hAnsi="Arial" w:cs="Arial"/>
          <w:sz w:val="21"/>
          <w:szCs w:val="21"/>
          <w:lang w:eastAsia="en-US"/>
        </w:rPr>
      </w:pPr>
      <w:r w:rsidRPr="00327E00">
        <w:rPr>
          <w:rFonts w:ascii="Arial" w:hAnsi="Arial" w:cs="Arial"/>
          <w:sz w:val="21"/>
          <w:szCs w:val="21"/>
          <w:lang w:eastAsia="en-US"/>
        </w:rPr>
        <w:t> </w:t>
      </w:r>
    </w:p>
    <w:p w:rsidR="008937D9" w:rsidRPr="00D53453" w:rsidP="008937D9" w14:paraId="4D26DB45" w14:textId="7059DF41">
      <w:pPr>
        <w:ind w:left="1416"/>
        <w:rPr>
          <w:rFonts w:ascii="Arial" w:hAnsi="Arial" w:cs="Arial"/>
          <w:i/>
          <w:iCs/>
          <w:sz w:val="21"/>
          <w:szCs w:val="21"/>
          <w:lang w:eastAsia="en-US"/>
        </w:rPr>
      </w:pPr>
      <w:r w:rsidRPr="00D53453">
        <w:rPr>
          <w:rFonts w:ascii="Arial" w:hAnsi="Arial" w:cs="Arial"/>
          <w:i/>
          <w:iCs/>
          <w:sz w:val="21"/>
          <w:szCs w:val="21"/>
          <w:lang w:eastAsia="en-US"/>
        </w:rPr>
        <w:t>108. More specifically, a crypto-asset should be considered to be negotiable where it is</w:t>
      </w:r>
      <w:r>
        <w:rPr>
          <w:rFonts w:ascii="Arial" w:hAnsi="Arial" w:cs="Arial"/>
          <w:i/>
          <w:iCs/>
          <w:sz w:val="21"/>
          <w:szCs w:val="21"/>
          <w:lang w:eastAsia="en-US"/>
        </w:rPr>
        <w:t xml:space="preserve"> </w:t>
      </w:r>
      <w:r w:rsidRPr="00D53453">
        <w:rPr>
          <w:rFonts w:ascii="Arial" w:hAnsi="Arial" w:cs="Arial"/>
          <w:i/>
          <w:iCs/>
          <w:sz w:val="21"/>
          <w:szCs w:val="21"/>
          <w:lang w:eastAsia="en-US"/>
        </w:rPr>
        <w:t>capable of being transferred or traded on capital markets.</w:t>
      </w:r>
      <w:r>
        <w:rPr>
          <w:rFonts w:ascii="Arial" w:hAnsi="Arial" w:cs="Arial"/>
          <w:i/>
          <w:iCs/>
          <w:sz w:val="21"/>
          <w:szCs w:val="21"/>
          <w:lang w:eastAsia="en-US"/>
        </w:rPr>
        <w:t xml:space="preserve"> </w:t>
      </w:r>
      <w:r w:rsidRPr="00D53453">
        <w:rPr>
          <w:rFonts w:ascii="Arial" w:hAnsi="Arial" w:cs="Arial"/>
          <w:i/>
          <w:iCs/>
          <w:sz w:val="21"/>
          <w:szCs w:val="21"/>
          <w:lang w:eastAsia="en-US"/>
        </w:rPr>
        <w:t>The</w:t>
      </w:r>
      <w:r>
        <w:rPr>
          <w:rFonts w:ascii="Arial" w:hAnsi="Arial" w:cs="Arial"/>
          <w:i/>
          <w:iCs/>
          <w:sz w:val="21"/>
          <w:szCs w:val="21"/>
          <w:lang w:eastAsia="en-US"/>
        </w:rPr>
        <w:t xml:space="preserve"> </w:t>
      </w:r>
      <w:r w:rsidRPr="00D53453">
        <w:rPr>
          <w:rFonts w:ascii="Arial" w:hAnsi="Arial" w:cs="Arial"/>
          <w:i/>
          <w:iCs/>
          <w:sz w:val="21"/>
          <w:szCs w:val="21"/>
          <w:lang w:eastAsia="en-US"/>
        </w:rPr>
        <w:t>sole and abstract possibility of being transferred or traded on the capital market should be deemed sufficient, even if there is no specific market for the product yet or even if there is a temporary lock- up period. The negotiability requirement set out in</w:t>
      </w:r>
      <w:r>
        <w:rPr>
          <w:rFonts w:ascii="Arial" w:hAnsi="Arial" w:cs="Arial"/>
          <w:i/>
          <w:iCs/>
          <w:sz w:val="21"/>
          <w:szCs w:val="21"/>
          <w:lang w:eastAsia="en-US"/>
        </w:rPr>
        <w:t xml:space="preserve"> </w:t>
      </w:r>
      <w:r w:rsidRPr="00D53453">
        <w:rPr>
          <w:rFonts w:ascii="Arial" w:hAnsi="Arial" w:cs="Arial"/>
          <w:i/>
          <w:iCs/>
          <w:sz w:val="21"/>
          <w:szCs w:val="21"/>
          <w:lang w:eastAsia="en-US"/>
        </w:rPr>
        <w:t xml:space="preserve">Article 4(1), point (44), of MiFID II seems to be met by </w:t>
      </w:r>
      <w:r w:rsidRPr="00D53453">
        <w:rPr>
          <w:rFonts w:ascii="Arial" w:hAnsi="Arial" w:cs="Arial"/>
          <w:b/>
          <w:bCs/>
          <w:i/>
          <w:iCs/>
          <w:strike/>
          <w:color w:val="FF0000"/>
          <w:sz w:val="21"/>
          <w:szCs w:val="21"/>
          <w:lang w:eastAsia="en-US"/>
        </w:rPr>
        <w:t>most</w:t>
      </w:r>
      <w:r w:rsidRPr="00D53453">
        <w:rPr>
          <w:rFonts w:ascii="Arial" w:hAnsi="Arial" w:cs="Arial"/>
          <w:i/>
          <w:iCs/>
          <w:color w:val="FF0000"/>
          <w:sz w:val="21"/>
          <w:szCs w:val="21"/>
          <w:lang w:eastAsia="en-US"/>
        </w:rPr>
        <w:t xml:space="preserve"> </w:t>
      </w:r>
      <w:r w:rsidRPr="00D53453">
        <w:rPr>
          <w:rFonts w:ascii="Arial" w:hAnsi="Arial" w:cs="Arial"/>
          <w:i/>
          <w:iCs/>
          <w:sz w:val="21"/>
          <w:szCs w:val="21"/>
          <w:lang w:eastAsia="en-US"/>
        </w:rPr>
        <w:t xml:space="preserve">crypto-assets </w:t>
      </w:r>
      <w:r w:rsidRPr="00D53453">
        <w:rPr>
          <w:rFonts w:ascii="Arial" w:hAnsi="Arial" w:cs="Arial"/>
          <w:b/>
          <w:bCs/>
          <w:i/>
          <w:iCs/>
          <w:color w:val="70AD47" w:themeColor="accent6"/>
          <w:sz w:val="21"/>
          <w:szCs w:val="21"/>
          <w:u w:val="single"/>
          <w:lang w:eastAsia="en-US"/>
        </w:rPr>
        <w:t xml:space="preserve">under </w:t>
      </w:r>
      <w:r w:rsidRPr="00D53453">
        <w:rPr>
          <w:rFonts w:ascii="Arial" w:hAnsi="Arial" w:cs="Arial"/>
          <w:b/>
          <w:bCs/>
          <w:i/>
          <w:iCs/>
          <w:color w:val="70AD47" w:themeColor="accent6"/>
          <w:sz w:val="21"/>
          <w:szCs w:val="21"/>
          <w:u w:val="single"/>
          <w:lang w:eastAsia="en-US"/>
        </w:rPr>
        <w:t>MiCA</w:t>
      </w:r>
      <w:r w:rsidRPr="00D53453">
        <w:rPr>
          <w:rFonts w:ascii="Arial" w:hAnsi="Arial" w:cs="Arial"/>
          <w:i/>
          <w:iCs/>
          <w:sz w:val="21"/>
          <w:szCs w:val="21"/>
          <w:lang w:eastAsia="en-US"/>
        </w:rPr>
        <w:t>, since the DLT makes the transfer of ownership from the seller to the buyer possible.</w:t>
      </w:r>
    </w:p>
    <w:p w:rsidR="008937D9" w:rsidRPr="00D53453" w:rsidP="008937D9" w14:paraId="66B6B3D7" w14:textId="77777777">
      <w:pPr>
        <w:ind w:left="1416"/>
        <w:rPr>
          <w:rFonts w:ascii="Arial" w:hAnsi="Arial" w:cs="Arial"/>
          <w:i/>
          <w:iCs/>
          <w:sz w:val="21"/>
          <w:szCs w:val="21"/>
          <w:lang w:eastAsia="en-US"/>
        </w:rPr>
      </w:pPr>
      <w:r w:rsidRPr="00D53453">
        <w:rPr>
          <w:rFonts w:ascii="Arial" w:hAnsi="Arial" w:cs="Arial"/>
          <w:i/>
          <w:iCs/>
          <w:sz w:val="21"/>
          <w:szCs w:val="21"/>
          <w:lang w:eastAsia="en-US"/>
        </w:rPr>
        <w:t> </w:t>
      </w:r>
    </w:p>
    <w:p w:rsidR="008937D9" w:rsidP="008937D9" w14:paraId="0A1E2DC7" w14:textId="44F1C19C">
      <w:pPr>
        <w:ind w:left="1416"/>
        <w:rPr>
          <w:rFonts w:ascii="Arial" w:hAnsi="Arial" w:cs="Arial"/>
          <w:i/>
          <w:iCs/>
          <w:sz w:val="21"/>
          <w:szCs w:val="21"/>
          <w:lang w:eastAsia="en-US"/>
        </w:rPr>
      </w:pPr>
      <w:r w:rsidRPr="00D53453">
        <w:rPr>
          <w:rFonts w:ascii="Arial" w:hAnsi="Arial" w:cs="Arial"/>
          <w:i/>
          <w:iCs/>
          <w:sz w:val="21"/>
          <w:szCs w:val="21"/>
          <w:lang w:eastAsia="en-US"/>
        </w:rPr>
        <w:t>109. A crypto-asset can be designed in a way that it does not allow for any transfer in capital markets. Some restrictions may be placed on negotiability by not allowing holders to negotiate and/or transfer crypto-assets to a person other than the issue</w:t>
      </w:r>
      <w:r>
        <w:rPr>
          <w:rFonts w:ascii="Arial" w:hAnsi="Arial" w:cs="Arial"/>
          <w:i/>
          <w:iCs/>
          <w:sz w:val="21"/>
          <w:szCs w:val="21"/>
          <w:lang w:eastAsia="en-US"/>
        </w:rPr>
        <w:t xml:space="preserve">r </w:t>
      </w:r>
      <w:r w:rsidRPr="00D53453">
        <w:rPr>
          <w:rFonts w:ascii="Arial" w:hAnsi="Arial" w:cs="Arial"/>
          <w:b/>
          <w:bCs/>
          <w:i/>
          <w:iCs/>
          <w:color w:val="70AD47" w:themeColor="accent6"/>
          <w:sz w:val="21"/>
          <w:szCs w:val="21"/>
          <w:u w:val="single"/>
          <w:lang w:eastAsia="en-US"/>
        </w:rPr>
        <w:t xml:space="preserve">or other parties with whom the issuer has </w:t>
      </w:r>
      <w:r w:rsidRPr="00205D22">
        <w:rPr>
          <w:rFonts w:ascii="Arial" w:hAnsi="Arial" w:cs="Arial"/>
          <w:b/>
          <w:bCs/>
          <w:i/>
          <w:iCs/>
          <w:color w:val="70AD47" w:themeColor="accent6"/>
          <w:sz w:val="21"/>
          <w:szCs w:val="21"/>
          <w:u w:val="single"/>
          <w:lang w:eastAsia="en-US"/>
        </w:rPr>
        <w:t>contractual arrangements</w:t>
      </w:r>
      <w:r w:rsidRPr="00D53453">
        <w:rPr>
          <w:rFonts w:ascii="Arial" w:hAnsi="Arial" w:cs="Arial"/>
          <w:i/>
          <w:iCs/>
          <w:sz w:val="21"/>
          <w:szCs w:val="21"/>
          <w:lang w:eastAsia="en-US"/>
        </w:rPr>
        <w:t>. In respect of any restrictions on the transfer of financial instruments, these need to be considered on a case- by-case basis, as the nature and impact of the restriction could be sufficient to render the instrument non</w:t>
      </w:r>
      <w:r>
        <w:rPr>
          <w:rFonts w:ascii="Arial" w:hAnsi="Arial" w:cs="Arial"/>
          <w:i/>
          <w:iCs/>
          <w:sz w:val="21"/>
          <w:szCs w:val="21"/>
          <w:lang w:eastAsia="en-US"/>
        </w:rPr>
        <w:t>-</w:t>
      </w:r>
      <w:r w:rsidRPr="00D53453">
        <w:rPr>
          <w:rFonts w:ascii="Arial" w:hAnsi="Arial" w:cs="Arial"/>
          <w:i/>
          <w:iCs/>
          <w:sz w:val="21"/>
          <w:szCs w:val="21"/>
          <w:lang w:eastAsia="en-US"/>
        </w:rPr>
        <w:t xml:space="preserve">tradable, hence falling outside the definitional scope of “transferable security” </w:t>
      </w:r>
      <w:r w:rsidRPr="00D53453">
        <w:rPr>
          <w:rFonts w:ascii="Arial" w:hAnsi="Arial" w:cs="Arial"/>
          <w:b/>
          <w:bCs/>
          <w:i/>
          <w:iCs/>
          <w:color w:val="70AD47" w:themeColor="accent6"/>
          <w:sz w:val="21"/>
          <w:szCs w:val="21"/>
          <w:u w:val="single"/>
          <w:lang w:eastAsia="en-US"/>
        </w:rPr>
        <w:t xml:space="preserve">and of "crypto-asset" under </w:t>
      </w:r>
      <w:r w:rsidRPr="00D53453">
        <w:rPr>
          <w:rFonts w:ascii="Arial" w:hAnsi="Arial" w:cs="Arial"/>
          <w:b/>
          <w:bCs/>
          <w:i/>
          <w:iCs/>
          <w:color w:val="70AD47" w:themeColor="accent6"/>
          <w:sz w:val="21"/>
          <w:szCs w:val="21"/>
          <w:u w:val="single"/>
          <w:lang w:eastAsia="en-US"/>
        </w:rPr>
        <w:t>MiCA</w:t>
      </w:r>
      <w:r w:rsidRPr="00D53453">
        <w:rPr>
          <w:rFonts w:ascii="Arial" w:hAnsi="Arial" w:cs="Arial"/>
          <w:i/>
          <w:iCs/>
          <w:sz w:val="21"/>
          <w:szCs w:val="21"/>
          <w:lang w:eastAsia="en-US"/>
        </w:rPr>
        <w:t>. Similarly, national competent authorities and market participants should also take into account other restrictions that may exist which may not prevent a crypto-asset from being tradable (e.g. selling restrictions for a specified period of time, lock-up, specific country limitation).</w:t>
      </w:r>
    </w:p>
    <w:p w:rsidR="008937D9" w:rsidP="008937D9" w14:paraId="099D4B73" w14:textId="16B7033E">
      <w:pPr>
        <w:ind w:left="1416"/>
        <w:rPr>
          <w:rFonts w:ascii="Arial" w:hAnsi="Arial" w:cs="Arial"/>
          <w:i/>
          <w:iCs/>
          <w:sz w:val="21"/>
          <w:szCs w:val="21"/>
          <w:lang w:eastAsia="en-US"/>
        </w:rPr>
      </w:pPr>
    </w:p>
    <w:p w:rsidR="008937D9" w:rsidRPr="00D53453" w:rsidP="008937D9" w14:paraId="06041959" w14:textId="77777777">
      <w:pPr>
        <w:ind w:left="1416"/>
        <w:rPr>
          <w:rFonts w:ascii="Arial" w:hAnsi="Arial" w:cs="Arial"/>
          <w:i/>
          <w:iCs/>
          <w:sz w:val="21"/>
          <w:szCs w:val="21"/>
          <w:lang w:eastAsia="en-US"/>
        </w:rPr>
      </w:pPr>
    </w:p>
    <w:p w:rsidR="001B1B48" w:rsidRPr="001B1B48" w:rsidP="001B1B48" w14:paraId="578EB98F" w14:textId="77777777">
      <w:pPr>
        <w:spacing w:after="160" w:line="259" w:lineRule="auto"/>
        <w:rPr>
          <w:rFonts w:ascii="Calibri" w:eastAsia="Calibri" w:hAnsi="Calibri"/>
          <w:kern w:val="2"/>
          <w:sz w:val="22"/>
          <w:szCs w:val="22"/>
          <w:lang w:eastAsia="en-US"/>
          <w14:ligatures w14:val="standardContextual"/>
        </w:rPr>
      </w:pPr>
      <w:permEnd w:id="6"/>
      <w:r w:rsidRPr="001B1B48">
        <w:rPr>
          <w:rFonts w:ascii="Calibri" w:eastAsia="Calibri" w:hAnsi="Calibri"/>
          <w:kern w:val="2"/>
          <w:sz w:val="22"/>
          <w:szCs w:val="22"/>
          <w:lang w:eastAsia="en-US"/>
          <w14:ligatures w14:val="standardContextual"/>
        </w:rPr>
        <w:t>&lt;ESMA_QUESTION_MIC3_2&gt;</w:t>
      </w:r>
    </w:p>
    <w:p w:rsidR="001B1B48" w:rsidRPr="001B1B48" w:rsidP="001B1B48" w14:paraId="19719837" w14:textId="77777777">
      <w:pPr>
        <w:spacing w:after="160" w:line="259" w:lineRule="auto"/>
        <w:rPr>
          <w:rFonts w:ascii="Calibri" w:eastAsia="Calibri" w:hAnsi="Calibri"/>
          <w:kern w:val="2"/>
          <w:sz w:val="22"/>
          <w:szCs w:val="22"/>
          <w:lang w:eastAsia="en-US"/>
          <w14:ligatures w14:val="standardContextual"/>
        </w:rPr>
      </w:pPr>
    </w:p>
    <w:p w:rsidR="001B1B48" w:rsidRPr="001B1B48" w:rsidP="001B1B48" w14:paraId="35E933B9" w14:textId="77777777">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rsidR="001B1B48" w:rsidRPr="001B1B48" w:rsidP="001B1B48" w14:paraId="4E720D75"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rsidR="001B1B48" w:rsidRPr="001B1B48" w:rsidP="001B1B48" w14:paraId="087B25C3" w14:textId="77777777">
      <w:pPr>
        <w:spacing w:after="160" w:line="259" w:lineRule="auto"/>
        <w:rPr>
          <w:rFonts w:ascii="Calibri" w:eastAsia="Calibri" w:hAnsi="Calibri"/>
          <w:kern w:val="2"/>
          <w:sz w:val="22"/>
          <w:szCs w:val="22"/>
          <w:lang w:eastAsia="en-US"/>
          <w14:ligatures w14:val="standardContextual"/>
        </w:rPr>
      </w:pPr>
      <w:permStart w:id="7" w:edGrp="everyone"/>
      <w:r w:rsidRPr="001B1B48">
        <w:rPr>
          <w:rFonts w:ascii="Calibri" w:eastAsia="Calibri" w:hAnsi="Calibri"/>
          <w:kern w:val="2"/>
          <w:sz w:val="22"/>
          <w:szCs w:val="22"/>
          <w:lang w:eastAsia="en-US"/>
          <w14:ligatures w14:val="standardContextual"/>
        </w:rPr>
        <w:t>TYPE YOUR TEXT HERE</w:t>
      </w:r>
    </w:p>
    <w:p w:rsidR="001B1B48" w:rsidRPr="001B1B48" w:rsidP="001B1B48" w14:paraId="77645EA9" w14:textId="77777777">
      <w:pPr>
        <w:spacing w:after="160" w:line="259" w:lineRule="auto"/>
        <w:rPr>
          <w:rFonts w:ascii="Calibri" w:eastAsia="Calibri" w:hAnsi="Calibri"/>
          <w:kern w:val="2"/>
          <w:sz w:val="22"/>
          <w:szCs w:val="22"/>
          <w:lang w:eastAsia="en-US"/>
          <w14:ligatures w14:val="standardContextual"/>
        </w:rPr>
      </w:pPr>
      <w:permEnd w:id="7"/>
      <w:r w:rsidRPr="001B1B48">
        <w:rPr>
          <w:rFonts w:ascii="Calibri" w:eastAsia="Calibri" w:hAnsi="Calibri"/>
          <w:kern w:val="2"/>
          <w:sz w:val="22"/>
          <w:szCs w:val="22"/>
          <w:lang w:eastAsia="en-US"/>
          <w14:ligatures w14:val="standardContextual"/>
        </w:rPr>
        <w:t>&lt;ESMA_QUESTION_MIC3_3&gt;</w:t>
      </w:r>
    </w:p>
    <w:p w:rsidR="001B1B48" w:rsidRPr="001B1B48" w:rsidP="001B1B48" w14:paraId="60907BC5" w14:textId="77777777">
      <w:pPr>
        <w:spacing w:after="160" w:line="259" w:lineRule="auto"/>
        <w:rPr>
          <w:rFonts w:ascii="Calibri" w:eastAsia="Calibri" w:hAnsi="Calibri"/>
          <w:kern w:val="2"/>
          <w:sz w:val="22"/>
          <w:szCs w:val="22"/>
          <w:lang w:eastAsia="en-US"/>
          <w14:ligatures w14:val="standardContextual"/>
        </w:rPr>
      </w:pPr>
    </w:p>
    <w:p w:rsidR="001B1B48" w:rsidRPr="001B1B48" w:rsidP="001B1B48" w14:paraId="21E91081" w14:textId="17F30B8E">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Pr="440F045F" w:rsidR="563EF20D">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rsidR="001B1B48" w:rsidRPr="001B1B48" w:rsidP="001B1B48" w14:paraId="052AF9D6"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rsidR="001B1B48" w:rsidRPr="001B1B48" w:rsidP="001B1B48" w14:paraId="5CBF3978" w14:textId="77777777">
      <w:pPr>
        <w:spacing w:after="160" w:line="259" w:lineRule="auto"/>
        <w:rPr>
          <w:rFonts w:ascii="Calibri" w:eastAsia="Calibri" w:hAnsi="Calibri"/>
          <w:kern w:val="2"/>
          <w:sz w:val="22"/>
          <w:szCs w:val="22"/>
          <w:lang w:eastAsia="en-US"/>
          <w14:ligatures w14:val="standardContextual"/>
        </w:rPr>
      </w:pPr>
      <w:permStart w:id="8" w:edGrp="everyone"/>
      <w:r w:rsidRPr="001B1B48">
        <w:rPr>
          <w:rFonts w:ascii="Calibri" w:eastAsia="Calibri" w:hAnsi="Calibri"/>
          <w:kern w:val="2"/>
          <w:sz w:val="22"/>
          <w:szCs w:val="22"/>
          <w:lang w:eastAsia="en-US"/>
          <w14:ligatures w14:val="standardContextual"/>
        </w:rPr>
        <w:t>TYPE YOUR TEXT HERE</w:t>
      </w:r>
    </w:p>
    <w:p w:rsidR="001B1B48" w:rsidRPr="001B1B48" w:rsidP="001B1B48" w14:paraId="2F0C894F" w14:textId="77777777">
      <w:pPr>
        <w:spacing w:after="160" w:line="259" w:lineRule="auto"/>
        <w:rPr>
          <w:rFonts w:ascii="Calibri" w:eastAsia="Calibri" w:hAnsi="Calibri"/>
          <w:kern w:val="2"/>
          <w:sz w:val="22"/>
          <w:szCs w:val="22"/>
          <w:lang w:eastAsia="en-US"/>
          <w14:ligatures w14:val="standardContextual"/>
        </w:rPr>
      </w:pPr>
      <w:permEnd w:id="8"/>
      <w:r w:rsidRPr="001B1B48">
        <w:rPr>
          <w:rFonts w:ascii="Calibri" w:eastAsia="Calibri" w:hAnsi="Calibri"/>
          <w:kern w:val="2"/>
          <w:sz w:val="22"/>
          <w:szCs w:val="22"/>
          <w:lang w:eastAsia="en-US"/>
          <w14:ligatures w14:val="standardContextual"/>
        </w:rPr>
        <w:t>&lt;ESMA_QUESTION_MIC3_4&gt;</w:t>
      </w:r>
    </w:p>
    <w:p w:rsidR="001B1B48" w:rsidRPr="001B1B48" w:rsidP="001B1B48" w14:paraId="0EFC77F0" w14:textId="77777777">
      <w:pPr>
        <w:spacing w:after="160" w:line="259" w:lineRule="auto"/>
        <w:rPr>
          <w:rFonts w:ascii="Calibri" w:eastAsia="Calibri" w:hAnsi="Calibri"/>
          <w:kern w:val="2"/>
          <w:sz w:val="22"/>
          <w:szCs w:val="22"/>
          <w:lang w:eastAsia="en-US"/>
          <w14:ligatures w14:val="standardContextual"/>
        </w:rPr>
      </w:pPr>
    </w:p>
    <w:p w:rsidR="001B1B48" w:rsidRPr="001B1B48" w:rsidP="36725D5C" w14:paraId="0691FCAC" w14:textId="6A5DE3C6">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Pr="36725D5C" w:rsidR="3CFE2AD9">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rsidR="001B1B48" w:rsidRPr="001B1B48" w:rsidP="001B1B48" w14:paraId="2996F4BA"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rsidR="008937D9" w:rsidP="008937D9" w14:paraId="782B4A9E" w14:textId="77777777">
      <w:pPr>
        <w:ind w:left="708"/>
        <w:jc w:val="both"/>
        <w:rPr>
          <w:rFonts w:ascii="Arial" w:hAnsi="Arial" w:cs="Arial"/>
          <w:sz w:val="21"/>
          <w:szCs w:val="21"/>
          <w:lang w:eastAsia="en-US"/>
        </w:rPr>
      </w:pPr>
      <w:permStart w:id="9" w:edGrp="everyone"/>
      <w:r w:rsidRPr="00327E00">
        <w:rPr>
          <w:rFonts w:ascii="Arial" w:hAnsi="Arial" w:cs="Arial"/>
          <w:sz w:val="21"/>
          <w:szCs w:val="21"/>
          <w:lang w:eastAsia="en-US"/>
        </w:rPr>
        <w:t xml:space="preserve">KBC broadly agrees with the suggested conditions and criteria to differentiate between MiFID II financial instruments and </w:t>
      </w:r>
      <w:r w:rsidRPr="00327E00">
        <w:rPr>
          <w:rFonts w:ascii="Arial" w:hAnsi="Arial" w:cs="Arial"/>
          <w:sz w:val="21"/>
          <w:szCs w:val="21"/>
          <w:lang w:eastAsia="en-US"/>
        </w:rPr>
        <w:t>MiCA</w:t>
      </w:r>
      <w:r w:rsidRPr="00327E00">
        <w:rPr>
          <w:rFonts w:ascii="Arial" w:hAnsi="Arial" w:cs="Arial"/>
          <w:sz w:val="21"/>
          <w:szCs w:val="21"/>
          <w:lang w:eastAsia="en-US"/>
        </w:rPr>
        <w:t xml:space="preserve"> crypto-assets. </w:t>
      </w:r>
    </w:p>
    <w:p w:rsidR="008937D9" w:rsidP="008937D9" w14:paraId="6B31C1D1" w14:textId="77777777">
      <w:pPr>
        <w:ind w:left="708"/>
        <w:jc w:val="both"/>
        <w:rPr>
          <w:rFonts w:ascii="Arial" w:hAnsi="Arial" w:cs="Arial"/>
          <w:sz w:val="21"/>
          <w:szCs w:val="21"/>
          <w:lang w:eastAsia="en-US"/>
        </w:rPr>
      </w:pPr>
    </w:p>
    <w:p w:rsidR="008937D9" w:rsidRPr="00327E00" w:rsidP="008937D9" w14:paraId="5C2C29AF" w14:textId="2FDA77C6">
      <w:pPr>
        <w:ind w:left="708"/>
        <w:jc w:val="both"/>
        <w:rPr>
          <w:rFonts w:ascii="Arial" w:hAnsi="Arial" w:cs="Arial"/>
          <w:sz w:val="21"/>
          <w:szCs w:val="21"/>
          <w:lang w:eastAsia="en-US"/>
        </w:rPr>
      </w:pPr>
      <w:r w:rsidRPr="00327E00">
        <w:rPr>
          <w:rFonts w:ascii="Arial" w:hAnsi="Arial" w:cs="Arial"/>
          <w:sz w:val="21"/>
          <w:szCs w:val="21"/>
          <w:lang w:eastAsia="en-US"/>
        </w:rPr>
        <w:t xml:space="preserve">However, we note that further clarification will be required under Guideline 7, to delineate, crypto-assets under </w:t>
      </w:r>
      <w:r w:rsidRPr="00327E00">
        <w:rPr>
          <w:rFonts w:ascii="Arial" w:hAnsi="Arial" w:cs="Arial"/>
          <w:sz w:val="21"/>
          <w:szCs w:val="21"/>
          <w:lang w:eastAsia="en-US"/>
        </w:rPr>
        <w:t>MiCA</w:t>
      </w:r>
      <w:r w:rsidRPr="00327E00">
        <w:rPr>
          <w:rFonts w:ascii="Arial" w:hAnsi="Arial" w:cs="Arial"/>
          <w:sz w:val="21"/>
          <w:szCs w:val="21"/>
          <w:lang w:eastAsia="en-US"/>
        </w:rPr>
        <w:t xml:space="preserve">, financial instruments under MiFID and reward / loyalty schemes. </w:t>
      </w:r>
    </w:p>
    <w:p w:rsidR="008937D9" w:rsidRPr="00327E00" w:rsidP="008937D9" w14:paraId="2547FC03" w14:textId="77777777">
      <w:pPr>
        <w:jc w:val="both"/>
        <w:rPr>
          <w:rFonts w:ascii="Arial" w:hAnsi="Arial" w:cs="Arial"/>
          <w:sz w:val="21"/>
          <w:szCs w:val="21"/>
          <w:lang w:eastAsia="en-US"/>
        </w:rPr>
      </w:pPr>
    </w:p>
    <w:p w:rsidR="008937D9" w:rsidRPr="00327E00" w:rsidP="008937D9" w14:paraId="559BC5F9" w14:textId="77777777">
      <w:pPr>
        <w:ind w:left="708"/>
        <w:jc w:val="both"/>
        <w:rPr>
          <w:rFonts w:ascii="Arial" w:hAnsi="Arial" w:cs="Arial"/>
          <w:sz w:val="21"/>
          <w:szCs w:val="21"/>
          <w:lang w:eastAsia="en-US"/>
        </w:rPr>
      </w:pPr>
      <w:r w:rsidRPr="00327E00">
        <w:rPr>
          <w:rFonts w:ascii="Arial" w:hAnsi="Arial" w:cs="Arial"/>
          <w:sz w:val="21"/>
          <w:szCs w:val="21"/>
          <w:lang w:eastAsia="en-US"/>
        </w:rPr>
        <w:t xml:space="preserve">Paragraph 64 of the consultation states that: </w:t>
      </w:r>
    </w:p>
    <w:p w:rsidR="008937D9" w:rsidRPr="00327E00" w:rsidP="008937D9" w14:paraId="5406B4DA" w14:textId="77777777">
      <w:pPr>
        <w:jc w:val="both"/>
        <w:rPr>
          <w:rFonts w:ascii="Arial" w:hAnsi="Arial" w:cs="Arial"/>
          <w:sz w:val="21"/>
          <w:szCs w:val="21"/>
          <w:lang w:eastAsia="en-US"/>
        </w:rPr>
      </w:pPr>
    </w:p>
    <w:p w:rsidR="008937D9" w:rsidRPr="00327E00" w:rsidP="008937D9" w14:paraId="2054EF68" w14:textId="77777777">
      <w:pPr>
        <w:ind w:left="1416"/>
        <w:jc w:val="both"/>
        <w:rPr>
          <w:rFonts w:ascii="Arial" w:hAnsi="Arial" w:cs="Arial"/>
          <w:sz w:val="21"/>
          <w:szCs w:val="21"/>
          <w:lang w:eastAsia="en-US"/>
        </w:rPr>
      </w:pPr>
      <w:r w:rsidRPr="00327E00">
        <w:rPr>
          <w:rFonts w:ascii="Arial" w:hAnsi="Arial" w:cs="Arial"/>
          <w:sz w:val="21"/>
          <w:szCs w:val="21"/>
          <w:lang w:eastAsia="en-US"/>
        </w:rPr>
        <w:t>‘</w:t>
      </w:r>
      <w:r w:rsidRPr="00327E00">
        <w:rPr>
          <w:rFonts w:ascii="Arial" w:hAnsi="Arial" w:cs="Arial"/>
          <w:i/>
          <w:iCs/>
          <w:sz w:val="21"/>
          <w:szCs w:val="21"/>
          <w:lang w:eastAsia="en-US"/>
        </w:rPr>
        <w:t xml:space="preserve">It should be noted that crypto-assets that are non-transferable to other holders and that are only accepted either by the issuer or by the offeror are excluded from the scope of </w:t>
      </w:r>
      <w:r w:rsidRPr="00327E00">
        <w:rPr>
          <w:rFonts w:ascii="Arial" w:hAnsi="Arial" w:cs="Arial"/>
          <w:i/>
          <w:iCs/>
          <w:sz w:val="21"/>
          <w:szCs w:val="21"/>
          <w:lang w:eastAsia="en-US"/>
        </w:rPr>
        <w:t>MiCA</w:t>
      </w:r>
      <w:r w:rsidRPr="00327E00">
        <w:rPr>
          <w:rFonts w:ascii="Arial" w:hAnsi="Arial" w:cs="Arial"/>
          <w:sz w:val="21"/>
          <w:szCs w:val="21"/>
          <w:lang w:eastAsia="en-US"/>
        </w:rPr>
        <w:t>’</w:t>
      </w:r>
    </w:p>
    <w:p w:rsidR="008937D9" w:rsidRPr="00327E00" w:rsidP="008937D9" w14:paraId="757124F2" w14:textId="77777777">
      <w:pPr>
        <w:jc w:val="both"/>
        <w:rPr>
          <w:rFonts w:ascii="Arial" w:hAnsi="Arial" w:cs="Arial"/>
          <w:sz w:val="21"/>
          <w:szCs w:val="21"/>
          <w:lang w:eastAsia="en-US"/>
        </w:rPr>
      </w:pPr>
    </w:p>
    <w:p w:rsidR="008937D9" w:rsidRPr="00327E00" w:rsidP="008937D9" w14:paraId="10A352A6" w14:textId="77777777">
      <w:pPr>
        <w:ind w:left="708"/>
        <w:jc w:val="both"/>
        <w:rPr>
          <w:rFonts w:ascii="Arial" w:hAnsi="Arial" w:cs="Arial"/>
          <w:sz w:val="21"/>
          <w:szCs w:val="21"/>
          <w:lang w:eastAsia="en-US"/>
        </w:rPr>
      </w:pPr>
      <w:r w:rsidRPr="00327E00">
        <w:rPr>
          <w:rFonts w:ascii="Arial" w:hAnsi="Arial" w:cs="Arial"/>
          <w:sz w:val="21"/>
          <w:szCs w:val="21"/>
          <w:lang w:eastAsia="en-US"/>
        </w:rPr>
        <w:t xml:space="preserve">This is in reference to recital 17 of </w:t>
      </w:r>
      <w:r w:rsidRPr="00327E00">
        <w:rPr>
          <w:rFonts w:ascii="Arial" w:hAnsi="Arial" w:cs="Arial"/>
          <w:sz w:val="21"/>
          <w:szCs w:val="21"/>
          <w:lang w:eastAsia="en-US"/>
        </w:rPr>
        <w:t>MiCA</w:t>
      </w:r>
      <w:r w:rsidRPr="00327E00">
        <w:rPr>
          <w:rFonts w:ascii="Arial" w:hAnsi="Arial" w:cs="Arial"/>
          <w:sz w:val="21"/>
          <w:szCs w:val="21"/>
          <w:lang w:eastAsia="en-US"/>
        </w:rPr>
        <w:t xml:space="preserve"> which states that: </w:t>
      </w:r>
    </w:p>
    <w:p w:rsidR="008937D9" w:rsidRPr="00327E00" w:rsidP="008937D9" w14:paraId="64A67229" w14:textId="77777777">
      <w:pPr>
        <w:jc w:val="both"/>
        <w:rPr>
          <w:rFonts w:ascii="Arial" w:hAnsi="Arial" w:cs="Arial"/>
          <w:sz w:val="21"/>
          <w:szCs w:val="21"/>
          <w:lang w:eastAsia="en-US"/>
        </w:rPr>
      </w:pPr>
    </w:p>
    <w:p w:rsidR="008937D9" w:rsidRPr="00327E00" w:rsidP="008937D9" w14:paraId="60767026" w14:textId="77777777">
      <w:pPr>
        <w:ind w:left="1416"/>
        <w:jc w:val="both"/>
        <w:rPr>
          <w:rFonts w:ascii="Arial" w:hAnsi="Arial" w:cs="Arial"/>
          <w:sz w:val="21"/>
          <w:szCs w:val="21"/>
          <w:lang w:eastAsia="en-US"/>
        </w:rPr>
      </w:pPr>
      <w:r w:rsidRPr="00327E00">
        <w:rPr>
          <w:rFonts w:ascii="Arial" w:hAnsi="Arial" w:cs="Arial"/>
          <w:sz w:val="21"/>
          <w:szCs w:val="21"/>
          <w:lang w:eastAsia="en-US"/>
        </w:rPr>
        <w:t>‘</w:t>
      </w:r>
      <w:r w:rsidRPr="00327E00">
        <w:rPr>
          <w:rFonts w:ascii="Arial" w:hAnsi="Arial" w:cs="Arial"/>
          <w:i/>
          <w:iCs/>
          <w:sz w:val="21"/>
          <w:szCs w:val="21"/>
          <w:lang w:eastAsia="en-US"/>
        </w:rPr>
        <w:t>Digital assets that cannot be transferred to other holders do not fall within the definition of crypto-assets. Therefore, digital assets that are accepted only by the issuer or the offeror and that are technically impossible to transfer directly to other holders should be excluded from the scope of this Regulation. An example of such digital assets includes loyalty schemes where the loyalty points can be exchanged for benefits only with the issuer or offeror of those points</w:t>
      </w:r>
      <w:r w:rsidRPr="00327E00">
        <w:rPr>
          <w:rFonts w:ascii="Arial" w:hAnsi="Arial" w:cs="Arial"/>
          <w:sz w:val="21"/>
          <w:szCs w:val="21"/>
          <w:lang w:eastAsia="en-US"/>
        </w:rPr>
        <w:t>.’</w:t>
      </w:r>
    </w:p>
    <w:p w:rsidR="008937D9" w:rsidRPr="00327E00" w:rsidP="008937D9" w14:paraId="3AB9592B" w14:textId="77777777">
      <w:pPr>
        <w:jc w:val="both"/>
        <w:rPr>
          <w:rFonts w:ascii="Arial" w:hAnsi="Arial" w:cs="Arial"/>
          <w:sz w:val="21"/>
          <w:szCs w:val="21"/>
          <w:lang w:eastAsia="en-US"/>
        </w:rPr>
      </w:pPr>
    </w:p>
    <w:p w:rsidR="008937D9" w:rsidP="008937D9" w14:paraId="739E87A8" w14:textId="77777777">
      <w:pPr>
        <w:ind w:left="708"/>
        <w:jc w:val="both"/>
        <w:rPr>
          <w:rFonts w:ascii="Arial" w:hAnsi="Arial" w:cs="Arial"/>
          <w:sz w:val="21"/>
          <w:szCs w:val="21"/>
          <w:lang w:eastAsia="en-US"/>
        </w:rPr>
      </w:pPr>
      <w:r w:rsidRPr="00327E00">
        <w:rPr>
          <w:rFonts w:ascii="Arial" w:hAnsi="Arial" w:cs="Arial"/>
          <w:sz w:val="21"/>
          <w:szCs w:val="21"/>
          <w:lang w:eastAsia="en-US"/>
        </w:rPr>
        <w:t>It is clear, as the consultation states, that ‘</w:t>
      </w:r>
      <w:r w:rsidRPr="00327E00">
        <w:rPr>
          <w:rFonts w:ascii="Arial" w:hAnsi="Arial" w:cs="Arial"/>
          <w:i/>
          <w:iCs/>
          <w:sz w:val="21"/>
          <w:szCs w:val="21"/>
          <w:lang w:eastAsia="en-US"/>
        </w:rPr>
        <w:t>transferability to other holders</w:t>
      </w:r>
      <w:r w:rsidRPr="00327E00">
        <w:rPr>
          <w:rFonts w:ascii="Arial" w:hAnsi="Arial" w:cs="Arial"/>
          <w:sz w:val="21"/>
          <w:szCs w:val="21"/>
          <w:lang w:eastAsia="en-US"/>
        </w:rPr>
        <w:t>’ and ‘</w:t>
      </w:r>
      <w:r w:rsidRPr="00327E00">
        <w:rPr>
          <w:rFonts w:ascii="Arial" w:hAnsi="Arial" w:cs="Arial"/>
          <w:i/>
          <w:iCs/>
          <w:sz w:val="21"/>
          <w:szCs w:val="21"/>
          <w:lang w:eastAsia="en-US"/>
        </w:rPr>
        <w:t>acceptance of the crypto-assets by players other than the issuer</w:t>
      </w:r>
      <w:r w:rsidRPr="00327E00">
        <w:rPr>
          <w:rFonts w:ascii="Arial" w:hAnsi="Arial" w:cs="Arial"/>
          <w:sz w:val="21"/>
          <w:szCs w:val="21"/>
          <w:lang w:eastAsia="en-US"/>
        </w:rPr>
        <w:t>’ make up the qualification criteria for crypto-assets</w:t>
      </w:r>
      <w:r>
        <w:rPr>
          <w:rFonts w:ascii="Arial" w:hAnsi="Arial" w:cs="Arial"/>
          <w:sz w:val="21"/>
          <w:szCs w:val="21"/>
          <w:lang w:eastAsia="en-US"/>
        </w:rPr>
        <w:t>.</w:t>
      </w:r>
      <w:r w:rsidRPr="002A42C5">
        <w:rPr>
          <w:rFonts w:ascii="Arial" w:hAnsi="Arial" w:cs="Arial"/>
          <w:color w:val="FF0000"/>
          <w:sz w:val="21"/>
          <w:szCs w:val="21"/>
          <w:lang w:eastAsia="en-US"/>
        </w:rPr>
        <w:t xml:space="preserve"> </w:t>
      </w:r>
    </w:p>
    <w:p w:rsidR="008937D9" w:rsidP="008937D9" w14:paraId="23C72B59" w14:textId="77777777">
      <w:pPr>
        <w:rPr>
          <w:rFonts w:ascii="Arial" w:hAnsi="Arial" w:cs="Arial"/>
          <w:sz w:val="21"/>
          <w:szCs w:val="21"/>
          <w:lang w:eastAsia="en-US"/>
        </w:rPr>
      </w:pPr>
    </w:p>
    <w:p w:rsidR="008937D9" w:rsidP="008937D9" w14:paraId="2AD6BDCA" w14:textId="77777777">
      <w:pPr>
        <w:ind w:left="708"/>
        <w:jc w:val="both"/>
        <w:rPr>
          <w:rFonts w:ascii="Arial" w:hAnsi="Arial" w:cs="Arial"/>
          <w:sz w:val="21"/>
          <w:szCs w:val="21"/>
          <w:lang w:eastAsia="en-US"/>
        </w:rPr>
      </w:pPr>
      <w:r w:rsidRPr="00327E00">
        <w:rPr>
          <w:rFonts w:ascii="Arial" w:hAnsi="Arial" w:cs="Arial"/>
          <w:sz w:val="21"/>
          <w:szCs w:val="21"/>
          <w:lang w:eastAsia="en-US"/>
        </w:rPr>
        <w:t xml:space="preserve">However, KBC contend that this can cause some confusion and lead to </w:t>
      </w:r>
      <w:r>
        <w:rPr>
          <w:rFonts w:ascii="Arial" w:hAnsi="Arial" w:cs="Arial"/>
          <w:sz w:val="21"/>
          <w:szCs w:val="21"/>
          <w:lang w:eastAsia="en-US"/>
        </w:rPr>
        <w:t xml:space="preserve">a </w:t>
      </w:r>
      <w:r w:rsidRPr="00327E00">
        <w:rPr>
          <w:rFonts w:ascii="Arial" w:hAnsi="Arial" w:cs="Arial"/>
          <w:sz w:val="21"/>
          <w:szCs w:val="21"/>
          <w:lang w:eastAsia="en-US"/>
        </w:rPr>
        <w:t>NCA inadvertently bringing a much larger remit of crypto-assets into scope. Taking each in turn, the notion of transferability may well give an indication of a crypto</w:t>
      </w:r>
      <w:r>
        <w:rPr>
          <w:rFonts w:ascii="Arial" w:hAnsi="Arial" w:cs="Arial"/>
          <w:sz w:val="21"/>
          <w:szCs w:val="21"/>
          <w:lang w:eastAsia="en-US"/>
        </w:rPr>
        <w:t>-</w:t>
      </w:r>
      <w:r w:rsidRPr="00327E00">
        <w:rPr>
          <w:rFonts w:ascii="Arial" w:hAnsi="Arial" w:cs="Arial"/>
          <w:sz w:val="21"/>
          <w:szCs w:val="21"/>
          <w:lang w:eastAsia="en-US"/>
        </w:rPr>
        <w:t xml:space="preserve">asset that falls within </w:t>
      </w:r>
      <w:r w:rsidRPr="00327E00">
        <w:rPr>
          <w:rFonts w:ascii="Arial" w:hAnsi="Arial" w:cs="Arial"/>
          <w:sz w:val="21"/>
          <w:szCs w:val="21"/>
          <w:lang w:eastAsia="en-US"/>
        </w:rPr>
        <w:t>MiCA</w:t>
      </w:r>
      <w:r w:rsidRPr="00327E00">
        <w:rPr>
          <w:rFonts w:ascii="Arial" w:hAnsi="Arial" w:cs="Arial"/>
          <w:sz w:val="21"/>
          <w:szCs w:val="21"/>
          <w:lang w:eastAsia="en-US"/>
        </w:rPr>
        <w:t>, but it is also an indicator of a crypto-asset that falls under MiFID. Put simply, most crypto-assets are transferable in one way or another, including those that are part of excluded activities for example rewards schemes. The key differentiator needs to be who the transferability is with and what this transferability seeks to transfer. In this regard, KBC urge</w:t>
      </w:r>
      <w:r>
        <w:rPr>
          <w:rFonts w:ascii="Arial" w:hAnsi="Arial" w:cs="Arial"/>
          <w:sz w:val="21"/>
          <w:szCs w:val="21"/>
          <w:lang w:eastAsia="en-US"/>
        </w:rPr>
        <w:t>s</w:t>
      </w:r>
      <w:r w:rsidRPr="00327E00">
        <w:rPr>
          <w:rFonts w:ascii="Arial" w:hAnsi="Arial" w:cs="Arial"/>
          <w:sz w:val="21"/>
          <w:szCs w:val="21"/>
          <w:lang w:eastAsia="en-US"/>
        </w:rPr>
        <w:t xml:space="preserve"> ESMA to ensure that transferability only refers to transfer between holders. </w:t>
      </w:r>
    </w:p>
    <w:p w:rsidR="008937D9" w:rsidP="008937D9" w14:paraId="0B3BBAAA" w14:textId="77777777">
      <w:pPr>
        <w:jc w:val="both"/>
        <w:rPr>
          <w:rFonts w:ascii="Arial" w:hAnsi="Arial" w:cs="Arial"/>
          <w:sz w:val="21"/>
          <w:szCs w:val="21"/>
          <w:lang w:eastAsia="en-US"/>
        </w:rPr>
      </w:pPr>
    </w:p>
    <w:p w:rsidR="008937D9" w:rsidP="008937D9" w14:paraId="0D74BBCA" w14:textId="77777777">
      <w:pPr>
        <w:ind w:left="708"/>
        <w:jc w:val="both"/>
        <w:rPr>
          <w:rFonts w:ascii="Arial" w:hAnsi="Arial" w:cs="Arial"/>
          <w:sz w:val="21"/>
          <w:szCs w:val="21"/>
          <w:lang w:eastAsia="en-US"/>
        </w:rPr>
      </w:pPr>
      <w:r>
        <w:rPr>
          <w:rFonts w:ascii="Arial" w:hAnsi="Arial" w:cs="Arial"/>
          <w:sz w:val="21"/>
          <w:szCs w:val="21"/>
          <w:lang w:eastAsia="en-US"/>
        </w:rPr>
        <w:t>In addition to this, KBC highlights the unique characteristic of loyalty / reward tokens. A loyalty / reward token is only valid for a single use, that is to say, once the token is earned it can then have one transfer before being destroyed, it cannot be reused or transferred further. It therefore cannot satisfy the concept of ‘negotiability’ as mentioned in paragraph 108 of Guideline 2 (“</w:t>
      </w:r>
      <w:r w:rsidRPr="00205D22">
        <w:rPr>
          <w:rFonts w:ascii="Arial" w:hAnsi="Arial" w:cs="Arial"/>
          <w:i/>
          <w:iCs/>
          <w:sz w:val="21"/>
          <w:szCs w:val="21"/>
          <w:lang w:eastAsia="en-US"/>
        </w:rPr>
        <w:t>a crypto-asset should be considered to be negotiable where it is capable of being transferred or traded on capital markets</w:t>
      </w:r>
      <w:r>
        <w:rPr>
          <w:rFonts w:ascii="Arial" w:hAnsi="Arial" w:cs="Arial"/>
          <w:sz w:val="21"/>
          <w:szCs w:val="21"/>
          <w:lang w:eastAsia="en-US"/>
        </w:rPr>
        <w:t>”)</w:t>
      </w:r>
      <w:r w:rsidRPr="00205D22">
        <w:rPr>
          <w:rFonts w:ascii="Arial" w:hAnsi="Arial" w:cs="Arial"/>
          <w:sz w:val="21"/>
          <w:szCs w:val="21"/>
          <w:lang w:eastAsia="en-US"/>
        </w:rPr>
        <w:t>.</w:t>
      </w:r>
    </w:p>
    <w:p w:rsidR="008937D9" w:rsidP="008937D9" w14:paraId="5254F86B" w14:textId="77777777">
      <w:pPr>
        <w:jc w:val="both"/>
        <w:rPr>
          <w:rFonts w:ascii="Arial" w:hAnsi="Arial" w:cs="Arial"/>
          <w:sz w:val="21"/>
          <w:szCs w:val="21"/>
          <w:lang w:eastAsia="en-US"/>
        </w:rPr>
      </w:pPr>
    </w:p>
    <w:p w:rsidR="008937D9" w:rsidP="008937D9" w14:paraId="20CAF804" w14:textId="77777777">
      <w:pPr>
        <w:ind w:left="708"/>
        <w:jc w:val="both"/>
        <w:rPr>
          <w:rFonts w:ascii="Arial" w:hAnsi="Arial" w:cs="Arial"/>
          <w:sz w:val="21"/>
          <w:szCs w:val="21"/>
          <w:lang w:eastAsia="en-US"/>
        </w:rPr>
      </w:pPr>
      <w:r>
        <w:rPr>
          <w:rFonts w:ascii="Arial" w:hAnsi="Arial" w:cs="Arial"/>
          <w:sz w:val="21"/>
          <w:szCs w:val="21"/>
          <w:lang w:eastAsia="en-US"/>
        </w:rPr>
        <w:t xml:space="preserve">Merchants in the loyalty / reward scheme i.e. commercial partners of the issuer in the scheme will accept these tokens but will not be able to spend this themselves, they will only be able to destroy the token. Whilst invariably, tokens are not transferred between customers, even if this was the case, the one transfer rule would render doing so futile. </w:t>
      </w:r>
      <w:r w:rsidRPr="00327E00">
        <w:rPr>
          <w:rFonts w:ascii="Arial" w:hAnsi="Arial" w:cs="Arial"/>
          <w:sz w:val="21"/>
          <w:szCs w:val="21"/>
          <w:lang w:eastAsia="en-US"/>
        </w:rPr>
        <w:t xml:space="preserve">The second point regarding who can accept the crypto-asset, the current drafting means that only crypto-assets which are only accepted by the issuer are out of scope. This is not reflective of the </w:t>
      </w:r>
      <w:r>
        <w:rPr>
          <w:rFonts w:ascii="Arial" w:hAnsi="Arial" w:cs="Arial"/>
          <w:sz w:val="21"/>
          <w:szCs w:val="21"/>
          <w:lang w:eastAsia="en-US"/>
        </w:rPr>
        <w:t>current loyalty / r</w:t>
      </w:r>
      <w:r w:rsidRPr="00327E00">
        <w:rPr>
          <w:rFonts w:ascii="Arial" w:hAnsi="Arial" w:cs="Arial"/>
          <w:sz w:val="21"/>
          <w:szCs w:val="21"/>
          <w:lang w:eastAsia="en-US"/>
        </w:rPr>
        <w:t>eward scheme market</w:t>
      </w:r>
      <w:r>
        <w:rPr>
          <w:rFonts w:ascii="Arial" w:hAnsi="Arial" w:cs="Arial"/>
          <w:sz w:val="21"/>
          <w:szCs w:val="21"/>
          <w:lang w:eastAsia="en-US"/>
        </w:rPr>
        <w:t>.</w:t>
      </w:r>
      <w:r w:rsidRPr="00327E00">
        <w:rPr>
          <w:rFonts w:ascii="Arial" w:hAnsi="Arial" w:cs="Arial"/>
          <w:sz w:val="21"/>
          <w:szCs w:val="21"/>
          <w:lang w:eastAsia="en-US"/>
        </w:rPr>
        <w:t xml:space="preserve"> </w:t>
      </w:r>
      <w:r>
        <w:rPr>
          <w:rFonts w:ascii="Arial" w:hAnsi="Arial" w:cs="Arial"/>
          <w:sz w:val="21"/>
          <w:szCs w:val="21"/>
          <w:lang w:eastAsia="en-US"/>
        </w:rPr>
        <w:t xml:space="preserve">It is common practice on larger schemes to allow points to be used with commercial partners that are not ‘the issuer’. </w:t>
      </w:r>
    </w:p>
    <w:p w:rsidR="008937D9" w:rsidP="008937D9" w14:paraId="25996E72" w14:textId="77777777">
      <w:pPr>
        <w:jc w:val="both"/>
        <w:rPr>
          <w:rFonts w:ascii="Arial" w:hAnsi="Arial" w:cs="Arial"/>
          <w:sz w:val="21"/>
          <w:szCs w:val="21"/>
          <w:lang w:eastAsia="en-US"/>
        </w:rPr>
      </w:pPr>
    </w:p>
    <w:p w:rsidR="008937D9" w:rsidRPr="00400A00" w:rsidP="008937D9" w14:paraId="0A2EDFB6" w14:textId="77777777">
      <w:pPr>
        <w:ind w:left="708"/>
        <w:jc w:val="both"/>
        <w:rPr>
          <w:rFonts w:ascii="Arial" w:hAnsi="Arial" w:cs="Arial"/>
          <w:sz w:val="21"/>
          <w:szCs w:val="21"/>
          <w:lang w:eastAsia="en-US"/>
        </w:rPr>
      </w:pPr>
      <w:r w:rsidRPr="00400A00">
        <w:rPr>
          <w:rFonts w:ascii="Arial" w:hAnsi="Arial" w:cs="Arial"/>
          <w:sz w:val="21"/>
          <w:szCs w:val="21"/>
          <w:lang w:eastAsia="en-US"/>
        </w:rPr>
        <w:t xml:space="preserve">Therefore left unaddressed, there is a concern that there will be a different treatment to firms operating loyalty schemes on technologies other than DLT or similar to those that are using DLT. As such, again, this limb unintentionally threatens to bring a larger range of firms within the remit of </w:t>
      </w:r>
      <w:r w:rsidRPr="00400A00">
        <w:rPr>
          <w:rFonts w:ascii="Arial" w:hAnsi="Arial" w:cs="Arial"/>
          <w:sz w:val="21"/>
          <w:szCs w:val="21"/>
          <w:lang w:eastAsia="en-US"/>
        </w:rPr>
        <w:t>MiCA</w:t>
      </w:r>
      <w:r w:rsidRPr="00400A00">
        <w:rPr>
          <w:rFonts w:ascii="Arial" w:hAnsi="Arial" w:cs="Arial"/>
          <w:sz w:val="21"/>
          <w:szCs w:val="21"/>
          <w:lang w:eastAsia="en-US"/>
        </w:rPr>
        <w:t>. Given this, KBC recommends including</w:t>
      </w:r>
      <w:r w:rsidRPr="00400A00">
        <w:rPr>
          <w:rFonts w:ascii="Arial" w:hAnsi="Arial" w:cs="Arial"/>
          <w:sz w:val="21"/>
          <w:szCs w:val="21"/>
          <w:lang w:eastAsia="en-US"/>
        </w:rPr>
        <w:t xml:space="preserve"> </w:t>
      </w:r>
      <w:r w:rsidRPr="00400A00">
        <w:rPr>
          <w:rFonts w:ascii="Arial" w:hAnsi="Arial" w:cs="Arial"/>
          <w:sz w:val="21"/>
          <w:szCs w:val="21"/>
          <w:lang w:eastAsia="en-US"/>
        </w:rPr>
        <w:t>the wording ‘</w:t>
      </w:r>
      <w:r w:rsidRPr="00400A00">
        <w:rPr>
          <w:rFonts w:ascii="Arial" w:hAnsi="Arial" w:cs="Arial"/>
          <w:i/>
          <w:iCs/>
          <w:sz w:val="21"/>
          <w:szCs w:val="21"/>
          <w:lang w:eastAsia="en-US"/>
        </w:rPr>
        <w:t>or other parties with whom the issuer has contractual arrangement</w:t>
      </w:r>
      <w:r w:rsidRPr="00400A00">
        <w:rPr>
          <w:rFonts w:ascii="Arial" w:hAnsi="Arial" w:cs="Arial"/>
          <w:sz w:val="21"/>
          <w:szCs w:val="21"/>
          <w:lang w:eastAsia="en-US"/>
        </w:rPr>
        <w:t>’ in the guidelines.</w:t>
      </w:r>
    </w:p>
    <w:p w:rsidR="008937D9" w:rsidRPr="00400A00" w:rsidP="008937D9" w14:paraId="434909DB" w14:textId="77777777">
      <w:pPr>
        <w:jc w:val="both"/>
        <w:rPr>
          <w:rFonts w:ascii="Arial" w:hAnsi="Arial" w:cs="Arial"/>
          <w:sz w:val="21"/>
          <w:szCs w:val="21"/>
          <w:lang w:eastAsia="en-US"/>
        </w:rPr>
      </w:pPr>
    </w:p>
    <w:p w:rsidR="008937D9" w:rsidRPr="00400A00" w:rsidP="008937D9" w14:paraId="640BEDFF" w14:textId="77777777">
      <w:pPr>
        <w:ind w:left="708"/>
        <w:jc w:val="both"/>
        <w:rPr>
          <w:rFonts w:ascii="Arial" w:hAnsi="Arial" w:cs="Arial"/>
          <w:sz w:val="21"/>
          <w:szCs w:val="21"/>
          <w:lang w:eastAsia="en-US"/>
        </w:rPr>
      </w:pPr>
      <w:r w:rsidRPr="00400A00">
        <w:rPr>
          <w:rFonts w:ascii="Arial" w:hAnsi="Arial" w:cs="Arial"/>
          <w:sz w:val="21"/>
          <w:szCs w:val="21"/>
          <w:lang w:eastAsia="en-US"/>
        </w:rPr>
        <w:t xml:space="preserve">This will also be in line with the wording under Article 3 paragraph 4(d) of </w:t>
      </w:r>
      <w:r w:rsidRPr="00400A00">
        <w:rPr>
          <w:rFonts w:ascii="Arial" w:hAnsi="Arial" w:cs="Arial"/>
          <w:sz w:val="21"/>
          <w:szCs w:val="21"/>
          <w:lang w:eastAsia="en-US"/>
        </w:rPr>
        <w:t>MiCA</w:t>
      </w:r>
      <w:r w:rsidRPr="00400A00">
        <w:rPr>
          <w:rFonts w:ascii="Arial" w:hAnsi="Arial" w:cs="Arial"/>
          <w:sz w:val="21"/>
          <w:szCs w:val="21"/>
          <w:lang w:eastAsia="en-US"/>
        </w:rPr>
        <w:t>: ‘</w:t>
      </w:r>
      <w:r w:rsidRPr="00400A00">
        <w:rPr>
          <w:rFonts w:ascii="Arial" w:hAnsi="Arial" w:cs="Arial"/>
          <w:i/>
          <w:iCs/>
          <w:sz w:val="21"/>
          <w:szCs w:val="21"/>
          <w:lang w:eastAsia="en-US"/>
        </w:rPr>
        <w:t>the holder of the crypto-asset has the right to use it only in exchange for goods and services in a limited network of merchants with contractual arrangements with the offeror.</w:t>
      </w:r>
      <w:r w:rsidRPr="00400A00">
        <w:rPr>
          <w:rFonts w:ascii="Arial" w:hAnsi="Arial" w:cs="Arial"/>
          <w:sz w:val="21"/>
          <w:szCs w:val="21"/>
          <w:lang w:eastAsia="en-US"/>
        </w:rPr>
        <w:t>’</w:t>
      </w:r>
    </w:p>
    <w:p w:rsidR="008937D9" w:rsidRPr="00327E00" w:rsidP="008937D9" w14:paraId="38B64EDE" w14:textId="77777777">
      <w:pPr>
        <w:jc w:val="both"/>
        <w:rPr>
          <w:rFonts w:ascii="Arial" w:hAnsi="Arial" w:cs="Arial"/>
          <w:sz w:val="21"/>
          <w:szCs w:val="21"/>
          <w:lang w:eastAsia="en-US"/>
        </w:rPr>
      </w:pPr>
      <w:bookmarkStart w:id="10" w:name="OpenAt"/>
      <w:bookmarkEnd w:id="10"/>
    </w:p>
    <w:p w:rsidR="008937D9" w:rsidRPr="00327E00" w:rsidP="008937D9" w14:paraId="44FC5E75" w14:textId="77777777">
      <w:pPr>
        <w:ind w:left="708"/>
        <w:jc w:val="both"/>
        <w:rPr>
          <w:rFonts w:ascii="Arial" w:hAnsi="Arial" w:cs="Arial"/>
          <w:sz w:val="21"/>
          <w:szCs w:val="21"/>
          <w:lang w:eastAsia="en-US"/>
        </w:rPr>
      </w:pPr>
      <w:r w:rsidRPr="00327E00">
        <w:rPr>
          <w:rFonts w:ascii="Arial" w:hAnsi="Arial" w:cs="Arial"/>
          <w:sz w:val="21"/>
          <w:szCs w:val="21"/>
          <w:lang w:eastAsia="en-US"/>
        </w:rPr>
        <w:t>Therefore, we suggest some minor changes to the following section of the draft guidelines:</w:t>
      </w:r>
    </w:p>
    <w:p w:rsidR="008937D9" w:rsidRPr="00327E00" w:rsidP="008937D9" w14:paraId="20C0971B" w14:textId="77777777">
      <w:pPr>
        <w:jc w:val="both"/>
        <w:rPr>
          <w:rFonts w:ascii="Arial" w:hAnsi="Arial" w:cs="Arial"/>
          <w:sz w:val="21"/>
          <w:szCs w:val="21"/>
          <w:lang w:eastAsia="en-US"/>
        </w:rPr>
      </w:pPr>
      <w:r w:rsidRPr="00327E00">
        <w:rPr>
          <w:rFonts w:ascii="Arial" w:hAnsi="Arial" w:cs="Arial"/>
          <w:sz w:val="21"/>
          <w:szCs w:val="21"/>
          <w:lang w:eastAsia="en-US"/>
        </w:rPr>
        <w:t> </w:t>
      </w:r>
    </w:p>
    <w:p w:rsidR="008937D9" w:rsidRPr="00D53453" w:rsidP="008937D9" w14:paraId="1771B02B" w14:textId="77777777">
      <w:pPr>
        <w:ind w:left="1416"/>
        <w:jc w:val="both"/>
        <w:rPr>
          <w:rFonts w:ascii="Arial" w:hAnsi="Arial" w:cs="Arial"/>
          <w:i/>
          <w:iCs/>
          <w:sz w:val="21"/>
          <w:szCs w:val="21"/>
          <w:lang w:eastAsia="en-US"/>
        </w:rPr>
      </w:pPr>
      <w:r w:rsidRPr="00D53453">
        <w:rPr>
          <w:rFonts w:ascii="Arial" w:hAnsi="Arial" w:cs="Arial"/>
          <w:i/>
          <w:iCs/>
          <w:sz w:val="21"/>
          <w:szCs w:val="21"/>
          <w:lang w:eastAsia="en-US"/>
        </w:rPr>
        <w:t>132. National competent authorities and market participants should ensure that digital assets that are non-transferable to other holders</w:t>
      </w:r>
      <w:r w:rsidRPr="00D53453">
        <w:rPr>
          <w:rFonts w:ascii="Arial" w:hAnsi="Arial" w:cs="Arial"/>
          <w:b/>
          <w:bCs/>
          <w:i/>
          <w:iCs/>
          <w:sz w:val="21"/>
          <w:szCs w:val="21"/>
          <w:lang w:eastAsia="en-US"/>
        </w:rPr>
        <w:t xml:space="preserve">, </w:t>
      </w:r>
      <w:r w:rsidRPr="00D53453">
        <w:rPr>
          <w:rFonts w:ascii="Arial" w:hAnsi="Arial" w:cs="Arial"/>
          <w:b/>
          <w:bCs/>
          <w:i/>
          <w:iCs/>
          <w:color w:val="70AD47" w:themeColor="accent6"/>
          <w:sz w:val="21"/>
          <w:szCs w:val="21"/>
          <w:u w:val="single"/>
          <w:lang w:eastAsia="en-US"/>
        </w:rPr>
        <w:t>that are for one time use</w:t>
      </w:r>
      <w:r w:rsidRPr="00D53453">
        <w:rPr>
          <w:rFonts w:ascii="Arial" w:hAnsi="Arial" w:cs="Arial"/>
          <w:i/>
          <w:iCs/>
          <w:color w:val="70AD47" w:themeColor="accent6"/>
          <w:sz w:val="21"/>
          <w:szCs w:val="21"/>
          <w:lang w:eastAsia="en-US"/>
        </w:rPr>
        <w:t xml:space="preserve"> </w:t>
      </w:r>
      <w:r w:rsidRPr="00D53453">
        <w:rPr>
          <w:rFonts w:ascii="Arial" w:hAnsi="Arial" w:cs="Arial"/>
          <w:i/>
          <w:iCs/>
          <w:sz w:val="21"/>
          <w:szCs w:val="21"/>
          <w:lang w:eastAsia="en-US"/>
        </w:rPr>
        <w:t xml:space="preserve">and that are only accepted either by the issuer or by the offeror </w:t>
      </w:r>
      <w:r w:rsidRPr="00D53453">
        <w:rPr>
          <w:rFonts w:ascii="Arial" w:hAnsi="Arial" w:cs="Arial"/>
          <w:b/>
          <w:bCs/>
          <w:i/>
          <w:iCs/>
          <w:color w:val="70AD47" w:themeColor="accent6"/>
          <w:sz w:val="21"/>
          <w:szCs w:val="21"/>
          <w:u w:val="single"/>
          <w:lang w:eastAsia="en-US"/>
        </w:rPr>
        <w:t>or other parties with whom the issuer has contractual arrangement</w:t>
      </w:r>
      <w:r w:rsidRPr="00D53453">
        <w:rPr>
          <w:rFonts w:ascii="Arial" w:hAnsi="Arial" w:cs="Arial"/>
          <w:i/>
          <w:iCs/>
          <w:sz w:val="21"/>
          <w:szCs w:val="21"/>
          <w:lang w:eastAsia="en-US"/>
        </w:rPr>
        <w:t xml:space="preserve">, do not fall within the definition of crypto-assets and should be excluded from the scope of </w:t>
      </w:r>
      <w:r w:rsidRPr="00D53453">
        <w:rPr>
          <w:rFonts w:ascii="Arial" w:hAnsi="Arial" w:cs="Arial"/>
          <w:i/>
          <w:iCs/>
          <w:sz w:val="21"/>
          <w:szCs w:val="21"/>
          <w:lang w:eastAsia="en-US"/>
        </w:rPr>
        <w:t>MiCA</w:t>
      </w:r>
      <w:r w:rsidRPr="00D53453">
        <w:rPr>
          <w:rFonts w:ascii="Arial" w:hAnsi="Arial" w:cs="Arial"/>
          <w:i/>
          <w:iCs/>
          <w:sz w:val="21"/>
          <w:szCs w:val="21"/>
          <w:lang w:eastAsia="en-US"/>
        </w:rPr>
        <w:t xml:space="preserve">. </w:t>
      </w:r>
      <w:r w:rsidRPr="00D53453">
        <w:rPr>
          <w:rFonts w:ascii="Arial" w:hAnsi="Arial" w:cs="Arial"/>
          <w:b/>
          <w:bCs/>
          <w:i/>
          <w:iCs/>
          <w:color w:val="70AD47" w:themeColor="accent6"/>
          <w:sz w:val="21"/>
          <w:szCs w:val="21"/>
          <w:u w:val="single"/>
          <w:lang w:eastAsia="en-US"/>
        </w:rPr>
        <w:t>In this context the "holders" are the persons that have the right to use the crypto-asset vis-à-vis the issuer, or other parties with whom the issuer has contractual arrangement</w:t>
      </w:r>
      <w:r w:rsidRPr="00D53453">
        <w:rPr>
          <w:rFonts w:ascii="Arial" w:hAnsi="Arial" w:cs="Arial"/>
          <w:i/>
          <w:iCs/>
          <w:sz w:val="21"/>
          <w:szCs w:val="21"/>
          <w:lang w:eastAsia="en-US"/>
        </w:rPr>
        <w:t>. The same applies to crypto-assets that are unique and not fungible with other crypto-asset as such crypto-assets are not readily interchangeable and because their value cannot be compared to an existing market or equivalent asset.</w:t>
      </w:r>
    </w:p>
    <w:p w:rsidR="001B1B48" w:rsidRPr="001B1B48" w:rsidP="008937D9" w14:paraId="1F375DC9" w14:textId="7D4BB358">
      <w:pPr>
        <w:spacing w:after="160" w:line="259" w:lineRule="auto"/>
        <w:ind w:left="1416"/>
        <w:rPr>
          <w:rFonts w:ascii="Calibri" w:eastAsia="Calibri" w:hAnsi="Calibri"/>
          <w:kern w:val="2"/>
          <w:sz w:val="22"/>
          <w:szCs w:val="22"/>
          <w:lang w:eastAsia="en-US"/>
          <w14:ligatures w14:val="standardContextual"/>
        </w:rPr>
      </w:pPr>
    </w:p>
    <w:p w:rsidR="001B1B48" w:rsidRPr="001B1B48" w:rsidP="001B1B48" w14:paraId="2A15B62C" w14:textId="77777777">
      <w:pPr>
        <w:spacing w:after="160" w:line="259" w:lineRule="auto"/>
        <w:rPr>
          <w:rFonts w:ascii="Calibri" w:eastAsia="Calibri" w:hAnsi="Calibri"/>
          <w:kern w:val="2"/>
          <w:sz w:val="22"/>
          <w:szCs w:val="22"/>
          <w:lang w:eastAsia="en-US"/>
          <w14:ligatures w14:val="standardContextual"/>
        </w:rPr>
      </w:pPr>
      <w:permEnd w:id="9"/>
      <w:r w:rsidRPr="001B1B48">
        <w:rPr>
          <w:rFonts w:ascii="Calibri" w:eastAsia="Calibri" w:hAnsi="Calibri"/>
          <w:kern w:val="2"/>
          <w:sz w:val="22"/>
          <w:szCs w:val="22"/>
          <w:lang w:eastAsia="en-US"/>
          <w14:ligatures w14:val="standardContextual"/>
        </w:rPr>
        <w:t>&lt;ESMA_QUESTION_MIC3_5&gt;</w:t>
      </w:r>
    </w:p>
    <w:p w:rsidR="001B1B48" w:rsidRPr="001B1B48" w:rsidP="001B1B48" w14:paraId="1DFA7AC5" w14:textId="77777777">
      <w:pPr>
        <w:spacing w:after="160" w:line="259" w:lineRule="auto"/>
        <w:rPr>
          <w:rFonts w:ascii="Calibri" w:eastAsia="Calibri" w:hAnsi="Calibri"/>
          <w:kern w:val="2"/>
          <w:sz w:val="22"/>
          <w:szCs w:val="22"/>
          <w:lang w:eastAsia="en-US"/>
          <w14:ligatures w14:val="standardContextual"/>
        </w:rPr>
      </w:pPr>
    </w:p>
    <w:p w:rsidR="001B1B48" w:rsidRPr="001B1B48" w:rsidP="36725D5C" w14:paraId="2D44A7AB" w14:textId="237DAB3B">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Pr="36725D5C" w:rsidR="4119874D">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rsidR="001B1B48" w:rsidRPr="001B1B48" w:rsidP="001B1B48" w14:paraId="3DE10544"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rsidR="001B1B48" w:rsidRPr="001B1B48" w:rsidP="001B1B48" w14:paraId="7C93D9BE" w14:textId="77777777">
      <w:pPr>
        <w:spacing w:after="160" w:line="259" w:lineRule="auto"/>
        <w:rPr>
          <w:rFonts w:ascii="Calibri" w:eastAsia="Calibri" w:hAnsi="Calibri"/>
          <w:kern w:val="2"/>
          <w:sz w:val="22"/>
          <w:szCs w:val="22"/>
          <w:lang w:eastAsia="en-US"/>
          <w14:ligatures w14:val="standardContextual"/>
        </w:rPr>
      </w:pPr>
      <w:permStart w:id="11" w:edGrp="everyone"/>
      <w:r w:rsidRPr="001B1B48">
        <w:rPr>
          <w:rFonts w:ascii="Calibri" w:eastAsia="Calibri" w:hAnsi="Calibri"/>
          <w:kern w:val="2"/>
          <w:sz w:val="22"/>
          <w:szCs w:val="22"/>
          <w:lang w:eastAsia="en-US"/>
          <w14:ligatures w14:val="standardContextual"/>
        </w:rPr>
        <w:t>TYPE YOUR TEXT HERE</w:t>
      </w:r>
    </w:p>
    <w:p w:rsidR="001B1B48" w:rsidRPr="001B1B48" w:rsidP="001B1B48" w14:paraId="4F153845" w14:textId="77777777">
      <w:pPr>
        <w:spacing w:after="160" w:line="259" w:lineRule="auto"/>
        <w:rPr>
          <w:rFonts w:ascii="Calibri" w:eastAsia="Calibri" w:hAnsi="Calibri"/>
          <w:kern w:val="2"/>
          <w:sz w:val="22"/>
          <w:szCs w:val="22"/>
          <w:lang w:eastAsia="en-US"/>
          <w14:ligatures w14:val="standardContextual"/>
        </w:rPr>
      </w:pPr>
      <w:permEnd w:id="11"/>
      <w:r w:rsidRPr="001B1B48">
        <w:rPr>
          <w:rFonts w:ascii="Calibri" w:eastAsia="Calibri" w:hAnsi="Calibri"/>
          <w:kern w:val="2"/>
          <w:sz w:val="22"/>
          <w:szCs w:val="22"/>
          <w:lang w:eastAsia="en-US"/>
          <w14:ligatures w14:val="standardContextual"/>
        </w:rPr>
        <w:t>&lt;ESMA_QUESTION_MIC3_6&gt;</w:t>
      </w:r>
    </w:p>
    <w:p w:rsidR="001B1B48" w:rsidRPr="001B1B48" w:rsidP="001B1B48" w14:paraId="7C1C9EC8" w14:textId="77777777">
      <w:pPr>
        <w:spacing w:after="160" w:line="259" w:lineRule="auto"/>
        <w:rPr>
          <w:rFonts w:ascii="Calibri" w:eastAsia="Calibri" w:hAnsi="Calibri"/>
          <w:kern w:val="2"/>
          <w:sz w:val="22"/>
          <w:szCs w:val="22"/>
          <w:lang w:eastAsia="en-US"/>
          <w14:ligatures w14:val="standardContextual"/>
        </w:rPr>
      </w:pPr>
    </w:p>
    <w:p w:rsidR="001B1B48" w:rsidRPr="001B1B48" w:rsidP="36725D5C" w14:paraId="71045830" w14:textId="4FF6B805">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Pr="36725D5C" w:rsidR="6233BE84">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rsidR="001B1B48" w:rsidRPr="001B1B48" w:rsidP="001B1B48" w14:paraId="4EB81B41" w14:textId="77777777">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rsidR="001B1B48" w:rsidRPr="001B1B48" w:rsidP="001B1B48" w14:paraId="07FA6329" w14:textId="77777777">
      <w:pPr>
        <w:spacing w:after="160" w:line="259" w:lineRule="auto"/>
        <w:rPr>
          <w:rFonts w:ascii="Calibri" w:eastAsia="Calibri" w:hAnsi="Calibri"/>
          <w:kern w:val="2"/>
          <w:sz w:val="22"/>
          <w:szCs w:val="22"/>
          <w:lang w:eastAsia="en-US"/>
          <w14:ligatures w14:val="standardContextual"/>
        </w:rPr>
      </w:pPr>
      <w:permStart w:id="12" w:edGrp="everyone"/>
      <w:r w:rsidRPr="001B1B48">
        <w:rPr>
          <w:rFonts w:ascii="Calibri" w:eastAsia="Calibri" w:hAnsi="Calibri"/>
          <w:kern w:val="2"/>
          <w:sz w:val="22"/>
          <w:szCs w:val="22"/>
          <w:lang w:eastAsia="en-US"/>
          <w14:ligatures w14:val="standardContextual"/>
        </w:rPr>
        <w:t>TYPE YOUR TEXT HERE</w:t>
      </w:r>
    </w:p>
    <w:p w:rsidR="001B1B48" w:rsidRPr="001B1B48" w:rsidP="001B1B48" w14:paraId="2BBAC781" w14:textId="77777777">
      <w:pPr>
        <w:spacing w:after="160" w:line="259" w:lineRule="auto"/>
        <w:rPr>
          <w:rFonts w:ascii="Calibri" w:eastAsia="Calibri" w:hAnsi="Calibri"/>
          <w:kern w:val="2"/>
          <w:sz w:val="22"/>
          <w:szCs w:val="22"/>
          <w:lang w:eastAsia="en-US"/>
          <w14:ligatures w14:val="standardContextual"/>
        </w:rPr>
      </w:pPr>
      <w:permEnd w:id="12"/>
      <w:r w:rsidRPr="001B1B48">
        <w:rPr>
          <w:rFonts w:ascii="Calibri" w:eastAsia="Calibri" w:hAnsi="Calibri"/>
          <w:kern w:val="2"/>
          <w:sz w:val="22"/>
          <w:szCs w:val="22"/>
          <w:lang w:eastAsia="en-US"/>
          <w14:ligatures w14:val="standardContextual"/>
        </w:rPr>
        <w:t>&lt;ESMA_QUESTION_MIC3_7&gt;</w:t>
      </w:r>
    </w:p>
    <w:p w:rsidR="001F23C9" w:rsidRPr="00B16706" w:rsidP="001F23C9" w14:paraId="15BEDAE4" w14:textId="77777777">
      <w:pPr>
        <w:rPr>
          <w:rFonts w:ascii="Arial" w:hAnsi="Arial" w:cs="Arial"/>
          <w:sz w:val="20"/>
          <w:szCs w:val="20"/>
        </w:rPr>
      </w:pPr>
    </w:p>
    <w:sectPr w:rsidSect="00C85C8B">
      <w:headerReference w:type="default" r:id="rId17"/>
      <w:footerReference w:type="default" r:id="rId1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4752671"/>
      <w:docPartObj>
        <w:docPartGallery w:val="Page Numbers (Bottom of Page)"/>
        <w:docPartUnique/>
      </w:docPartObj>
    </w:sdtPr>
    <w:sdtEndPr>
      <w:rPr>
        <w:noProof/>
      </w:rPr>
    </w:sdtEndPr>
    <w:sdtContent>
      <w:p w:rsidR="00E36813" w14:paraId="0CF5505D" w14:textId="212D7D4F">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rsidR="00E36813" w14:paraId="3A18C8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813" w:rsidP="007A160F" w14:paraId="382F3915" w14:textId="58619407">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Pr="008279D3" w:rsidR="00AB6157">
      <w:rPr>
        <w:rFonts w:asciiTheme="majorHAnsi" w:hAnsiTheme="majorHAnsi"/>
        <w:color w:val="FFFFFF" w:themeColor="background1"/>
      </w:rPr>
      <w:t>20</w:t>
    </w:r>
    <w:r w:rsidRPr="008279D3" w:rsidR="006B391B">
      <w:rPr>
        <w:rFonts w:asciiTheme="majorHAnsi" w:hAnsiTheme="majorHAnsi"/>
        <w:color w:val="FFFFFF" w:themeColor="background1"/>
      </w:rPr>
      <w:t>2</w:t>
    </w:r>
    <w:r w:rsidR="00871163">
      <w:rPr>
        <w:rFonts w:asciiTheme="majorHAnsi" w:hAnsiTheme="majorHAnsi"/>
        <w:color w:val="FFFFFF" w:themeColor="background1"/>
      </w:rPr>
      <w:t>2</w:t>
    </w:r>
    <w:r w:rsidRPr="008279D3" w:rsidR="00FF6930">
      <w:rPr>
        <w:rFonts w:asciiTheme="majorHAnsi" w:hAnsiTheme="majorHAnsi"/>
        <w:color w:val="FFFFFF" w:themeColor="background1"/>
      </w:rPr>
      <w:t xml:space="preserve"> ESMA</w:t>
    </w:r>
    <w:r w:rsidRPr="008279D3" w:rsidR="006B391B">
      <w:rPr>
        <w:rFonts w:asciiTheme="majorHAnsi" w:hAnsiTheme="majorHAnsi"/>
        <w:color w:val="FFFFFF" w:themeColor="background1"/>
      </w:rPr>
      <w:t xml:space="preserve"> | </w:t>
    </w:r>
    <w:hyperlink r:id="rId1" w:tgtFrame="_blank" w:history="1">
      <w:r w:rsidRPr="008279D3" w:rsidR="006B391B">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3752247"/>
      <w:docPartObj>
        <w:docPartGallery w:val="Page Numbers (Bottom of Page)"/>
        <w:docPartUnique/>
      </w:docPartObj>
    </w:sdtPr>
    <w:sdtEndPr>
      <w:rPr>
        <w:noProof/>
      </w:rPr>
    </w:sdtEndPr>
    <w:sdtContent>
      <w:p w:rsidR="00E36813" w14:paraId="4C9B3DBF" w14:textId="6ECC1B82">
        <w:pPr>
          <w:pStyle w:val="Footer"/>
          <w:jc w:val="center"/>
        </w:pPr>
        <w:r>
          <w:fldChar w:fldCharType="begin"/>
        </w:r>
        <w:r>
          <w:instrText xml:space="preserve"> PAGE   \* MERGEFORMAT </w:instrText>
        </w:r>
        <w:r>
          <w:fldChar w:fldCharType="separate"/>
        </w:r>
        <w:r w:rsidR="00534912">
          <w:rPr>
            <w:noProof/>
          </w:rPr>
          <w:t>7</w:t>
        </w:r>
        <w:r>
          <w:rPr>
            <w:noProof/>
          </w:rPr>
          <w:fldChar w:fldCharType="end"/>
        </w:r>
      </w:p>
    </w:sdtContent>
  </w:sdt>
  <w:p w:rsidR="00E36813" w:rsidP="00FB24ED" w14:paraId="5EAB6EC7" w14:textId="1F85019A">
    <w:pPr>
      <w:pStyle w:val="Footer"/>
      <w:jc w:val="right"/>
    </w:pPr>
  </w:p>
  <w:p w:rsidR="00C97F9B" w14:paraId="12C756E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813" w14:paraId="712956F7" w14:textId="77777777">
    <w:pPr>
      <w:pStyle w:val="Header"/>
    </w:pPr>
  </w:p>
  <w:p w:rsidR="00E36813" w14:paraId="59FA3C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4BE" w:rsidP="00FA64BE" w14:paraId="777923F5" w14:textId="0509EC24">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Pr="0013090E" w:rsid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rsidR="00E36813" w:rsidP="00FA64BE" w14:paraId="70391035" w14:textId="0FE57758">
    <w:pPr>
      <w:pStyle w:val="Header"/>
      <w:ind w:left="1836" w:firstLine="4536"/>
    </w:pPr>
    <w:r>
      <w:t xml:space="preserve">   </w:t>
    </w:r>
    <w:r w:rsidRPr="00374D79">
      <w:t>ESMA74-449133380-434</w:t>
    </w:r>
    <w:r>
      <w:rPr>
        <w:noProof/>
      </w:rPr>
      <mc:AlternateContent>
        <mc:Choice Requires="wps">
          <w:drawing>
            <wp:anchor distT="0" distB="0" distL="114300" distR="114300" simplePos="0" relativeHeight="251659264" behindDoc="1" locked="1" layoutInCell="1" allowOverlap="0">
              <wp:simplePos x="0" y="0"/>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9779055" w="7569200" stroke="1">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xmlns:r="http://schemas.openxmlformats.org/officeDocument/2006/relationships"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7" o:spid="_x0000_s2049" style="width:596.1pt;height:769.85pt;margin-top:49.15pt;margin-left:70.85pt;mso-height-percent:0;mso-height-relative:margin;mso-position-horizontal-relative:page;mso-width-percent:0;mso-width-relative:margin;mso-wrap-distance-bottom:0;mso-wrap-distance-left:9pt;mso-wrap-distance-right:9pt;mso-wrap-distance-top:0;mso-wrap-style:square;position:absolute;visibility:visible;v-text-anchor:middle;z-index:-251656192" coordsize="7569200,9779055" o:allowoverlap="f" path="m2939613,926867c5038819,-714379,6826523,267027,7569200,545025l7569200,3173124l7569200,9779055l7569200,9779055l,9779055l,9779055l,3173124,2939613,926867xe" stroked="f" strokeweight="1pt">
              <v:fill r:id="rId2" o:title="" recolor="t" rotate="t" type="frame"/>
              <v:stroke joinstyle="miter"/>
              <v:path arrowok="t" o:connecttype="custom" o:connectlocs="2940106,926681;7570470,544916;7570470,3172488;7570470,9777095;7570470,9777095;0,9777095;0,9777095;0,3172488;2940106,926681" o:connectangles="0,0,0,0,0,0,0,0,0"/>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813" w:rsidP="00B50534" w14:paraId="5EAB6EC4" w14:textId="2AEFCC83">
    <w:pPr>
      <w:pStyle w:val="Header"/>
      <w:jc w:val="right"/>
      <w:rPr>
        <w:b/>
        <w:color w:val="FF0000"/>
      </w:rPr>
    </w:pPr>
    <w:r w:rsidRPr="008858FE">
      <w:rPr>
        <w:rStyle w:val="ESMAConfidentialRestricted"/>
        <w:noProof/>
      </w:rPr>
      <w:drawing>
        <wp:anchor distT="0" distB="0" distL="114300" distR="114300" simplePos="0" relativeHeight="251661312" behindDoc="0" locked="0" layoutInCell="1" allowOverlap="1">
          <wp:simplePos x="0" y="0"/>
          <wp:positionH relativeFrom="page">
            <wp:posOffset>900430</wp:posOffset>
          </wp:positionH>
          <wp:positionV relativeFrom="page">
            <wp:posOffset>449580</wp:posOffset>
          </wp:positionV>
          <wp:extent cx="2296800" cy="601200"/>
          <wp:effectExtent l="0" t="0" r="1905" b="0"/>
          <wp:wrapNone/>
          <wp:docPr id="11913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378966"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rsidR="00FA64BE" w:rsidP="00FA64BE" w14:paraId="66716E7C" w14:textId="7FD8E363">
    <w:pPr>
      <w:pStyle w:val="Header"/>
      <w:jc w:val="right"/>
      <w:rPr>
        <w:rFonts w:asciiTheme="minorHAnsi" w:hAnsiTheme="minorHAnsi" w:cstheme="minorHAnsi"/>
        <w:color w:val="2F5496" w:themeColor="accent5" w:themeShade="BF"/>
        <w:sz w:val="20"/>
      </w:rPr>
    </w:pPr>
  </w:p>
  <w:p w:rsidR="00FA64BE" w:rsidP="00FA64BE" w14:paraId="3E983FE8" w14:textId="71D87355">
    <w:pPr>
      <w:pStyle w:val="Header"/>
      <w:jc w:val="right"/>
      <w:rPr>
        <w:rFonts w:asciiTheme="minorHAnsi" w:hAnsiTheme="minorHAnsi" w:cstheme="minorHAnsi"/>
        <w:color w:val="2F5496" w:themeColor="accent5" w:themeShade="BF"/>
        <w:sz w:val="20"/>
      </w:rPr>
    </w:pPr>
  </w:p>
  <w:p w:rsidR="00FA64BE" w:rsidRPr="00D13661" w:rsidP="00FA64BE" w14:paraId="17CD6BBB" w14:textId="77777777">
    <w:pPr>
      <w:pStyle w:val="Header"/>
      <w:jc w:val="right"/>
      <w:rPr>
        <w:rFonts w:asciiTheme="minorHAnsi" w:hAnsiTheme="minorHAnsi" w:cstheme="minorHAnsi"/>
        <w:color w:val="2F5496" w:themeColor="accent5" w:themeShade="BF"/>
        <w:sz w:val="20"/>
      </w:rPr>
    </w:pPr>
  </w:p>
  <w:p w:rsidR="00E36813" w:rsidRPr="00C3170E" w:rsidP="00B50534" w14:paraId="276D8625" w14:textId="77777777">
    <w:pPr>
      <w:pStyle w:val="Header"/>
      <w:jc w:val="right"/>
      <w:rPr>
        <w:color w:val="2F5496" w:themeColor="accent5" w:themeShade="BF"/>
        <w:sz w:val="20"/>
      </w:rPr>
    </w:pPr>
  </w:p>
  <w:p w:rsidR="00E36813" w:rsidRPr="00B50534" w:rsidP="00B50534" w14:paraId="5EAB6EC6" w14:textId="77777777">
    <w:pPr>
      <w:pStyle w:val="Header"/>
      <w:jc w:val="right"/>
      <w:rPr>
        <w:b/>
        <w:color w:val="FF0000"/>
      </w:rPr>
    </w:pPr>
  </w:p>
  <w:p w:rsidR="00C97F9B" w14:paraId="237512A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071234"/>
    <w:multiLevelType w:val="hybridMultilevel"/>
    <w:tmpl w:val="95600B78"/>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D1C8F"/>
    <w:multiLevelType w:val="hybridMultilevel"/>
    <w:tmpl w:val="4F6C4180"/>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9E089E"/>
    <w:multiLevelType w:val="hybridMultilevel"/>
    <w:tmpl w:val="87960D64"/>
    <w:lvl w:ilvl="0">
      <w:start w:val="1"/>
      <w:numFmt w:val="lowerLetter"/>
      <w:pStyle w:val="Heading5"/>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6E42E9"/>
    <w:multiLevelType w:val="hybridMultilevel"/>
    <w:tmpl w:val="32681C4A"/>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181D69"/>
    <w:multiLevelType w:val="hybridMultilevel"/>
    <w:tmpl w:val="0A189E10"/>
    <w:lvl w:ilvl="0">
      <w:start w:val="1"/>
      <w:numFmt w:val="upperLetter"/>
      <w:pStyle w:val="ListParagraph"/>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39052AF"/>
    <w:multiLevelType w:val="hybridMultilevel"/>
    <w:tmpl w:val="99F85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52232B"/>
    <w:multiLevelType w:val="hybridMultilevel"/>
    <w:tmpl w:val="4EF43C1E"/>
    <w:lvl w:ilvl="0">
      <w:start w:val="1"/>
      <w:numFmt w:val="decimal"/>
      <w:pStyle w:val="Questionstyle"/>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5A7DC8"/>
    <w:multiLevelType w:val="hybridMultilevel"/>
    <w:tmpl w:val="38C66FF2"/>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1C0F6F"/>
    <w:multiLevelType w:val="hybridMultilevel"/>
    <w:tmpl w:val="93D60914"/>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0663CB"/>
    <w:multiLevelType w:val="hybridMultilevel"/>
    <w:tmpl w:val="B3F40CA6"/>
    <w:lvl w:ilvl="0">
      <w:start w:val="1"/>
      <w:numFmt w:val="bullet"/>
      <w:lvlText w:val=""/>
      <w:lvlJc w:val="left"/>
      <w:pPr>
        <w:ind w:left="360" w:hanging="360"/>
      </w:pPr>
      <w:rPr>
        <w:rFonts w:ascii="Symbol" w:hAnsi="Symbol" w:hint="default"/>
      </w:rPr>
    </w:lvl>
    <w:lvl w:ilvl="1">
      <w:start w:val="1"/>
      <w:numFmt w:val="bullet"/>
      <w:lvlText w:val="o"/>
      <w:lvlJc w:val="left"/>
      <w:pPr>
        <w:ind w:left="785"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4261A85"/>
    <w:multiLevelType w:val="hybridMultilevel"/>
    <w:tmpl w:val="5A5CEE6E"/>
    <w:lvl w:ilvl="0">
      <w:start w:val="1"/>
      <w:numFmt w:val="decimal"/>
      <w:pStyle w:val="04aNumbering"/>
      <w:lvlText w:val="%1."/>
      <w:lvlJc w:val="left"/>
      <w:pPr>
        <w:tabs>
          <w:tab w:val="num" w:pos="284"/>
        </w:tabs>
        <w:ind w:left="284" w:hanging="284"/>
      </w:pPr>
      <w:rPr>
        <w:rFonts w:ascii="Georgia" w:hAnsi="Georgia" w:hint="default"/>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7455BCB"/>
    <w:multiLevelType w:val="hybridMultilevel"/>
    <w:tmpl w:val="B56C732E"/>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0013C2"/>
    <w:multiLevelType w:val="hybridMultilevel"/>
    <w:tmpl w:val="58064840"/>
    <w:lvl w:ilvl="0">
      <w:start w:val="1"/>
      <w:numFmt w:val="decimal"/>
      <w:lvlText w:val="Q%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732A2"/>
    <w:multiLevelType w:val="hybridMultilevel"/>
    <w:tmpl w:val="7E46BA88"/>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CB2698E"/>
    <w:multiLevelType w:val="hybridMultilevel"/>
    <w:tmpl w:val="12B6401A"/>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8508FC"/>
    <w:multiLevelType w:val="hybridMultilevel"/>
    <w:tmpl w:val="87D8DCA8"/>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F4367C"/>
    <w:multiLevelType w:val="hybridMultilevel"/>
    <w:tmpl w:val="E8BC2FAE"/>
    <w:lvl w:ilvl="0">
      <w:start w:val="1"/>
      <w:numFmt w:val="bullet"/>
      <w:lvlText w:val=""/>
      <w:lvlJc w:val="left"/>
      <w:pPr>
        <w:ind w:left="928"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2105866"/>
    <w:multiLevelType w:val="hybridMultilevel"/>
    <w:tmpl w:val="93D60914"/>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7B3358"/>
    <w:multiLevelType w:val="hybridMultilevel"/>
    <w:tmpl w:val="B56C732E"/>
    <w:lvl w:ilvl="0">
      <w:start w:val="1"/>
      <w:numFmt w:val="decimal"/>
      <w:lvlText w:val="Q%1"/>
      <w:lvlJc w:val="left"/>
      <w:pPr>
        <w:ind w:left="720" w:hanging="360"/>
      </w:pPr>
      <w:rPr>
        <w:rFonts w:asciiTheme="minorHAnsi" w:hAnsiTheme="minorHAnsi"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1494B32"/>
    <w:multiLevelType w:val="hybridMultilevel"/>
    <w:tmpl w:val="066A8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D76F3F"/>
    <w:multiLevelType w:val="hybridMultilevel"/>
    <w:tmpl w:val="221AC284"/>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145C8C"/>
    <w:multiLevelType w:val="hybridMultilevel"/>
    <w:tmpl w:val="D2744510"/>
    <w:lvl w:ilvl="0">
      <w:start w:val="1"/>
      <w:numFmt w:val="decimal"/>
      <w:lvlText w:val="%1."/>
      <w:lvlJc w:val="left"/>
      <w:pPr>
        <w:ind w:left="928" w:hanging="360"/>
      </w:p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2"/>
  </w:num>
  <w:num w:numId="3">
    <w:abstractNumId w:val="22"/>
  </w:num>
  <w:num w:numId="4">
    <w:abstractNumId w:val="3"/>
  </w:num>
  <w:num w:numId="5">
    <w:abstractNumId w:val="12"/>
  </w:num>
  <w:num w:numId="6">
    <w:abstractNumId w:val="24"/>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2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4"/>
  </w:num>
  <w:num w:numId="20">
    <w:abstractNumId w:val="10"/>
  </w:num>
  <w:num w:numId="21">
    <w:abstractNumId w:val="21"/>
  </w:num>
  <w:num w:numId="22">
    <w:abstractNumId w:val="13"/>
  </w:num>
  <w:num w:numId="23">
    <w:abstractNumId w:val="18"/>
  </w:num>
  <w:num w:numId="24">
    <w:abstractNumId w:val="0"/>
  </w:num>
  <w:num w:numId="25">
    <w:abstractNumId w:val="17"/>
  </w:num>
  <w:num w:numId="26">
    <w:abstractNumId w:val="15"/>
  </w:num>
  <w:num w:numId="27">
    <w:abstractNumId w:val="9"/>
  </w:num>
  <w:num w:numId="28">
    <w:abstractNumId w:val="1"/>
  </w:num>
  <w:num w:numId="29">
    <w:abstractNumId w:val="16"/>
  </w:num>
  <w:num w:numId="30">
    <w:abstractNumId w:val="4"/>
  </w:num>
  <w:num w:numId="3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3"/>
  <w:proofState w:spelling="clean"/>
  <w:attachedTemplate r:id="rId1"/>
  <w:documentProtection w:edit="readOnly" w:enforcement="1" w:cryptProviderType="rsaAES" w:cryptAlgorithmClass="hash" w:cryptAlgorithmType="typeAny" w:cryptAlgorithmSid="14" w:cryptSpinCount="100000" w:hash="LWtpQq9XNExrps0dXgXsgzMc++xTP77xgvQXT//oeBXSPMinN250fOqOd/3Z3+HSzvi7wJWgpO+V&#10;ShlungQTfg==&#10;" w:salt="R3EHu1MEe2dx34/AdQ7Jd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5D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42C5"/>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27E00"/>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4D79"/>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A00"/>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37D9"/>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453"/>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3335"/>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mathPr>
  <w:themeFontLang w:val="nl-BE" w:eastAsia="ja-JP" w:bidi="ar-SA"/>
  <w:clrSchemeMapping w:bg1="light1" w:t1="dark1" w:bg2="light2" w:t2="dark2" w:accent1="accent1" w:accent2="accent2" w:accent3="accent3" w:accent4="accent4" w:accent5="accent5" w:accent6="accent6" w:hyperlink="hyperlink" w:followedHyperlink="followedHyperlink"/>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EC,List Paragraph Main,List Paragraph_Sections,List first level,Normal Nivel 1,Paragraphe EI,Paragraphe de liste,Paragraphe de liste1"/>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hAnsi="Arial" w:eastAsiaTheme="minorEastAsia"/>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hAnsi="Arial" w:eastAsiaTheme="minorEastAsia"/>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Diskret betoning,Emphase pâle,Text"/>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 BVI fnr,(Footnote Reference),-E Fußnotenzeichen,16 Point,BVI fnr,EN Footnote Reference,Exposant 3 Poi,Footnote Reference Superscript,Footnote reference number,Footnote symbol,SUPERS,Times 10 Point,Voetnootverwijzing,note TESI,numbe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C Char,List Paragraph Main Char,List Paragraph_Sections Char,List first level Char,Normal Nivel 1 Char,Paragraphe EI Char,Paragraphe de liste Char,Paragraphe de liste1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2.jpeg" /><Relationship Id="rId15" Type="http://schemas.openxmlformats.org/officeDocument/2006/relationships/hyperlink" Target="http://www.esma.europa.eu" TargetMode="External" /><Relationship Id="rId16" Type="http://schemas.openxmlformats.org/officeDocument/2006/relationships/hyperlink" Target="http://www.esma.europa.eu/legal-notice" TargetMode="Externa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2.xml.rels>&#65279;<?xml version="1.0" encoding="utf-8" standalone="yes"?><Relationships xmlns="http://schemas.openxmlformats.org/package/2006/relationships"><Relationship Id="rId1" Type="http://schemas.openxmlformats.org/officeDocument/2006/relationships/hyperlink" Target="https://sherpa.esma.europa.eu/sites/MKT/SMK/_layouts/15/DocIdRedir.aspx?ID=ESMA70-156-1484" TargetMode="Externa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
    <field id="Version" dmfield="" type="string"/>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s>
</customdocument>
</file>

<file path=customXml/itemProps1.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2.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6.xml><?xml version="1.0" encoding="utf-8"?>
<ds:datastoreItem xmlns:ds="http://schemas.openxmlformats.org/officeDocument/2006/customXml" ds:itemID="{A0081205-2750-4946-A1A8-968F7A10E712}">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8</Pages>
  <Words>1882</Words>
  <Characters>10729</Characters>
  <Application>Microsoft Office Word</Application>
  <DocSecurity>8</DocSecurity>
  <Lines>89</Lines>
  <Paragraphs>25</Paragraphs>
  <ScaleCrop>false</ScaleCrop>
  <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2024-04-26T09:27:53Z</dcterms:created>
  <dcterms:modified xsi:type="dcterms:W3CDTF">2024-04-26T09:27:53Z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Level">
    <vt:lpwstr>1;#Regular|07f1e362-856b-423d-bea6-a14079762141</vt:lpwstr>
  </property>
  <property fmtid="{D5CDD505-2E9C-101B-9397-08002B2CF9AE}" pid="3" name="ContentTypeId">
    <vt:lpwstr>0x010100545FD2DA307CC84A8E88FAE734BF48510400300AC345C1928543AF72C35DDC1A3D43</vt:lpwstr>
  </property>
  <property fmtid="{D5CDD505-2E9C-101B-9397-08002B2CF9AE}" pid="4" name="Document Language">
    <vt:lpwstr/>
  </property>
  <property fmtid="{D5CDD505-2E9C-101B-9397-08002B2CF9AE}" pid="5" name="DocumentSetDescription">
    <vt:lpwstr/>
  </property>
  <property fmtid="{D5CDD505-2E9C-101B-9397-08002B2CF9AE}" pid="6" name="DocumentType">
    <vt:lpwstr>84;#Report|78753201-1e9e-4a21-a088-6ff602b5c999</vt:lpwstr>
  </property>
  <property fmtid="{D5CDD505-2E9C-101B-9397-08002B2CF9AE}" pid="7" name="Document_x0020_Language">
    <vt:lpwstr/>
  </property>
  <property fmtid="{D5CDD505-2E9C-101B-9397-08002B2CF9AE}" pid="8" name="EsmaAudience">
    <vt:lpwstr/>
  </property>
  <property fmtid="{D5CDD505-2E9C-101B-9397-08002B2CF9AE}" pid="9" name="LegalAct">
    <vt:lpwstr>30;#ESMA Regulation|1f6010a2-1a2c-44cf-adf8-f8fd9b166bb1</vt:lpwstr>
  </property>
  <property fmtid="{D5CDD505-2E9C-101B-9397-08002B2CF9AE}" pid="10" name="LegalInstrument">
    <vt:lpwstr>27;#Guidelines|5e144655-8ff3-49e5-b82a-b036da8a9173</vt:lpwstr>
  </property>
  <property fmtid="{D5CDD505-2E9C-101B-9397-08002B2CF9AE}" pid="11" name="MemberState">
    <vt:lpwstr/>
  </property>
  <property fmtid="{D5CDD505-2E9C-101B-9397-08002B2CF9AE}" pid="12" name="Related Legal Acts">
    <vt:lpwstr/>
  </property>
  <property fmtid="{D5CDD505-2E9C-101B-9397-08002B2CF9AE}" pid="13" name="Stakeholder">
    <vt:lpwstr/>
  </property>
  <property fmtid="{D5CDD505-2E9C-101B-9397-08002B2CF9AE}" pid="14" name="SubTopic">
    <vt:lpwstr>148;#Qualification of crypto-assets - ESMA Guidelines on classification|4332d316-c095-4f91-9af2-56426177b6b7</vt:lpwstr>
  </property>
  <property fmtid="{D5CDD505-2E9C-101B-9397-08002B2CF9AE}" pid="15" name="TeamName">
    <vt:lpwstr>26;#Trading Unit|0cda11c1-7d91-4d51-b3a1-339122a07b73</vt:lpwstr>
  </property>
  <property fmtid="{D5CDD505-2E9C-101B-9397-08002B2CF9AE}" pid="16" name="TeamTopic">
    <vt:lpwstr>87;#Other Work|f1a52b52-917d-42ef-9667-945839604bb2</vt:lpwstr>
  </property>
  <property fmtid="{D5CDD505-2E9C-101B-9397-08002B2CF9AE}" pid="17" name="Topic">
    <vt:lpwstr>65;#MiCA - Qualification of crypto-assets|971b7e70-0142-41a8-a4a9-356713675f43</vt:lpwstr>
  </property>
  <property fmtid="{D5CDD505-2E9C-101B-9397-08002B2CF9AE}" pid="18" name="URL">
    <vt:lpwstr/>
  </property>
  <property fmtid="{D5CDD505-2E9C-101B-9397-08002B2CF9AE}" pid="19" name="_dlc_DocIdItemGuid">
    <vt:lpwstr>1cdd794d-81e4-4525-af3d-81e542174913</vt:lpwstr>
  </property>
  <property fmtid="{D5CDD505-2E9C-101B-9397-08002B2CF9AE}" pid="20" name="_docset_NoMedatataSyncRequired">
    <vt:lpwstr>False</vt:lpwstr>
  </property>
</Properties>
</file>