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753C449B" w:rsidR="00C85C8B" w:rsidRPr="00B16706" w:rsidRDefault="000A2E6A" w:rsidP="00C85C8B">
                <w:pPr>
                  <w:rPr>
                    <w:rFonts w:ascii="Arial" w:hAnsi="Arial" w:cs="Arial"/>
                    <w:color w:val="808080"/>
                    <w:sz w:val="16"/>
                    <w:szCs w:val="20"/>
                    <w:lang w:eastAsia="de-DE"/>
                  </w:rPr>
                </w:pPr>
                <w:r>
                  <w:rPr>
                    <w:rFonts w:ascii="Arial" w:hAnsi="Arial" w:cs="Arial"/>
                    <w:color w:val="808080"/>
                    <w:sz w:val="16"/>
                    <w:szCs w:val="20"/>
                    <w:lang w:eastAsia="de-DE"/>
                  </w:rPr>
                  <w:t>Kraken</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80789DA"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A2E6A">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2E18DFBB" w:rsidR="00C85C8B" w:rsidRPr="00B16706" w:rsidRDefault="000A2E6A"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5CE4073C" w14:textId="56792895" w:rsidR="00E84693" w:rsidRDefault="00E84693" w:rsidP="00E84693">
      <w:pPr>
        <w:spacing w:after="160" w:line="259" w:lineRule="auto"/>
        <w:rPr>
          <w:rFonts w:ascii="Calibri" w:eastAsia="Calibri" w:hAnsi="Calibri"/>
          <w:kern w:val="2"/>
          <w:sz w:val="22"/>
          <w:szCs w:val="22"/>
          <w:lang w:eastAsia="en-US"/>
          <w14:ligatures w14:val="standardContextual"/>
        </w:rPr>
      </w:pPr>
      <w:permStart w:id="1765354918" w:edGrp="everyone"/>
      <w:r w:rsidRPr="00E84693">
        <w:rPr>
          <w:rFonts w:ascii="Calibri" w:eastAsia="Calibri" w:hAnsi="Calibri"/>
          <w:kern w:val="2"/>
          <w:sz w:val="22"/>
          <w:szCs w:val="22"/>
          <w:lang w:eastAsia="en-US"/>
          <w14:ligatures w14:val="standardContextual"/>
        </w:rPr>
        <w:t xml:space="preserve">The approach taken in this consultation provides clearer guidance for market participants while allowing innovation within the crypto-asset industry. We appreciate ESMA’s efforts to provide clarity and a methodology in classifying crypto assets uniformly across the EU. </w:t>
      </w:r>
      <w:proofErr w:type="spellStart"/>
      <w:r w:rsidRPr="00E84693">
        <w:rPr>
          <w:rFonts w:ascii="Calibri" w:eastAsia="Calibri" w:hAnsi="Calibri"/>
          <w:kern w:val="2"/>
          <w:sz w:val="22"/>
          <w:szCs w:val="22"/>
          <w:lang w:eastAsia="en-US"/>
          <w14:ligatures w14:val="standardContextual"/>
        </w:rPr>
        <w:t>MiCA</w:t>
      </w:r>
      <w:proofErr w:type="spellEnd"/>
      <w:r w:rsidRPr="00E84693">
        <w:rPr>
          <w:rFonts w:ascii="Calibri" w:eastAsia="Calibri" w:hAnsi="Calibri"/>
          <w:kern w:val="2"/>
          <w:sz w:val="22"/>
          <w:szCs w:val="22"/>
          <w:lang w:eastAsia="en-US"/>
          <w14:ligatures w14:val="standardContextual"/>
        </w:rPr>
        <w:t xml:space="preserve"> provides a unique opportunity for creating a harmonised regime, benefitting from the fact that crypto, unlike MiFID instruments, does not suffer from the fragmentation stemming from each individual EU member state defining it differently.</w:t>
      </w:r>
    </w:p>
    <w:p w14:paraId="57A17C1B" w14:textId="77777777" w:rsidR="002A587F" w:rsidRPr="00E84693" w:rsidRDefault="002A587F" w:rsidP="00E84693">
      <w:pPr>
        <w:spacing w:after="160" w:line="259" w:lineRule="auto"/>
        <w:rPr>
          <w:rFonts w:ascii="Calibri" w:eastAsia="Calibri" w:hAnsi="Calibri"/>
          <w:kern w:val="2"/>
          <w:sz w:val="22"/>
          <w:szCs w:val="22"/>
          <w:lang w:eastAsia="en-US"/>
          <w14:ligatures w14:val="standardContextual"/>
        </w:rPr>
      </w:pPr>
    </w:p>
    <w:p w14:paraId="360F80E4" w14:textId="0116B18D" w:rsidR="00E84693" w:rsidRDefault="00E84693" w:rsidP="00E84693">
      <w:pPr>
        <w:spacing w:after="160" w:line="259" w:lineRule="auto"/>
        <w:rPr>
          <w:rFonts w:ascii="Calibri" w:eastAsia="Calibri" w:hAnsi="Calibri"/>
          <w:kern w:val="2"/>
          <w:sz w:val="22"/>
          <w:szCs w:val="22"/>
          <w:lang w:eastAsia="en-US"/>
          <w14:ligatures w14:val="standardContextual"/>
        </w:rPr>
      </w:pPr>
      <w:r w:rsidRPr="00E84693">
        <w:rPr>
          <w:rFonts w:ascii="Calibri" w:eastAsia="Calibri" w:hAnsi="Calibri"/>
          <w:kern w:val="2"/>
          <w:sz w:val="22"/>
          <w:szCs w:val="22"/>
          <w:lang w:eastAsia="en-US"/>
          <w14:ligatures w14:val="standardContextual"/>
        </w:rPr>
        <w:t xml:space="preserve">While we support ESMA’s guidance of not using a one-size fits all approach, we believe that this might lead to divergent approaches in Member State classifications. In particular, given that there is no EU-wide harmonised definition of a financial instrument in the EU, we believe that different National Competent Authorities (NCAs) may classify the same token differently in their Member State base which would be contrary to the level playing field </w:t>
      </w:r>
      <w:proofErr w:type="spellStart"/>
      <w:r w:rsidRPr="00E84693">
        <w:rPr>
          <w:rFonts w:ascii="Calibri" w:eastAsia="Calibri" w:hAnsi="Calibri"/>
          <w:kern w:val="2"/>
          <w:sz w:val="22"/>
          <w:szCs w:val="22"/>
          <w:lang w:eastAsia="en-US"/>
          <w14:ligatures w14:val="standardContextual"/>
        </w:rPr>
        <w:t>MiCA</w:t>
      </w:r>
      <w:proofErr w:type="spellEnd"/>
      <w:r w:rsidRPr="00E84693">
        <w:rPr>
          <w:rFonts w:ascii="Calibri" w:eastAsia="Calibri" w:hAnsi="Calibri"/>
          <w:kern w:val="2"/>
          <w:sz w:val="22"/>
          <w:szCs w:val="22"/>
          <w:lang w:eastAsia="en-US"/>
          <w14:ligatures w14:val="standardContextual"/>
        </w:rPr>
        <w:t xml:space="preserve"> seeks to achieve. These guidelines come close to helping avoid such an outcome.  </w:t>
      </w:r>
    </w:p>
    <w:p w14:paraId="00ADD02A" w14:textId="77777777" w:rsidR="002A587F" w:rsidRPr="00E84693" w:rsidRDefault="002A587F" w:rsidP="00E84693">
      <w:pPr>
        <w:spacing w:after="160" w:line="259" w:lineRule="auto"/>
        <w:rPr>
          <w:rFonts w:ascii="Calibri" w:eastAsia="Calibri" w:hAnsi="Calibri"/>
          <w:kern w:val="2"/>
          <w:sz w:val="22"/>
          <w:szCs w:val="22"/>
          <w:lang w:eastAsia="en-US"/>
          <w14:ligatures w14:val="standardContextual"/>
        </w:rPr>
      </w:pPr>
    </w:p>
    <w:p w14:paraId="26CF1D0C" w14:textId="7FE40F48" w:rsidR="00E84693" w:rsidRDefault="00E84693" w:rsidP="001B1B48">
      <w:pPr>
        <w:spacing w:after="160" w:line="259" w:lineRule="auto"/>
        <w:rPr>
          <w:rFonts w:ascii="Calibri" w:eastAsia="Calibri" w:hAnsi="Calibri"/>
          <w:kern w:val="2"/>
          <w:sz w:val="22"/>
          <w:szCs w:val="22"/>
          <w:lang w:eastAsia="en-US"/>
          <w14:ligatures w14:val="standardContextual"/>
        </w:rPr>
      </w:pPr>
      <w:r w:rsidRPr="00E84693">
        <w:rPr>
          <w:rFonts w:ascii="Calibri" w:eastAsia="Calibri" w:hAnsi="Calibri"/>
          <w:kern w:val="2"/>
          <w:sz w:val="22"/>
          <w:szCs w:val="22"/>
          <w:lang w:eastAsia="en-US"/>
          <w14:ligatures w14:val="standardContextual"/>
        </w:rPr>
        <w:t xml:space="preserve">Technology neutrality is a very important concept and we would appreciate additional focus on this in the final guidelines from ESMA. We </w:t>
      </w:r>
      <w:r>
        <w:rPr>
          <w:rFonts w:ascii="Calibri" w:eastAsia="Calibri" w:hAnsi="Calibri"/>
          <w:kern w:val="2"/>
          <w:sz w:val="22"/>
          <w:szCs w:val="22"/>
          <w:lang w:eastAsia="en-US"/>
          <w14:ligatures w14:val="standardContextual"/>
        </w:rPr>
        <w:t>recommend that</w:t>
      </w:r>
      <w:r w:rsidRPr="00E84693">
        <w:rPr>
          <w:rFonts w:ascii="Calibri" w:eastAsia="Calibri" w:hAnsi="Calibri"/>
          <w:kern w:val="2"/>
          <w:sz w:val="22"/>
          <w:szCs w:val="22"/>
          <w:lang w:eastAsia="en-US"/>
          <w14:ligatures w14:val="standardContextual"/>
        </w:rPr>
        <w:t xml:space="preserve"> ESMA </w:t>
      </w:r>
      <w:r>
        <w:rPr>
          <w:rFonts w:ascii="Calibri" w:eastAsia="Calibri" w:hAnsi="Calibri"/>
          <w:kern w:val="2"/>
          <w:sz w:val="22"/>
          <w:szCs w:val="22"/>
          <w:lang w:eastAsia="en-US"/>
          <w14:ligatures w14:val="standardContextual"/>
        </w:rPr>
        <w:t>includes</w:t>
      </w:r>
      <w:r w:rsidRPr="00E84693">
        <w:rPr>
          <w:rFonts w:ascii="Calibri" w:eastAsia="Calibri" w:hAnsi="Calibri"/>
          <w:kern w:val="2"/>
          <w:sz w:val="22"/>
          <w:szCs w:val="22"/>
          <w:lang w:eastAsia="en-US"/>
          <w14:ligatures w14:val="standardContextual"/>
        </w:rPr>
        <w:t xml:space="preserve"> in its guidance that the risk analysis of a financial instrument should be technology neutral and that a financial instrument should not have a higher risk profile solely due to the fact that it relies on DLT or has a crypto-asset as its underlying.</w:t>
      </w:r>
    </w:p>
    <w:permEnd w:id="1765354918"/>
    <w:p w14:paraId="38524F57" w14:textId="5EA6246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3593E56D" w14:textId="77777777" w:rsidR="00E84693" w:rsidRDefault="00E84693" w:rsidP="00E84693">
      <w:pPr>
        <w:spacing w:after="160" w:line="259" w:lineRule="auto"/>
        <w:rPr>
          <w:rFonts w:ascii="Calibri" w:eastAsia="Calibri" w:hAnsi="Calibri"/>
          <w:kern w:val="2"/>
          <w:sz w:val="22"/>
          <w:szCs w:val="22"/>
          <w:lang w:eastAsia="en-US"/>
          <w14:ligatures w14:val="standardContextual"/>
        </w:rPr>
      </w:pPr>
      <w:permStart w:id="1667529024" w:edGrp="everyone"/>
      <w:r w:rsidRPr="00E84693">
        <w:rPr>
          <w:rFonts w:ascii="Calibri" w:eastAsia="Calibri" w:hAnsi="Calibri"/>
          <w:kern w:val="2"/>
          <w:sz w:val="22"/>
          <w:szCs w:val="22"/>
          <w:lang w:eastAsia="en-US"/>
          <w14:ligatures w14:val="standardContextual"/>
        </w:rPr>
        <w:t xml:space="preserve">We note that the criteria for qualifying as a transferable security is quite broad, in some respects circular and would benefit from further clarification. </w:t>
      </w:r>
    </w:p>
    <w:p w14:paraId="4E610D3F" w14:textId="77777777" w:rsidR="002A587F" w:rsidRPr="00E84693" w:rsidRDefault="002A587F" w:rsidP="00E84693">
      <w:pPr>
        <w:spacing w:after="160" w:line="259" w:lineRule="auto"/>
        <w:rPr>
          <w:rFonts w:ascii="Calibri" w:eastAsia="Calibri" w:hAnsi="Calibri"/>
          <w:kern w:val="2"/>
          <w:sz w:val="22"/>
          <w:szCs w:val="22"/>
          <w:lang w:eastAsia="en-US"/>
          <w14:ligatures w14:val="standardContextual"/>
        </w:rPr>
      </w:pPr>
    </w:p>
    <w:p w14:paraId="05D563E3" w14:textId="77777777" w:rsidR="00E84693" w:rsidRDefault="00E84693" w:rsidP="00E84693">
      <w:pPr>
        <w:spacing w:after="160" w:line="259" w:lineRule="auto"/>
        <w:rPr>
          <w:rFonts w:ascii="Calibri" w:eastAsia="Calibri" w:hAnsi="Calibri"/>
          <w:kern w:val="2"/>
          <w:sz w:val="22"/>
          <w:szCs w:val="22"/>
          <w:lang w:eastAsia="en-US"/>
          <w14:ligatures w14:val="standardContextual"/>
        </w:rPr>
      </w:pPr>
      <w:r w:rsidRPr="00E84693">
        <w:rPr>
          <w:rFonts w:ascii="Calibri" w:eastAsia="Calibri" w:hAnsi="Calibri"/>
          <w:kern w:val="2"/>
          <w:sz w:val="22"/>
          <w:szCs w:val="22"/>
          <w:lang w:eastAsia="en-US"/>
          <w14:ligatures w14:val="standardContextual"/>
        </w:rPr>
        <w:lastRenderedPageBreak/>
        <w:t xml:space="preserve">With regards to the criterion of: </w:t>
      </w:r>
    </w:p>
    <w:p w14:paraId="23536C01" w14:textId="77777777" w:rsidR="002A587F" w:rsidRPr="00E84693" w:rsidRDefault="002A587F" w:rsidP="00E84693">
      <w:pPr>
        <w:spacing w:after="160" w:line="259" w:lineRule="auto"/>
        <w:rPr>
          <w:rFonts w:ascii="Calibri" w:eastAsia="Calibri" w:hAnsi="Calibri"/>
          <w:kern w:val="2"/>
          <w:sz w:val="22"/>
          <w:szCs w:val="22"/>
          <w:lang w:eastAsia="en-US"/>
          <w14:ligatures w14:val="standardContextual"/>
        </w:rPr>
      </w:pPr>
    </w:p>
    <w:p w14:paraId="40F00C42" w14:textId="782B35D4" w:rsidR="002A587F" w:rsidRPr="002A587F" w:rsidRDefault="00E84693" w:rsidP="002A587F">
      <w:pPr>
        <w:pStyle w:val="ListParagraph"/>
        <w:rPr>
          <w:lang w:eastAsia="en-US"/>
        </w:rPr>
      </w:pPr>
      <w:r>
        <w:rPr>
          <w:lang w:eastAsia="en-US"/>
        </w:rPr>
        <w:t>“</w:t>
      </w:r>
      <w:proofErr w:type="gramStart"/>
      <w:r w:rsidRPr="00E84693">
        <w:rPr>
          <w:b/>
          <w:bCs/>
          <w:lang w:eastAsia="en-US"/>
        </w:rPr>
        <w:t>n</w:t>
      </w:r>
      <w:r w:rsidRPr="00E84693">
        <w:rPr>
          <w:b/>
          <w:bCs/>
          <w:lang w:eastAsia="en-US"/>
        </w:rPr>
        <w:t>ot</w:t>
      </w:r>
      <w:proofErr w:type="gramEnd"/>
      <w:r w:rsidRPr="00E84693">
        <w:rPr>
          <w:b/>
          <w:bCs/>
          <w:lang w:eastAsia="en-US"/>
        </w:rPr>
        <w:t xml:space="preserve"> being an instrument of payment</w:t>
      </w:r>
      <w:r>
        <w:rPr>
          <w:lang w:eastAsia="en-US"/>
        </w:rPr>
        <w:t>”</w:t>
      </w:r>
      <w:r w:rsidRPr="00E84693">
        <w:rPr>
          <w:lang w:eastAsia="en-US"/>
        </w:rPr>
        <w:t>, we note that additional clarification on what is</w:t>
      </w:r>
      <w:r>
        <w:rPr>
          <w:lang w:eastAsia="en-US"/>
        </w:rPr>
        <w:t xml:space="preserve"> </w:t>
      </w:r>
      <w:r w:rsidRPr="00E84693">
        <w:rPr>
          <w:lang w:eastAsia="en-US"/>
        </w:rPr>
        <w:t xml:space="preserve">a “payment instrument” would be helpful, given that there is no harmonised definition of “payment instrument” between MiFID II and PSD2 across the EU. The Guidelines should specifically refer to the PSD/PSR definition for avoidance of doubt. </w:t>
      </w:r>
    </w:p>
    <w:p w14:paraId="66C6FBC8" w14:textId="486C95F6" w:rsidR="00E84693" w:rsidRPr="00E84693" w:rsidRDefault="00E84693" w:rsidP="00E84693">
      <w:pPr>
        <w:pStyle w:val="ListParagraph"/>
        <w:rPr>
          <w:lang w:eastAsia="en-US"/>
        </w:rPr>
      </w:pPr>
      <w:r>
        <w:rPr>
          <w:lang w:eastAsia="en-US"/>
        </w:rPr>
        <w:t>“</w:t>
      </w:r>
      <w:proofErr w:type="gramStart"/>
      <w:r w:rsidRPr="00E84693">
        <w:rPr>
          <w:b/>
          <w:bCs/>
          <w:lang w:eastAsia="en-US"/>
        </w:rPr>
        <w:t>f</w:t>
      </w:r>
      <w:r w:rsidRPr="00E84693">
        <w:rPr>
          <w:b/>
          <w:bCs/>
          <w:lang w:eastAsia="en-US"/>
        </w:rPr>
        <w:t>orming</w:t>
      </w:r>
      <w:proofErr w:type="gramEnd"/>
      <w:r w:rsidRPr="00E84693">
        <w:rPr>
          <w:b/>
          <w:bCs/>
          <w:lang w:eastAsia="en-US"/>
        </w:rPr>
        <w:t xml:space="preserve"> a class of securities</w:t>
      </w:r>
      <w:r>
        <w:rPr>
          <w:lang w:eastAsia="en-US"/>
        </w:rPr>
        <w:t>”</w:t>
      </w:r>
      <w:r w:rsidRPr="00E84693">
        <w:rPr>
          <w:lang w:eastAsia="en-US"/>
        </w:rPr>
        <w:t xml:space="preserve">. </w:t>
      </w:r>
      <w:r w:rsidR="00AE5492" w:rsidRPr="00AE5492">
        <w:rPr>
          <w:lang w:eastAsia="en-US"/>
        </w:rPr>
        <w:t xml:space="preserve">It should also be clarified that “giving access to the same rights” should not capture attributes of tokens that allow participation in protocol development processes. We </w:t>
      </w:r>
      <w:r w:rsidR="00AE5492">
        <w:rPr>
          <w:lang w:eastAsia="en-US"/>
        </w:rPr>
        <w:t>believe</w:t>
      </w:r>
      <w:r w:rsidR="00AE5492" w:rsidRPr="00AE5492">
        <w:rPr>
          <w:lang w:eastAsia="en-US"/>
        </w:rPr>
        <w:t xml:space="preserve"> that </w:t>
      </w:r>
      <w:r w:rsidR="00AE5492">
        <w:rPr>
          <w:lang w:eastAsia="en-US"/>
        </w:rPr>
        <w:t xml:space="preserve">such </w:t>
      </w:r>
      <w:r w:rsidR="00AE5492" w:rsidRPr="00AE5492">
        <w:rPr>
          <w:lang w:eastAsia="en-US"/>
        </w:rPr>
        <w:t xml:space="preserve">tokens that give access to protocol governance should </w:t>
      </w:r>
      <w:r w:rsidR="00AE5492">
        <w:rPr>
          <w:lang w:eastAsia="en-US"/>
        </w:rPr>
        <w:t xml:space="preserve">not </w:t>
      </w:r>
      <w:r w:rsidR="00AE5492" w:rsidRPr="00AE5492">
        <w:rPr>
          <w:lang w:eastAsia="en-US"/>
        </w:rPr>
        <w:t xml:space="preserve">be viewed as transferable securities, given that </w:t>
      </w:r>
      <w:r w:rsidR="00AE5492">
        <w:rPr>
          <w:lang w:eastAsia="en-US"/>
        </w:rPr>
        <w:t>the governance dynamics</w:t>
      </w:r>
      <w:r w:rsidR="00AE5492" w:rsidRPr="00AE5492">
        <w:rPr>
          <w:lang w:eastAsia="en-US"/>
        </w:rPr>
        <w:t xml:space="preserve"> is not akin to “voting rights on the issuer's decision-making process”. For more detail regarding this </w:t>
      </w:r>
      <w:r w:rsidR="00AE5492">
        <w:rPr>
          <w:lang w:eastAsia="en-US"/>
        </w:rPr>
        <w:t>clarification</w:t>
      </w:r>
      <w:r w:rsidR="00AE5492" w:rsidRPr="00AE5492">
        <w:rPr>
          <w:lang w:eastAsia="en-US"/>
        </w:rPr>
        <w:t xml:space="preserve">, please see our response to Question 5. </w:t>
      </w:r>
      <w:r w:rsidRPr="00E84693">
        <w:rPr>
          <w:lang w:eastAsia="en-US"/>
        </w:rPr>
        <w:t xml:space="preserve">  </w:t>
      </w:r>
    </w:p>
    <w:p w14:paraId="6ACD0D93" w14:textId="2D387E51" w:rsidR="001B1B48" w:rsidRPr="00E84693" w:rsidRDefault="00E84693" w:rsidP="00E84693">
      <w:pPr>
        <w:pStyle w:val="ListParagraph"/>
        <w:rPr>
          <w:lang w:eastAsia="en-US"/>
        </w:rPr>
      </w:pPr>
      <w:r>
        <w:rPr>
          <w:lang w:eastAsia="en-US"/>
        </w:rPr>
        <w:t>“</w:t>
      </w:r>
      <w:proofErr w:type="gramStart"/>
      <w:r w:rsidRPr="00E84693">
        <w:rPr>
          <w:b/>
          <w:bCs/>
          <w:lang w:eastAsia="en-US"/>
        </w:rPr>
        <w:t>b</w:t>
      </w:r>
      <w:r w:rsidRPr="00E84693">
        <w:rPr>
          <w:b/>
          <w:bCs/>
          <w:lang w:eastAsia="en-US"/>
        </w:rPr>
        <w:t>eing</w:t>
      </w:r>
      <w:proofErr w:type="gramEnd"/>
      <w:r w:rsidRPr="00E84693">
        <w:rPr>
          <w:b/>
          <w:bCs/>
          <w:lang w:eastAsia="en-US"/>
        </w:rPr>
        <w:t xml:space="preserve"> transferred or traded on capital markets</w:t>
      </w:r>
      <w:r>
        <w:rPr>
          <w:lang w:eastAsia="en-US"/>
        </w:rPr>
        <w:t>”</w:t>
      </w:r>
      <w:r w:rsidRPr="00E84693">
        <w:rPr>
          <w:lang w:eastAsia="en-US"/>
        </w:rPr>
        <w:t xml:space="preserve">, where capital markets are all “...venues where securities are traded as well as over-the-counter markets … or other electronic and/or voice trading platforms where buying and selling interest in securities meet” we suggest that the Guidelines specify that these are MiFID authorised venues or other OTC traditional finance mechanisms to make it clear that </w:t>
      </w:r>
      <w:proofErr w:type="spellStart"/>
      <w:r w:rsidRPr="00E84693">
        <w:rPr>
          <w:lang w:eastAsia="en-US"/>
        </w:rPr>
        <w:t>MiCA</w:t>
      </w:r>
      <w:proofErr w:type="spellEnd"/>
      <w:r w:rsidRPr="00E84693">
        <w:rPr>
          <w:lang w:eastAsia="en-US"/>
        </w:rPr>
        <w:t xml:space="preserve"> crypto-asset platforms or decentralised exchanges are not considered.</w:t>
      </w:r>
    </w:p>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307226AB" w14:textId="77777777" w:rsidR="002A587F" w:rsidRDefault="002A587F" w:rsidP="002A587F">
      <w:pPr>
        <w:spacing w:after="160" w:line="259" w:lineRule="auto"/>
        <w:rPr>
          <w:rFonts w:ascii="Calibri" w:eastAsia="Calibri" w:hAnsi="Calibri"/>
          <w:kern w:val="2"/>
          <w:sz w:val="22"/>
          <w:szCs w:val="22"/>
          <w:lang w:eastAsia="en-US"/>
          <w14:ligatures w14:val="standardContextual"/>
        </w:rPr>
      </w:pPr>
      <w:permStart w:id="669658389" w:edGrp="everyone"/>
      <w:r w:rsidRPr="002A587F">
        <w:rPr>
          <w:rFonts w:ascii="Calibri" w:eastAsia="Calibri" w:hAnsi="Calibri"/>
          <w:kern w:val="2"/>
          <w:sz w:val="22"/>
          <w:szCs w:val="22"/>
          <w:lang w:eastAsia="en-US"/>
          <w14:ligatures w14:val="standardContextual"/>
        </w:rPr>
        <w:t xml:space="preserve">Crypto derivatives settle in a variety of ways, including but not limited to, </w:t>
      </w:r>
      <w:proofErr w:type="spellStart"/>
      <w:r w:rsidRPr="002A587F">
        <w:rPr>
          <w:rFonts w:ascii="Calibri" w:eastAsia="Calibri" w:hAnsi="Calibri"/>
          <w:kern w:val="2"/>
          <w:sz w:val="22"/>
          <w:szCs w:val="22"/>
          <w:lang w:eastAsia="en-US"/>
          <w14:ligatures w14:val="standardContextual"/>
        </w:rPr>
        <w:t>stablecoins</w:t>
      </w:r>
      <w:proofErr w:type="spellEnd"/>
      <w:r w:rsidRPr="002A587F">
        <w:rPr>
          <w:rFonts w:ascii="Calibri" w:eastAsia="Calibri" w:hAnsi="Calibri"/>
          <w:kern w:val="2"/>
          <w:sz w:val="22"/>
          <w:szCs w:val="22"/>
          <w:lang w:eastAsia="en-US"/>
          <w14:ligatures w14:val="standardContextual"/>
        </w:rPr>
        <w:t xml:space="preserve">, crypto assets (e.g. BTC), and cash (e.g. EUR or USD), where the value of the derivative contract at expiration is settled in the quote currency of the contract, based on the difference between the contract’s price upon opening the position and the market price of the underlying crypto asset at expiration. </w:t>
      </w:r>
    </w:p>
    <w:p w14:paraId="68965BAE" w14:textId="77777777" w:rsidR="002A587F" w:rsidRDefault="002A587F" w:rsidP="002A587F">
      <w:pPr>
        <w:spacing w:after="160" w:line="259" w:lineRule="auto"/>
        <w:rPr>
          <w:rFonts w:ascii="Calibri" w:eastAsia="Calibri" w:hAnsi="Calibri"/>
          <w:kern w:val="2"/>
          <w:sz w:val="22"/>
          <w:szCs w:val="22"/>
          <w:lang w:eastAsia="en-US"/>
          <w14:ligatures w14:val="standardContextual"/>
        </w:rPr>
      </w:pPr>
    </w:p>
    <w:p w14:paraId="0AE21ADF" w14:textId="75D611B4" w:rsidR="002A587F" w:rsidRDefault="002A587F" w:rsidP="002A587F">
      <w:pPr>
        <w:spacing w:after="160" w:line="259" w:lineRule="auto"/>
        <w:rPr>
          <w:rFonts w:ascii="Calibri" w:eastAsia="Calibri" w:hAnsi="Calibri"/>
          <w:kern w:val="2"/>
          <w:sz w:val="22"/>
          <w:szCs w:val="22"/>
          <w:lang w:eastAsia="en-US"/>
          <w14:ligatures w14:val="standardContextual"/>
        </w:rPr>
      </w:pPr>
      <w:r w:rsidRPr="002A587F">
        <w:rPr>
          <w:rFonts w:ascii="Calibri" w:eastAsia="Calibri" w:hAnsi="Calibri"/>
          <w:kern w:val="2"/>
          <w:sz w:val="22"/>
          <w:szCs w:val="22"/>
          <w:lang w:eastAsia="en-US"/>
          <w14:ligatures w14:val="standardContextual"/>
        </w:rPr>
        <w:t xml:space="preserve">Some derivatives physically settle which means that the underlying crypto asset is delivered to the buyer. At expiration, the seller of the derivative delivers the underlying crypto asset specified in the contract, and the buyer receives it. Certain exchanges allow for clients to choose between receiving the underlying asset or settling in the quote currency. </w:t>
      </w:r>
    </w:p>
    <w:p w14:paraId="4754C596" w14:textId="77777777" w:rsidR="002A587F" w:rsidRPr="002A587F" w:rsidRDefault="002A587F" w:rsidP="002A587F">
      <w:pPr>
        <w:spacing w:after="160" w:line="259" w:lineRule="auto"/>
        <w:rPr>
          <w:rFonts w:ascii="Calibri" w:eastAsia="Calibri" w:hAnsi="Calibri"/>
          <w:kern w:val="2"/>
          <w:sz w:val="22"/>
          <w:szCs w:val="22"/>
          <w:lang w:eastAsia="en-US"/>
          <w14:ligatures w14:val="standardContextual"/>
        </w:rPr>
      </w:pPr>
    </w:p>
    <w:p w14:paraId="087B25C3" w14:textId="1F2D9EBA" w:rsidR="001B1B48" w:rsidRPr="001B1B48" w:rsidRDefault="002A587F" w:rsidP="002A587F">
      <w:pPr>
        <w:spacing w:after="160" w:line="259" w:lineRule="auto"/>
        <w:rPr>
          <w:rFonts w:ascii="Calibri" w:eastAsia="Calibri" w:hAnsi="Calibri"/>
          <w:kern w:val="2"/>
          <w:sz w:val="22"/>
          <w:szCs w:val="22"/>
          <w:lang w:eastAsia="en-US"/>
          <w14:ligatures w14:val="standardContextual"/>
        </w:rPr>
      </w:pPr>
      <w:r w:rsidRPr="002A587F">
        <w:rPr>
          <w:rFonts w:ascii="Calibri" w:eastAsia="Calibri" w:hAnsi="Calibri"/>
          <w:kern w:val="2"/>
          <w:sz w:val="22"/>
          <w:szCs w:val="22"/>
          <w:lang w:eastAsia="en-US"/>
          <w14:ligatures w14:val="standardContextual"/>
        </w:rPr>
        <w:t>Derivatives that settle in crypto assets other than EMTs should not be considered cash settled, as the equivalence between such crypto assets and cash is not possible. In this sense, Bitcoin, for example, or any similar crypto asset, should not be considered (</w:t>
      </w:r>
      <w:proofErr w:type="spellStart"/>
      <w:r w:rsidRPr="002A587F">
        <w:rPr>
          <w:rFonts w:ascii="Calibri" w:eastAsia="Calibri" w:hAnsi="Calibri"/>
          <w:kern w:val="2"/>
          <w:sz w:val="22"/>
          <w:szCs w:val="22"/>
          <w:lang w:eastAsia="en-US"/>
          <w14:ligatures w14:val="standardContextual"/>
        </w:rPr>
        <w:t>i</w:t>
      </w:r>
      <w:proofErr w:type="spellEnd"/>
      <w:r w:rsidRPr="002A587F">
        <w:rPr>
          <w:rFonts w:ascii="Calibri" w:eastAsia="Calibri" w:hAnsi="Calibri"/>
          <w:kern w:val="2"/>
          <w:sz w:val="22"/>
          <w:szCs w:val="22"/>
          <w:lang w:eastAsia="en-US"/>
          <w14:ligatures w14:val="standardContextual"/>
        </w:rPr>
        <w:t xml:space="preserve">) a currency since it is not a banknote or coin </w:t>
      </w:r>
      <w:r w:rsidRPr="002A587F">
        <w:rPr>
          <w:rFonts w:ascii="Calibri" w:eastAsia="Calibri" w:hAnsi="Calibri"/>
          <w:kern w:val="2"/>
          <w:sz w:val="22"/>
          <w:szCs w:val="22"/>
          <w:lang w:eastAsia="en-US"/>
          <w14:ligatures w14:val="standardContextual"/>
        </w:rPr>
        <w:lastRenderedPageBreak/>
        <w:t>that is in circulation as a medium of exchange or that has been in circulation as a medium of exchange and can still be exchanged through financial institutions or central banks for banknotes or coins that are in circulation as a medium of exchange; (ii) a bearer-negotiable instrument since it does not entitle the holder to claim a financial amount upon presentation of the instrument; (iii) a commodity used as highly-liquid store of value since it is not listed in point 1 of Annex A of Regulation 2018/1672; (iv) a prepaid card since it does not fit within the definition.</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CBF3978" w14:textId="60094825" w:rsidR="001B1B48" w:rsidRPr="001B1B48" w:rsidRDefault="002A587F" w:rsidP="001B1B48">
      <w:pPr>
        <w:spacing w:after="160" w:line="259" w:lineRule="auto"/>
        <w:rPr>
          <w:rFonts w:ascii="Calibri" w:eastAsia="Calibri" w:hAnsi="Calibri"/>
          <w:kern w:val="2"/>
          <w:sz w:val="22"/>
          <w:szCs w:val="22"/>
          <w:lang w:eastAsia="en-US"/>
          <w14:ligatures w14:val="standardContextual"/>
        </w:rPr>
      </w:pPr>
      <w:permStart w:id="1645309941" w:edGrp="everyone"/>
      <w:r w:rsidRPr="002A587F">
        <w:rPr>
          <w:rFonts w:ascii="Calibri" w:eastAsia="Calibri" w:hAnsi="Calibri"/>
          <w:kern w:val="2"/>
          <w:sz w:val="22"/>
          <w:szCs w:val="22"/>
          <w:lang w:eastAsia="en-US"/>
          <w14:ligatures w14:val="standardContextual"/>
        </w:rPr>
        <w:t>ESMA delineations are broadly sensible. With regard to derivatives, we would welcome guidance on how perpetual contracts, i.e. contracts without an expiration date, would be qualified. We appreciate that perpetual contracts are unique to the crypto industry and there is no equivalent product in traditional finance. Our preference is that they are treated as derivative contracts.</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9DC8CD7" w14:textId="296489E1" w:rsidR="002A587F" w:rsidRPr="002A587F" w:rsidRDefault="002A587F" w:rsidP="002A587F">
      <w:pPr>
        <w:spacing w:after="160" w:line="259" w:lineRule="auto"/>
        <w:rPr>
          <w:rFonts w:ascii="Calibri" w:eastAsia="Calibri" w:hAnsi="Calibri"/>
          <w:kern w:val="2"/>
          <w:sz w:val="22"/>
          <w:szCs w:val="22"/>
          <w:lang w:eastAsia="en-US"/>
          <w14:ligatures w14:val="standardContextual"/>
        </w:rPr>
      </w:pPr>
      <w:permStart w:id="159149139" w:edGrp="everyone"/>
      <w:r w:rsidRPr="002A587F">
        <w:rPr>
          <w:rFonts w:ascii="Calibri" w:eastAsia="Calibri" w:hAnsi="Calibri"/>
          <w:kern w:val="2"/>
          <w:sz w:val="22"/>
          <w:szCs w:val="22"/>
          <w:lang w:eastAsia="en-US"/>
          <w14:ligatures w14:val="standardContextual"/>
        </w:rPr>
        <w:t xml:space="preserve">According to the Guidelines, Utility tokens should “facilitate practical/functional utilisation within a DLT-based ecosystem or similar technology”. We note that </w:t>
      </w:r>
      <w:proofErr w:type="spellStart"/>
      <w:r w:rsidRPr="002A587F">
        <w:rPr>
          <w:rFonts w:ascii="Calibri" w:eastAsia="Calibri" w:hAnsi="Calibri"/>
          <w:kern w:val="2"/>
          <w:sz w:val="22"/>
          <w:szCs w:val="22"/>
          <w:lang w:eastAsia="en-US"/>
          <w14:ligatures w14:val="standardContextual"/>
        </w:rPr>
        <w:t>MiCA</w:t>
      </w:r>
      <w:proofErr w:type="spellEnd"/>
      <w:r w:rsidRPr="002A587F">
        <w:rPr>
          <w:rFonts w:ascii="Calibri" w:eastAsia="Calibri" w:hAnsi="Calibri"/>
          <w:kern w:val="2"/>
          <w:sz w:val="22"/>
          <w:szCs w:val="22"/>
          <w:lang w:eastAsia="en-US"/>
          <w14:ligatures w14:val="standardContextual"/>
        </w:rPr>
        <w:t xml:space="preserve"> Level 1 does not limit the scope of Utility tokens in this manner. We believe that the utility of a utility token could be exercised outside of a DLT based platform (e.g. in a web browser, video game, or in person) and so the scope for Utility token should be wider and not reference DLT specifically. Alternatively, the guidelines could reference DLT as an example, among other platforms</w:t>
      </w:r>
      <w:r w:rsidR="002B6F3C">
        <w:rPr>
          <w:rFonts w:ascii="Calibri" w:eastAsia="Calibri" w:hAnsi="Calibri"/>
          <w:kern w:val="2"/>
          <w:sz w:val="22"/>
          <w:szCs w:val="22"/>
          <w:lang w:eastAsia="en-US"/>
          <w14:ligatures w14:val="standardContextual"/>
        </w:rPr>
        <w:t xml:space="preserve"> in a list of examples</w:t>
      </w:r>
      <w:r w:rsidRPr="002A587F">
        <w:rPr>
          <w:rFonts w:ascii="Calibri" w:eastAsia="Calibri" w:hAnsi="Calibri"/>
          <w:kern w:val="2"/>
          <w:sz w:val="22"/>
          <w:szCs w:val="22"/>
          <w:lang w:eastAsia="en-US"/>
          <w14:ligatures w14:val="standardContextual"/>
        </w:rPr>
        <w:t xml:space="preserve">. </w:t>
      </w:r>
    </w:p>
    <w:p w14:paraId="3D13D4FE" w14:textId="77777777" w:rsidR="002A587F" w:rsidRPr="002A587F" w:rsidRDefault="002A587F" w:rsidP="002A587F">
      <w:pPr>
        <w:spacing w:after="160" w:line="259" w:lineRule="auto"/>
        <w:rPr>
          <w:rFonts w:ascii="Calibri" w:eastAsia="Calibri" w:hAnsi="Calibri"/>
          <w:kern w:val="2"/>
          <w:sz w:val="22"/>
          <w:szCs w:val="22"/>
          <w:lang w:eastAsia="en-US"/>
          <w14:ligatures w14:val="standardContextual"/>
        </w:rPr>
      </w:pPr>
    </w:p>
    <w:p w14:paraId="1F375DC9" w14:textId="3CDEF9A7" w:rsidR="001B1B48" w:rsidRPr="001B1B48" w:rsidRDefault="002A587F" w:rsidP="002A587F">
      <w:pPr>
        <w:spacing w:after="160" w:line="259" w:lineRule="auto"/>
        <w:rPr>
          <w:rFonts w:ascii="Calibri" w:eastAsia="Calibri" w:hAnsi="Calibri"/>
          <w:kern w:val="2"/>
          <w:sz w:val="22"/>
          <w:szCs w:val="22"/>
          <w:lang w:eastAsia="en-US"/>
          <w14:ligatures w14:val="standardContextual"/>
        </w:rPr>
      </w:pPr>
      <w:r w:rsidRPr="002A587F">
        <w:rPr>
          <w:rFonts w:ascii="Calibri" w:eastAsia="Calibri" w:hAnsi="Calibri"/>
          <w:kern w:val="2"/>
          <w:sz w:val="22"/>
          <w:szCs w:val="22"/>
          <w:lang w:eastAsia="en-US"/>
          <w14:ligatures w14:val="standardContextual"/>
        </w:rPr>
        <w:t xml:space="preserve">We would welcome consideration of the different functions </w:t>
      </w:r>
      <w:proofErr w:type="gramStart"/>
      <w:r w:rsidRPr="002A587F">
        <w:rPr>
          <w:rFonts w:ascii="Calibri" w:eastAsia="Calibri" w:hAnsi="Calibri"/>
          <w:kern w:val="2"/>
          <w:sz w:val="22"/>
          <w:szCs w:val="22"/>
          <w:lang w:eastAsia="en-US"/>
          <w14:ligatures w14:val="standardContextual"/>
        </w:rPr>
        <w:t>of  “</w:t>
      </w:r>
      <w:proofErr w:type="gramEnd"/>
      <w:r w:rsidRPr="002A587F">
        <w:rPr>
          <w:rFonts w:ascii="Calibri" w:eastAsia="Calibri" w:hAnsi="Calibri"/>
          <w:kern w:val="2"/>
          <w:sz w:val="22"/>
          <w:szCs w:val="22"/>
          <w:lang w:eastAsia="en-US"/>
          <w14:ligatures w14:val="standardContextual"/>
        </w:rPr>
        <w:t xml:space="preserve">voting rights” associated with crypto assets, as they can serve different purposes. This applies to a variety </w:t>
      </w:r>
      <w:proofErr w:type="gramStart"/>
      <w:r w:rsidRPr="002A587F">
        <w:rPr>
          <w:rFonts w:ascii="Calibri" w:eastAsia="Calibri" w:hAnsi="Calibri"/>
          <w:kern w:val="2"/>
          <w:sz w:val="22"/>
          <w:szCs w:val="22"/>
          <w:lang w:eastAsia="en-US"/>
          <w14:ligatures w14:val="standardContextual"/>
        </w:rPr>
        <w:t>of  crypto</w:t>
      </w:r>
      <w:proofErr w:type="gramEnd"/>
      <w:r w:rsidRPr="002A587F">
        <w:rPr>
          <w:rFonts w:ascii="Calibri" w:eastAsia="Calibri" w:hAnsi="Calibri"/>
          <w:kern w:val="2"/>
          <w:sz w:val="22"/>
          <w:szCs w:val="22"/>
          <w:lang w:eastAsia="en-US"/>
          <w14:ligatures w14:val="standardContextual"/>
        </w:rPr>
        <w:t xml:space="preserve"> assets or tokens, including utility tokens and governance tokens. We recommend further clarifying that voting rights associated with protocol governance should not be conflated with voting rights associated with </w:t>
      </w:r>
      <w:r w:rsidRPr="002A587F">
        <w:rPr>
          <w:rFonts w:ascii="Calibri" w:eastAsia="Calibri" w:hAnsi="Calibri"/>
          <w:kern w:val="2"/>
          <w:sz w:val="22"/>
          <w:szCs w:val="22"/>
          <w:lang w:eastAsia="en-US"/>
          <w14:ligatures w14:val="standardContextual"/>
        </w:rPr>
        <w:lastRenderedPageBreak/>
        <w:t>financial instruments. Crypto assets providing these different kinds of rights should be subject to distinct treatment. This nuance requires a more thorough and case-by-case analysis of the governance dynamics of a token (e.g., the role of voting in the ecosystem) as opposed to rendering a blunt conclusion based solely on the presence of a voting mechanism.</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3DC7EFEC" w14:textId="77777777" w:rsidR="002B6F3C" w:rsidRPr="002B6F3C" w:rsidRDefault="002B6F3C" w:rsidP="002B6F3C">
      <w:pPr>
        <w:spacing w:after="160" w:line="259" w:lineRule="auto"/>
        <w:rPr>
          <w:rFonts w:ascii="Calibri" w:eastAsia="Calibri" w:hAnsi="Calibri"/>
          <w:kern w:val="2"/>
          <w:sz w:val="22"/>
          <w:szCs w:val="22"/>
          <w:lang w:eastAsia="en-US"/>
          <w14:ligatures w14:val="standardContextual"/>
        </w:rPr>
      </w:pPr>
      <w:permStart w:id="1027046836" w:edGrp="everyone"/>
      <w:r w:rsidRPr="002B6F3C">
        <w:rPr>
          <w:rFonts w:ascii="Calibri" w:eastAsia="Calibri" w:hAnsi="Calibri"/>
          <w:kern w:val="2"/>
          <w:sz w:val="22"/>
          <w:szCs w:val="22"/>
          <w:lang w:eastAsia="en-US"/>
          <w14:ligatures w14:val="standardContextual"/>
        </w:rPr>
        <w:t xml:space="preserve">We note that at the time of drafting of </w:t>
      </w:r>
      <w:proofErr w:type="spellStart"/>
      <w:r w:rsidRPr="002B6F3C">
        <w:rPr>
          <w:rFonts w:ascii="Calibri" w:eastAsia="Calibri" w:hAnsi="Calibri"/>
          <w:kern w:val="2"/>
          <w:sz w:val="22"/>
          <w:szCs w:val="22"/>
          <w:lang w:eastAsia="en-US"/>
          <w14:ligatures w14:val="standardContextual"/>
        </w:rPr>
        <w:t>MiCA</w:t>
      </w:r>
      <w:proofErr w:type="spellEnd"/>
      <w:r w:rsidRPr="002B6F3C">
        <w:rPr>
          <w:rFonts w:ascii="Calibri" w:eastAsia="Calibri" w:hAnsi="Calibri"/>
          <w:kern w:val="2"/>
          <w:sz w:val="22"/>
          <w:szCs w:val="22"/>
          <w:lang w:eastAsia="en-US"/>
          <w14:ligatures w14:val="standardContextual"/>
        </w:rPr>
        <w:t xml:space="preserve">, NFTs were deemed as not ready to be regulated by </w:t>
      </w:r>
      <w:proofErr w:type="spellStart"/>
      <w:r w:rsidRPr="002B6F3C">
        <w:rPr>
          <w:rFonts w:ascii="Calibri" w:eastAsia="Calibri" w:hAnsi="Calibri"/>
          <w:kern w:val="2"/>
          <w:sz w:val="22"/>
          <w:szCs w:val="22"/>
          <w:lang w:eastAsia="en-US"/>
          <w14:ligatures w14:val="standardContextual"/>
        </w:rPr>
        <w:t>MiCA</w:t>
      </w:r>
      <w:proofErr w:type="spellEnd"/>
      <w:r w:rsidRPr="002B6F3C">
        <w:rPr>
          <w:rFonts w:ascii="Calibri" w:eastAsia="Calibri" w:hAnsi="Calibri"/>
          <w:kern w:val="2"/>
          <w:sz w:val="22"/>
          <w:szCs w:val="22"/>
          <w:lang w:eastAsia="en-US"/>
          <w14:ligatures w14:val="standardContextual"/>
        </w:rPr>
        <w:t xml:space="preserve">. As such, </w:t>
      </w:r>
      <w:proofErr w:type="spellStart"/>
      <w:r w:rsidRPr="002B6F3C">
        <w:rPr>
          <w:rFonts w:ascii="Calibri" w:eastAsia="Calibri" w:hAnsi="Calibri"/>
          <w:kern w:val="2"/>
          <w:sz w:val="22"/>
          <w:szCs w:val="22"/>
          <w:lang w:eastAsia="en-US"/>
          <w14:ligatures w14:val="standardContextual"/>
        </w:rPr>
        <w:t>MiCA</w:t>
      </w:r>
      <w:proofErr w:type="spellEnd"/>
      <w:r w:rsidRPr="002B6F3C">
        <w:rPr>
          <w:rFonts w:ascii="Calibri" w:eastAsia="Calibri" w:hAnsi="Calibri"/>
          <w:kern w:val="2"/>
          <w:sz w:val="22"/>
          <w:szCs w:val="22"/>
          <w:lang w:eastAsia="en-US"/>
          <w14:ligatures w14:val="standardContextual"/>
        </w:rPr>
        <w:t xml:space="preserve"> contains no provisions to deal with NFTs specifically and a vast majority of NFTs were meant to be scoped out of </w:t>
      </w:r>
      <w:proofErr w:type="spellStart"/>
      <w:r w:rsidRPr="002B6F3C">
        <w:rPr>
          <w:rFonts w:ascii="Calibri" w:eastAsia="Calibri" w:hAnsi="Calibri"/>
          <w:kern w:val="2"/>
          <w:sz w:val="22"/>
          <w:szCs w:val="22"/>
          <w:lang w:eastAsia="en-US"/>
          <w14:ligatures w14:val="standardContextual"/>
        </w:rPr>
        <w:t>MiCA</w:t>
      </w:r>
      <w:proofErr w:type="spellEnd"/>
      <w:r w:rsidRPr="002B6F3C">
        <w:rPr>
          <w:rFonts w:ascii="Calibri" w:eastAsia="Calibri" w:hAnsi="Calibri"/>
          <w:kern w:val="2"/>
          <w:sz w:val="22"/>
          <w:szCs w:val="22"/>
          <w:lang w:eastAsia="en-US"/>
          <w14:ligatures w14:val="standardContextual"/>
        </w:rPr>
        <w:t xml:space="preserve">. Since then, the NFT markets have not experienced any significant losses of customer funds, or any other meaningful failures. </w:t>
      </w:r>
    </w:p>
    <w:p w14:paraId="3A4BFB37" w14:textId="77777777" w:rsidR="002B6F3C" w:rsidRPr="002B6F3C" w:rsidRDefault="002B6F3C" w:rsidP="002B6F3C">
      <w:pPr>
        <w:spacing w:after="160" w:line="259" w:lineRule="auto"/>
        <w:rPr>
          <w:rFonts w:ascii="Calibri" w:eastAsia="Calibri" w:hAnsi="Calibri"/>
          <w:kern w:val="2"/>
          <w:sz w:val="22"/>
          <w:szCs w:val="22"/>
          <w:lang w:eastAsia="en-US"/>
          <w14:ligatures w14:val="standardContextual"/>
        </w:rPr>
      </w:pPr>
    </w:p>
    <w:p w14:paraId="0FF13597" w14:textId="77777777" w:rsidR="002B6F3C" w:rsidRPr="002B6F3C" w:rsidRDefault="002B6F3C" w:rsidP="002B6F3C">
      <w:pPr>
        <w:spacing w:after="160" w:line="259" w:lineRule="auto"/>
        <w:rPr>
          <w:rFonts w:ascii="Calibri" w:eastAsia="Calibri" w:hAnsi="Calibri"/>
          <w:kern w:val="2"/>
          <w:sz w:val="22"/>
          <w:szCs w:val="22"/>
          <w:lang w:eastAsia="en-US"/>
          <w14:ligatures w14:val="standardContextual"/>
        </w:rPr>
      </w:pPr>
      <w:r w:rsidRPr="002B6F3C">
        <w:rPr>
          <w:rFonts w:ascii="Calibri" w:eastAsia="Calibri" w:hAnsi="Calibri"/>
          <w:kern w:val="2"/>
          <w:sz w:val="22"/>
          <w:szCs w:val="22"/>
          <w:lang w:eastAsia="en-US"/>
          <w14:ligatures w14:val="standardContextual"/>
        </w:rPr>
        <w:t xml:space="preserve">NFTs are functionally equivalent to any other digital assets sold over the internet (e.g. songs, </w:t>
      </w:r>
      <w:proofErr w:type="spellStart"/>
      <w:r w:rsidRPr="002B6F3C">
        <w:rPr>
          <w:rFonts w:ascii="Calibri" w:eastAsia="Calibri" w:hAnsi="Calibri"/>
          <w:kern w:val="2"/>
          <w:sz w:val="22"/>
          <w:szCs w:val="22"/>
          <w:lang w:eastAsia="en-US"/>
          <w14:ligatures w14:val="standardContextual"/>
        </w:rPr>
        <w:t>ebooks</w:t>
      </w:r>
      <w:proofErr w:type="spellEnd"/>
      <w:r w:rsidRPr="002B6F3C">
        <w:rPr>
          <w:rFonts w:ascii="Calibri" w:eastAsia="Calibri" w:hAnsi="Calibri"/>
          <w:kern w:val="2"/>
          <w:sz w:val="22"/>
          <w:szCs w:val="22"/>
          <w:lang w:eastAsia="en-US"/>
          <w14:ligatures w14:val="standardContextual"/>
        </w:rPr>
        <w:t xml:space="preserve">, audiobooks). ESMA’s assessment in the Guidelines could bring a number of NFTs in the scope of </w:t>
      </w:r>
      <w:proofErr w:type="spellStart"/>
      <w:r w:rsidRPr="002B6F3C">
        <w:rPr>
          <w:rFonts w:ascii="Calibri" w:eastAsia="Calibri" w:hAnsi="Calibri"/>
          <w:kern w:val="2"/>
          <w:sz w:val="22"/>
          <w:szCs w:val="22"/>
          <w:lang w:eastAsia="en-US"/>
          <w14:ligatures w14:val="standardContextual"/>
        </w:rPr>
        <w:t>MiCA</w:t>
      </w:r>
      <w:proofErr w:type="spellEnd"/>
      <w:r w:rsidRPr="002B6F3C">
        <w:rPr>
          <w:rFonts w:ascii="Calibri" w:eastAsia="Calibri" w:hAnsi="Calibri"/>
          <w:kern w:val="2"/>
          <w:sz w:val="22"/>
          <w:szCs w:val="22"/>
          <w:lang w:eastAsia="en-US"/>
          <w14:ligatures w14:val="standardContextual"/>
        </w:rPr>
        <w:t xml:space="preserve">, mainly based on challenging their “non-fungible” status. Unfortunately, </w:t>
      </w:r>
      <w:proofErr w:type="spellStart"/>
      <w:r w:rsidRPr="002B6F3C">
        <w:rPr>
          <w:rFonts w:ascii="Calibri" w:eastAsia="Calibri" w:hAnsi="Calibri"/>
          <w:kern w:val="2"/>
          <w:sz w:val="22"/>
          <w:szCs w:val="22"/>
          <w:lang w:eastAsia="en-US"/>
          <w14:ligatures w14:val="standardContextual"/>
        </w:rPr>
        <w:t>MiCA</w:t>
      </w:r>
      <w:proofErr w:type="spellEnd"/>
      <w:r w:rsidRPr="002B6F3C">
        <w:rPr>
          <w:rFonts w:ascii="Calibri" w:eastAsia="Calibri" w:hAnsi="Calibri"/>
          <w:kern w:val="2"/>
          <w:sz w:val="22"/>
          <w:szCs w:val="22"/>
          <w:lang w:eastAsia="en-US"/>
          <w14:ligatures w14:val="standardContextual"/>
        </w:rPr>
        <w:t xml:space="preserve"> Level 1 makes the link between fungibility and size of a collection. ESMA further challenges fungibility, based on vague notions such as exhibiting “interconnected value dynamics” being contrary to asset’s fungibility. We see these two attributes as independent. We believe that if NFTs fulfil the criteria outlined in the guidelines to qualify as crypto-asset or other financial instrument, they should be regulated appropriately, but this should not be based on the fungibility challenges of “uniqueness” or be linked to the size of the collection they belong to. The assessment should instead be based on the underlying features and whether the appropriate criteria and conditions are met. </w:t>
      </w:r>
    </w:p>
    <w:p w14:paraId="33A195B5" w14:textId="77777777" w:rsidR="002B6F3C" w:rsidRPr="002B6F3C" w:rsidRDefault="002B6F3C" w:rsidP="002B6F3C">
      <w:pPr>
        <w:spacing w:after="160" w:line="259" w:lineRule="auto"/>
        <w:rPr>
          <w:rFonts w:ascii="Calibri" w:eastAsia="Calibri" w:hAnsi="Calibri"/>
          <w:kern w:val="2"/>
          <w:sz w:val="22"/>
          <w:szCs w:val="22"/>
          <w:lang w:eastAsia="en-US"/>
          <w14:ligatures w14:val="standardContextual"/>
        </w:rPr>
      </w:pPr>
    </w:p>
    <w:p w14:paraId="7C93D9BE" w14:textId="58F90EE7" w:rsidR="001B1B48" w:rsidRPr="001B1B48" w:rsidRDefault="002B6F3C" w:rsidP="002B6F3C">
      <w:pPr>
        <w:spacing w:after="160" w:line="259" w:lineRule="auto"/>
        <w:rPr>
          <w:rFonts w:ascii="Calibri" w:eastAsia="Calibri" w:hAnsi="Calibri"/>
          <w:kern w:val="2"/>
          <w:sz w:val="22"/>
          <w:szCs w:val="22"/>
          <w:lang w:eastAsia="en-US"/>
          <w14:ligatures w14:val="standardContextual"/>
        </w:rPr>
      </w:pPr>
      <w:r w:rsidRPr="002B6F3C">
        <w:rPr>
          <w:rFonts w:ascii="Calibri" w:eastAsia="Calibri" w:hAnsi="Calibri"/>
          <w:kern w:val="2"/>
          <w:sz w:val="22"/>
          <w:szCs w:val="22"/>
          <w:lang w:eastAsia="en-US"/>
          <w14:ligatures w14:val="standardContextual"/>
        </w:rPr>
        <w:t>We note and welcome that by 30 December 2024, the European Commission will submit a report to the European Parliament and Council focusing on the market evolution of NFTs and evaluating the need for their regulatory oversight.</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07FA6329" w14:textId="42D8E0D3" w:rsidR="001B1B48" w:rsidRPr="001B1B48" w:rsidRDefault="002B6F3C" w:rsidP="001B1B48">
      <w:pPr>
        <w:spacing w:after="160" w:line="259" w:lineRule="auto"/>
        <w:rPr>
          <w:rFonts w:ascii="Calibri" w:eastAsia="Calibri" w:hAnsi="Calibri"/>
          <w:kern w:val="2"/>
          <w:sz w:val="22"/>
          <w:szCs w:val="22"/>
          <w:lang w:eastAsia="en-US"/>
          <w14:ligatures w14:val="standardContextual"/>
        </w:rPr>
      </w:pPr>
      <w:permStart w:id="1214527182" w:edGrp="everyone"/>
      <w:r w:rsidRPr="002B6F3C">
        <w:rPr>
          <w:rFonts w:ascii="Calibri" w:eastAsia="Calibri" w:hAnsi="Calibri"/>
          <w:kern w:val="2"/>
          <w:sz w:val="22"/>
          <w:szCs w:val="22"/>
          <w:lang w:eastAsia="en-US"/>
          <w14:ligatures w14:val="standardContextual"/>
        </w:rPr>
        <w:lastRenderedPageBreak/>
        <w:t>We have no objection to treating hybrid tokens displaying features of a financial instrument as financial instruments.</w:t>
      </w:r>
      <w:r>
        <w:rPr>
          <w:rFonts w:ascii="Calibri" w:eastAsia="Calibri" w:hAnsi="Calibri"/>
          <w:kern w:val="2"/>
          <w:sz w:val="22"/>
          <w:szCs w:val="22"/>
          <w:lang w:eastAsia="en-US"/>
          <w14:ligatures w14:val="standardContextual"/>
        </w:rPr>
        <w:t xml:space="preserve"> </w:t>
      </w:r>
      <w:proofErr w:type="gramStart"/>
      <w:r w:rsidRPr="002B6F3C">
        <w:rPr>
          <w:rFonts w:ascii="Calibri" w:eastAsia="Calibri" w:hAnsi="Calibri"/>
          <w:kern w:val="2"/>
          <w:sz w:val="22"/>
          <w:szCs w:val="22"/>
          <w:lang w:eastAsia="en-US"/>
          <w14:ligatures w14:val="standardContextual"/>
        </w:rPr>
        <w:t>Any</w:t>
      </w:r>
      <w:proofErr w:type="gramEnd"/>
      <w:r w:rsidRPr="002B6F3C">
        <w:rPr>
          <w:rFonts w:ascii="Calibri" w:eastAsia="Calibri" w:hAnsi="Calibri"/>
          <w:kern w:val="2"/>
          <w:sz w:val="22"/>
          <w:szCs w:val="22"/>
          <w:lang w:eastAsia="en-US"/>
          <w14:ligatures w14:val="standardContextual"/>
        </w:rPr>
        <w:t xml:space="preserve"> alternative treatment would be costly to assess and difficult to oversee. For example, theoretically, if a </w:t>
      </w:r>
      <w:proofErr w:type="gramStart"/>
      <w:r w:rsidRPr="002B6F3C">
        <w:rPr>
          <w:rFonts w:ascii="Calibri" w:eastAsia="Calibri" w:hAnsi="Calibri"/>
          <w:kern w:val="2"/>
          <w:sz w:val="22"/>
          <w:szCs w:val="22"/>
          <w:lang w:eastAsia="en-US"/>
          <w14:ligatures w14:val="standardContextual"/>
        </w:rPr>
        <w:t>hybrid token displays</w:t>
      </w:r>
      <w:proofErr w:type="gramEnd"/>
      <w:r w:rsidRPr="002B6F3C">
        <w:rPr>
          <w:rFonts w:ascii="Calibri" w:eastAsia="Calibri" w:hAnsi="Calibri"/>
          <w:kern w:val="2"/>
          <w:sz w:val="22"/>
          <w:szCs w:val="22"/>
          <w:lang w:eastAsia="en-US"/>
          <w14:ligatures w14:val="standardContextual"/>
        </w:rPr>
        <w:t xml:space="preserve"> features partly of a utility token and partly of a financial instrument, but over time its utility significantly outgrows its financial instrument investment potential - such token might benefit from being seen as a utility token. However, this would be challenging to implement into practice.</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A69E" w14:textId="77777777" w:rsidR="00D653AB" w:rsidRDefault="00D653AB" w:rsidP="007E7997">
      <w:r>
        <w:separator/>
      </w:r>
    </w:p>
  </w:endnote>
  <w:endnote w:type="continuationSeparator" w:id="0">
    <w:p w14:paraId="5273C19F" w14:textId="77777777" w:rsidR="00D653AB" w:rsidRDefault="00D653AB" w:rsidP="007E7997">
      <w:r>
        <w:continuationSeparator/>
      </w:r>
    </w:p>
  </w:endnote>
  <w:endnote w:type="continuationNotice" w:id="1">
    <w:p w14:paraId="1CA66F0C" w14:textId="77777777" w:rsidR="00D653AB" w:rsidRDefault="00D65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657E" w14:textId="77777777" w:rsidR="00D653AB" w:rsidRDefault="00D653AB" w:rsidP="007E7997">
      <w:r>
        <w:separator/>
      </w:r>
    </w:p>
  </w:footnote>
  <w:footnote w:type="continuationSeparator" w:id="0">
    <w:p w14:paraId="67FEF1D2" w14:textId="77777777" w:rsidR="00D653AB" w:rsidRDefault="00D653AB" w:rsidP="007E7997">
      <w:r>
        <w:continuationSeparator/>
      </w:r>
    </w:p>
  </w:footnote>
  <w:footnote w:type="continuationNotice" w:id="1">
    <w:p w14:paraId="40639923" w14:textId="77777777" w:rsidR="00D653AB" w:rsidRDefault="00D65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0509EC24"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8350F"/>
    <w:multiLevelType w:val="hybridMultilevel"/>
    <w:tmpl w:val="9D624376"/>
    <w:lvl w:ilvl="0" w:tplc="5C60698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3"/>
  </w:num>
  <w:num w:numId="4" w16cid:durableId="1880320868">
    <w:abstractNumId w:val="3"/>
  </w:num>
  <w:num w:numId="5" w16cid:durableId="290864581">
    <w:abstractNumId w:val="12"/>
  </w:num>
  <w:num w:numId="6" w16cid:durableId="952590553">
    <w:abstractNumId w:val="25"/>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6"/>
  </w:num>
  <w:num w:numId="15" w16cid:durableId="986476960">
    <w:abstractNumId w:val="19"/>
  </w:num>
  <w:num w:numId="16" w16cid:durableId="398749299">
    <w:abstractNumId w:val="24"/>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5"/>
  </w:num>
  <w:num w:numId="20" w16cid:durableId="1306933315">
    <w:abstractNumId w:val="10"/>
  </w:num>
  <w:num w:numId="21" w16cid:durableId="1623876054">
    <w:abstractNumId w:val="22"/>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 w:numId="32" w16cid:durableId="138459403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2E6A"/>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1F4C3C"/>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587F"/>
    <w:rsid w:val="002A6C21"/>
    <w:rsid w:val="002A780E"/>
    <w:rsid w:val="002B144C"/>
    <w:rsid w:val="002B53F3"/>
    <w:rsid w:val="002B6F3C"/>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CA3"/>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E5492"/>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A5E7D"/>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3AB"/>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693"/>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E84693"/>
    <w:pPr>
      <w:numPr>
        <w:numId w:val="32"/>
      </w:numPr>
      <w:tabs>
        <w:tab w:val="left" w:pos="0"/>
        <w:tab w:val="left" w:pos="142"/>
        <w:tab w:val="left" w:pos="284"/>
        <w:tab w:val="left" w:pos="567"/>
      </w:tabs>
      <w:autoSpaceDE w:val="0"/>
      <w:autoSpaceDN w:val="0"/>
      <w:adjustRightInd w:val="0"/>
      <w:spacing w:after="160" w:line="259"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E84693"/>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233324289">
      <w:bodyDiv w:val="1"/>
      <w:marLeft w:val="0"/>
      <w:marRight w:val="0"/>
      <w:marTop w:val="0"/>
      <w:marBottom w:val="0"/>
      <w:divBdr>
        <w:top w:val="none" w:sz="0" w:space="0" w:color="auto"/>
        <w:left w:val="none" w:sz="0" w:space="0" w:color="auto"/>
        <w:bottom w:val="none" w:sz="0" w:space="0" w:color="auto"/>
        <w:right w:val="none" w:sz="0" w:space="0" w:color="auto"/>
      </w:divBdr>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417212786">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71051470">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6676420">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08120546">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72952331">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25</TotalTime>
  <Pages>9</Pages>
  <Words>2072</Words>
  <Characters>11813</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13858</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Romana Raj</cp:lastModifiedBy>
  <cp:revision>4</cp:revision>
  <cp:lastPrinted>2017-07-24T14:47:00Z</cp:lastPrinted>
  <dcterms:created xsi:type="dcterms:W3CDTF">2024-04-26T14:25:00Z</dcterms:created>
  <dcterms:modified xsi:type="dcterms:W3CDTF">2024-04-29T10:10:00Z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