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C34C6D" w14:textId="77777777" w:rsidR="002820D4" w:rsidRDefault="002820D4">
      <w:pPr>
        <w:spacing w:line="276" w:lineRule="auto"/>
        <w:rPr>
          <w:rFonts w:ascii="Arial" w:eastAsia="Arial" w:hAnsi="Arial" w:cs="Arial"/>
          <w:color w:val="FF0000"/>
          <w:sz w:val="20"/>
          <w:szCs w:val="20"/>
        </w:rPr>
      </w:pPr>
    </w:p>
    <w:p w14:paraId="5757D7CC" w14:textId="77777777" w:rsidR="002820D4" w:rsidRDefault="002820D4">
      <w:pPr>
        <w:spacing w:after="120" w:line="276" w:lineRule="auto"/>
        <w:rPr>
          <w:rFonts w:ascii="Arial" w:eastAsia="Arial" w:hAnsi="Arial" w:cs="Arial"/>
          <w:sz w:val="20"/>
          <w:szCs w:val="20"/>
        </w:rPr>
      </w:pPr>
    </w:p>
    <w:p w14:paraId="5FFEA405" w14:textId="77777777" w:rsidR="002820D4" w:rsidRDefault="002820D4">
      <w:pPr>
        <w:spacing w:line="276" w:lineRule="auto"/>
        <w:rPr>
          <w:rFonts w:ascii="Arial" w:eastAsia="Arial" w:hAnsi="Arial" w:cs="Arial"/>
          <w:sz w:val="20"/>
          <w:szCs w:val="20"/>
        </w:rPr>
      </w:pPr>
    </w:p>
    <w:tbl>
      <w:tblPr>
        <w:tblStyle w:val="a"/>
        <w:tblpPr w:leftFromText="8505" w:vertAnchor="page" w:horzAnchor="margin" w:tblpXSpec="center" w:tblpY="3481"/>
        <w:tblW w:w="10490" w:type="dxa"/>
        <w:tblLayout w:type="fixed"/>
        <w:tblLook w:val="0000" w:firstRow="0" w:lastRow="0" w:firstColumn="0" w:lastColumn="0" w:noHBand="0" w:noVBand="0"/>
      </w:tblPr>
      <w:tblGrid>
        <w:gridCol w:w="10490"/>
      </w:tblGrid>
      <w:tr w:rsidR="002820D4" w14:paraId="1312AB42" w14:textId="77777777">
        <w:trPr>
          <w:trHeight w:val="1492"/>
        </w:trPr>
        <w:tc>
          <w:tcPr>
            <w:tcW w:w="10490" w:type="dxa"/>
            <w:vAlign w:val="bottom"/>
          </w:tcPr>
          <w:p w14:paraId="46E737C5" w14:textId="77777777" w:rsidR="002820D4" w:rsidRDefault="00000000">
            <w:pPr>
              <w:pStyle w:val="Title"/>
              <w:rPr>
                <w:sz w:val="48"/>
                <w:szCs w:val="48"/>
              </w:rPr>
            </w:pPr>
            <w:r>
              <w:rPr>
                <w:sz w:val="48"/>
                <w:szCs w:val="48"/>
              </w:rPr>
              <w:t xml:space="preserve">Reply </w:t>
            </w:r>
            <w:proofErr w:type="gramStart"/>
            <w:r>
              <w:rPr>
                <w:sz w:val="48"/>
                <w:szCs w:val="48"/>
              </w:rPr>
              <w:t>form</w:t>
            </w:r>
            <w:proofErr w:type="gramEnd"/>
            <w:r>
              <w:rPr>
                <w:sz w:val="48"/>
                <w:szCs w:val="48"/>
              </w:rPr>
              <w:t xml:space="preserve"> </w:t>
            </w:r>
          </w:p>
          <w:p w14:paraId="2F53663F" w14:textId="77777777" w:rsidR="002820D4" w:rsidRDefault="002820D4"/>
          <w:p w14:paraId="2D864505" w14:textId="77777777" w:rsidR="002820D4" w:rsidRDefault="00000000">
            <w:pPr>
              <w:pStyle w:val="Title"/>
              <w:spacing w:line="276" w:lineRule="auto"/>
              <w:ind w:right="854"/>
              <w:rPr>
                <w:rFonts w:ascii="Arial" w:eastAsia="Arial" w:hAnsi="Arial" w:cs="Arial"/>
                <w:sz w:val="24"/>
                <w:szCs w:val="24"/>
              </w:rPr>
            </w:pPr>
            <w:r>
              <w:rPr>
                <w:color w:val="000000"/>
                <w:sz w:val="24"/>
                <w:szCs w:val="24"/>
              </w:rPr>
              <w:t xml:space="preserve">on the Consultation Paper on guidelines on conditions and criteria for the classification of </w:t>
            </w:r>
            <w:proofErr w:type="gramStart"/>
            <w:r>
              <w:rPr>
                <w:color w:val="000000"/>
                <w:sz w:val="24"/>
                <w:szCs w:val="24"/>
              </w:rPr>
              <w:t>crypto-assets</w:t>
            </w:r>
            <w:proofErr w:type="gramEnd"/>
            <w:r>
              <w:rPr>
                <w:color w:val="000000"/>
                <w:sz w:val="24"/>
                <w:szCs w:val="24"/>
              </w:rPr>
              <w:t xml:space="preserve"> as financial instruments for </w:t>
            </w:r>
            <w:proofErr w:type="spellStart"/>
            <w:r>
              <w:rPr>
                <w:color w:val="000000"/>
                <w:sz w:val="24"/>
                <w:szCs w:val="24"/>
              </w:rPr>
              <w:t>MiCA</w:t>
            </w:r>
            <w:proofErr w:type="spellEnd"/>
            <w:r>
              <w:rPr>
                <w:color w:val="000000"/>
                <w:sz w:val="24"/>
                <w:szCs w:val="24"/>
              </w:rPr>
              <w:t xml:space="preserve"> implementation</w:t>
            </w:r>
          </w:p>
        </w:tc>
      </w:tr>
      <w:tr w:rsidR="002820D4" w14:paraId="2505E1E8" w14:textId="77777777">
        <w:trPr>
          <w:trHeight w:val="747"/>
        </w:trPr>
        <w:tc>
          <w:tcPr>
            <w:tcW w:w="10490" w:type="dxa"/>
            <w:tcMar>
              <w:top w:w="142" w:type="dxa"/>
            </w:tcMar>
          </w:tcPr>
          <w:p w14:paraId="4E40BFAB" w14:textId="77777777" w:rsidR="002820D4" w:rsidRDefault="002820D4" w:rsidP="00B769F7">
            <w:pPr>
              <w:pStyle w:val="Heading2"/>
              <w:numPr>
                <w:ilvl w:val="0"/>
                <w:numId w:val="0"/>
              </w:numPr>
              <w:spacing w:before="0"/>
              <w:ind w:left="1440"/>
              <w:rPr>
                <w:sz w:val="22"/>
                <w:szCs w:val="22"/>
              </w:rPr>
            </w:pPr>
          </w:p>
        </w:tc>
      </w:tr>
    </w:tbl>
    <w:p w14:paraId="6DB85280" w14:textId="77777777" w:rsidR="002820D4" w:rsidRDefault="002820D4">
      <w:pPr>
        <w:spacing w:line="276" w:lineRule="auto"/>
        <w:rPr>
          <w:rFonts w:ascii="Arial" w:eastAsia="Arial" w:hAnsi="Arial" w:cs="Arial"/>
          <w:sz w:val="20"/>
          <w:szCs w:val="20"/>
        </w:rPr>
      </w:pPr>
    </w:p>
    <w:p w14:paraId="5341F4CE" w14:textId="77777777" w:rsidR="002820D4" w:rsidRDefault="002820D4">
      <w:pPr>
        <w:spacing w:line="276" w:lineRule="auto"/>
        <w:rPr>
          <w:rFonts w:ascii="Arial" w:eastAsia="Arial" w:hAnsi="Arial" w:cs="Arial"/>
          <w:sz w:val="20"/>
          <w:szCs w:val="20"/>
        </w:rPr>
      </w:pPr>
    </w:p>
    <w:p w14:paraId="245969DD" w14:textId="77777777" w:rsidR="002820D4" w:rsidRDefault="00000000" w:rsidP="00B769F7">
      <w:pPr>
        <w:pStyle w:val="Heading2"/>
        <w:numPr>
          <w:ilvl w:val="0"/>
          <w:numId w:val="0"/>
        </w:numPr>
        <w:ind w:left="1440"/>
        <w:sectPr w:rsidR="002820D4" w:rsidSect="003B0387">
          <w:headerReference w:type="default" r:id="rId8"/>
          <w:footerReference w:type="default" r:id="rId9"/>
          <w:headerReference w:type="first" r:id="rId10"/>
          <w:footerReference w:type="first" r:id="rId11"/>
          <w:pgSz w:w="11906" w:h="16838"/>
          <w:pgMar w:top="1417" w:right="1417" w:bottom="1417" w:left="1417" w:header="708" w:footer="708" w:gutter="0"/>
          <w:pgNumType w:start="0"/>
          <w:cols w:space="720"/>
          <w:titlePg/>
        </w:sectPr>
      </w:pPr>
      <w:r>
        <w:rPr>
          <w:noProof/>
        </w:rPr>
        <mc:AlternateContent>
          <mc:Choice Requires="wpg">
            <w:drawing>
              <wp:anchor distT="0" distB="0" distL="0" distR="0" simplePos="0" relativeHeight="251658240" behindDoc="1" locked="0" layoutInCell="1" hidden="0" allowOverlap="1" wp14:anchorId="1E3CA170" wp14:editId="1709FABD">
                <wp:simplePos x="0" y="0"/>
                <wp:positionH relativeFrom="column">
                  <wp:posOffset>-901699</wp:posOffset>
                </wp:positionH>
                <wp:positionV relativeFrom="paragraph">
                  <wp:posOffset>1143000</wp:posOffset>
                </wp:positionV>
                <wp:extent cx="7579995" cy="9786620"/>
                <wp:effectExtent l="0" t="0" r="0" b="0"/>
                <wp:wrapNone/>
                <wp:docPr id="13" name="Freeform 13"/>
                <wp:cNvGraphicFramePr/>
                <a:graphic xmlns:a="http://schemas.openxmlformats.org/drawingml/2006/main">
                  <a:graphicData uri="http://schemas.microsoft.com/office/word/2010/wordprocessingShape">
                    <wps:wsp>
                      <wps:cNvSpPr/>
                      <wps:spPr>
                        <a:xfrm>
                          <a:off x="1560765" y="0"/>
                          <a:ext cx="7570470" cy="7560000"/>
                        </a:xfrm>
                        <a:custGeom>
                          <a:avLst/>
                          <a:gdLst/>
                          <a:ahLst/>
                          <a:cxnLst/>
                          <a:rect l="l" t="t" r="r" b="b"/>
                          <a:pathLst>
                            <a:path w="7569200" h="9779055" extrusionOk="0">
                              <a:moveTo>
                                <a:pt x="2939613" y="926867"/>
                              </a:moveTo>
                              <a:cubicBezTo>
                                <a:pt x="5038819" y="-714379"/>
                                <a:pt x="6826523" y="267027"/>
                                <a:pt x="7569200" y="545025"/>
                              </a:cubicBezTo>
                              <a:lnTo>
                                <a:pt x="7569200" y="3173124"/>
                              </a:lnTo>
                              <a:lnTo>
                                <a:pt x="7569200" y="9779055"/>
                              </a:lnTo>
                              <a:lnTo>
                                <a:pt x="7569200" y="9779055"/>
                              </a:lnTo>
                              <a:lnTo>
                                <a:pt x="0" y="9779055"/>
                              </a:lnTo>
                              <a:lnTo>
                                <a:pt x="0" y="9779055"/>
                              </a:lnTo>
                              <a:lnTo>
                                <a:pt x="0" y="3173124"/>
                              </a:lnTo>
                              <a:lnTo>
                                <a:pt x="2939613" y="926867"/>
                              </a:lnTo>
                              <a:close/>
                            </a:path>
                          </a:pathLst>
                        </a:custGeom>
                        <a:blipFill rotWithShape="1">
                          <a:blip r:embed="rId12">
                            <a:alphaModFix/>
                          </a:blip>
                          <a:stretch>
                            <a:fillRect t="-18199" b="18199"/>
                          </a:stretch>
                        </a:blipFill>
                        <a:ln>
                          <a:noFill/>
                        </a:ln>
                      </wps:spPr>
                      <wps:txbx>
                        <w:txbxContent>
                          <w:p w14:paraId="0E98C315" w14:textId="77777777" w:rsidR="002820D4" w:rsidRDefault="002820D4">
                            <w:pPr>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-901699</wp:posOffset>
                </wp:positionH>
                <wp:positionV relativeFrom="paragraph">
                  <wp:posOffset>1143000</wp:posOffset>
                </wp:positionV>
                <wp:extent cx="7579995" cy="9786620"/>
                <wp:effectExtent b="0" l="0" r="0" t="0"/>
                <wp:wrapNone/>
                <wp:docPr id="13" name="image1.png"/>
                <a:graphic>
                  <a:graphicData uri="http://schemas.openxmlformats.org/drawingml/2006/picture">
                    <pic:pic>
                      <pic:nvPicPr>
                        <pic:cNvPr id="0" name="image1.png"/>
                        <pic:cNvPicPr preferRelativeResize="0"/>
                      </pic:nvPicPr>
                      <pic:blipFill>
                        <a:blip r:embed="rId13"/>
                        <a:srcRect/>
                        <a:stretch>
                          <a:fillRect/>
                        </a:stretch>
                      </pic:blipFill>
                      <pic:spPr>
                        <a:xfrm>
                          <a:off x="0" y="0"/>
                          <a:ext cx="7579995" cy="9786620"/>
                        </a:xfrm>
                        <a:prstGeom prst="rect"/>
                        <a:ln/>
                      </pic:spPr>
                    </pic:pic>
                  </a:graphicData>
                </a:graphic>
              </wp:anchor>
            </w:drawing>
          </mc:Fallback>
        </mc:AlternateContent>
      </w:r>
    </w:p>
    <w:p w14:paraId="153F13C3" w14:textId="77777777" w:rsidR="002820D4" w:rsidRDefault="002820D4">
      <w:pPr>
        <w:spacing w:after="250" w:line="276" w:lineRule="auto"/>
        <w:jc w:val="both"/>
        <w:rPr>
          <w:rFonts w:ascii="Arial" w:eastAsia="Arial" w:hAnsi="Arial" w:cs="Arial"/>
          <w:b/>
          <w:sz w:val="22"/>
          <w:szCs w:val="22"/>
        </w:rPr>
      </w:pPr>
    </w:p>
    <w:p w14:paraId="2FE5D677" w14:textId="77777777" w:rsidR="002820D4" w:rsidRDefault="00000000">
      <w:pPr>
        <w:spacing w:after="250" w:line="276" w:lineRule="auto"/>
        <w:jc w:val="both"/>
        <w:rPr>
          <w:rFonts w:ascii="Arial" w:eastAsia="Arial" w:hAnsi="Arial" w:cs="Arial"/>
          <w:b/>
          <w:sz w:val="22"/>
          <w:szCs w:val="22"/>
        </w:rPr>
      </w:pPr>
      <w:r>
        <w:rPr>
          <w:rFonts w:ascii="Arial" w:eastAsia="Arial" w:hAnsi="Arial" w:cs="Arial"/>
          <w:b/>
          <w:sz w:val="22"/>
          <w:szCs w:val="22"/>
        </w:rPr>
        <w:t xml:space="preserve">Responding to this paper </w:t>
      </w:r>
    </w:p>
    <w:p w14:paraId="1F6156AB" w14:textId="77777777" w:rsidR="002820D4" w:rsidRDefault="00000000">
      <w:pPr>
        <w:spacing w:after="250" w:line="276" w:lineRule="auto"/>
        <w:jc w:val="both"/>
        <w:rPr>
          <w:rFonts w:ascii="Arial" w:eastAsia="Arial" w:hAnsi="Arial" w:cs="Arial"/>
          <w:sz w:val="18"/>
          <w:szCs w:val="18"/>
        </w:rPr>
      </w:pPr>
      <w:r>
        <w:rPr>
          <w:rFonts w:ascii="Arial" w:eastAsia="Arial" w:hAnsi="Arial" w:cs="Arial"/>
          <w:sz w:val="18"/>
          <w:szCs w:val="18"/>
        </w:rPr>
        <w:t xml:space="preserve">ESMA invites comments on all matters in this consultation paper and </w:t>
      </w:r>
      <w:proofErr w:type="gramStart"/>
      <w:r>
        <w:rPr>
          <w:rFonts w:ascii="Arial" w:eastAsia="Arial" w:hAnsi="Arial" w:cs="Arial"/>
          <w:sz w:val="18"/>
          <w:szCs w:val="18"/>
          <w:u w:val="single"/>
        </w:rPr>
        <w:t>in particular on</w:t>
      </w:r>
      <w:proofErr w:type="gramEnd"/>
      <w:r>
        <w:rPr>
          <w:rFonts w:ascii="Arial" w:eastAsia="Arial" w:hAnsi="Arial" w:cs="Arial"/>
          <w:sz w:val="18"/>
          <w:szCs w:val="18"/>
        </w:rPr>
        <w:t xml:space="preserve"> the specific questions. Comments are most helpful if they:</w:t>
      </w:r>
    </w:p>
    <w:p w14:paraId="7446A3E0" w14:textId="77777777" w:rsidR="002820D4" w:rsidRDefault="00000000">
      <w:pPr>
        <w:numPr>
          <w:ilvl w:val="0"/>
          <w:numId w:val="2"/>
        </w:numPr>
        <w:spacing w:after="250" w:line="276" w:lineRule="auto"/>
        <w:jc w:val="both"/>
        <w:rPr>
          <w:rFonts w:ascii="Arial" w:eastAsia="Arial" w:hAnsi="Arial" w:cs="Arial"/>
          <w:sz w:val="18"/>
          <w:szCs w:val="18"/>
        </w:rPr>
      </w:pPr>
      <w:r>
        <w:rPr>
          <w:rFonts w:ascii="Arial" w:eastAsia="Arial" w:hAnsi="Arial" w:cs="Arial"/>
          <w:sz w:val="18"/>
          <w:szCs w:val="18"/>
        </w:rPr>
        <w:t xml:space="preserve">respond to the question </w:t>
      </w:r>
      <w:proofErr w:type="gramStart"/>
      <w:r>
        <w:rPr>
          <w:rFonts w:ascii="Arial" w:eastAsia="Arial" w:hAnsi="Arial" w:cs="Arial"/>
          <w:sz w:val="18"/>
          <w:szCs w:val="18"/>
        </w:rPr>
        <w:t>stated;</w:t>
      </w:r>
      <w:proofErr w:type="gramEnd"/>
    </w:p>
    <w:p w14:paraId="5509CCB3" w14:textId="77777777" w:rsidR="002820D4" w:rsidRDefault="00000000">
      <w:pPr>
        <w:numPr>
          <w:ilvl w:val="0"/>
          <w:numId w:val="2"/>
        </w:numPr>
        <w:spacing w:after="250" w:line="276" w:lineRule="auto"/>
        <w:jc w:val="both"/>
        <w:rPr>
          <w:rFonts w:ascii="Arial" w:eastAsia="Arial" w:hAnsi="Arial" w:cs="Arial"/>
          <w:sz w:val="18"/>
          <w:szCs w:val="18"/>
        </w:rPr>
      </w:pPr>
      <w:r>
        <w:rPr>
          <w:rFonts w:ascii="Arial" w:eastAsia="Arial" w:hAnsi="Arial" w:cs="Arial"/>
          <w:sz w:val="18"/>
          <w:szCs w:val="18"/>
        </w:rPr>
        <w:t xml:space="preserve">indicate the specific question to which the comment </w:t>
      </w:r>
      <w:proofErr w:type="gramStart"/>
      <w:r>
        <w:rPr>
          <w:rFonts w:ascii="Arial" w:eastAsia="Arial" w:hAnsi="Arial" w:cs="Arial"/>
          <w:sz w:val="18"/>
          <w:szCs w:val="18"/>
        </w:rPr>
        <w:t>relates;</w:t>
      </w:r>
      <w:proofErr w:type="gramEnd"/>
    </w:p>
    <w:p w14:paraId="73FEC052" w14:textId="77777777" w:rsidR="002820D4" w:rsidRDefault="00000000">
      <w:pPr>
        <w:numPr>
          <w:ilvl w:val="0"/>
          <w:numId w:val="2"/>
        </w:numPr>
        <w:spacing w:after="250" w:line="276" w:lineRule="auto"/>
        <w:jc w:val="both"/>
        <w:rPr>
          <w:rFonts w:ascii="Arial" w:eastAsia="Arial" w:hAnsi="Arial" w:cs="Arial"/>
          <w:sz w:val="18"/>
          <w:szCs w:val="18"/>
        </w:rPr>
      </w:pPr>
      <w:r>
        <w:rPr>
          <w:rFonts w:ascii="Arial" w:eastAsia="Arial" w:hAnsi="Arial" w:cs="Arial"/>
          <w:sz w:val="18"/>
          <w:szCs w:val="18"/>
        </w:rPr>
        <w:t>contain a clear rationale; and</w:t>
      </w:r>
    </w:p>
    <w:p w14:paraId="0F250D11" w14:textId="77777777" w:rsidR="002820D4" w:rsidRDefault="00000000">
      <w:pPr>
        <w:numPr>
          <w:ilvl w:val="0"/>
          <w:numId w:val="2"/>
        </w:numPr>
        <w:spacing w:after="250" w:line="276" w:lineRule="auto"/>
        <w:jc w:val="both"/>
        <w:rPr>
          <w:rFonts w:ascii="Arial" w:eastAsia="Arial" w:hAnsi="Arial" w:cs="Arial"/>
          <w:sz w:val="18"/>
          <w:szCs w:val="18"/>
        </w:rPr>
      </w:pPr>
      <w:r>
        <w:rPr>
          <w:rFonts w:ascii="Arial" w:eastAsia="Arial" w:hAnsi="Arial" w:cs="Arial"/>
          <w:sz w:val="18"/>
          <w:szCs w:val="18"/>
        </w:rPr>
        <w:t>describe any alternatives ESMA should consider.</w:t>
      </w:r>
    </w:p>
    <w:p w14:paraId="1B7301A5" w14:textId="77777777" w:rsidR="002820D4" w:rsidRDefault="00000000">
      <w:pPr>
        <w:spacing w:after="250" w:line="276" w:lineRule="auto"/>
        <w:jc w:val="both"/>
        <w:rPr>
          <w:rFonts w:ascii="Arial" w:eastAsia="Arial" w:hAnsi="Arial" w:cs="Arial"/>
          <w:sz w:val="18"/>
          <w:szCs w:val="18"/>
        </w:rPr>
      </w:pPr>
      <w:r>
        <w:rPr>
          <w:rFonts w:ascii="Arial" w:eastAsia="Arial" w:hAnsi="Arial" w:cs="Arial"/>
          <w:sz w:val="18"/>
          <w:szCs w:val="18"/>
        </w:rPr>
        <w:t xml:space="preserve">ESMA will consider all comments received by </w:t>
      </w:r>
      <w:r>
        <w:rPr>
          <w:rFonts w:ascii="Arial" w:eastAsia="Arial" w:hAnsi="Arial" w:cs="Arial"/>
          <w:b/>
          <w:sz w:val="18"/>
          <w:szCs w:val="18"/>
        </w:rPr>
        <w:t xml:space="preserve">29 April 2024.  </w:t>
      </w:r>
    </w:p>
    <w:p w14:paraId="2612E0D3" w14:textId="77777777" w:rsidR="002820D4" w:rsidRDefault="00000000">
      <w:pPr>
        <w:spacing w:after="250" w:line="276" w:lineRule="auto"/>
        <w:jc w:val="both"/>
        <w:rPr>
          <w:rFonts w:ascii="Arial" w:eastAsia="Arial" w:hAnsi="Arial" w:cs="Arial"/>
          <w:b/>
          <w:sz w:val="18"/>
          <w:szCs w:val="18"/>
        </w:rPr>
      </w:pPr>
      <w:r>
        <w:rPr>
          <w:rFonts w:ascii="Arial" w:eastAsia="Arial" w:hAnsi="Arial" w:cs="Arial"/>
          <w:b/>
          <w:sz w:val="18"/>
          <w:szCs w:val="18"/>
        </w:rPr>
        <w:t>Instructions</w:t>
      </w:r>
    </w:p>
    <w:p w14:paraId="3D47B5E0" w14:textId="77777777" w:rsidR="002820D4" w:rsidRDefault="00000000">
      <w:pPr>
        <w:spacing w:after="250" w:line="276" w:lineRule="auto"/>
        <w:jc w:val="both"/>
        <w:rPr>
          <w:rFonts w:ascii="Arial" w:eastAsia="Arial" w:hAnsi="Arial" w:cs="Arial"/>
          <w:sz w:val="18"/>
          <w:szCs w:val="18"/>
        </w:rPr>
      </w:pPr>
      <w:proofErr w:type="gramStart"/>
      <w:r>
        <w:rPr>
          <w:rFonts w:ascii="Arial" w:eastAsia="Arial" w:hAnsi="Arial" w:cs="Arial"/>
          <w:sz w:val="18"/>
          <w:szCs w:val="18"/>
        </w:rPr>
        <w:t>In order to</w:t>
      </w:r>
      <w:proofErr w:type="gramEnd"/>
      <w:r>
        <w:rPr>
          <w:rFonts w:ascii="Arial" w:eastAsia="Arial" w:hAnsi="Arial" w:cs="Arial"/>
          <w:sz w:val="18"/>
          <w:szCs w:val="18"/>
        </w:rPr>
        <w:t xml:space="preserve"> facilitate analysis of responses to the Consultation Paper, respondents are requested to follow the below steps when preparing and submitting their response:</w:t>
      </w:r>
    </w:p>
    <w:p w14:paraId="03192733" w14:textId="77777777" w:rsidR="002820D4" w:rsidRDefault="00000000">
      <w:pPr>
        <w:numPr>
          <w:ilvl w:val="0"/>
          <w:numId w:val="3"/>
        </w:numPr>
        <w:pBdr>
          <w:top w:val="nil"/>
          <w:left w:val="nil"/>
          <w:bottom w:val="nil"/>
          <w:right w:val="nil"/>
          <w:between w:val="nil"/>
        </w:pBdr>
        <w:tabs>
          <w:tab w:val="left" w:pos="0"/>
          <w:tab w:val="left" w:pos="142"/>
          <w:tab w:val="left" w:pos="284"/>
          <w:tab w:val="left" w:pos="567"/>
        </w:tabs>
        <w:spacing w:after="250" w:line="276" w:lineRule="auto"/>
        <w:jc w:val="both"/>
        <w:rPr>
          <w:rFonts w:ascii="Arial" w:eastAsia="Arial" w:hAnsi="Arial" w:cs="Arial"/>
          <w:color w:val="000000"/>
          <w:sz w:val="18"/>
          <w:szCs w:val="18"/>
        </w:rPr>
      </w:pPr>
      <w:r>
        <w:rPr>
          <w:rFonts w:ascii="Arial" w:eastAsia="Arial" w:hAnsi="Arial" w:cs="Arial"/>
          <w:color w:val="000000"/>
          <w:sz w:val="18"/>
          <w:szCs w:val="18"/>
        </w:rPr>
        <w:t xml:space="preserve">Insert your responses to the questions in the Consultation Paper in the present response form. </w:t>
      </w:r>
    </w:p>
    <w:p w14:paraId="77017450" w14:textId="77777777" w:rsidR="002820D4" w:rsidRDefault="00000000">
      <w:pPr>
        <w:numPr>
          <w:ilvl w:val="0"/>
          <w:numId w:val="3"/>
        </w:numPr>
        <w:pBdr>
          <w:top w:val="nil"/>
          <w:left w:val="nil"/>
          <w:bottom w:val="nil"/>
          <w:right w:val="nil"/>
          <w:between w:val="nil"/>
        </w:pBdr>
        <w:tabs>
          <w:tab w:val="left" w:pos="0"/>
          <w:tab w:val="left" w:pos="142"/>
          <w:tab w:val="left" w:pos="284"/>
          <w:tab w:val="left" w:pos="567"/>
        </w:tabs>
        <w:spacing w:after="250" w:line="276" w:lineRule="auto"/>
        <w:jc w:val="both"/>
        <w:rPr>
          <w:rFonts w:ascii="Arial" w:eastAsia="Arial" w:hAnsi="Arial" w:cs="Arial"/>
          <w:color w:val="000000"/>
          <w:sz w:val="18"/>
          <w:szCs w:val="18"/>
          <w:u w:val="single"/>
        </w:rPr>
      </w:pPr>
      <w:r>
        <w:rPr>
          <w:rFonts w:ascii="Arial" w:eastAsia="Arial" w:hAnsi="Arial" w:cs="Arial"/>
          <w:color w:val="000000"/>
          <w:sz w:val="18"/>
          <w:szCs w:val="18"/>
        </w:rPr>
        <w:t>Use this form and send your responses in Word format (</w:t>
      </w:r>
      <w:r>
        <w:rPr>
          <w:rFonts w:ascii="Arial" w:eastAsia="Arial" w:hAnsi="Arial" w:cs="Arial"/>
          <w:b/>
          <w:color w:val="000000"/>
          <w:sz w:val="18"/>
          <w:szCs w:val="18"/>
          <w:u w:val="single"/>
        </w:rPr>
        <w:t>pdf documents will not be considered except for annexes</w:t>
      </w:r>
      <w:proofErr w:type="gramStart"/>
      <w:r>
        <w:rPr>
          <w:rFonts w:ascii="Arial" w:eastAsia="Arial" w:hAnsi="Arial" w:cs="Arial"/>
          <w:color w:val="000000"/>
          <w:sz w:val="18"/>
          <w:szCs w:val="18"/>
          <w:u w:val="single"/>
        </w:rPr>
        <w:t>);</w:t>
      </w:r>
      <w:proofErr w:type="gramEnd"/>
    </w:p>
    <w:p w14:paraId="0DD82864" w14:textId="77777777" w:rsidR="002820D4" w:rsidRDefault="00000000">
      <w:pPr>
        <w:numPr>
          <w:ilvl w:val="0"/>
          <w:numId w:val="3"/>
        </w:numPr>
        <w:pBdr>
          <w:top w:val="nil"/>
          <w:left w:val="nil"/>
          <w:bottom w:val="nil"/>
          <w:right w:val="nil"/>
          <w:between w:val="nil"/>
        </w:pBdr>
        <w:tabs>
          <w:tab w:val="left" w:pos="0"/>
          <w:tab w:val="left" w:pos="142"/>
          <w:tab w:val="left" w:pos="284"/>
          <w:tab w:val="left" w:pos="567"/>
        </w:tabs>
        <w:spacing w:after="250" w:line="276" w:lineRule="auto"/>
        <w:jc w:val="both"/>
        <w:rPr>
          <w:rFonts w:ascii="Arial" w:eastAsia="Arial" w:hAnsi="Arial" w:cs="Arial"/>
          <w:color w:val="000000"/>
          <w:sz w:val="18"/>
          <w:szCs w:val="18"/>
        </w:rPr>
      </w:pPr>
      <w:r>
        <w:rPr>
          <w:rFonts w:ascii="Arial" w:eastAsia="Arial" w:hAnsi="Arial" w:cs="Arial"/>
          <w:color w:val="000000"/>
          <w:sz w:val="18"/>
          <w:szCs w:val="18"/>
        </w:rPr>
        <w:t xml:space="preserve">Please do not remove tags of the type &lt;ESMA_QUESTION _MIC3_1&gt;. Your response to each question </w:t>
      </w:r>
      <w:proofErr w:type="gramStart"/>
      <w:r>
        <w:rPr>
          <w:rFonts w:ascii="Arial" w:eastAsia="Arial" w:hAnsi="Arial" w:cs="Arial"/>
          <w:color w:val="000000"/>
          <w:sz w:val="18"/>
          <w:szCs w:val="18"/>
        </w:rPr>
        <w:t>has to</w:t>
      </w:r>
      <w:proofErr w:type="gramEnd"/>
      <w:r>
        <w:rPr>
          <w:rFonts w:ascii="Arial" w:eastAsia="Arial" w:hAnsi="Arial" w:cs="Arial"/>
          <w:color w:val="000000"/>
          <w:sz w:val="18"/>
          <w:szCs w:val="18"/>
        </w:rPr>
        <w:t xml:space="preserve"> be framed by the two tags corresponding to the question.</w:t>
      </w:r>
    </w:p>
    <w:p w14:paraId="38922A05" w14:textId="77777777" w:rsidR="002820D4" w:rsidRDefault="00000000">
      <w:pPr>
        <w:numPr>
          <w:ilvl w:val="0"/>
          <w:numId w:val="3"/>
        </w:numPr>
        <w:pBdr>
          <w:top w:val="nil"/>
          <w:left w:val="nil"/>
          <w:bottom w:val="nil"/>
          <w:right w:val="nil"/>
          <w:between w:val="nil"/>
        </w:pBdr>
        <w:tabs>
          <w:tab w:val="left" w:pos="0"/>
          <w:tab w:val="left" w:pos="142"/>
          <w:tab w:val="left" w:pos="284"/>
          <w:tab w:val="left" w:pos="567"/>
        </w:tabs>
        <w:spacing w:after="250" w:line="276" w:lineRule="auto"/>
        <w:jc w:val="both"/>
        <w:rPr>
          <w:rFonts w:ascii="Arial" w:eastAsia="Arial" w:hAnsi="Arial" w:cs="Arial"/>
          <w:color w:val="000000"/>
          <w:sz w:val="18"/>
          <w:szCs w:val="18"/>
        </w:rPr>
      </w:pPr>
      <w:r>
        <w:rPr>
          <w:rFonts w:ascii="Arial" w:eastAsia="Arial" w:hAnsi="Arial" w:cs="Arial"/>
          <w:color w:val="000000"/>
          <w:sz w:val="18"/>
          <w:szCs w:val="18"/>
        </w:rPr>
        <w:t>If you do not wish to respond to a given question, please do not delete it but simply leave the text “TYPE YOUR TEXT HERE” between the tags.</w:t>
      </w:r>
    </w:p>
    <w:p w14:paraId="5A62C34D" w14:textId="77777777" w:rsidR="002820D4" w:rsidRDefault="00000000">
      <w:pPr>
        <w:numPr>
          <w:ilvl w:val="0"/>
          <w:numId w:val="3"/>
        </w:numPr>
        <w:pBdr>
          <w:top w:val="nil"/>
          <w:left w:val="nil"/>
          <w:bottom w:val="nil"/>
          <w:right w:val="nil"/>
          <w:between w:val="nil"/>
        </w:pBdr>
        <w:tabs>
          <w:tab w:val="left" w:pos="0"/>
          <w:tab w:val="left" w:pos="142"/>
          <w:tab w:val="left" w:pos="284"/>
          <w:tab w:val="left" w:pos="567"/>
        </w:tabs>
        <w:spacing w:after="250" w:line="276" w:lineRule="auto"/>
        <w:jc w:val="both"/>
        <w:rPr>
          <w:rFonts w:ascii="Arial" w:eastAsia="Arial" w:hAnsi="Arial" w:cs="Arial"/>
          <w:color w:val="000000"/>
          <w:sz w:val="18"/>
          <w:szCs w:val="18"/>
        </w:rPr>
      </w:pPr>
      <w:r>
        <w:rPr>
          <w:rFonts w:ascii="Arial" w:eastAsia="Arial" w:hAnsi="Arial" w:cs="Arial"/>
          <w:color w:val="000000"/>
          <w:sz w:val="18"/>
          <w:szCs w:val="18"/>
        </w:rPr>
        <w:t>When you have drafted your response, name your response form according to the following convention: ESMA_MIC3_nameofrespondent_RESPONSEFORM. For example, for a respondent named ABCD, the response form would be entitled ESMA_MIC3_ABCD_RESPONSEFORM.</w:t>
      </w:r>
    </w:p>
    <w:p w14:paraId="19EB57BD" w14:textId="77777777" w:rsidR="002820D4" w:rsidRDefault="00000000">
      <w:pPr>
        <w:numPr>
          <w:ilvl w:val="0"/>
          <w:numId w:val="3"/>
        </w:numPr>
        <w:pBdr>
          <w:top w:val="nil"/>
          <w:left w:val="nil"/>
          <w:bottom w:val="nil"/>
          <w:right w:val="nil"/>
          <w:between w:val="nil"/>
        </w:pBdr>
        <w:tabs>
          <w:tab w:val="left" w:pos="0"/>
          <w:tab w:val="left" w:pos="142"/>
          <w:tab w:val="left" w:pos="284"/>
          <w:tab w:val="left" w:pos="567"/>
        </w:tabs>
        <w:spacing w:after="250" w:line="276" w:lineRule="auto"/>
        <w:jc w:val="both"/>
        <w:rPr>
          <w:rFonts w:ascii="Arial" w:eastAsia="Arial" w:hAnsi="Arial" w:cs="Arial"/>
          <w:color w:val="000000"/>
          <w:sz w:val="18"/>
          <w:szCs w:val="18"/>
        </w:rPr>
      </w:pPr>
      <w:r>
        <w:rPr>
          <w:rFonts w:ascii="Arial" w:eastAsia="Arial" w:hAnsi="Arial" w:cs="Arial"/>
          <w:color w:val="000000"/>
          <w:sz w:val="18"/>
          <w:szCs w:val="18"/>
        </w:rPr>
        <w:t xml:space="preserve">Upload the form containing your responses, </w:t>
      </w:r>
      <w:r>
        <w:rPr>
          <w:rFonts w:ascii="Arial" w:eastAsia="Arial" w:hAnsi="Arial" w:cs="Arial"/>
          <w:b/>
          <w:color w:val="000000"/>
          <w:sz w:val="18"/>
          <w:szCs w:val="18"/>
        </w:rPr>
        <w:t>in Word format</w:t>
      </w:r>
      <w:r>
        <w:rPr>
          <w:rFonts w:ascii="Arial" w:eastAsia="Arial" w:hAnsi="Arial" w:cs="Arial"/>
          <w:color w:val="000000"/>
          <w:sz w:val="18"/>
          <w:szCs w:val="18"/>
        </w:rPr>
        <w:t>, to ESMA’s website (www.esma.europa.eu under the heading “Your input – Open Consultations” -</w:t>
      </w:r>
      <w:proofErr w:type="gramStart"/>
      <w:r>
        <w:rPr>
          <w:rFonts w:ascii="Arial" w:eastAsia="Arial" w:hAnsi="Arial" w:cs="Arial"/>
          <w:color w:val="000000"/>
          <w:sz w:val="18"/>
          <w:szCs w:val="18"/>
        </w:rPr>
        <w:t>&gt;  Consultation</w:t>
      </w:r>
      <w:proofErr w:type="gramEnd"/>
      <w:r>
        <w:rPr>
          <w:rFonts w:ascii="Arial" w:eastAsia="Arial" w:hAnsi="Arial" w:cs="Arial"/>
          <w:color w:val="000000"/>
          <w:sz w:val="18"/>
          <w:szCs w:val="18"/>
        </w:rPr>
        <w:t xml:space="preserve"> Paper on guidelines on conditions and criteria for the classification of crypto-assets as financial instruments”). </w:t>
      </w:r>
    </w:p>
    <w:p w14:paraId="74919D50" w14:textId="77777777" w:rsidR="002820D4" w:rsidRDefault="00000000">
      <w:pPr>
        <w:spacing w:after="250" w:line="276" w:lineRule="auto"/>
        <w:jc w:val="both"/>
        <w:rPr>
          <w:rFonts w:ascii="Arial" w:eastAsia="Arial" w:hAnsi="Arial" w:cs="Arial"/>
          <w:b/>
          <w:sz w:val="18"/>
          <w:szCs w:val="18"/>
        </w:rPr>
      </w:pPr>
      <w:r>
        <w:rPr>
          <w:rFonts w:ascii="Arial" w:eastAsia="Arial" w:hAnsi="Arial" w:cs="Arial"/>
          <w:b/>
          <w:sz w:val="18"/>
          <w:szCs w:val="18"/>
        </w:rPr>
        <w:t>Publication of responses</w:t>
      </w:r>
    </w:p>
    <w:p w14:paraId="114CF3FC" w14:textId="77777777" w:rsidR="002820D4" w:rsidRDefault="00000000">
      <w:pPr>
        <w:spacing w:after="250" w:line="276" w:lineRule="auto"/>
        <w:jc w:val="both"/>
        <w:rPr>
          <w:rFonts w:ascii="Arial" w:eastAsia="Arial" w:hAnsi="Arial" w:cs="Arial"/>
          <w:sz w:val="18"/>
          <w:szCs w:val="18"/>
        </w:rPr>
      </w:pPr>
      <w:r>
        <w:rPr>
          <w:rFonts w:ascii="Arial" w:eastAsia="Arial" w:hAnsi="Arial" w:cs="Arial"/>
          <w:sz w:val="18"/>
          <w:szCs w:val="18"/>
        </w:rPr>
        <w:t xml:space="preserve">All contributions received will be published following the close of the consultation, unless you request otherwise. Please clearly and prominently indicate in your submission any part you do not wish to be </w:t>
      </w:r>
      <w:proofErr w:type="spellStart"/>
      <w:r>
        <w:rPr>
          <w:rFonts w:ascii="Arial" w:eastAsia="Arial" w:hAnsi="Arial" w:cs="Arial"/>
          <w:sz w:val="18"/>
          <w:szCs w:val="18"/>
        </w:rPr>
        <w:t>publically</w:t>
      </w:r>
      <w:proofErr w:type="spellEnd"/>
      <w:r>
        <w:rPr>
          <w:rFonts w:ascii="Arial" w:eastAsia="Arial" w:hAnsi="Arial" w:cs="Arial"/>
          <w:sz w:val="18"/>
          <w:szCs w:val="18"/>
        </w:rPr>
        <w:t xml:space="preserve"> disclosed. A standard confidentiality statement in an email message will not be treated as a request for non-disclosure. A confidential response may be requested from us in accordance with ESMA’s rules on access to documents. We may consult you if we receive such a request. Any decision we make not to disclose the response is reviewable by ESMA’s Board of Appeal and the European Ombudsman.</w:t>
      </w:r>
    </w:p>
    <w:p w14:paraId="5038D001" w14:textId="77777777" w:rsidR="002820D4" w:rsidRDefault="00000000">
      <w:pPr>
        <w:spacing w:after="250" w:line="276" w:lineRule="auto"/>
        <w:jc w:val="both"/>
        <w:rPr>
          <w:rFonts w:ascii="Arial" w:eastAsia="Arial" w:hAnsi="Arial" w:cs="Arial"/>
          <w:b/>
          <w:sz w:val="18"/>
          <w:szCs w:val="18"/>
        </w:rPr>
      </w:pPr>
      <w:r>
        <w:rPr>
          <w:rFonts w:ascii="Arial" w:eastAsia="Arial" w:hAnsi="Arial" w:cs="Arial"/>
          <w:b/>
          <w:sz w:val="18"/>
          <w:szCs w:val="18"/>
        </w:rPr>
        <w:t>Data protection</w:t>
      </w:r>
    </w:p>
    <w:p w14:paraId="2E909ED1" w14:textId="77777777" w:rsidR="002820D4" w:rsidRDefault="00000000">
      <w:pPr>
        <w:spacing w:after="250" w:line="276" w:lineRule="auto"/>
        <w:jc w:val="both"/>
        <w:rPr>
          <w:rFonts w:ascii="Arial" w:eastAsia="Arial" w:hAnsi="Arial" w:cs="Arial"/>
          <w:sz w:val="18"/>
          <w:szCs w:val="18"/>
        </w:rPr>
      </w:pPr>
      <w:r>
        <w:rPr>
          <w:rFonts w:ascii="Arial" w:eastAsia="Arial" w:hAnsi="Arial" w:cs="Arial"/>
          <w:sz w:val="18"/>
          <w:szCs w:val="18"/>
        </w:rPr>
        <w:lastRenderedPageBreak/>
        <w:t xml:space="preserve">Information on data protection can be found at </w:t>
      </w:r>
      <w:hyperlink r:id="rId14">
        <w:r>
          <w:rPr>
            <w:rFonts w:ascii="Arial" w:eastAsia="Arial" w:hAnsi="Arial" w:cs="Arial"/>
            <w:color w:val="0563C1"/>
            <w:sz w:val="18"/>
            <w:szCs w:val="18"/>
            <w:u w:val="single"/>
          </w:rPr>
          <w:t>www.esma.europa.eu</w:t>
        </w:r>
      </w:hyperlink>
      <w:r>
        <w:rPr>
          <w:rFonts w:ascii="Arial" w:eastAsia="Arial" w:hAnsi="Arial" w:cs="Arial"/>
          <w:sz w:val="18"/>
          <w:szCs w:val="18"/>
        </w:rPr>
        <w:t xml:space="preserve"> under the heading </w:t>
      </w:r>
      <w:hyperlink r:id="rId15">
        <w:r>
          <w:rPr>
            <w:rFonts w:ascii="Arial" w:eastAsia="Arial" w:hAnsi="Arial" w:cs="Arial"/>
            <w:color w:val="0563C1"/>
            <w:sz w:val="18"/>
            <w:szCs w:val="18"/>
            <w:u w:val="single"/>
          </w:rPr>
          <w:t>Legal Notice</w:t>
        </w:r>
      </w:hyperlink>
      <w:r>
        <w:rPr>
          <w:rFonts w:ascii="Arial" w:eastAsia="Arial" w:hAnsi="Arial" w:cs="Arial"/>
          <w:sz w:val="18"/>
          <w:szCs w:val="18"/>
        </w:rPr>
        <w:t>.</w:t>
      </w:r>
    </w:p>
    <w:p w14:paraId="7D297357" w14:textId="77777777" w:rsidR="002820D4" w:rsidRDefault="002820D4">
      <w:pPr>
        <w:spacing w:after="250" w:line="276" w:lineRule="auto"/>
        <w:jc w:val="both"/>
        <w:rPr>
          <w:rFonts w:ascii="Arial" w:eastAsia="Arial" w:hAnsi="Arial" w:cs="Arial"/>
          <w:b/>
          <w:sz w:val="18"/>
          <w:szCs w:val="18"/>
        </w:rPr>
      </w:pPr>
    </w:p>
    <w:p w14:paraId="3A3AD262" w14:textId="77777777" w:rsidR="002820D4" w:rsidRDefault="00000000">
      <w:pPr>
        <w:spacing w:after="250" w:line="276" w:lineRule="auto"/>
        <w:jc w:val="both"/>
        <w:rPr>
          <w:rFonts w:ascii="Arial" w:eastAsia="Arial" w:hAnsi="Arial" w:cs="Arial"/>
          <w:sz w:val="18"/>
          <w:szCs w:val="18"/>
        </w:rPr>
      </w:pPr>
      <w:r>
        <w:rPr>
          <w:rFonts w:ascii="Arial" w:eastAsia="Arial" w:hAnsi="Arial" w:cs="Arial"/>
          <w:b/>
          <w:sz w:val="18"/>
          <w:szCs w:val="18"/>
        </w:rPr>
        <w:t xml:space="preserve">Who should read this </w:t>
      </w:r>
      <w:proofErr w:type="gramStart"/>
      <w:r>
        <w:rPr>
          <w:rFonts w:ascii="Arial" w:eastAsia="Arial" w:hAnsi="Arial" w:cs="Arial"/>
          <w:b/>
          <w:sz w:val="18"/>
          <w:szCs w:val="18"/>
        </w:rPr>
        <w:t>paper</w:t>
      </w:r>
      <w:proofErr w:type="gramEnd"/>
    </w:p>
    <w:p w14:paraId="7DA5C427" w14:textId="77777777" w:rsidR="002820D4" w:rsidRDefault="00000000">
      <w:pPr>
        <w:pStyle w:val="Heading1"/>
        <w:spacing w:line="276" w:lineRule="auto"/>
        <w:rPr>
          <w:rFonts w:ascii="Arial" w:eastAsia="Arial" w:hAnsi="Arial" w:cs="Arial"/>
          <w:sz w:val="20"/>
          <w:szCs w:val="20"/>
        </w:rPr>
      </w:pPr>
      <w:bookmarkStart w:id="0" w:name="_heading=h.gjdgxs" w:colFirst="0" w:colLast="0"/>
      <w:bookmarkEnd w:id="0"/>
      <w:r>
        <w:rPr>
          <w:rFonts w:ascii="Arial" w:eastAsia="Arial" w:hAnsi="Arial" w:cs="Arial"/>
          <w:b w:val="0"/>
          <w:sz w:val="18"/>
          <w:szCs w:val="18"/>
        </w:rPr>
        <w:t xml:space="preserve">All interested stakeholders are invited to respond to this consultation paper. </w:t>
      </w:r>
      <w:proofErr w:type="gramStart"/>
      <w:r>
        <w:rPr>
          <w:rFonts w:ascii="Arial" w:eastAsia="Arial" w:hAnsi="Arial" w:cs="Arial"/>
          <w:b w:val="0"/>
          <w:sz w:val="18"/>
          <w:szCs w:val="18"/>
        </w:rPr>
        <w:t>In particular, ESMA</w:t>
      </w:r>
      <w:proofErr w:type="gramEnd"/>
      <w:r>
        <w:rPr>
          <w:rFonts w:ascii="Arial" w:eastAsia="Arial" w:hAnsi="Arial" w:cs="Arial"/>
          <w:b w:val="0"/>
          <w:sz w:val="18"/>
          <w:szCs w:val="18"/>
        </w:rPr>
        <w:t xml:space="preserve"> invites crypto-assets issuers, crypto-asset service providers and financial entities dealing with crypto-assets as well as all stakeholders that have an interest in crypto-assets. </w:t>
      </w:r>
      <w:r>
        <w:br w:type="page"/>
      </w:r>
    </w:p>
    <w:p w14:paraId="5B63021B" w14:textId="77777777" w:rsidR="002820D4" w:rsidRDefault="002820D4"/>
    <w:p w14:paraId="00549BE8" w14:textId="77777777" w:rsidR="002820D4" w:rsidRDefault="00000000">
      <w:pPr>
        <w:keepNext/>
        <w:keepLines/>
        <w:spacing w:before="320" w:after="250" w:line="276" w:lineRule="auto"/>
        <w:jc w:val="both"/>
        <w:rPr>
          <w:rFonts w:ascii="Arial" w:eastAsia="Arial" w:hAnsi="Arial" w:cs="Arial"/>
          <w:b/>
        </w:rPr>
      </w:pPr>
      <w:r>
        <w:rPr>
          <w:rFonts w:ascii="Arial" w:eastAsia="Arial" w:hAnsi="Arial" w:cs="Arial"/>
          <w:b/>
        </w:rPr>
        <w:t>General information about respondent</w:t>
      </w:r>
    </w:p>
    <w:tbl>
      <w:tblPr>
        <w:tblStyle w:val="a0"/>
        <w:tblW w:w="95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29"/>
        <w:gridCol w:w="5595"/>
      </w:tblGrid>
      <w:tr w:rsidR="002820D4" w14:paraId="2D786E17" w14:textId="77777777">
        <w:tc>
          <w:tcPr>
            <w:tcW w:w="3929" w:type="dxa"/>
            <w:shd w:val="clear" w:color="auto" w:fill="auto"/>
          </w:tcPr>
          <w:p w14:paraId="48EDBB71" w14:textId="77777777" w:rsidR="002820D4" w:rsidRPr="00214701" w:rsidRDefault="00000000">
            <w:pPr>
              <w:rPr>
                <w:rFonts w:asciiTheme="majorHAnsi" w:eastAsia="Arial" w:hAnsiTheme="majorHAnsi" w:cstheme="majorHAnsi"/>
                <w:color w:val="000000" w:themeColor="text1"/>
                <w:sz w:val="20"/>
                <w:szCs w:val="20"/>
              </w:rPr>
            </w:pPr>
            <w:r w:rsidRPr="00214701">
              <w:rPr>
                <w:rFonts w:asciiTheme="majorHAnsi" w:eastAsia="Arial" w:hAnsiTheme="majorHAnsi" w:cstheme="majorHAnsi"/>
                <w:color w:val="000000" w:themeColor="text1"/>
                <w:sz w:val="20"/>
                <w:szCs w:val="20"/>
              </w:rPr>
              <w:t>Name of the company / organisation</w:t>
            </w:r>
          </w:p>
        </w:tc>
        <w:tc>
          <w:tcPr>
            <w:tcW w:w="5595" w:type="dxa"/>
            <w:shd w:val="clear" w:color="auto" w:fill="auto"/>
          </w:tcPr>
          <w:p w14:paraId="633CC5AD" w14:textId="77777777" w:rsidR="002820D4" w:rsidRPr="00214701" w:rsidRDefault="00000000">
            <w:pPr>
              <w:rPr>
                <w:rFonts w:asciiTheme="majorHAnsi" w:eastAsia="Arial" w:hAnsiTheme="majorHAnsi" w:cstheme="majorHAnsi"/>
                <w:color w:val="000000" w:themeColor="text1"/>
                <w:sz w:val="20"/>
                <w:szCs w:val="20"/>
              </w:rPr>
            </w:pPr>
            <w:r w:rsidRPr="00214701">
              <w:rPr>
                <w:rFonts w:asciiTheme="majorHAnsi" w:eastAsia="Arial" w:hAnsiTheme="majorHAnsi" w:cstheme="majorHAnsi"/>
                <w:color w:val="000000" w:themeColor="text1"/>
                <w:sz w:val="20"/>
                <w:szCs w:val="20"/>
              </w:rPr>
              <w:t xml:space="preserve">VBNL (“United Bitcoin Companies The </w:t>
            </w:r>
            <w:proofErr w:type="gramStart"/>
            <w:r w:rsidRPr="00214701">
              <w:rPr>
                <w:rFonts w:asciiTheme="majorHAnsi" w:eastAsia="Arial" w:hAnsiTheme="majorHAnsi" w:cstheme="majorHAnsi"/>
                <w:color w:val="000000" w:themeColor="text1"/>
                <w:sz w:val="20"/>
                <w:szCs w:val="20"/>
              </w:rPr>
              <w:t>Netherlands“</w:t>
            </w:r>
            <w:proofErr w:type="gramEnd"/>
            <w:r w:rsidRPr="00214701">
              <w:rPr>
                <w:rFonts w:asciiTheme="majorHAnsi" w:eastAsia="Arial" w:hAnsiTheme="majorHAnsi" w:cstheme="majorHAnsi"/>
                <w:color w:val="000000" w:themeColor="text1"/>
                <w:sz w:val="20"/>
                <w:szCs w:val="20"/>
              </w:rPr>
              <w:t>)</w:t>
            </w:r>
          </w:p>
        </w:tc>
      </w:tr>
      <w:tr w:rsidR="002820D4" w14:paraId="1E3A1EAB" w14:textId="77777777">
        <w:tc>
          <w:tcPr>
            <w:tcW w:w="3929" w:type="dxa"/>
            <w:shd w:val="clear" w:color="auto" w:fill="auto"/>
          </w:tcPr>
          <w:p w14:paraId="002445F2" w14:textId="77777777" w:rsidR="002820D4" w:rsidRPr="00214701" w:rsidRDefault="00000000">
            <w:pPr>
              <w:rPr>
                <w:rFonts w:asciiTheme="majorHAnsi" w:eastAsia="Arial" w:hAnsiTheme="majorHAnsi" w:cstheme="majorHAnsi"/>
                <w:color w:val="000000" w:themeColor="text1"/>
                <w:sz w:val="20"/>
                <w:szCs w:val="20"/>
              </w:rPr>
            </w:pPr>
            <w:r w:rsidRPr="00214701">
              <w:rPr>
                <w:rFonts w:asciiTheme="majorHAnsi" w:eastAsia="Arial" w:hAnsiTheme="majorHAnsi" w:cstheme="majorHAnsi"/>
                <w:color w:val="000000" w:themeColor="text1"/>
                <w:sz w:val="20"/>
                <w:szCs w:val="20"/>
              </w:rPr>
              <w:t>Activity</w:t>
            </w:r>
          </w:p>
        </w:tc>
        <w:tc>
          <w:tcPr>
            <w:tcW w:w="5595" w:type="dxa"/>
            <w:shd w:val="clear" w:color="auto" w:fill="auto"/>
          </w:tcPr>
          <w:p w14:paraId="0A9C0360" w14:textId="0BCCEE2B" w:rsidR="002820D4" w:rsidRPr="00214701" w:rsidRDefault="00214701">
            <w:pPr>
              <w:rPr>
                <w:rFonts w:asciiTheme="majorHAnsi" w:eastAsia="Arial" w:hAnsiTheme="majorHAnsi" w:cstheme="majorHAnsi"/>
                <w:color w:val="000000" w:themeColor="text1"/>
                <w:sz w:val="20"/>
                <w:szCs w:val="20"/>
              </w:rPr>
            </w:pPr>
            <w:r w:rsidRPr="00214701">
              <w:rPr>
                <w:rFonts w:asciiTheme="majorHAnsi" w:eastAsia="Arial" w:hAnsiTheme="majorHAnsi" w:cstheme="majorHAnsi"/>
                <w:color w:val="000000" w:themeColor="text1"/>
                <w:sz w:val="20"/>
                <w:szCs w:val="20"/>
              </w:rPr>
              <w:t xml:space="preserve">Association </w:t>
            </w:r>
          </w:p>
        </w:tc>
      </w:tr>
      <w:tr w:rsidR="002820D4" w14:paraId="1A860069" w14:textId="77777777">
        <w:tc>
          <w:tcPr>
            <w:tcW w:w="3929" w:type="dxa"/>
            <w:shd w:val="clear" w:color="auto" w:fill="auto"/>
          </w:tcPr>
          <w:p w14:paraId="36B74F18" w14:textId="77777777" w:rsidR="002820D4" w:rsidRPr="00214701" w:rsidRDefault="00000000">
            <w:pPr>
              <w:rPr>
                <w:rFonts w:asciiTheme="majorHAnsi" w:eastAsia="Arial" w:hAnsiTheme="majorHAnsi" w:cstheme="majorHAnsi"/>
                <w:color w:val="000000" w:themeColor="text1"/>
                <w:sz w:val="20"/>
                <w:szCs w:val="20"/>
              </w:rPr>
            </w:pPr>
            <w:r w:rsidRPr="00214701">
              <w:rPr>
                <w:rFonts w:asciiTheme="majorHAnsi" w:eastAsia="Arial" w:hAnsiTheme="majorHAnsi" w:cstheme="majorHAnsi"/>
                <w:color w:val="000000" w:themeColor="text1"/>
                <w:sz w:val="20"/>
                <w:szCs w:val="20"/>
              </w:rPr>
              <w:t>Are you representing an association?</w:t>
            </w:r>
          </w:p>
        </w:tc>
        <w:tc>
          <w:tcPr>
            <w:tcW w:w="5595" w:type="dxa"/>
            <w:shd w:val="clear" w:color="auto" w:fill="auto"/>
          </w:tcPr>
          <w:p w14:paraId="3162132A" w14:textId="77777777" w:rsidR="002820D4" w:rsidRPr="00214701" w:rsidRDefault="00000000">
            <w:pPr>
              <w:rPr>
                <w:rFonts w:asciiTheme="majorHAnsi" w:eastAsia="Arial" w:hAnsiTheme="majorHAnsi" w:cstheme="majorHAnsi"/>
                <w:color w:val="000000" w:themeColor="text1"/>
                <w:sz w:val="20"/>
                <w:szCs w:val="20"/>
              </w:rPr>
            </w:pPr>
            <w:r w:rsidRPr="00214701">
              <w:rPr>
                <w:rFonts w:asciiTheme="majorHAnsi" w:eastAsia="MS Gothic" w:hAnsiTheme="majorHAnsi" w:cstheme="majorHAnsi"/>
                <w:color w:val="000000" w:themeColor="text1"/>
                <w:sz w:val="20"/>
                <w:szCs w:val="20"/>
              </w:rPr>
              <w:t>Yes</w:t>
            </w:r>
          </w:p>
        </w:tc>
      </w:tr>
      <w:tr w:rsidR="002820D4" w14:paraId="36592075" w14:textId="77777777" w:rsidTr="00214701">
        <w:trPr>
          <w:trHeight w:val="63"/>
        </w:trPr>
        <w:tc>
          <w:tcPr>
            <w:tcW w:w="3929" w:type="dxa"/>
            <w:shd w:val="clear" w:color="auto" w:fill="auto"/>
          </w:tcPr>
          <w:p w14:paraId="21CA80EE" w14:textId="77777777" w:rsidR="002820D4" w:rsidRPr="00214701" w:rsidRDefault="00000000">
            <w:pPr>
              <w:rPr>
                <w:rFonts w:asciiTheme="majorHAnsi" w:eastAsia="Arial" w:hAnsiTheme="majorHAnsi" w:cstheme="majorHAnsi"/>
                <w:color w:val="000000" w:themeColor="text1"/>
                <w:sz w:val="20"/>
                <w:szCs w:val="20"/>
              </w:rPr>
            </w:pPr>
            <w:r w:rsidRPr="00214701">
              <w:rPr>
                <w:rFonts w:asciiTheme="majorHAnsi" w:eastAsia="Arial" w:hAnsiTheme="majorHAnsi" w:cstheme="majorHAnsi"/>
                <w:color w:val="000000" w:themeColor="text1"/>
                <w:sz w:val="20"/>
                <w:szCs w:val="20"/>
              </w:rPr>
              <w:t>Country/Region</w:t>
            </w:r>
          </w:p>
        </w:tc>
        <w:tc>
          <w:tcPr>
            <w:tcW w:w="5595" w:type="dxa"/>
            <w:shd w:val="clear" w:color="auto" w:fill="auto"/>
          </w:tcPr>
          <w:p w14:paraId="70C0FA8E" w14:textId="77777777" w:rsidR="002820D4" w:rsidRPr="00214701" w:rsidRDefault="00000000">
            <w:pPr>
              <w:rPr>
                <w:rFonts w:asciiTheme="majorHAnsi" w:eastAsia="Arial" w:hAnsiTheme="majorHAnsi" w:cstheme="majorHAnsi"/>
                <w:color w:val="000000" w:themeColor="text1"/>
                <w:sz w:val="20"/>
                <w:szCs w:val="20"/>
              </w:rPr>
            </w:pPr>
            <w:r w:rsidRPr="00214701">
              <w:rPr>
                <w:rFonts w:asciiTheme="majorHAnsi" w:eastAsia="Arial" w:hAnsiTheme="majorHAnsi" w:cstheme="majorHAnsi"/>
                <w:color w:val="000000" w:themeColor="text1"/>
                <w:sz w:val="20"/>
                <w:szCs w:val="20"/>
              </w:rPr>
              <w:t>The Netherlands</w:t>
            </w:r>
          </w:p>
        </w:tc>
      </w:tr>
    </w:tbl>
    <w:p w14:paraId="143F008C" w14:textId="77777777" w:rsidR="002820D4" w:rsidRDefault="00000000">
      <w:pPr>
        <w:spacing w:after="120" w:line="264" w:lineRule="auto"/>
        <w:rPr>
          <w:rFonts w:ascii="Arial" w:eastAsia="Arial" w:hAnsi="Arial" w:cs="Arial"/>
          <w:b/>
          <w:sz w:val="22"/>
          <w:szCs w:val="22"/>
        </w:rPr>
      </w:pPr>
      <w:r>
        <w:br w:type="page"/>
      </w:r>
    </w:p>
    <w:p w14:paraId="5004BEBE" w14:textId="77777777" w:rsidR="002820D4" w:rsidRDefault="00000000">
      <w:pPr>
        <w:spacing w:after="120" w:line="264" w:lineRule="auto"/>
        <w:rPr>
          <w:rFonts w:ascii="Arial" w:eastAsia="Arial" w:hAnsi="Arial" w:cs="Arial"/>
          <w:b/>
          <w:sz w:val="22"/>
          <w:szCs w:val="22"/>
        </w:rPr>
      </w:pPr>
      <w:r>
        <w:rPr>
          <w:rFonts w:ascii="Arial" w:eastAsia="Arial" w:hAnsi="Arial" w:cs="Arial"/>
          <w:b/>
          <w:sz w:val="22"/>
          <w:szCs w:val="22"/>
        </w:rPr>
        <w:lastRenderedPageBreak/>
        <w:t>Questions</w:t>
      </w:r>
    </w:p>
    <w:p w14:paraId="61166E97" w14:textId="77777777" w:rsidR="002820D4" w:rsidRDefault="002820D4">
      <w:pPr>
        <w:spacing w:after="120" w:line="264" w:lineRule="auto"/>
        <w:rPr>
          <w:rFonts w:ascii="Arial" w:eastAsia="Arial" w:hAnsi="Arial" w:cs="Arial"/>
          <w:b/>
          <w:sz w:val="22"/>
          <w:szCs w:val="22"/>
        </w:rPr>
      </w:pPr>
    </w:p>
    <w:p w14:paraId="349D8274" w14:textId="77777777" w:rsidR="002820D4" w:rsidRDefault="00000000">
      <w:pPr>
        <w:numPr>
          <w:ilvl w:val="0"/>
          <w:numId w:val="1"/>
        </w:numPr>
        <w:spacing w:after="240" w:line="259" w:lineRule="auto"/>
        <w:ind w:left="851" w:hanging="851"/>
        <w:jc w:val="both"/>
        <w:rPr>
          <w:rFonts w:ascii="Arial" w:eastAsia="Arial" w:hAnsi="Arial" w:cs="Arial"/>
          <w:b/>
          <w:sz w:val="22"/>
          <w:szCs w:val="22"/>
        </w:rPr>
      </w:pPr>
      <w:r>
        <w:rPr>
          <w:rFonts w:ascii="Arial" w:eastAsia="Arial" w:hAnsi="Arial" w:cs="Arial"/>
          <w:b/>
          <w:sz w:val="22"/>
          <w:szCs w:val="22"/>
        </w:rPr>
        <w:t>Do you agree with the suggested approach on providing general conditions and criteria by avoiding establishing a one-size-fits-all guidance on the concepts of financial instruments and crypto-assets or would you support the establishment of more concrete condition and criteria?</w:t>
      </w:r>
    </w:p>
    <w:p w14:paraId="19A26FB0" w14:textId="77777777" w:rsidR="002820D4" w:rsidRDefault="00000000">
      <w:pPr>
        <w:spacing w:after="160" w:line="259" w:lineRule="auto"/>
        <w:rPr>
          <w:rFonts w:ascii="Calibri" w:eastAsia="Calibri" w:hAnsi="Calibri" w:cs="Calibri"/>
          <w:sz w:val="22"/>
          <w:szCs w:val="22"/>
        </w:rPr>
      </w:pPr>
      <w:r>
        <w:rPr>
          <w:rFonts w:ascii="Calibri" w:eastAsia="Calibri" w:hAnsi="Calibri" w:cs="Calibri"/>
          <w:sz w:val="22"/>
          <w:szCs w:val="22"/>
        </w:rPr>
        <w:t>&lt;ESMA_QUESTION_MIC3_1&gt;</w:t>
      </w:r>
    </w:p>
    <w:p w14:paraId="07A37AB9" w14:textId="77777777" w:rsidR="002820D4" w:rsidRDefault="00000000">
      <w:pPr>
        <w:spacing w:after="160" w:line="259" w:lineRule="auto"/>
        <w:rPr>
          <w:rFonts w:ascii="Calibri" w:eastAsia="Calibri" w:hAnsi="Calibri" w:cs="Calibri"/>
          <w:sz w:val="22"/>
          <w:szCs w:val="22"/>
        </w:rPr>
      </w:pPr>
      <w:r>
        <w:rPr>
          <w:rFonts w:ascii="Calibri" w:eastAsia="Calibri" w:hAnsi="Calibri" w:cs="Calibri"/>
          <w:sz w:val="22"/>
          <w:szCs w:val="22"/>
        </w:rPr>
        <w:t>Regarding the proposed approach of providing general conditions and criteria while avoiding a one-size-fits-all guidance on financial instruments and crypto-assets, we understand the intention to allow flexibility due to the diverse nature of these domains.</w:t>
      </w:r>
    </w:p>
    <w:p w14:paraId="25A7BF22" w14:textId="77777777" w:rsidR="002820D4" w:rsidRDefault="00000000">
      <w:pPr>
        <w:spacing w:after="160" w:line="259" w:lineRule="auto"/>
        <w:rPr>
          <w:rFonts w:ascii="Calibri" w:eastAsia="Calibri" w:hAnsi="Calibri" w:cs="Calibri"/>
          <w:sz w:val="22"/>
          <w:szCs w:val="22"/>
        </w:rPr>
      </w:pPr>
      <w:r>
        <w:rPr>
          <w:rFonts w:ascii="Calibri" w:eastAsia="Calibri" w:hAnsi="Calibri" w:cs="Calibri"/>
          <w:sz w:val="22"/>
          <w:szCs w:val="22"/>
        </w:rPr>
        <w:t>However, we recognize the need for clearer guidance to ensure compliance and enhance market transparency. Therefore, we support the inclusion of more concrete criteria to provide industry stakeholders with clearer direction. This balanced approach would address complexities effectively while maintaining flexibility.</w:t>
      </w:r>
    </w:p>
    <w:p w14:paraId="2F5C5079" w14:textId="77777777" w:rsidR="002820D4" w:rsidRDefault="00000000">
      <w:pPr>
        <w:spacing w:after="160" w:line="259" w:lineRule="auto"/>
        <w:rPr>
          <w:rFonts w:ascii="Calibri" w:eastAsia="Calibri" w:hAnsi="Calibri" w:cs="Calibri"/>
          <w:sz w:val="22"/>
          <w:szCs w:val="22"/>
        </w:rPr>
      </w:pPr>
      <w:r>
        <w:rPr>
          <w:rFonts w:ascii="Calibri" w:eastAsia="Calibri" w:hAnsi="Calibri" w:cs="Calibri"/>
          <w:sz w:val="22"/>
          <w:szCs w:val="22"/>
        </w:rPr>
        <w:t xml:space="preserve">Furthermore, we contend that the assessment of the classification of </w:t>
      </w:r>
      <w:proofErr w:type="gramStart"/>
      <w:r>
        <w:rPr>
          <w:rFonts w:ascii="Calibri" w:eastAsia="Calibri" w:hAnsi="Calibri" w:cs="Calibri"/>
          <w:sz w:val="22"/>
          <w:szCs w:val="22"/>
        </w:rPr>
        <w:t>crypto-assets</w:t>
      </w:r>
      <w:proofErr w:type="gramEnd"/>
      <w:r>
        <w:rPr>
          <w:rFonts w:ascii="Calibri" w:eastAsia="Calibri" w:hAnsi="Calibri" w:cs="Calibri"/>
          <w:sz w:val="22"/>
          <w:szCs w:val="22"/>
        </w:rPr>
        <w:t xml:space="preserve"> as financial instruments should not fall within the purview of NCAs but rather within that of the ESMA, due to existing discrepancies among NCAs regarding the definition of financial instruments.</w:t>
      </w:r>
    </w:p>
    <w:p w14:paraId="0387F2A0" w14:textId="77777777" w:rsidR="002820D4" w:rsidRDefault="00000000">
      <w:pPr>
        <w:spacing w:after="160" w:line="259" w:lineRule="auto"/>
        <w:rPr>
          <w:rFonts w:ascii="Calibri" w:eastAsia="Calibri" w:hAnsi="Calibri" w:cs="Calibri"/>
          <w:sz w:val="22"/>
          <w:szCs w:val="22"/>
        </w:rPr>
      </w:pPr>
      <w:r>
        <w:rPr>
          <w:rFonts w:ascii="Calibri" w:eastAsia="Calibri" w:hAnsi="Calibri" w:cs="Calibri"/>
          <w:sz w:val="22"/>
          <w:szCs w:val="22"/>
        </w:rPr>
        <w:t>&lt;ESMA_QUESTION_MIC3_1&gt;</w:t>
      </w:r>
    </w:p>
    <w:p w14:paraId="11738E3D" w14:textId="77777777" w:rsidR="002820D4" w:rsidRDefault="002820D4">
      <w:pPr>
        <w:spacing w:after="160" w:line="259" w:lineRule="auto"/>
        <w:rPr>
          <w:rFonts w:ascii="Calibri" w:eastAsia="Calibri" w:hAnsi="Calibri" w:cs="Calibri"/>
          <w:sz w:val="22"/>
          <w:szCs w:val="22"/>
        </w:rPr>
      </w:pPr>
    </w:p>
    <w:p w14:paraId="192470C9" w14:textId="77777777" w:rsidR="002820D4" w:rsidRDefault="00000000">
      <w:pPr>
        <w:numPr>
          <w:ilvl w:val="0"/>
          <w:numId w:val="1"/>
        </w:numPr>
        <w:spacing w:after="240" w:line="259" w:lineRule="auto"/>
        <w:ind w:left="851" w:hanging="851"/>
        <w:jc w:val="both"/>
        <w:rPr>
          <w:rFonts w:ascii="Arial" w:eastAsia="Arial" w:hAnsi="Arial" w:cs="Arial"/>
          <w:b/>
          <w:sz w:val="22"/>
          <w:szCs w:val="22"/>
        </w:rPr>
      </w:pPr>
      <w:r>
        <w:rPr>
          <w:rFonts w:ascii="Arial" w:eastAsia="Arial" w:hAnsi="Arial" w:cs="Arial"/>
          <w:b/>
          <w:sz w:val="22"/>
          <w:szCs w:val="22"/>
        </w:rPr>
        <w:t xml:space="preserve">Do you agree with the conditions and criteria to help the identification of </w:t>
      </w:r>
      <w:proofErr w:type="gramStart"/>
      <w:r>
        <w:rPr>
          <w:rFonts w:ascii="Arial" w:eastAsia="Arial" w:hAnsi="Arial" w:cs="Arial"/>
          <w:b/>
          <w:sz w:val="22"/>
          <w:szCs w:val="22"/>
        </w:rPr>
        <w:t>crypto-assets</w:t>
      </w:r>
      <w:proofErr w:type="gramEnd"/>
      <w:r>
        <w:rPr>
          <w:rFonts w:ascii="Arial" w:eastAsia="Arial" w:hAnsi="Arial" w:cs="Arial"/>
          <w:b/>
          <w:sz w:val="22"/>
          <w:szCs w:val="22"/>
        </w:rPr>
        <w:t xml:space="preserve"> qualifying as transferable securities? Do you have any additional conditions and/or criteria to suggest? Please illustrate, if possible, your response with concrete examples.</w:t>
      </w:r>
    </w:p>
    <w:p w14:paraId="26079275" w14:textId="77777777" w:rsidR="002820D4" w:rsidRDefault="00000000">
      <w:pPr>
        <w:spacing w:after="160" w:line="259" w:lineRule="auto"/>
        <w:rPr>
          <w:rFonts w:ascii="Calibri" w:eastAsia="Calibri" w:hAnsi="Calibri" w:cs="Calibri"/>
          <w:sz w:val="22"/>
          <w:szCs w:val="22"/>
        </w:rPr>
      </w:pPr>
      <w:r>
        <w:rPr>
          <w:rFonts w:ascii="Calibri" w:eastAsia="Calibri" w:hAnsi="Calibri" w:cs="Calibri"/>
          <w:sz w:val="22"/>
          <w:szCs w:val="22"/>
        </w:rPr>
        <w:t>&lt;ESMA_QUESTION_MIC3_2&gt;</w:t>
      </w:r>
    </w:p>
    <w:p w14:paraId="0B8A5844" w14:textId="77777777" w:rsidR="002820D4" w:rsidRDefault="00000000">
      <w:pPr>
        <w:spacing w:after="160" w:line="259" w:lineRule="auto"/>
        <w:rPr>
          <w:rFonts w:ascii="Calibri" w:eastAsia="Calibri" w:hAnsi="Calibri" w:cs="Calibri"/>
          <w:sz w:val="22"/>
          <w:szCs w:val="22"/>
        </w:rPr>
      </w:pPr>
      <w:r>
        <w:rPr>
          <w:rFonts w:ascii="Calibri" w:eastAsia="Calibri" w:hAnsi="Calibri" w:cs="Calibri"/>
          <w:sz w:val="22"/>
          <w:szCs w:val="22"/>
        </w:rPr>
        <w:t>examples.</w:t>
      </w:r>
    </w:p>
    <w:p w14:paraId="5568E04D" w14:textId="77777777" w:rsidR="002820D4" w:rsidRDefault="00000000">
      <w:pPr>
        <w:spacing w:after="160" w:line="259" w:lineRule="auto"/>
        <w:rPr>
          <w:rFonts w:ascii="Calibri" w:eastAsia="Calibri" w:hAnsi="Calibri" w:cs="Calibri"/>
          <w:sz w:val="22"/>
          <w:szCs w:val="22"/>
        </w:rPr>
      </w:pPr>
      <w:r>
        <w:rPr>
          <w:rFonts w:ascii="Calibri" w:eastAsia="Calibri" w:hAnsi="Calibri" w:cs="Calibri"/>
          <w:sz w:val="22"/>
          <w:szCs w:val="22"/>
        </w:rPr>
        <w:t xml:space="preserve">Regarding the conditions and criteria for identifying </w:t>
      </w:r>
      <w:proofErr w:type="gramStart"/>
      <w:r>
        <w:rPr>
          <w:rFonts w:ascii="Calibri" w:eastAsia="Calibri" w:hAnsi="Calibri" w:cs="Calibri"/>
          <w:sz w:val="22"/>
          <w:szCs w:val="22"/>
        </w:rPr>
        <w:t>crypto-assets</w:t>
      </w:r>
      <w:proofErr w:type="gramEnd"/>
      <w:r>
        <w:rPr>
          <w:rFonts w:ascii="Calibri" w:eastAsia="Calibri" w:hAnsi="Calibri" w:cs="Calibri"/>
          <w:sz w:val="22"/>
          <w:szCs w:val="22"/>
        </w:rPr>
        <w:t xml:space="preserve"> as transferable securities, we largely agree with the proposed criteria. However, we suggest a more specific interpretation of the concept of 'negotiability'.</w:t>
      </w:r>
    </w:p>
    <w:p w14:paraId="3371BB45" w14:textId="77777777" w:rsidR="002820D4" w:rsidRDefault="00000000">
      <w:pPr>
        <w:spacing w:after="160" w:line="259" w:lineRule="auto"/>
        <w:rPr>
          <w:rFonts w:ascii="Calibri" w:eastAsia="Calibri" w:hAnsi="Calibri" w:cs="Calibri"/>
          <w:sz w:val="22"/>
          <w:szCs w:val="22"/>
        </w:rPr>
      </w:pPr>
      <w:r>
        <w:rPr>
          <w:rFonts w:ascii="Calibri" w:eastAsia="Calibri" w:hAnsi="Calibri" w:cs="Calibri"/>
          <w:sz w:val="22"/>
          <w:szCs w:val="22"/>
        </w:rPr>
        <w:t xml:space="preserve">Rather than a broad interpretation, we recommend considering concrete </w:t>
      </w:r>
      <w:proofErr w:type="spellStart"/>
      <w:r>
        <w:rPr>
          <w:rFonts w:ascii="Calibri" w:eastAsia="Calibri" w:hAnsi="Calibri" w:cs="Calibri"/>
          <w:sz w:val="22"/>
          <w:szCs w:val="22"/>
        </w:rPr>
        <w:t>subcriteria</w:t>
      </w:r>
      <w:proofErr w:type="spellEnd"/>
      <w:r>
        <w:rPr>
          <w:rFonts w:ascii="Calibri" w:eastAsia="Calibri" w:hAnsi="Calibri" w:cs="Calibri"/>
          <w:sz w:val="22"/>
          <w:szCs w:val="22"/>
        </w:rPr>
        <w:t xml:space="preserve"> specific to this concept, such as the degree of standardization, the degree of transferability, and the trading possibilities.</w:t>
      </w:r>
    </w:p>
    <w:p w14:paraId="2D2A22FB" w14:textId="77777777" w:rsidR="002820D4" w:rsidRDefault="00000000">
      <w:pPr>
        <w:spacing w:after="160" w:line="259" w:lineRule="auto"/>
        <w:rPr>
          <w:rFonts w:ascii="Calibri" w:eastAsia="Calibri" w:hAnsi="Calibri" w:cs="Calibri"/>
          <w:sz w:val="22"/>
          <w:szCs w:val="22"/>
        </w:rPr>
      </w:pPr>
      <w:r>
        <w:rPr>
          <w:rFonts w:ascii="Calibri" w:eastAsia="Calibri" w:hAnsi="Calibri" w:cs="Calibri"/>
          <w:sz w:val="22"/>
          <w:szCs w:val="22"/>
        </w:rPr>
        <w:t xml:space="preserve">These </w:t>
      </w:r>
      <w:proofErr w:type="spellStart"/>
      <w:r>
        <w:rPr>
          <w:rFonts w:ascii="Calibri" w:eastAsia="Calibri" w:hAnsi="Calibri" w:cs="Calibri"/>
          <w:sz w:val="22"/>
          <w:szCs w:val="22"/>
        </w:rPr>
        <w:t>subcriteria</w:t>
      </w:r>
      <w:proofErr w:type="spellEnd"/>
      <w:r>
        <w:rPr>
          <w:rFonts w:ascii="Calibri" w:eastAsia="Calibri" w:hAnsi="Calibri" w:cs="Calibri"/>
          <w:sz w:val="22"/>
          <w:szCs w:val="22"/>
        </w:rPr>
        <w:t xml:space="preserve"> are derived from the characteristic aspect of negotiability (</w:t>
      </w:r>
      <w:proofErr w:type="spellStart"/>
      <w:r>
        <w:rPr>
          <w:rFonts w:ascii="Calibri" w:eastAsia="Calibri" w:hAnsi="Calibri" w:cs="Calibri"/>
          <w:sz w:val="22"/>
          <w:szCs w:val="22"/>
        </w:rPr>
        <w:t>verhandelbaarheid</w:t>
      </w:r>
      <w:proofErr w:type="spellEnd"/>
      <w:r>
        <w:rPr>
          <w:rFonts w:ascii="Calibri" w:eastAsia="Calibri" w:hAnsi="Calibri" w:cs="Calibri"/>
          <w:sz w:val="22"/>
          <w:szCs w:val="22"/>
        </w:rPr>
        <w:t xml:space="preserve">) as perceived by the Dutch financial markets regulator (AFM). However, we do not advocate for a broad, economic approach when it comes to </w:t>
      </w:r>
      <w:proofErr w:type="gramStart"/>
      <w:r>
        <w:rPr>
          <w:rFonts w:ascii="Calibri" w:eastAsia="Calibri" w:hAnsi="Calibri" w:cs="Calibri"/>
          <w:sz w:val="22"/>
          <w:szCs w:val="22"/>
        </w:rPr>
        <w:t>crypto-assets</w:t>
      </w:r>
      <w:proofErr w:type="gramEnd"/>
      <w:r>
        <w:rPr>
          <w:rFonts w:ascii="Calibri" w:eastAsia="Calibri" w:hAnsi="Calibri" w:cs="Calibri"/>
          <w:sz w:val="22"/>
          <w:szCs w:val="22"/>
        </w:rPr>
        <w:t xml:space="preserve">. With regard to the degree of standardization, it is important to note that a </w:t>
      </w:r>
      <w:proofErr w:type="gramStart"/>
      <w:r>
        <w:rPr>
          <w:rFonts w:ascii="Calibri" w:eastAsia="Calibri" w:hAnsi="Calibri" w:cs="Calibri"/>
          <w:sz w:val="22"/>
          <w:szCs w:val="22"/>
        </w:rPr>
        <w:t>crypto-asset</w:t>
      </w:r>
      <w:proofErr w:type="gramEnd"/>
      <w:r>
        <w:rPr>
          <w:rFonts w:ascii="Calibri" w:eastAsia="Calibri" w:hAnsi="Calibri" w:cs="Calibri"/>
          <w:sz w:val="22"/>
          <w:szCs w:val="22"/>
        </w:rPr>
        <w:t xml:space="preserve"> is either fully standardized and consequently interchangeable or not. The associated rights and/or obligations of the token must be correspondingly the same to </w:t>
      </w:r>
      <w:r>
        <w:rPr>
          <w:rFonts w:ascii="Calibri" w:eastAsia="Calibri" w:hAnsi="Calibri" w:cs="Calibri"/>
          <w:sz w:val="22"/>
          <w:szCs w:val="22"/>
        </w:rPr>
        <w:lastRenderedPageBreak/>
        <w:t>classify the token as fully standardized. In assessing this, the analysis used for the first criterion ('class of securities') can perhaps be applied.</w:t>
      </w:r>
    </w:p>
    <w:p w14:paraId="448CB3A7" w14:textId="77777777" w:rsidR="002820D4" w:rsidRDefault="00000000">
      <w:pPr>
        <w:spacing w:after="160" w:line="259" w:lineRule="auto"/>
        <w:rPr>
          <w:rFonts w:ascii="Calibri" w:eastAsia="Calibri" w:hAnsi="Calibri" w:cs="Calibri"/>
          <w:sz w:val="22"/>
          <w:szCs w:val="22"/>
        </w:rPr>
      </w:pPr>
      <w:r>
        <w:rPr>
          <w:rFonts w:ascii="Calibri" w:eastAsia="Calibri" w:hAnsi="Calibri" w:cs="Calibri"/>
          <w:sz w:val="22"/>
          <w:szCs w:val="22"/>
        </w:rPr>
        <w:t xml:space="preserve">About the degree of transferability. A </w:t>
      </w:r>
      <w:proofErr w:type="gramStart"/>
      <w:r>
        <w:rPr>
          <w:rFonts w:ascii="Calibri" w:eastAsia="Calibri" w:hAnsi="Calibri" w:cs="Calibri"/>
          <w:sz w:val="22"/>
          <w:szCs w:val="22"/>
        </w:rPr>
        <w:t>crypto-asset</w:t>
      </w:r>
      <w:proofErr w:type="gramEnd"/>
      <w:r>
        <w:rPr>
          <w:rFonts w:ascii="Calibri" w:eastAsia="Calibri" w:hAnsi="Calibri" w:cs="Calibri"/>
          <w:sz w:val="22"/>
          <w:szCs w:val="22"/>
        </w:rPr>
        <w:t xml:space="preserve"> is transferable or it is not. If the transferability to a third party is not excluded in the protocol (e.g. like verifiable credentials), articles of association, or fund conditions, then transferability exists.</w:t>
      </w:r>
    </w:p>
    <w:p w14:paraId="64D4D78C" w14:textId="77777777" w:rsidR="002820D4" w:rsidRDefault="00000000">
      <w:pPr>
        <w:spacing w:after="160" w:line="259" w:lineRule="auto"/>
        <w:rPr>
          <w:rFonts w:ascii="Calibri" w:eastAsia="Calibri" w:hAnsi="Calibri" w:cs="Calibri"/>
          <w:sz w:val="22"/>
          <w:szCs w:val="22"/>
        </w:rPr>
      </w:pPr>
      <w:r>
        <w:rPr>
          <w:rFonts w:ascii="Calibri" w:eastAsia="Calibri" w:hAnsi="Calibri" w:cs="Calibri"/>
          <w:sz w:val="22"/>
          <w:szCs w:val="22"/>
        </w:rPr>
        <w:t xml:space="preserve">As for trading possibilities, it is essential that there is 'regular transferability,' and regular transfers typically occur. For instance, a </w:t>
      </w:r>
      <w:proofErr w:type="gramStart"/>
      <w:r>
        <w:rPr>
          <w:rFonts w:ascii="Calibri" w:eastAsia="Calibri" w:hAnsi="Calibri" w:cs="Calibri"/>
          <w:sz w:val="22"/>
          <w:szCs w:val="22"/>
        </w:rPr>
        <w:t>crypto-asset</w:t>
      </w:r>
      <w:proofErr w:type="gramEnd"/>
      <w:r>
        <w:rPr>
          <w:rFonts w:ascii="Calibri" w:eastAsia="Calibri" w:hAnsi="Calibri" w:cs="Calibri"/>
          <w:sz w:val="22"/>
          <w:szCs w:val="22"/>
        </w:rPr>
        <w:t xml:space="preserve"> could be deemed regularly transferable if it meets certain thresholds in terms of trading volume and liquidity on capital markets, excluding </w:t>
      </w:r>
      <w:proofErr w:type="spellStart"/>
      <w:r>
        <w:rPr>
          <w:rFonts w:ascii="Calibri" w:eastAsia="Calibri" w:hAnsi="Calibri" w:cs="Calibri"/>
          <w:sz w:val="22"/>
          <w:szCs w:val="22"/>
        </w:rPr>
        <w:t>DeFi</w:t>
      </w:r>
      <w:proofErr w:type="spellEnd"/>
      <w:r>
        <w:rPr>
          <w:rFonts w:ascii="Calibri" w:eastAsia="Calibri" w:hAnsi="Calibri" w:cs="Calibri"/>
          <w:sz w:val="22"/>
          <w:szCs w:val="22"/>
        </w:rPr>
        <w:t>.</w:t>
      </w:r>
    </w:p>
    <w:p w14:paraId="545DF372" w14:textId="77777777" w:rsidR="002820D4" w:rsidRDefault="00000000">
      <w:pPr>
        <w:spacing w:after="160" w:line="259" w:lineRule="auto"/>
        <w:rPr>
          <w:rFonts w:ascii="Calibri" w:eastAsia="Calibri" w:hAnsi="Calibri" w:cs="Calibri"/>
          <w:sz w:val="22"/>
          <w:szCs w:val="22"/>
        </w:rPr>
      </w:pPr>
      <w:r>
        <w:rPr>
          <w:rFonts w:ascii="Calibri" w:eastAsia="Calibri" w:hAnsi="Calibri" w:cs="Calibri"/>
          <w:sz w:val="22"/>
          <w:szCs w:val="22"/>
        </w:rPr>
        <w:t xml:space="preserve">This approach could offer practical guidance for market participants for a </w:t>
      </w:r>
      <w:proofErr w:type="gramStart"/>
      <w:r>
        <w:rPr>
          <w:rFonts w:ascii="Calibri" w:eastAsia="Calibri" w:hAnsi="Calibri" w:cs="Calibri"/>
          <w:sz w:val="22"/>
          <w:szCs w:val="22"/>
        </w:rPr>
        <w:t>crypto-asset</w:t>
      </w:r>
      <w:proofErr w:type="gramEnd"/>
      <w:r>
        <w:rPr>
          <w:rFonts w:ascii="Calibri" w:eastAsia="Calibri" w:hAnsi="Calibri" w:cs="Calibri"/>
          <w:sz w:val="22"/>
          <w:szCs w:val="22"/>
        </w:rPr>
        <w:t xml:space="preserve"> to be recognised as a transferable security under MiFID II. </w:t>
      </w:r>
    </w:p>
    <w:p w14:paraId="3351313C" w14:textId="77777777" w:rsidR="002820D4" w:rsidRDefault="00000000">
      <w:pPr>
        <w:spacing w:after="160" w:line="259" w:lineRule="auto"/>
        <w:rPr>
          <w:rFonts w:ascii="Calibri" w:eastAsia="Calibri" w:hAnsi="Calibri" w:cs="Calibri"/>
          <w:sz w:val="22"/>
          <w:szCs w:val="22"/>
        </w:rPr>
      </w:pPr>
      <w:r>
        <w:rPr>
          <w:rFonts w:ascii="Calibri" w:eastAsia="Calibri" w:hAnsi="Calibri" w:cs="Calibri"/>
          <w:sz w:val="22"/>
          <w:szCs w:val="22"/>
        </w:rPr>
        <w:t>&lt;ESMA_QUESTION_MIC3_2&gt;</w:t>
      </w:r>
    </w:p>
    <w:p w14:paraId="4CDA95F3" w14:textId="77777777" w:rsidR="002820D4" w:rsidRDefault="002820D4">
      <w:pPr>
        <w:spacing w:after="160" w:line="259" w:lineRule="auto"/>
        <w:rPr>
          <w:rFonts w:ascii="Calibri" w:eastAsia="Calibri" w:hAnsi="Calibri" w:cs="Calibri"/>
          <w:sz w:val="22"/>
          <w:szCs w:val="22"/>
        </w:rPr>
      </w:pPr>
    </w:p>
    <w:p w14:paraId="78B76C3B" w14:textId="77777777" w:rsidR="002820D4" w:rsidRDefault="00000000">
      <w:pPr>
        <w:numPr>
          <w:ilvl w:val="0"/>
          <w:numId w:val="1"/>
        </w:numPr>
        <w:spacing w:after="240" w:line="259" w:lineRule="auto"/>
        <w:ind w:left="851" w:hanging="851"/>
        <w:jc w:val="both"/>
        <w:rPr>
          <w:rFonts w:ascii="Arial" w:eastAsia="Arial" w:hAnsi="Arial" w:cs="Arial"/>
          <w:b/>
          <w:sz w:val="22"/>
          <w:szCs w:val="22"/>
        </w:rPr>
      </w:pPr>
      <w:r>
        <w:rPr>
          <w:rFonts w:ascii="Arial" w:eastAsia="Arial" w:hAnsi="Arial" w:cs="Arial"/>
          <w:b/>
          <w:sz w:val="22"/>
          <w:szCs w:val="22"/>
        </w:rPr>
        <w:t xml:space="preserve">Based on your experience, how is the settlement process for derivatives conducted using crypto-assets or </w:t>
      </w:r>
      <w:proofErr w:type="spellStart"/>
      <w:r>
        <w:rPr>
          <w:rFonts w:ascii="Arial" w:eastAsia="Arial" w:hAnsi="Arial" w:cs="Arial"/>
          <w:b/>
          <w:sz w:val="22"/>
          <w:szCs w:val="22"/>
        </w:rPr>
        <w:t>stablecoins</w:t>
      </w:r>
      <w:proofErr w:type="spellEnd"/>
      <w:r>
        <w:rPr>
          <w:rFonts w:ascii="Arial" w:eastAsia="Arial" w:hAnsi="Arial" w:cs="Arial"/>
          <w:b/>
          <w:sz w:val="22"/>
          <w:szCs w:val="22"/>
        </w:rPr>
        <w:t>? Please illustrate, if possible, your response with concrete examples</w:t>
      </w:r>
    </w:p>
    <w:p w14:paraId="2FC01549" w14:textId="77777777" w:rsidR="002820D4" w:rsidRDefault="00000000">
      <w:pPr>
        <w:spacing w:after="160" w:line="259" w:lineRule="auto"/>
        <w:rPr>
          <w:rFonts w:ascii="Calibri" w:eastAsia="Calibri" w:hAnsi="Calibri" w:cs="Calibri"/>
          <w:sz w:val="22"/>
          <w:szCs w:val="22"/>
        </w:rPr>
      </w:pPr>
      <w:r>
        <w:rPr>
          <w:rFonts w:ascii="Calibri" w:eastAsia="Calibri" w:hAnsi="Calibri" w:cs="Calibri"/>
          <w:sz w:val="22"/>
          <w:szCs w:val="22"/>
        </w:rPr>
        <w:t>&lt;ESMA_QUESTION_MIC3_3&gt;</w:t>
      </w:r>
    </w:p>
    <w:p w14:paraId="76FD631D" w14:textId="77777777" w:rsidR="002820D4" w:rsidRDefault="00000000">
      <w:pPr>
        <w:spacing w:after="160" w:line="259" w:lineRule="auto"/>
        <w:rPr>
          <w:rFonts w:ascii="Calibri" w:eastAsia="Calibri" w:hAnsi="Calibri" w:cs="Calibri"/>
          <w:sz w:val="22"/>
          <w:szCs w:val="22"/>
        </w:rPr>
      </w:pPr>
      <w:r>
        <w:rPr>
          <w:rFonts w:ascii="Calibri" w:eastAsia="Calibri" w:hAnsi="Calibri" w:cs="Calibri"/>
          <w:sz w:val="22"/>
          <w:szCs w:val="22"/>
        </w:rPr>
        <w:t>TYPE YOUR TEXT HERE</w:t>
      </w:r>
    </w:p>
    <w:p w14:paraId="71D04851" w14:textId="77777777" w:rsidR="002820D4" w:rsidRDefault="00000000">
      <w:pPr>
        <w:spacing w:after="160" w:line="259" w:lineRule="auto"/>
        <w:rPr>
          <w:rFonts w:ascii="Calibri" w:eastAsia="Calibri" w:hAnsi="Calibri" w:cs="Calibri"/>
          <w:sz w:val="22"/>
          <w:szCs w:val="22"/>
        </w:rPr>
      </w:pPr>
      <w:r>
        <w:rPr>
          <w:rFonts w:ascii="Calibri" w:eastAsia="Calibri" w:hAnsi="Calibri" w:cs="Calibri"/>
          <w:sz w:val="22"/>
          <w:szCs w:val="22"/>
        </w:rPr>
        <w:t>&lt;ESMA_QUESTION_MIC3_3&gt;</w:t>
      </w:r>
    </w:p>
    <w:p w14:paraId="5E734422" w14:textId="77777777" w:rsidR="002820D4" w:rsidRDefault="002820D4">
      <w:pPr>
        <w:spacing w:after="160" w:line="259" w:lineRule="auto"/>
        <w:rPr>
          <w:rFonts w:ascii="Calibri" w:eastAsia="Calibri" w:hAnsi="Calibri" w:cs="Calibri"/>
          <w:sz w:val="22"/>
          <w:szCs w:val="22"/>
        </w:rPr>
      </w:pPr>
    </w:p>
    <w:p w14:paraId="0709BE2C" w14:textId="77777777" w:rsidR="002820D4" w:rsidRDefault="00000000">
      <w:pPr>
        <w:numPr>
          <w:ilvl w:val="0"/>
          <w:numId w:val="1"/>
        </w:numPr>
        <w:spacing w:after="240" w:line="259" w:lineRule="auto"/>
        <w:ind w:left="851" w:hanging="851"/>
        <w:jc w:val="both"/>
        <w:rPr>
          <w:rFonts w:ascii="Arial" w:eastAsia="Arial" w:hAnsi="Arial" w:cs="Arial"/>
          <w:b/>
          <w:sz w:val="22"/>
          <w:szCs w:val="22"/>
        </w:rPr>
      </w:pPr>
      <w:r>
        <w:rPr>
          <w:rFonts w:ascii="Arial" w:eastAsia="Arial" w:hAnsi="Arial" w:cs="Arial"/>
          <w:b/>
          <w:sz w:val="22"/>
          <w:szCs w:val="22"/>
        </w:rPr>
        <w:t xml:space="preserve">Do you agree with the conditions and criteria to help the identification of </w:t>
      </w:r>
      <w:proofErr w:type="gramStart"/>
      <w:r>
        <w:rPr>
          <w:rFonts w:ascii="Arial" w:eastAsia="Arial" w:hAnsi="Arial" w:cs="Arial"/>
          <w:b/>
          <w:sz w:val="22"/>
          <w:szCs w:val="22"/>
        </w:rPr>
        <w:t>crypto-assets</w:t>
      </w:r>
      <w:proofErr w:type="gramEnd"/>
      <w:r>
        <w:rPr>
          <w:rFonts w:ascii="Arial" w:eastAsia="Arial" w:hAnsi="Arial" w:cs="Arial"/>
          <w:b/>
          <w:sz w:val="22"/>
          <w:szCs w:val="22"/>
        </w:rPr>
        <w:t xml:space="preserve"> qualifying as another financial instrument (i.e. a money market instrument, a unit in collective investment undertakings, a derivative or an emission allowance instrument)? Do you have any additional conditions, criteria and/or concrete examples to suggest?</w:t>
      </w:r>
    </w:p>
    <w:p w14:paraId="1BD14E17" w14:textId="77777777" w:rsidR="002820D4" w:rsidRDefault="00000000">
      <w:pPr>
        <w:spacing w:after="160" w:line="259" w:lineRule="auto"/>
        <w:rPr>
          <w:rFonts w:ascii="Calibri" w:eastAsia="Calibri" w:hAnsi="Calibri" w:cs="Calibri"/>
          <w:sz w:val="22"/>
          <w:szCs w:val="22"/>
        </w:rPr>
      </w:pPr>
      <w:r>
        <w:rPr>
          <w:rFonts w:ascii="Calibri" w:eastAsia="Calibri" w:hAnsi="Calibri" w:cs="Calibri"/>
          <w:sz w:val="22"/>
          <w:szCs w:val="22"/>
        </w:rPr>
        <w:t>&lt;ESMA_QUESTION_MIC3_4&gt;</w:t>
      </w:r>
    </w:p>
    <w:p w14:paraId="47AD935C" w14:textId="77777777" w:rsidR="002820D4" w:rsidRDefault="00000000">
      <w:pPr>
        <w:spacing w:after="160" w:line="259" w:lineRule="auto"/>
        <w:rPr>
          <w:rFonts w:ascii="Calibri" w:eastAsia="Calibri" w:hAnsi="Calibri" w:cs="Calibri"/>
          <w:sz w:val="22"/>
          <w:szCs w:val="22"/>
        </w:rPr>
      </w:pPr>
      <w:r>
        <w:rPr>
          <w:rFonts w:ascii="Calibri" w:eastAsia="Calibri" w:hAnsi="Calibri" w:cs="Calibri"/>
          <w:sz w:val="22"/>
          <w:szCs w:val="22"/>
        </w:rPr>
        <w:t xml:space="preserve">We agree to a large extent with the conditions and criteria that help the identification of crypto-assets as another financial </w:t>
      </w:r>
      <w:proofErr w:type="gramStart"/>
      <w:r>
        <w:rPr>
          <w:rFonts w:ascii="Calibri" w:eastAsia="Calibri" w:hAnsi="Calibri" w:cs="Calibri"/>
          <w:sz w:val="22"/>
          <w:szCs w:val="22"/>
        </w:rPr>
        <w:t>instrument, but</w:t>
      </w:r>
      <w:proofErr w:type="gramEnd"/>
      <w:r>
        <w:rPr>
          <w:rFonts w:ascii="Calibri" w:eastAsia="Calibri" w:hAnsi="Calibri" w:cs="Calibri"/>
          <w:sz w:val="22"/>
          <w:szCs w:val="22"/>
        </w:rPr>
        <w:t xml:space="preserve"> would like to emphasize on the importance of creating a transparent and equal level-playing-field with detailed conditions in place that serve as a safeguard for our clients.</w:t>
      </w:r>
    </w:p>
    <w:p w14:paraId="68FB0371" w14:textId="77777777" w:rsidR="002820D4" w:rsidRDefault="00000000">
      <w:pPr>
        <w:spacing w:after="160" w:line="259" w:lineRule="auto"/>
        <w:rPr>
          <w:rFonts w:ascii="Calibri" w:eastAsia="Calibri" w:hAnsi="Calibri" w:cs="Calibri"/>
          <w:sz w:val="22"/>
          <w:szCs w:val="22"/>
        </w:rPr>
      </w:pPr>
      <w:r>
        <w:rPr>
          <w:rFonts w:ascii="Calibri" w:eastAsia="Calibri" w:hAnsi="Calibri" w:cs="Calibri"/>
          <w:sz w:val="22"/>
          <w:szCs w:val="22"/>
        </w:rPr>
        <w:t xml:space="preserve">In the case crypto-assets are embedded in European Emissions Trading Schemes, we are of the opinion that it is important that users have access to equal and comparable data on greenhouse gasses, allowing crypto-asset service providers to inform clients in a rightful manner. </w:t>
      </w:r>
    </w:p>
    <w:p w14:paraId="00BFE9C9" w14:textId="77777777" w:rsidR="002820D4" w:rsidRDefault="00000000">
      <w:pPr>
        <w:spacing w:after="160" w:line="259" w:lineRule="auto"/>
        <w:rPr>
          <w:rFonts w:ascii="Calibri" w:eastAsia="Calibri" w:hAnsi="Calibri" w:cs="Calibri"/>
          <w:sz w:val="22"/>
          <w:szCs w:val="22"/>
        </w:rPr>
      </w:pPr>
      <w:r>
        <w:rPr>
          <w:rFonts w:ascii="Calibri" w:eastAsia="Calibri" w:hAnsi="Calibri" w:cs="Calibri"/>
          <w:sz w:val="22"/>
          <w:szCs w:val="22"/>
        </w:rPr>
        <w:t xml:space="preserve">To achieve this level of data quality, coin issuers should have robust internal control mechanisms, systems and procedures in place that safeguard. This information should be accurate and complete, which allows third parties (e.g., external auditors) to perform an independent assessment of the legitimacy of the claims made with respect to greenhouse gasses. In </w:t>
      </w:r>
      <w:proofErr w:type="gramStart"/>
      <w:r>
        <w:rPr>
          <w:rFonts w:ascii="Calibri" w:eastAsia="Calibri" w:hAnsi="Calibri" w:cs="Calibri"/>
          <w:sz w:val="22"/>
          <w:szCs w:val="22"/>
        </w:rPr>
        <w:t>addition</w:t>
      </w:r>
      <w:proofErr w:type="gramEnd"/>
      <w:r>
        <w:rPr>
          <w:rFonts w:ascii="Calibri" w:eastAsia="Calibri" w:hAnsi="Calibri" w:cs="Calibri"/>
          <w:sz w:val="22"/>
          <w:szCs w:val="22"/>
        </w:rPr>
        <w:t xml:space="preserve"> thereto, coin issuers </w:t>
      </w:r>
      <w:r>
        <w:rPr>
          <w:rFonts w:ascii="Calibri" w:eastAsia="Calibri" w:hAnsi="Calibri" w:cs="Calibri"/>
          <w:sz w:val="22"/>
          <w:szCs w:val="22"/>
        </w:rPr>
        <w:lastRenderedPageBreak/>
        <w:t>should implement measures to mitigate the risk with respect to the technical integrity of the data, including (e.g.) data manipulation.</w:t>
      </w:r>
    </w:p>
    <w:p w14:paraId="5D786E6D" w14:textId="77777777" w:rsidR="002820D4" w:rsidRDefault="00000000">
      <w:pPr>
        <w:spacing w:after="160" w:line="259" w:lineRule="auto"/>
        <w:rPr>
          <w:rFonts w:ascii="Calibri" w:eastAsia="Calibri" w:hAnsi="Calibri" w:cs="Calibri"/>
          <w:sz w:val="22"/>
          <w:szCs w:val="22"/>
        </w:rPr>
      </w:pPr>
      <w:r>
        <w:rPr>
          <w:rFonts w:ascii="Calibri" w:eastAsia="Calibri" w:hAnsi="Calibri" w:cs="Calibri"/>
          <w:sz w:val="22"/>
          <w:szCs w:val="22"/>
        </w:rPr>
        <w:t>It is important to create further awareness that qualifying crypto-assets as an emission allowance instrument also results in further risks with respect to the crypto-assets industry, since this provides further opportunities for insider trading and market abuse, whilst crypto-asset service providers are faced with the obligation to establish fair trading practices.</w:t>
      </w:r>
    </w:p>
    <w:p w14:paraId="70314475" w14:textId="77777777" w:rsidR="002820D4" w:rsidRDefault="00000000">
      <w:pPr>
        <w:spacing w:after="160" w:line="259" w:lineRule="auto"/>
        <w:rPr>
          <w:rFonts w:ascii="Calibri" w:eastAsia="Calibri" w:hAnsi="Calibri" w:cs="Calibri"/>
          <w:sz w:val="22"/>
          <w:szCs w:val="22"/>
        </w:rPr>
      </w:pPr>
      <w:r>
        <w:rPr>
          <w:rFonts w:ascii="Calibri" w:eastAsia="Calibri" w:hAnsi="Calibri" w:cs="Calibri"/>
          <w:sz w:val="22"/>
          <w:szCs w:val="22"/>
        </w:rPr>
        <w:t>&lt;ESMA_QUESTION_MIC3_4&gt;</w:t>
      </w:r>
    </w:p>
    <w:p w14:paraId="2D1C2149" w14:textId="77777777" w:rsidR="002820D4" w:rsidRDefault="002820D4">
      <w:pPr>
        <w:spacing w:after="160" w:line="259" w:lineRule="auto"/>
        <w:rPr>
          <w:rFonts w:ascii="Calibri" w:eastAsia="Calibri" w:hAnsi="Calibri" w:cs="Calibri"/>
          <w:sz w:val="22"/>
          <w:szCs w:val="22"/>
        </w:rPr>
      </w:pPr>
    </w:p>
    <w:p w14:paraId="2B35ACD6" w14:textId="77777777" w:rsidR="002820D4" w:rsidRDefault="00000000">
      <w:pPr>
        <w:numPr>
          <w:ilvl w:val="0"/>
          <w:numId w:val="1"/>
        </w:numPr>
        <w:spacing w:after="240" w:line="259" w:lineRule="auto"/>
        <w:ind w:left="851" w:hanging="851"/>
        <w:jc w:val="both"/>
        <w:rPr>
          <w:rFonts w:ascii="Arial" w:eastAsia="Arial" w:hAnsi="Arial" w:cs="Arial"/>
          <w:b/>
          <w:sz w:val="22"/>
          <w:szCs w:val="22"/>
        </w:rPr>
      </w:pPr>
      <w:r>
        <w:rPr>
          <w:rFonts w:ascii="Arial" w:eastAsia="Arial" w:hAnsi="Arial" w:cs="Arial"/>
          <w:b/>
          <w:sz w:val="22"/>
          <w:szCs w:val="22"/>
        </w:rPr>
        <w:t xml:space="preserve">Do you agree with the suggested conditions and criteria to differentiate between MiFID II financial instruments and </w:t>
      </w:r>
      <w:proofErr w:type="spellStart"/>
      <w:r>
        <w:rPr>
          <w:rFonts w:ascii="Arial" w:eastAsia="Arial" w:hAnsi="Arial" w:cs="Arial"/>
          <w:b/>
          <w:sz w:val="22"/>
          <w:szCs w:val="22"/>
        </w:rPr>
        <w:t>MiCA</w:t>
      </w:r>
      <w:proofErr w:type="spellEnd"/>
      <w:r>
        <w:rPr>
          <w:rFonts w:ascii="Arial" w:eastAsia="Arial" w:hAnsi="Arial" w:cs="Arial"/>
          <w:b/>
          <w:sz w:val="22"/>
          <w:szCs w:val="22"/>
        </w:rPr>
        <w:t xml:space="preserve"> </w:t>
      </w:r>
      <w:proofErr w:type="gramStart"/>
      <w:r>
        <w:rPr>
          <w:rFonts w:ascii="Arial" w:eastAsia="Arial" w:hAnsi="Arial" w:cs="Arial"/>
          <w:b/>
          <w:sz w:val="22"/>
          <w:szCs w:val="22"/>
        </w:rPr>
        <w:t>crypto-assets</w:t>
      </w:r>
      <w:proofErr w:type="gramEnd"/>
      <w:r>
        <w:rPr>
          <w:rFonts w:ascii="Arial" w:eastAsia="Arial" w:hAnsi="Arial" w:cs="Arial"/>
          <w:b/>
          <w:sz w:val="22"/>
          <w:szCs w:val="22"/>
        </w:rPr>
        <w:t>? Do you have concrete conditions and/or criteria to suggest that could be used in the Guidelines? Please illustrate, if possible, your response with concrete examples.</w:t>
      </w:r>
    </w:p>
    <w:p w14:paraId="453453E0" w14:textId="77777777" w:rsidR="002820D4" w:rsidRDefault="00000000">
      <w:pPr>
        <w:spacing w:after="160" w:line="259" w:lineRule="auto"/>
        <w:rPr>
          <w:rFonts w:ascii="Calibri" w:eastAsia="Calibri" w:hAnsi="Calibri" w:cs="Calibri"/>
          <w:sz w:val="22"/>
          <w:szCs w:val="22"/>
        </w:rPr>
      </w:pPr>
      <w:r>
        <w:rPr>
          <w:rFonts w:ascii="Calibri" w:eastAsia="Calibri" w:hAnsi="Calibri" w:cs="Calibri"/>
          <w:sz w:val="22"/>
          <w:szCs w:val="22"/>
        </w:rPr>
        <w:t>&lt;ESMA_QUESTION_MIC3_5&gt;</w:t>
      </w:r>
    </w:p>
    <w:p w14:paraId="038292D1" w14:textId="77777777" w:rsidR="002820D4" w:rsidRDefault="00000000">
      <w:pPr>
        <w:spacing w:after="160" w:line="259" w:lineRule="auto"/>
        <w:rPr>
          <w:rFonts w:ascii="Calibri" w:eastAsia="Calibri" w:hAnsi="Calibri" w:cs="Calibri"/>
          <w:sz w:val="22"/>
          <w:szCs w:val="22"/>
        </w:rPr>
      </w:pPr>
      <w:r>
        <w:rPr>
          <w:rFonts w:ascii="Calibri" w:eastAsia="Calibri" w:hAnsi="Calibri" w:cs="Calibri"/>
          <w:sz w:val="22"/>
          <w:szCs w:val="22"/>
        </w:rPr>
        <w:t xml:space="preserve">We agree that a utility token should give neither financial rights that would be related to a company’s profits, capital, or liquidation surpluses (and therefore representing an ownership position in a company’s capital), nor voting rights which could lead investor participation in the company's decision-making process. </w:t>
      </w:r>
    </w:p>
    <w:p w14:paraId="4347189E" w14:textId="77777777" w:rsidR="002820D4" w:rsidRDefault="00000000">
      <w:pPr>
        <w:spacing w:after="160" w:line="259" w:lineRule="auto"/>
        <w:rPr>
          <w:rFonts w:ascii="Calibri" w:eastAsia="Calibri" w:hAnsi="Calibri" w:cs="Calibri"/>
          <w:sz w:val="22"/>
          <w:szCs w:val="22"/>
        </w:rPr>
      </w:pPr>
      <w:r>
        <w:rPr>
          <w:rFonts w:ascii="Calibri" w:eastAsia="Calibri" w:hAnsi="Calibri" w:cs="Calibri"/>
          <w:sz w:val="22"/>
          <w:szCs w:val="22"/>
        </w:rPr>
        <w:t xml:space="preserve">However, clarification on the criteria for a qualification of a utility token as a financial instrument under MICA is crucial. For example: 1) whether utility tokens qualified as financial instrument under </w:t>
      </w:r>
      <w:proofErr w:type="spellStart"/>
      <w:r>
        <w:rPr>
          <w:rFonts w:ascii="Calibri" w:eastAsia="Calibri" w:hAnsi="Calibri" w:cs="Calibri"/>
          <w:sz w:val="22"/>
          <w:szCs w:val="22"/>
        </w:rPr>
        <w:t>MiCA</w:t>
      </w:r>
      <w:proofErr w:type="spellEnd"/>
      <w:r>
        <w:rPr>
          <w:rFonts w:ascii="Calibri" w:eastAsia="Calibri" w:hAnsi="Calibri" w:cs="Calibri"/>
          <w:sz w:val="22"/>
          <w:szCs w:val="22"/>
        </w:rPr>
        <w:t xml:space="preserve"> only applies to tokens related to listed companies in the EU, 2) whether this qualification is related to ownership rights of companies listed outside the EU; 3) whether this qualification is related to ownership risks for companies not listed in the capital markets (globally), 4) whether the qualification tokens related to listed companies in the EEA, 5) and whether tokens can be categorized as such when the issuing firm has no clear physical principal headquarters (‘fully remote firms, e.g. GitLab’).</w:t>
      </w:r>
    </w:p>
    <w:p w14:paraId="1988442F" w14:textId="77777777" w:rsidR="002820D4" w:rsidRDefault="00000000">
      <w:pPr>
        <w:spacing w:after="160" w:line="259" w:lineRule="auto"/>
        <w:rPr>
          <w:rFonts w:ascii="Calibri" w:eastAsia="Calibri" w:hAnsi="Calibri" w:cs="Calibri"/>
          <w:sz w:val="22"/>
          <w:szCs w:val="22"/>
        </w:rPr>
      </w:pPr>
      <w:r>
        <w:rPr>
          <w:rFonts w:ascii="Calibri" w:eastAsia="Calibri" w:hAnsi="Calibri" w:cs="Calibri"/>
          <w:sz w:val="22"/>
          <w:szCs w:val="22"/>
        </w:rPr>
        <w:t xml:space="preserve">We agree that the classification of an asset as utility token is also to be dismissed if the sole objective of the token is to participate in the performance of one or several underlying assets without directly investing in these assets, which would be typically </w:t>
      </w:r>
      <w:proofErr w:type="gramStart"/>
      <w:r>
        <w:rPr>
          <w:rFonts w:ascii="Calibri" w:eastAsia="Calibri" w:hAnsi="Calibri" w:cs="Calibri"/>
          <w:sz w:val="22"/>
          <w:szCs w:val="22"/>
        </w:rPr>
        <w:t>a  feature</w:t>
      </w:r>
      <w:proofErr w:type="gramEnd"/>
      <w:r>
        <w:rPr>
          <w:rFonts w:ascii="Calibri" w:eastAsia="Calibri" w:hAnsi="Calibri" w:cs="Calibri"/>
          <w:sz w:val="22"/>
          <w:szCs w:val="22"/>
        </w:rPr>
        <w:t xml:space="preserve"> of derivative contracts or units in collective investment undertakings and are both considered financial instruments under MiFID. </w:t>
      </w:r>
    </w:p>
    <w:p w14:paraId="1BAC904D" w14:textId="77777777" w:rsidR="002820D4" w:rsidRDefault="00000000">
      <w:pPr>
        <w:spacing w:after="160" w:line="259" w:lineRule="auto"/>
        <w:rPr>
          <w:rFonts w:ascii="Calibri" w:eastAsia="Calibri" w:hAnsi="Calibri" w:cs="Calibri"/>
          <w:sz w:val="22"/>
          <w:szCs w:val="22"/>
        </w:rPr>
      </w:pPr>
      <w:r>
        <w:rPr>
          <w:rFonts w:ascii="Calibri" w:eastAsia="Calibri" w:hAnsi="Calibri" w:cs="Calibri"/>
          <w:sz w:val="22"/>
          <w:szCs w:val="22"/>
        </w:rPr>
        <w:t>Finally, we are requesting the ESAs to provide more clarity on the rights attached to utility tokens and the ways they are used. If a utility token has multiple objectives, for example the right to underlying assets as a derivative (MIFID) and the right as utility tokens (MICAR), will this utility token fall under both MIFID and MICAR?</w:t>
      </w:r>
    </w:p>
    <w:p w14:paraId="4628898D" w14:textId="77777777" w:rsidR="002820D4" w:rsidRDefault="00000000">
      <w:pPr>
        <w:spacing w:after="160" w:line="259" w:lineRule="auto"/>
        <w:rPr>
          <w:rFonts w:ascii="Calibri" w:eastAsia="Calibri" w:hAnsi="Calibri" w:cs="Calibri"/>
          <w:sz w:val="22"/>
          <w:szCs w:val="22"/>
        </w:rPr>
      </w:pPr>
      <w:r>
        <w:rPr>
          <w:rFonts w:ascii="Calibri" w:eastAsia="Calibri" w:hAnsi="Calibri" w:cs="Calibri"/>
          <w:sz w:val="22"/>
          <w:szCs w:val="22"/>
        </w:rPr>
        <w:t>&lt;ESMA_QUESTION_MIC3_5&gt;</w:t>
      </w:r>
    </w:p>
    <w:p w14:paraId="1C31CD2D" w14:textId="77777777" w:rsidR="002820D4" w:rsidRDefault="002820D4">
      <w:pPr>
        <w:spacing w:after="160" w:line="259" w:lineRule="auto"/>
        <w:rPr>
          <w:rFonts w:ascii="Calibri" w:eastAsia="Calibri" w:hAnsi="Calibri" w:cs="Calibri"/>
          <w:sz w:val="22"/>
          <w:szCs w:val="22"/>
        </w:rPr>
      </w:pPr>
    </w:p>
    <w:p w14:paraId="3D9900DA" w14:textId="77777777" w:rsidR="002820D4" w:rsidRDefault="00000000">
      <w:pPr>
        <w:numPr>
          <w:ilvl w:val="0"/>
          <w:numId w:val="1"/>
        </w:numPr>
        <w:spacing w:after="240" w:line="259" w:lineRule="auto"/>
        <w:ind w:left="851" w:hanging="851"/>
        <w:jc w:val="both"/>
        <w:rPr>
          <w:rFonts w:ascii="Arial" w:eastAsia="Arial" w:hAnsi="Arial" w:cs="Arial"/>
          <w:b/>
          <w:sz w:val="22"/>
          <w:szCs w:val="22"/>
        </w:rPr>
      </w:pPr>
      <w:r>
        <w:rPr>
          <w:rFonts w:ascii="Arial" w:eastAsia="Arial" w:hAnsi="Arial" w:cs="Arial"/>
          <w:b/>
          <w:sz w:val="22"/>
          <w:szCs w:val="22"/>
        </w:rPr>
        <w:lastRenderedPageBreak/>
        <w:t xml:space="preserve">Do you agree with the conditions and criteria proposed for NFTs in order to clarify the scope of </w:t>
      </w:r>
      <w:proofErr w:type="gramStart"/>
      <w:r>
        <w:rPr>
          <w:rFonts w:ascii="Arial" w:eastAsia="Arial" w:hAnsi="Arial" w:cs="Arial"/>
          <w:b/>
          <w:sz w:val="22"/>
          <w:szCs w:val="22"/>
        </w:rPr>
        <w:t>crypto-assets</w:t>
      </w:r>
      <w:proofErr w:type="gramEnd"/>
      <w:r>
        <w:rPr>
          <w:rFonts w:ascii="Arial" w:eastAsia="Arial" w:hAnsi="Arial" w:cs="Arial"/>
          <w:b/>
          <w:sz w:val="22"/>
          <w:szCs w:val="22"/>
        </w:rPr>
        <w:t xml:space="preserve"> that may fall under the </w:t>
      </w:r>
      <w:proofErr w:type="spellStart"/>
      <w:r>
        <w:rPr>
          <w:rFonts w:ascii="Arial" w:eastAsia="Arial" w:hAnsi="Arial" w:cs="Arial"/>
          <w:b/>
          <w:sz w:val="22"/>
          <w:szCs w:val="22"/>
        </w:rPr>
        <w:t>MiCA</w:t>
      </w:r>
      <w:proofErr w:type="spellEnd"/>
      <w:r>
        <w:rPr>
          <w:rFonts w:ascii="Arial" w:eastAsia="Arial" w:hAnsi="Arial" w:cs="Arial"/>
          <w:b/>
          <w:sz w:val="22"/>
          <w:szCs w:val="22"/>
        </w:rPr>
        <w:t xml:space="preserve"> regulation? Do you have any additional conditions and/or criteria to suggest? Please illustrate, if possible, your response with concrete examples.</w:t>
      </w:r>
    </w:p>
    <w:p w14:paraId="31C28C4E" w14:textId="77777777" w:rsidR="002820D4" w:rsidRDefault="00000000">
      <w:pPr>
        <w:spacing w:after="160" w:line="259" w:lineRule="auto"/>
        <w:rPr>
          <w:rFonts w:ascii="Calibri" w:eastAsia="Calibri" w:hAnsi="Calibri" w:cs="Calibri"/>
          <w:sz w:val="22"/>
          <w:szCs w:val="22"/>
        </w:rPr>
      </w:pPr>
      <w:r>
        <w:rPr>
          <w:rFonts w:ascii="Calibri" w:eastAsia="Calibri" w:hAnsi="Calibri" w:cs="Calibri"/>
          <w:sz w:val="22"/>
          <w:szCs w:val="22"/>
        </w:rPr>
        <w:t>&lt;ESMA_QUESTION_MIC3_6&gt;</w:t>
      </w:r>
    </w:p>
    <w:p w14:paraId="0F8D4F66" w14:textId="77777777" w:rsidR="002820D4" w:rsidRDefault="00000000">
      <w:pPr>
        <w:spacing w:after="160" w:line="259" w:lineRule="auto"/>
        <w:rPr>
          <w:rFonts w:ascii="Calibri" w:eastAsia="Calibri" w:hAnsi="Calibri" w:cs="Calibri"/>
          <w:sz w:val="22"/>
          <w:szCs w:val="22"/>
        </w:rPr>
      </w:pPr>
      <w:r>
        <w:rPr>
          <w:rFonts w:ascii="Calibri" w:eastAsia="Calibri" w:hAnsi="Calibri" w:cs="Calibri"/>
          <w:sz w:val="22"/>
          <w:szCs w:val="22"/>
        </w:rPr>
        <w:t xml:space="preserve">We agree that several aspects of the conditions and criteria proposed for NFTs to remain exempt from </w:t>
      </w:r>
      <w:proofErr w:type="spellStart"/>
      <w:r>
        <w:rPr>
          <w:rFonts w:ascii="Calibri" w:eastAsia="Calibri" w:hAnsi="Calibri" w:cs="Calibri"/>
          <w:sz w:val="22"/>
          <w:szCs w:val="22"/>
        </w:rPr>
        <w:t>MiCA</w:t>
      </w:r>
      <w:proofErr w:type="spellEnd"/>
      <w:r>
        <w:rPr>
          <w:rFonts w:ascii="Calibri" w:eastAsia="Calibri" w:hAnsi="Calibri" w:cs="Calibri"/>
          <w:sz w:val="22"/>
          <w:szCs w:val="22"/>
        </w:rPr>
        <w:t xml:space="preserve">, such as uniqueness and non-fungibility, the substance over form approach and applying interdependent value tests. While the current framework is robust in many respects, we would incorporate additional considerations to further refine guidance. </w:t>
      </w:r>
    </w:p>
    <w:p w14:paraId="3B2BC556" w14:textId="77777777" w:rsidR="002820D4" w:rsidRDefault="00000000">
      <w:pPr>
        <w:spacing w:after="160" w:line="259" w:lineRule="auto"/>
        <w:rPr>
          <w:rFonts w:ascii="Calibri" w:eastAsia="Calibri" w:hAnsi="Calibri" w:cs="Calibri"/>
          <w:sz w:val="22"/>
          <w:szCs w:val="22"/>
        </w:rPr>
      </w:pPr>
      <w:r>
        <w:rPr>
          <w:rFonts w:ascii="Calibri" w:eastAsia="Calibri" w:hAnsi="Calibri" w:cs="Calibri"/>
          <w:sz w:val="22"/>
          <w:szCs w:val="22"/>
        </w:rPr>
        <w:t xml:space="preserve">Further scrutiny on the utility functions of NFTs could be useful. If owning an NFT confers rights or access (like entry to an event or access to a service), the value and uniqueness should be assessed based on how essential the NFT is to </w:t>
      </w:r>
      <w:proofErr w:type="gramStart"/>
      <w:r>
        <w:rPr>
          <w:rFonts w:ascii="Calibri" w:eastAsia="Calibri" w:hAnsi="Calibri" w:cs="Calibri"/>
          <w:sz w:val="22"/>
          <w:szCs w:val="22"/>
        </w:rPr>
        <w:t>obtaining</w:t>
      </w:r>
      <w:proofErr w:type="gramEnd"/>
      <w:r>
        <w:rPr>
          <w:rFonts w:ascii="Calibri" w:eastAsia="Calibri" w:hAnsi="Calibri" w:cs="Calibri"/>
          <w:sz w:val="22"/>
          <w:szCs w:val="22"/>
        </w:rPr>
        <w:t xml:space="preserve"> these benefits. If multiple NFTs offer similar utilities, their supposed uniqueness could be called into question. </w:t>
      </w:r>
    </w:p>
    <w:p w14:paraId="193E4072" w14:textId="77777777" w:rsidR="002820D4" w:rsidRDefault="00000000">
      <w:pPr>
        <w:spacing w:after="160" w:line="259" w:lineRule="auto"/>
        <w:rPr>
          <w:rFonts w:ascii="Calibri" w:eastAsia="Calibri" w:hAnsi="Calibri" w:cs="Calibri"/>
          <w:sz w:val="22"/>
          <w:szCs w:val="22"/>
        </w:rPr>
      </w:pPr>
      <w:r>
        <w:rPr>
          <w:rFonts w:ascii="Calibri" w:eastAsia="Calibri" w:hAnsi="Calibri" w:cs="Calibri"/>
          <w:sz w:val="22"/>
          <w:szCs w:val="22"/>
        </w:rPr>
        <w:t>Ensuring that an NFT’s history and provenance are transparent and verifiable could be an additional criterion for determining its uniqueness. This could involve use of blockchain technologies that support detailed metadata and history logs that are tamper-proof.</w:t>
      </w:r>
    </w:p>
    <w:p w14:paraId="043B24D8" w14:textId="77777777" w:rsidR="002820D4" w:rsidRDefault="00000000">
      <w:pPr>
        <w:spacing w:after="160" w:line="259" w:lineRule="auto"/>
        <w:rPr>
          <w:rFonts w:ascii="Calibri" w:eastAsia="Calibri" w:hAnsi="Calibri" w:cs="Calibri"/>
          <w:sz w:val="22"/>
          <w:szCs w:val="22"/>
        </w:rPr>
      </w:pPr>
      <w:r>
        <w:rPr>
          <w:rFonts w:ascii="Calibri" w:eastAsia="Calibri" w:hAnsi="Calibri" w:cs="Calibri"/>
          <w:sz w:val="22"/>
          <w:szCs w:val="22"/>
        </w:rPr>
        <w:t xml:space="preserve">NFTs representing cultural, artistic, or historical significance could be considered under a special category that acknowledges their non-fungible nature beyond mere market value. For instance, digital representations of historical documents or artworks could be treated differently from more commercial uses of NFTs. </w:t>
      </w:r>
    </w:p>
    <w:p w14:paraId="6C011442" w14:textId="77777777" w:rsidR="002820D4" w:rsidRDefault="00000000">
      <w:pPr>
        <w:spacing w:after="160" w:line="259" w:lineRule="auto"/>
        <w:rPr>
          <w:rFonts w:ascii="Calibri" w:eastAsia="Calibri" w:hAnsi="Calibri" w:cs="Calibri"/>
          <w:sz w:val="22"/>
          <w:szCs w:val="22"/>
        </w:rPr>
      </w:pPr>
      <w:r>
        <w:rPr>
          <w:rFonts w:ascii="Calibri" w:eastAsia="Calibri" w:hAnsi="Calibri" w:cs="Calibri"/>
          <w:sz w:val="22"/>
          <w:szCs w:val="22"/>
        </w:rPr>
        <w:t>Currently, it remains unclear whether NFT’s as digital representations of (non-financial) real world assets are always considered unique and what conditions and criteria apply for the classification of this NFT class that is growing in popularity.</w:t>
      </w:r>
    </w:p>
    <w:p w14:paraId="0073251C" w14:textId="77777777" w:rsidR="002820D4" w:rsidRDefault="00000000">
      <w:pPr>
        <w:spacing w:after="160" w:line="259" w:lineRule="auto"/>
        <w:rPr>
          <w:rFonts w:ascii="Calibri" w:eastAsia="Calibri" w:hAnsi="Calibri" w:cs="Calibri"/>
          <w:sz w:val="22"/>
          <w:szCs w:val="22"/>
        </w:rPr>
      </w:pPr>
      <w:r>
        <w:rPr>
          <w:rFonts w:ascii="Calibri" w:eastAsia="Calibri" w:hAnsi="Calibri" w:cs="Calibri"/>
          <w:sz w:val="22"/>
          <w:szCs w:val="22"/>
        </w:rPr>
        <w:t xml:space="preserve">On another note, the focus in the discussion around NFTs often </w:t>
      </w:r>
      <w:proofErr w:type="spellStart"/>
      <w:r>
        <w:rPr>
          <w:rFonts w:ascii="Calibri" w:eastAsia="Calibri" w:hAnsi="Calibri" w:cs="Calibri"/>
          <w:sz w:val="22"/>
          <w:szCs w:val="22"/>
        </w:rPr>
        <w:t>centers</w:t>
      </w:r>
      <w:proofErr w:type="spellEnd"/>
      <w:r>
        <w:rPr>
          <w:rFonts w:ascii="Calibri" w:eastAsia="Calibri" w:hAnsi="Calibri" w:cs="Calibri"/>
          <w:sz w:val="22"/>
          <w:szCs w:val="22"/>
        </w:rPr>
        <w:t xml:space="preserve"> on those compatible with the Ethereum Virtual Machine (EVM), such as those following the ERC-721 and ERC-1155 standards. However, emerging technologies and token standards on other blockchains like Bitcoin, particularly ordinals/inscription- and Rune-based NFTs, present unique technical and functional characteristics that challenge the current regulatory framework.</w:t>
      </w:r>
    </w:p>
    <w:p w14:paraId="5C6363AF" w14:textId="77777777" w:rsidR="002820D4" w:rsidRDefault="00000000">
      <w:pPr>
        <w:spacing w:after="160" w:line="259" w:lineRule="auto"/>
        <w:rPr>
          <w:rFonts w:ascii="Calibri" w:eastAsia="Calibri" w:hAnsi="Calibri" w:cs="Calibri"/>
          <w:sz w:val="22"/>
          <w:szCs w:val="22"/>
        </w:rPr>
      </w:pPr>
      <w:r>
        <w:rPr>
          <w:rFonts w:ascii="Calibri" w:eastAsia="Calibri" w:hAnsi="Calibri" w:cs="Calibri"/>
          <w:sz w:val="22"/>
          <w:szCs w:val="22"/>
        </w:rPr>
        <w:t xml:space="preserve">Under current guidelines, the linkage of an NFT’s uniqueness to a fungible asset (as the Ordinal Protocol on Bitcoin allows NFT that are inscribed into, </w:t>
      </w:r>
      <w:proofErr w:type="spellStart"/>
      <w:r>
        <w:rPr>
          <w:rFonts w:ascii="Calibri" w:eastAsia="Calibri" w:hAnsi="Calibri" w:cs="Calibri"/>
          <w:sz w:val="22"/>
          <w:szCs w:val="22"/>
        </w:rPr>
        <w:t>c.q</w:t>
      </w:r>
      <w:proofErr w:type="spellEnd"/>
      <w:r>
        <w:rPr>
          <w:rFonts w:ascii="Calibri" w:eastAsia="Calibri" w:hAnsi="Calibri" w:cs="Calibri"/>
          <w:sz w:val="22"/>
          <w:szCs w:val="22"/>
        </w:rPr>
        <w:t xml:space="preserve">. ‘printed on’, a </w:t>
      </w:r>
      <w:proofErr w:type="spellStart"/>
      <w:r>
        <w:rPr>
          <w:rFonts w:ascii="Calibri" w:eastAsia="Calibri" w:hAnsi="Calibri" w:cs="Calibri"/>
          <w:sz w:val="22"/>
          <w:szCs w:val="22"/>
        </w:rPr>
        <w:t>satoshi</w:t>
      </w:r>
      <w:proofErr w:type="spellEnd"/>
      <w:r>
        <w:rPr>
          <w:rFonts w:ascii="Calibri" w:eastAsia="Calibri" w:hAnsi="Calibri" w:cs="Calibri"/>
          <w:sz w:val="22"/>
          <w:szCs w:val="22"/>
        </w:rPr>
        <w:t xml:space="preserve"> - being 1:100.000.000th of a bitcoin) might be interpreted as detracting from its classification as a truly unique asset. The primary concern here is whether the value of the fungible token, (its established use as currency on the Bitcoin blockchain - although currently valued at less than a tenth of </w:t>
      </w:r>
      <w:proofErr w:type="gramStart"/>
      <w:r>
        <w:rPr>
          <w:rFonts w:ascii="Calibri" w:eastAsia="Calibri" w:hAnsi="Calibri" w:cs="Calibri"/>
          <w:sz w:val="22"/>
          <w:szCs w:val="22"/>
        </w:rPr>
        <w:t>an</w:t>
      </w:r>
      <w:proofErr w:type="gramEnd"/>
      <w:r>
        <w:rPr>
          <w:rFonts w:ascii="Calibri" w:eastAsia="Calibri" w:hAnsi="Calibri" w:cs="Calibri"/>
          <w:sz w:val="22"/>
          <w:szCs w:val="22"/>
        </w:rPr>
        <w:t xml:space="preserve"> eurocent) overshadows the unique attribute it carries, thereby influencing its uniqueness from a regulatory perspective. Per 20th of April (Bitcoin block 840.000 to be precise), the Rune protocol on Bitcoin introduced the capability of NFTs that are linked to Unspent Transaction Outputs (UTXO’s), instead of single </w:t>
      </w:r>
      <w:proofErr w:type="spellStart"/>
      <w:r>
        <w:rPr>
          <w:rFonts w:ascii="Calibri" w:eastAsia="Calibri" w:hAnsi="Calibri" w:cs="Calibri"/>
          <w:sz w:val="22"/>
          <w:szCs w:val="22"/>
        </w:rPr>
        <w:t>sats</w:t>
      </w:r>
      <w:proofErr w:type="spellEnd"/>
      <w:r>
        <w:rPr>
          <w:rFonts w:ascii="Calibri" w:eastAsia="Calibri" w:hAnsi="Calibri" w:cs="Calibri"/>
          <w:sz w:val="22"/>
          <w:szCs w:val="22"/>
        </w:rPr>
        <w:t xml:space="preserve">. While UTXO’s say nothing about the value of the attached token(s), a UTXO can be worth anything. Although very unlikely that anyone would still use the fungibility of </w:t>
      </w:r>
      <w:proofErr w:type="gramStart"/>
      <w:r>
        <w:rPr>
          <w:rFonts w:ascii="Calibri" w:eastAsia="Calibri" w:hAnsi="Calibri" w:cs="Calibri"/>
          <w:sz w:val="22"/>
          <w:szCs w:val="22"/>
        </w:rPr>
        <w:t>their</w:t>
      </w:r>
      <w:proofErr w:type="gramEnd"/>
      <w:r>
        <w:rPr>
          <w:rFonts w:ascii="Calibri" w:eastAsia="Calibri" w:hAnsi="Calibri" w:cs="Calibri"/>
          <w:sz w:val="22"/>
          <w:szCs w:val="22"/>
        </w:rPr>
        <w:t xml:space="preserve"> sat or UTXO, it is not technically impossible. </w:t>
      </w:r>
    </w:p>
    <w:p w14:paraId="6BF41979" w14:textId="77777777" w:rsidR="002820D4" w:rsidRDefault="00000000">
      <w:pPr>
        <w:spacing w:after="160" w:line="259" w:lineRule="auto"/>
        <w:rPr>
          <w:rFonts w:ascii="Calibri" w:eastAsia="Calibri" w:hAnsi="Calibri" w:cs="Calibri"/>
          <w:sz w:val="22"/>
          <w:szCs w:val="22"/>
        </w:rPr>
      </w:pPr>
      <w:r>
        <w:rPr>
          <w:rFonts w:ascii="Calibri" w:eastAsia="Calibri" w:hAnsi="Calibri" w:cs="Calibri"/>
          <w:sz w:val="22"/>
          <w:szCs w:val="22"/>
        </w:rPr>
        <w:lastRenderedPageBreak/>
        <w:t xml:space="preserve">Comparable to the real world would be if a 5-cent coin was engraved with a piece of art by a famous painter on its back. While still being able to spend as a fungible fiat currency when inside a wallet, if put in a frame and hung on the wall it would clearly be considered a unique piece of art or collectible. </w:t>
      </w:r>
    </w:p>
    <w:p w14:paraId="0E8227A7" w14:textId="77777777" w:rsidR="002820D4" w:rsidRDefault="00000000">
      <w:pPr>
        <w:spacing w:after="160" w:line="259" w:lineRule="auto"/>
        <w:rPr>
          <w:rFonts w:ascii="Calibri" w:eastAsia="Calibri" w:hAnsi="Calibri" w:cs="Calibri"/>
          <w:sz w:val="22"/>
          <w:szCs w:val="22"/>
        </w:rPr>
      </w:pPr>
      <w:r>
        <w:rPr>
          <w:rFonts w:ascii="Calibri" w:eastAsia="Calibri" w:hAnsi="Calibri" w:cs="Calibri"/>
          <w:sz w:val="22"/>
          <w:szCs w:val="22"/>
        </w:rPr>
        <w:t xml:space="preserve">Some marketplaces (e.g. Magic Eden) even trade “rare </w:t>
      </w:r>
      <w:proofErr w:type="spellStart"/>
      <w:r>
        <w:rPr>
          <w:rFonts w:ascii="Calibri" w:eastAsia="Calibri" w:hAnsi="Calibri" w:cs="Calibri"/>
          <w:sz w:val="22"/>
          <w:szCs w:val="22"/>
        </w:rPr>
        <w:t>sats</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als</w:t>
      </w:r>
      <w:proofErr w:type="spellEnd"/>
      <w:r>
        <w:rPr>
          <w:rFonts w:ascii="Calibri" w:eastAsia="Calibri" w:hAnsi="Calibri" w:cs="Calibri"/>
          <w:sz w:val="22"/>
          <w:szCs w:val="22"/>
        </w:rPr>
        <w:t xml:space="preserve"> NFTs, which are single </w:t>
      </w:r>
      <w:proofErr w:type="spellStart"/>
      <w:r>
        <w:rPr>
          <w:rFonts w:ascii="Calibri" w:eastAsia="Calibri" w:hAnsi="Calibri" w:cs="Calibri"/>
          <w:sz w:val="22"/>
          <w:szCs w:val="22"/>
        </w:rPr>
        <w:t>satoshi’s</w:t>
      </w:r>
      <w:proofErr w:type="spellEnd"/>
      <w:r>
        <w:rPr>
          <w:rFonts w:ascii="Calibri" w:eastAsia="Calibri" w:hAnsi="Calibri" w:cs="Calibri"/>
          <w:sz w:val="22"/>
          <w:szCs w:val="22"/>
        </w:rPr>
        <w:t xml:space="preserve"> that have significant historical value. Examples are </w:t>
      </w:r>
      <w:proofErr w:type="spellStart"/>
      <w:r>
        <w:rPr>
          <w:rFonts w:ascii="Calibri" w:eastAsia="Calibri" w:hAnsi="Calibri" w:cs="Calibri"/>
          <w:sz w:val="22"/>
          <w:szCs w:val="22"/>
        </w:rPr>
        <w:t>sats</w:t>
      </w:r>
      <w:proofErr w:type="spellEnd"/>
      <w:r>
        <w:rPr>
          <w:rFonts w:ascii="Calibri" w:eastAsia="Calibri" w:hAnsi="Calibri" w:cs="Calibri"/>
          <w:sz w:val="22"/>
          <w:szCs w:val="22"/>
        </w:rPr>
        <w:t xml:space="preserve"> that originate from the first block of the blockchain, the very first sat of the block after the halving, </w:t>
      </w:r>
      <w:proofErr w:type="spellStart"/>
      <w:r>
        <w:rPr>
          <w:rFonts w:ascii="Calibri" w:eastAsia="Calibri" w:hAnsi="Calibri" w:cs="Calibri"/>
          <w:sz w:val="22"/>
          <w:szCs w:val="22"/>
        </w:rPr>
        <w:t>sats</w:t>
      </w:r>
      <w:proofErr w:type="spellEnd"/>
      <w:r>
        <w:rPr>
          <w:rFonts w:ascii="Calibri" w:eastAsia="Calibri" w:hAnsi="Calibri" w:cs="Calibri"/>
          <w:sz w:val="22"/>
          <w:szCs w:val="22"/>
        </w:rPr>
        <w:t xml:space="preserve"> that were involved in the first Bitcoin Pizza transaction, etc. Although very unlikely that anyone would still use the fungibility of </w:t>
      </w:r>
      <w:proofErr w:type="gramStart"/>
      <w:r>
        <w:rPr>
          <w:rFonts w:ascii="Calibri" w:eastAsia="Calibri" w:hAnsi="Calibri" w:cs="Calibri"/>
          <w:sz w:val="22"/>
          <w:szCs w:val="22"/>
        </w:rPr>
        <w:t>their</w:t>
      </w:r>
      <w:proofErr w:type="gramEnd"/>
      <w:r>
        <w:rPr>
          <w:rFonts w:ascii="Calibri" w:eastAsia="Calibri" w:hAnsi="Calibri" w:cs="Calibri"/>
          <w:sz w:val="22"/>
          <w:szCs w:val="22"/>
        </w:rPr>
        <w:t xml:space="preserve"> sat or UTXO, it is not technically impossible.  </w:t>
      </w:r>
    </w:p>
    <w:p w14:paraId="3237EC57" w14:textId="77777777" w:rsidR="002820D4" w:rsidRDefault="00000000">
      <w:pPr>
        <w:spacing w:after="160" w:line="259" w:lineRule="auto"/>
        <w:rPr>
          <w:rFonts w:ascii="Calibri" w:eastAsia="Calibri" w:hAnsi="Calibri" w:cs="Calibri"/>
          <w:sz w:val="22"/>
          <w:szCs w:val="22"/>
        </w:rPr>
      </w:pPr>
      <w:r>
        <w:rPr>
          <w:rFonts w:ascii="Calibri" w:eastAsia="Calibri" w:hAnsi="Calibri" w:cs="Calibri"/>
          <w:sz w:val="22"/>
          <w:szCs w:val="22"/>
        </w:rPr>
        <w:t>To address these concerns in the regulatory framework, several proposals could be considered:</w:t>
      </w:r>
    </w:p>
    <w:p w14:paraId="267281B3" w14:textId="77777777" w:rsidR="002820D4" w:rsidRDefault="00000000">
      <w:pPr>
        <w:spacing w:after="160" w:line="259" w:lineRule="auto"/>
        <w:rPr>
          <w:rFonts w:ascii="Calibri" w:eastAsia="Calibri" w:hAnsi="Calibri" w:cs="Calibri"/>
          <w:sz w:val="22"/>
          <w:szCs w:val="22"/>
        </w:rPr>
      </w:pPr>
      <w:r>
        <w:rPr>
          <w:rFonts w:ascii="Calibri" w:eastAsia="Calibri" w:hAnsi="Calibri" w:cs="Calibri"/>
          <w:sz w:val="22"/>
          <w:szCs w:val="22"/>
        </w:rPr>
        <w:t>Dual-Value Recognition: Regulatory guidelines should recognize that certain assets can simultaneously hold dual value – both as a functional currency and as a carrier of unique digital art or other unique identifiers. This recognition should not diminish the asset’s classification as an NFT, provided the unique attribute is not merely decorative but holds inherent value independently of the base asset.</w:t>
      </w:r>
    </w:p>
    <w:p w14:paraId="11E67D6E" w14:textId="77777777" w:rsidR="002820D4" w:rsidRDefault="00000000">
      <w:pPr>
        <w:spacing w:after="160" w:line="259" w:lineRule="auto"/>
        <w:rPr>
          <w:rFonts w:ascii="Calibri" w:eastAsia="Calibri" w:hAnsi="Calibri" w:cs="Calibri"/>
          <w:sz w:val="22"/>
          <w:szCs w:val="22"/>
        </w:rPr>
      </w:pPr>
      <w:r>
        <w:rPr>
          <w:rFonts w:ascii="Calibri" w:eastAsia="Calibri" w:hAnsi="Calibri" w:cs="Calibri"/>
          <w:sz w:val="22"/>
          <w:szCs w:val="22"/>
        </w:rPr>
        <w:t>Clear Guidelines for Technological Neutrality: Establish clear guidelines that ensure technological neutrality, encompassing NFTs created on all blockchain platforms, not just those that are EVM-compatible. This would encourage innovation across different technologies without penalizing certain blockchains for their unique approaches to NFTs.</w:t>
      </w:r>
    </w:p>
    <w:p w14:paraId="5266B0CA" w14:textId="77777777" w:rsidR="002820D4" w:rsidRDefault="00000000">
      <w:pPr>
        <w:spacing w:after="160" w:line="259" w:lineRule="auto"/>
        <w:rPr>
          <w:rFonts w:ascii="Calibri" w:eastAsia="Calibri" w:hAnsi="Calibri" w:cs="Calibri"/>
          <w:sz w:val="22"/>
          <w:szCs w:val="22"/>
        </w:rPr>
      </w:pPr>
      <w:r>
        <w:rPr>
          <w:rFonts w:ascii="Calibri" w:eastAsia="Calibri" w:hAnsi="Calibri" w:cs="Calibri"/>
          <w:sz w:val="22"/>
          <w:szCs w:val="22"/>
        </w:rPr>
        <w:t>Specific Disclosures for Dual-Function Assets: Require specific disclosures for assets that function both as currency and as a bearer of unique properties. This would help potential buyers understand the dual nature of the asset and make informed decisions based on both its fungible and unique characteristics.</w:t>
      </w:r>
    </w:p>
    <w:p w14:paraId="48990854" w14:textId="77777777" w:rsidR="002820D4" w:rsidRDefault="00000000">
      <w:pPr>
        <w:spacing w:after="160" w:line="259" w:lineRule="auto"/>
        <w:rPr>
          <w:rFonts w:ascii="Calibri" w:eastAsia="Calibri" w:hAnsi="Calibri" w:cs="Calibri"/>
          <w:sz w:val="22"/>
          <w:szCs w:val="22"/>
        </w:rPr>
      </w:pPr>
      <w:r>
        <w:rPr>
          <w:rFonts w:ascii="Calibri" w:eastAsia="Calibri" w:hAnsi="Calibri" w:cs="Calibri"/>
          <w:sz w:val="22"/>
          <w:szCs w:val="22"/>
        </w:rPr>
        <w:t xml:space="preserve">As the crypto-asset landscape evolves, it should be imperative for regulatory bodies like those involved in drafting Regulations and Technical Standards to consider the full spectrum of technologies and token functionalities. By adopting a more inclusive and flexible regulatory approach, it is possible to foster innovation while maintaining rigorous standards for consumer protection and market integrity. Addressing the nuances of emerging technologies such as Rune and </w:t>
      </w:r>
      <w:proofErr w:type="gramStart"/>
      <w:r>
        <w:rPr>
          <w:rFonts w:ascii="Calibri" w:eastAsia="Calibri" w:hAnsi="Calibri" w:cs="Calibri"/>
          <w:sz w:val="22"/>
          <w:szCs w:val="22"/>
        </w:rPr>
        <w:t>inscription-based</w:t>
      </w:r>
      <w:proofErr w:type="gramEnd"/>
      <w:r>
        <w:rPr>
          <w:rFonts w:ascii="Calibri" w:eastAsia="Calibri" w:hAnsi="Calibri" w:cs="Calibri"/>
          <w:sz w:val="22"/>
          <w:szCs w:val="22"/>
        </w:rPr>
        <w:t xml:space="preserve"> NFTs on platforms like Bitcoin and Dogecoin will be essential for developing a comprehensive regulatory framework that truly reflects the diversity of the digital asset ecosystem.</w:t>
      </w:r>
    </w:p>
    <w:p w14:paraId="31E15B47" w14:textId="77777777" w:rsidR="002820D4" w:rsidRDefault="00000000">
      <w:pPr>
        <w:spacing w:after="160" w:line="259" w:lineRule="auto"/>
        <w:rPr>
          <w:rFonts w:ascii="Calibri" w:eastAsia="Calibri" w:hAnsi="Calibri" w:cs="Calibri"/>
          <w:sz w:val="22"/>
          <w:szCs w:val="22"/>
        </w:rPr>
      </w:pPr>
      <w:r>
        <w:rPr>
          <w:rFonts w:ascii="Calibri" w:eastAsia="Calibri" w:hAnsi="Calibri" w:cs="Calibri"/>
          <w:sz w:val="22"/>
          <w:szCs w:val="22"/>
        </w:rPr>
        <w:t>&lt;ESMA_QUESTION_MIC3_6&gt;</w:t>
      </w:r>
    </w:p>
    <w:p w14:paraId="2D7787B0" w14:textId="77777777" w:rsidR="002820D4" w:rsidRDefault="002820D4">
      <w:pPr>
        <w:spacing w:after="160" w:line="259" w:lineRule="auto"/>
        <w:rPr>
          <w:rFonts w:ascii="Calibri" w:eastAsia="Calibri" w:hAnsi="Calibri" w:cs="Calibri"/>
          <w:sz w:val="22"/>
          <w:szCs w:val="22"/>
        </w:rPr>
      </w:pPr>
    </w:p>
    <w:p w14:paraId="5D9D3D0F" w14:textId="77777777" w:rsidR="002820D4" w:rsidRDefault="00000000">
      <w:pPr>
        <w:numPr>
          <w:ilvl w:val="0"/>
          <w:numId w:val="1"/>
        </w:numPr>
        <w:spacing w:after="240" w:line="259" w:lineRule="auto"/>
        <w:ind w:left="851" w:hanging="851"/>
        <w:jc w:val="both"/>
        <w:rPr>
          <w:rFonts w:ascii="Arial" w:eastAsia="Arial" w:hAnsi="Arial" w:cs="Arial"/>
          <w:b/>
          <w:sz w:val="22"/>
          <w:szCs w:val="22"/>
        </w:rPr>
      </w:pPr>
      <w:r>
        <w:rPr>
          <w:rFonts w:ascii="Arial" w:eastAsia="Arial" w:hAnsi="Arial" w:cs="Arial"/>
          <w:b/>
          <w:sz w:val="22"/>
          <w:szCs w:val="22"/>
        </w:rPr>
        <w:t>Do you agree with the conditions and criteria proposed for hybrid-type tokens? Do you have any additional conditions and/or criteria to suggest that could be used in the Guidelines?  Please illustrate, if possible, your response with concrete examples.</w:t>
      </w:r>
    </w:p>
    <w:p w14:paraId="743C4548" w14:textId="77777777" w:rsidR="002820D4" w:rsidRDefault="00000000">
      <w:pPr>
        <w:spacing w:after="160" w:line="259" w:lineRule="auto"/>
        <w:rPr>
          <w:rFonts w:ascii="Calibri" w:eastAsia="Calibri" w:hAnsi="Calibri" w:cs="Calibri"/>
          <w:sz w:val="22"/>
          <w:szCs w:val="22"/>
        </w:rPr>
      </w:pPr>
      <w:r>
        <w:rPr>
          <w:rFonts w:ascii="Calibri" w:eastAsia="Calibri" w:hAnsi="Calibri" w:cs="Calibri"/>
          <w:sz w:val="22"/>
          <w:szCs w:val="22"/>
        </w:rPr>
        <w:t>&lt;ESMA_QUESTION_MIC3_7&gt;</w:t>
      </w:r>
    </w:p>
    <w:p w14:paraId="473ADD62" w14:textId="77777777" w:rsidR="002820D4" w:rsidRDefault="00000000">
      <w:pPr>
        <w:spacing w:after="160" w:line="259" w:lineRule="auto"/>
        <w:rPr>
          <w:rFonts w:ascii="Calibri" w:eastAsia="Calibri" w:hAnsi="Calibri" w:cs="Calibri"/>
          <w:sz w:val="22"/>
          <w:szCs w:val="22"/>
        </w:rPr>
      </w:pPr>
      <w:r>
        <w:rPr>
          <w:rFonts w:ascii="Calibri" w:eastAsia="Calibri" w:hAnsi="Calibri" w:cs="Calibri"/>
          <w:sz w:val="22"/>
          <w:szCs w:val="22"/>
        </w:rPr>
        <w:t>The approach outlined for classifying hybrid-type tokens under the Markets in Crypto-Assets (</w:t>
      </w:r>
      <w:proofErr w:type="spellStart"/>
      <w:r>
        <w:rPr>
          <w:rFonts w:ascii="Calibri" w:eastAsia="Calibri" w:hAnsi="Calibri" w:cs="Calibri"/>
          <w:sz w:val="22"/>
          <w:szCs w:val="22"/>
        </w:rPr>
        <w:t>MiCA</w:t>
      </w:r>
      <w:proofErr w:type="spellEnd"/>
      <w:r>
        <w:rPr>
          <w:rFonts w:ascii="Calibri" w:eastAsia="Calibri" w:hAnsi="Calibri" w:cs="Calibri"/>
          <w:sz w:val="22"/>
          <w:szCs w:val="22"/>
        </w:rPr>
        <w:t xml:space="preserve">) regulation addresses the complexity of crypto-assets that combine elements of different asset types, </w:t>
      </w:r>
      <w:r>
        <w:rPr>
          <w:rFonts w:ascii="Calibri" w:eastAsia="Calibri" w:hAnsi="Calibri" w:cs="Calibri"/>
          <w:sz w:val="22"/>
          <w:szCs w:val="22"/>
        </w:rPr>
        <w:lastRenderedPageBreak/>
        <w:t>such as utility, governance, payment, and investment functions. The guideline suggests a hierarchical approach prioritizing the classification as a financial instrument if those characteristics are present, reflecting a rigorous, pragmatic regulatory stance.</w:t>
      </w:r>
    </w:p>
    <w:p w14:paraId="384BC69A" w14:textId="77777777" w:rsidR="002820D4" w:rsidRDefault="00000000">
      <w:pPr>
        <w:spacing w:after="160" w:line="259" w:lineRule="auto"/>
        <w:rPr>
          <w:rFonts w:ascii="Calibri" w:eastAsia="Calibri" w:hAnsi="Calibri" w:cs="Calibri"/>
          <w:sz w:val="22"/>
          <w:szCs w:val="22"/>
        </w:rPr>
      </w:pPr>
      <w:r>
        <w:rPr>
          <w:rFonts w:ascii="Calibri" w:eastAsia="Calibri" w:hAnsi="Calibri" w:cs="Calibri"/>
          <w:sz w:val="22"/>
          <w:szCs w:val="22"/>
        </w:rPr>
        <w:t xml:space="preserve">The hierarchical approach to classifying hybrid tokens, where the presence of characteristics takes precedence is prudent for alignment with existing financial regulations and aims to extend regulatory clarity. We also recognize that prioritizing financial characteristics can also help protect investors by applying stricter oversight where tokens act similarly to traditional investment vehicles, which are typically associated with higher risks. Lastly, assessing </w:t>
      </w:r>
      <w:proofErr w:type="gramStart"/>
      <w:r>
        <w:rPr>
          <w:rFonts w:ascii="Calibri" w:eastAsia="Calibri" w:hAnsi="Calibri" w:cs="Calibri"/>
          <w:sz w:val="22"/>
          <w:szCs w:val="22"/>
        </w:rPr>
        <w:t>crypto-assets</w:t>
      </w:r>
      <w:proofErr w:type="gramEnd"/>
      <w:r>
        <w:rPr>
          <w:rFonts w:ascii="Calibri" w:eastAsia="Calibri" w:hAnsi="Calibri" w:cs="Calibri"/>
          <w:sz w:val="22"/>
          <w:szCs w:val="22"/>
        </w:rPr>
        <w:t xml:space="preserve"> based on their actual features and not just the labels applied by issuers helps to avoid misclassification and potential misuse of asset labels to circumvent regulation.</w:t>
      </w:r>
    </w:p>
    <w:p w14:paraId="4E0EDF28" w14:textId="77777777" w:rsidR="002820D4" w:rsidRDefault="00000000">
      <w:pPr>
        <w:spacing w:after="160" w:line="259" w:lineRule="auto"/>
        <w:rPr>
          <w:rFonts w:ascii="Calibri" w:eastAsia="Calibri" w:hAnsi="Calibri" w:cs="Calibri"/>
          <w:sz w:val="22"/>
          <w:szCs w:val="22"/>
        </w:rPr>
      </w:pPr>
      <w:r>
        <w:rPr>
          <w:rFonts w:ascii="Calibri" w:eastAsia="Calibri" w:hAnsi="Calibri" w:cs="Calibri"/>
          <w:sz w:val="22"/>
          <w:szCs w:val="22"/>
        </w:rPr>
        <w:t>However, while the proposed conditions provide a solid foundation, additional criteria could further refine the classification process and address potential ambiguities:</w:t>
      </w:r>
    </w:p>
    <w:p w14:paraId="2B93D9E0" w14:textId="77777777" w:rsidR="002820D4" w:rsidRDefault="00000000">
      <w:pPr>
        <w:spacing w:after="160" w:line="259" w:lineRule="auto"/>
        <w:rPr>
          <w:rFonts w:ascii="Calibri" w:eastAsia="Calibri" w:hAnsi="Calibri" w:cs="Calibri"/>
          <w:sz w:val="22"/>
          <w:szCs w:val="22"/>
        </w:rPr>
      </w:pPr>
      <w:r>
        <w:rPr>
          <w:rFonts w:ascii="Calibri" w:eastAsia="Calibri" w:hAnsi="Calibri" w:cs="Calibri"/>
          <w:sz w:val="22"/>
          <w:szCs w:val="22"/>
        </w:rPr>
        <w:t xml:space="preserve">Economic Purpose and Usage Context: Beyond the financial instrument characteristics, the economic purpose and context of usage of the token should play a significant role in its classification. For instance, a token primarily used within a specific platform or ecosystem for accessing services (primarily: utility function) might still possess investment characteristics if it is marketed with the expectation of profit derived from the efforts of others. </w:t>
      </w:r>
    </w:p>
    <w:p w14:paraId="621A1FC5" w14:textId="77777777" w:rsidR="002820D4" w:rsidRDefault="00000000">
      <w:pPr>
        <w:spacing w:after="160" w:line="259" w:lineRule="auto"/>
        <w:rPr>
          <w:rFonts w:ascii="Calibri" w:eastAsia="Calibri" w:hAnsi="Calibri" w:cs="Calibri"/>
          <w:sz w:val="22"/>
          <w:szCs w:val="22"/>
        </w:rPr>
      </w:pPr>
      <w:r>
        <w:rPr>
          <w:rFonts w:ascii="Calibri" w:eastAsia="Calibri" w:hAnsi="Calibri" w:cs="Calibri"/>
          <w:sz w:val="22"/>
          <w:szCs w:val="22"/>
        </w:rPr>
        <w:t xml:space="preserve">Hybrid Functionality Tracking: Implementing a tracking mechanism to monitor how a token's function evolves over time could be beneficial. If a token initially classified as a utility token begins to be used predominantly as a payment or investment vehicle, its classification might need reassessment. A good example is recent (proposed) changes for the </w:t>
      </w:r>
      <w:proofErr w:type="spellStart"/>
      <w:r>
        <w:rPr>
          <w:rFonts w:ascii="Calibri" w:eastAsia="Calibri" w:hAnsi="Calibri" w:cs="Calibri"/>
          <w:sz w:val="22"/>
          <w:szCs w:val="22"/>
        </w:rPr>
        <w:t>Uniswap</w:t>
      </w:r>
      <w:proofErr w:type="spellEnd"/>
      <w:r>
        <w:rPr>
          <w:rFonts w:ascii="Calibri" w:eastAsia="Calibri" w:hAnsi="Calibri" w:cs="Calibri"/>
          <w:sz w:val="22"/>
          <w:szCs w:val="22"/>
        </w:rPr>
        <w:t xml:space="preserve"> protocol.</w:t>
      </w:r>
    </w:p>
    <w:p w14:paraId="1F41A7A7" w14:textId="77777777" w:rsidR="002820D4" w:rsidRDefault="00000000">
      <w:pPr>
        <w:spacing w:after="160" w:line="259" w:lineRule="auto"/>
        <w:rPr>
          <w:rFonts w:ascii="Calibri" w:eastAsia="Calibri" w:hAnsi="Calibri" w:cs="Calibri"/>
          <w:sz w:val="22"/>
          <w:szCs w:val="22"/>
        </w:rPr>
      </w:pPr>
      <w:r>
        <w:rPr>
          <w:rFonts w:ascii="Calibri" w:eastAsia="Calibri" w:hAnsi="Calibri" w:cs="Calibri"/>
          <w:sz w:val="22"/>
          <w:szCs w:val="22"/>
        </w:rPr>
        <w:t>Transparency and Disclosure Requirements: Enhanced disclosure requirements for hybrid tokens could help investors understand the multifaceted nature of these assets. Issuers could be mandated to clearly describe each function of the token and the associated risks.</w:t>
      </w:r>
    </w:p>
    <w:p w14:paraId="34C97867" w14:textId="77777777" w:rsidR="002820D4" w:rsidRDefault="00000000">
      <w:pPr>
        <w:spacing w:after="160" w:line="259" w:lineRule="auto"/>
        <w:rPr>
          <w:rFonts w:ascii="Calibri" w:eastAsia="Calibri" w:hAnsi="Calibri" w:cs="Calibri"/>
          <w:sz w:val="22"/>
          <w:szCs w:val="22"/>
        </w:rPr>
      </w:pPr>
      <w:r>
        <w:rPr>
          <w:rFonts w:ascii="Calibri" w:eastAsia="Calibri" w:hAnsi="Calibri" w:cs="Calibri"/>
          <w:sz w:val="22"/>
          <w:szCs w:val="22"/>
        </w:rPr>
        <w:t xml:space="preserve">Consider a hypothetical hybrid token issued by a blockchain-based gaming platform. This token allows users to purchase in-game items (utility), acts as a medium of exchange within the game (payment), and can be traded on external exchanges where its price is subject to market dynamics (investment). Under the guidelines, the classification of the token would initially only focus on whether it fits the definition of a financial instrument based on its tradability and the expectations of profit by holders. However, if the primary use of the token within the game dominates and its investment function is secondary, this should influence its classification. Hence, a classification based on the primary economic purpose and the context of usage would provide guidance that is both more clear and </w:t>
      </w:r>
      <w:proofErr w:type="gramStart"/>
      <w:r>
        <w:rPr>
          <w:rFonts w:ascii="Calibri" w:eastAsia="Calibri" w:hAnsi="Calibri" w:cs="Calibri"/>
          <w:sz w:val="22"/>
          <w:szCs w:val="22"/>
        </w:rPr>
        <w:t>more fair</w:t>
      </w:r>
      <w:proofErr w:type="gramEnd"/>
      <w:r>
        <w:rPr>
          <w:rFonts w:ascii="Calibri" w:eastAsia="Calibri" w:hAnsi="Calibri" w:cs="Calibri"/>
          <w:sz w:val="22"/>
          <w:szCs w:val="22"/>
        </w:rPr>
        <w:t>.</w:t>
      </w:r>
    </w:p>
    <w:p w14:paraId="301CCCE1" w14:textId="77777777" w:rsidR="002820D4" w:rsidRDefault="00000000">
      <w:pPr>
        <w:spacing w:after="160" w:line="259" w:lineRule="auto"/>
        <w:rPr>
          <w:rFonts w:ascii="Calibri" w:eastAsia="Calibri" w:hAnsi="Calibri" w:cs="Calibri"/>
          <w:sz w:val="22"/>
          <w:szCs w:val="22"/>
        </w:rPr>
      </w:pPr>
      <w:r>
        <w:rPr>
          <w:rFonts w:ascii="Calibri" w:eastAsia="Calibri" w:hAnsi="Calibri" w:cs="Calibri"/>
          <w:sz w:val="22"/>
          <w:szCs w:val="22"/>
        </w:rPr>
        <w:t>&lt;ESMA_QUESTION_MIC3_7&gt;</w:t>
      </w:r>
    </w:p>
    <w:p w14:paraId="5BEC95D3" w14:textId="77777777" w:rsidR="002820D4" w:rsidRDefault="002820D4">
      <w:pPr>
        <w:rPr>
          <w:rFonts w:ascii="Arial" w:eastAsia="Arial" w:hAnsi="Arial" w:cs="Arial"/>
          <w:sz w:val="20"/>
          <w:szCs w:val="20"/>
        </w:rPr>
      </w:pPr>
    </w:p>
    <w:sectPr w:rsidR="002820D4">
      <w:headerReference w:type="default" r:id="rId16"/>
      <w:footerReference w:type="default" r:id="rId17"/>
      <w:pgSz w:w="11906" w:h="16838"/>
      <w:pgMar w:top="1418" w:right="1418" w:bottom="1418" w:left="1418"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50A3B5" w14:textId="77777777" w:rsidR="003B0387" w:rsidRDefault="003B0387">
      <w:r>
        <w:separator/>
      </w:r>
    </w:p>
  </w:endnote>
  <w:endnote w:type="continuationSeparator" w:id="0">
    <w:p w14:paraId="798720DA" w14:textId="77777777" w:rsidR="003B0387" w:rsidRDefault="003B03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embedRegular r:id="rId1" w:fontKey="{99C1A78B-479E-F543-92EE-0AD9472C269F}"/>
  </w:font>
  <w:font w:name="Times New Roman">
    <w:panose1 w:val="02020603050405020304"/>
    <w:charset w:val="00"/>
    <w:family w:val="roman"/>
    <w:pitch w:val="variable"/>
    <w:sig w:usb0="E0002EFF" w:usb1="C000785B" w:usb2="00000009" w:usb3="00000000" w:csb0="000001FF" w:csb1="00000000"/>
    <w:embedRegular r:id="rId2" w:fontKey="{68A15617-0389-CE48-9767-71EE164E3097}"/>
    <w:embedBold r:id="rId3" w:fontKey="{F390530B-742C-3344-B1F2-A7AAD8853323}"/>
    <w:embedItalic r:id="rId4" w:fontKey="{5AF4061D-C3B9-DC49-950C-01FEAD8F006B}"/>
    <w:embedBoldItalic r:id="rId5" w:fontKey="{37FAF27D-6C9B-5B43-A967-4B4555CAD68B}"/>
  </w:font>
  <w:font w:name="Arial">
    <w:panose1 w:val="020B0604020202020204"/>
    <w:charset w:val="00"/>
    <w:family w:val="swiss"/>
    <w:pitch w:val="variable"/>
    <w:sig w:usb0="E0002AFF" w:usb1="C0007843" w:usb2="00000009" w:usb3="00000000" w:csb0="000001FF" w:csb1="00000000"/>
    <w:embedRegular r:id="rId6" w:fontKey="{FD4C85A0-0B8D-9049-9D2C-54F378270B7C}"/>
    <w:embedBold r:id="rId7" w:fontKey="{F2C15F46-322F-0741-A0A3-BAAC63C23089}"/>
    <w:embedItalic r:id="rId8" w:fontKey="{DA259B3D-17D3-AA46-AFEF-6DD9F4E2AEAE}"/>
    <w:embedBoldItalic r:id="rId9" w:fontKey="{A45FDADA-2B4A-6C4A-B9E3-D874772A8841}"/>
  </w:font>
  <w:font w:name="Georgia">
    <w:panose1 w:val="02040502050405020303"/>
    <w:charset w:val="00"/>
    <w:family w:val="roman"/>
    <w:pitch w:val="variable"/>
    <w:sig w:usb0="00000287" w:usb1="00000000" w:usb2="00000000" w:usb3="00000000" w:csb0="0000009F" w:csb1="00000000"/>
    <w:embedRegular r:id="rId10" w:fontKey="{C6353525-C8C3-CB4D-A754-1315FB8F5D81}"/>
    <w:embedBold r:id="rId11" w:fontKey="{CE955853-27D2-734B-AD02-F170BBE3145E}"/>
  </w:font>
  <w:font w:name="Tahoma">
    <w:panose1 w:val="020B0604030504040204"/>
    <w:charset w:val="00"/>
    <w:family w:val="swiss"/>
    <w:pitch w:val="variable"/>
    <w:sig w:usb0="E1002EFF" w:usb1="C000605B" w:usb2="00000029" w:usb3="00000000" w:csb0="000101FF" w:csb1="00000000"/>
    <w:embedRegular r:id="rId12" w:fontKey="{BC369D45-405E-5A42-AE21-9B8C62A023FF}"/>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embedRegular r:id="rId13" w:fontKey="{9A691DE5-0420-0C40-B003-78041ABB66E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8E551B" w14:textId="77777777" w:rsidR="002820D4" w:rsidRDefault="00000000">
    <w:pPr>
      <w:pBdr>
        <w:top w:val="nil"/>
        <w:left w:val="nil"/>
        <w:bottom w:val="nil"/>
        <w:right w:val="nil"/>
        <w:between w:val="nil"/>
      </w:pBdr>
      <w:tabs>
        <w:tab w:val="center" w:pos="4536"/>
        <w:tab w:val="right" w:pos="9072"/>
      </w:tabs>
      <w:jc w:val="center"/>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3763D722" w14:textId="77777777" w:rsidR="002820D4" w:rsidRDefault="002820D4">
    <w:pPr>
      <w:pBdr>
        <w:top w:val="nil"/>
        <w:left w:val="nil"/>
        <w:bottom w:val="nil"/>
        <w:right w:val="nil"/>
        <w:between w:val="nil"/>
      </w:pBdr>
      <w:tabs>
        <w:tab w:val="center" w:pos="4536"/>
        <w:tab w:val="right" w:pos="9072"/>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52441A" w14:textId="77777777" w:rsidR="002820D4" w:rsidRDefault="00000000">
    <w:pPr>
      <w:pBdr>
        <w:top w:val="nil"/>
        <w:left w:val="nil"/>
        <w:bottom w:val="nil"/>
        <w:right w:val="nil"/>
        <w:between w:val="nil"/>
      </w:pBdr>
      <w:tabs>
        <w:tab w:val="center" w:pos="4536"/>
        <w:tab w:val="right" w:pos="9072"/>
      </w:tabs>
      <w:rPr>
        <w:color w:val="000000"/>
      </w:rPr>
    </w:pPr>
    <w:r>
      <w:rPr>
        <w:rFonts w:ascii="Arial" w:eastAsia="Arial" w:hAnsi="Arial" w:cs="Arial"/>
        <w:color w:val="FFFFFF"/>
      </w:rPr>
      <w:tab/>
    </w:r>
    <w:r>
      <w:rPr>
        <w:rFonts w:ascii="Arial" w:eastAsia="Arial" w:hAnsi="Arial" w:cs="Arial"/>
        <w:color w:val="FFFFFF"/>
      </w:rPr>
      <w:tab/>
      <w:t xml:space="preserve">29 July 2022 ESMA | </w:t>
    </w:r>
    <w:hyperlink r:id="rId1">
      <w:r>
        <w:rPr>
          <w:rFonts w:ascii="Arial" w:eastAsia="Arial" w:hAnsi="Arial" w:cs="Arial"/>
          <w:color w:val="FFFFFF"/>
        </w:rPr>
        <w:t>ESMA</w:t>
      </w:r>
    </w:hyperlink>
    <w:r>
      <w:rPr>
        <w:rFonts w:ascii="Arial" w:eastAsia="Arial" w:hAnsi="Arial" w:cs="Arial"/>
        <w:color w:val="FFFFFF"/>
      </w:rPr>
      <w:t xml:space="preserve"> 70-449-674</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6B9D42" w14:textId="2F476213" w:rsidR="002820D4" w:rsidRDefault="00000000">
    <w:pPr>
      <w:pBdr>
        <w:top w:val="nil"/>
        <w:left w:val="nil"/>
        <w:bottom w:val="nil"/>
        <w:right w:val="nil"/>
        <w:between w:val="nil"/>
      </w:pBdr>
      <w:tabs>
        <w:tab w:val="center" w:pos="4536"/>
        <w:tab w:val="right" w:pos="9072"/>
      </w:tabs>
      <w:jc w:val="center"/>
      <w:rPr>
        <w:color w:val="000000"/>
      </w:rPr>
    </w:pPr>
    <w:r>
      <w:rPr>
        <w:color w:val="000000"/>
      </w:rPr>
      <w:fldChar w:fldCharType="begin"/>
    </w:r>
    <w:r>
      <w:rPr>
        <w:color w:val="000000"/>
      </w:rPr>
      <w:instrText>PAGE</w:instrText>
    </w:r>
    <w:r>
      <w:rPr>
        <w:color w:val="000000"/>
      </w:rPr>
      <w:fldChar w:fldCharType="separate"/>
    </w:r>
    <w:r w:rsidR="00B769F7">
      <w:rPr>
        <w:noProof/>
        <w:color w:val="000000"/>
      </w:rPr>
      <w:t>1</w:t>
    </w:r>
    <w:r>
      <w:rPr>
        <w:color w:val="000000"/>
      </w:rPr>
      <w:fldChar w:fldCharType="end"/>
    </w:r>
  </w:p>
  <w:p w14:paraId="387CA88C" w14:textId="77777777" w:rsidR="002820D4" w:rsidRDefault="002820D4">
    <w:pPr>
      <w:pBdr>
        <w:top w:val="nil"/>
        <w:left w:val="nil"/>
        <w:bottom w:val="nil"/>
        <w:right w:val="nil"/>
        <w:between w:val="nil"/>
      </w:pBdr>
      <w:tabs>
        <w:tab w:val="center" w:pos="4536"/>
        <w:tab w:val="right" w:pos="9072"/>
      </w:tabs>
      <w:jc w:val="right"/>
      <w:rPr>
        <w:color w:val="000000"/>
      </w:rPr>
    </w:pPr>
  </w:p>
  <w:p w14:paraId="215AC5D9" w14:textId="77777777" w:rsidR="002820D4" w:rsidRDefault="002820D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AFB60B" w14:textId="77777777" w:rsidR="003B0387" w:rsidRDefault="003B0387">
      <w:r>
        <w:separator/>
      </w:r>
    </w:p>
  </w:footnote>
  <w:footnote w:type="continuationSeparator" w:id="0">
    <w:p w14:paraId="2A369785" w14:textId="77777777" w:rsidR="003B0387" w:rsidRDefault="003B038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63A830" w14:textId="77777777" w:rsidR="002820D4" w:rsidRDefault="002820D4">
    <w:pPr>
      <w:pBdr>
        <w:top w:val="nil"/>
        <w:left w:val="nil"/>
        <w:bottom w:val="nil"/>
        <w:right w:val="nil"/>
        <w:between w:val="nil"/>
      </w:pBdr>
      <w:tabs>
        <w:tab w:val="center" w:pos="4536"/>
        <w:tab w:val="right" w:pos="9072"/>
      </w:tabs>
      <w:rPr>
        <w:color w:val="000000"/>
      </w:rPr>
    </w:pPr>
  </w:p>
  <w:p w14:paraId="0B384016" w14:textId="77777777" w:rsidR="002820D4" w:rsidRDefault="002820D4">
    <w:pPr>
      <w:pBdr>
        <w:top w:val="nil"/>
        <w:left w:val="nil"/>
        <w:bottom w:val="nil"/>
        <w:right w:val="nil"/>
        <w:between w:val="nil"/>
      </w:pBdr>
      <w:tabs>
        <w:tab w:val="center" w:pos="4536"/>
        <w:tab w:val="right" w:pos="9072"/>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311328" w14:textId="77777777" w:rsidR="002820D4" w:rsidRDefault="00000000">
    <w:pPr>
      <w:pBdr>
        <w:top w:val="nil"/>
        <w:left w:val="nil"/>
        <w:bottom w:val="nil"/>
        <w:right w:val="nil"/>
        <w:between w:val="nil"/>
      </w:pBdr>
      <w:tabs>
        <w:tab w:val="center" w:pos="4536"/>
        <w:tab w:val="right" w:pos="9072"/>
      </w:tabs>
      <w:jc w:val="right"/>
      <w:rPr>
        <w:rFonts w:ascii="Arial" w:eastAsia="Arial" w:hAnsi="Arial" w:cs="Arial"/>
        <w:color w:val="000000"/>
        <w:sz w:val="16"/>
        <w:szCs w:val="16"/>
      </w:rPr>
    </w:pPr>
    <w:r>
      <w:rPr>
        <w:rFonts w:ascii="Arial" w:eastAsia="Arial" w:hAnsi="Arial" w:cs="Arial"/>
        <w:smallCaps/>
        <w:noProof/>
        <w:color w:val="000000"/>
        <w:sz w:val="16"/>
        <w:szCs w:val="16"/>
      </w:rPr>
      <w:drawing>
        <wp:anchor distT="0" distB="0" distL="114300" distR="114300" simplePos="0" relativeHeight="251658240" behindDoc="0" locked="0" layoutInCell="1" hidden="0" allowOverlap="1" wp14:anchorId="56FCD540" wp14:editId="3C8DEA4B">
          <wp:simplePos x="0" y="0"/>
          <wp:positionH relativeFrom="page">
            <wp:posOffset>892914</wp:posOffset>
          </wp:positionH>
          <wp:positionV relativeFrom="page">
            <wp:posOffset>547370</wp:posOffset>
          </wp:positionV>
          <wp:extent cx="2296800" cy="601200"/>
          <wp:effectExtent l="0" t="0" r="0" b="0"/>
          <wp:wrapNone/>
          <wp:docPr id="1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2296800" cy="601200"/>
                  </a:xfrm>
                  <a:prstGeom prst="rect">
                    <a:avLst/>
                  </a:prstGeom>
                  <a:ln/>
                </pic:spPr>
              </pic:pic>
            </a:graphicData>
          </a:graphic>
        </wp:anchor>
      </w:drawing>
    </w:r>
    <w:r>
      <w:rPr>
        <w:rFonts w:ascii="Arial" w:eastAsia="Arial" w:hAnsi="Arial" w:cs="Arial"/>
        <w:color w:val="000000"/>
        <w:sz w:val="16"/>
        <w:szCs w:val="16"/>
      </w:rPr>
      <w:t>29 January 2024</w:t>
    </w:r>
    <w:r>
      <w:rPr>
        <w:rFonts w:ascii="Arial" w:eastAsia="Arial" w:hAnsi="Arial" w:cs="Arial"/>
        <w:color w:val="000000"/>
        <w:sz w:val="16"/>
        <w:szCs w:val="16"/>
      </w:rPr>
      <w:br/>
      <w:t>ESMA75-453128700-954</w:t>
    </w:r>
  </w:p>
  <w:p w14:paraId="36B8B974" w14:textId="77777777" w:rsidR="002820D4" w:rsidRDefault="00000000">
    <w:pPr>
      <w:pBdr>
        <w:top w:val="nil"/>
        <w:left w:val="nil"/>
        <w:bottom w:val="nil"/>
        <w:right w:val="nil"/>
        <w:between w:val="nil"/>
      </w:pBdr>
      <w:tabs>
        <w:tab w:val="center" w:pos="4536"/>
        <w:tab w:val="right" w:pos="9072"/>
      </w:tabs>
      <w:ind w:left="1836" w:firstLine="4536"/>
      <w:rPr>
        <w:color w:val="000000"/>
      </w:rPr>
    </w:pPr>
    <w:r>
      <w:rPr>
        <w:color w:val="000000"/>
      </w:rPr>
      <w:t xml:space="preserve">   ESMA74-449133380-434</w:t>
    </w:r>
    <w:r>
      <w:rPr>
        <w:noProof/>
      </w:rPr>
      <mc:AlternateContent>
        <mc:Choice Requires="wpg">
          <w:drawing>
            <wp:anchor distT="0" distB="0" distL="0" distR="0" simplePos="0" relativeHeight="251659264" behindDoc="1" locked="0" layoutInCell="1" hidden="0" allowOverlap="1" wp14:anchorId="2B620442" wp14:editId="6A4A169D">
              <wp:simplePos x="0" y="0"/>
              <wp:positionH relativeFrom="column">
                <wp:posOffset>0</wp:posOffset>
              </wp:positionH>
              <wp:positionV relativeFrom="paragraph">
                <wp:posOffset>609600</wp:posOffset>
              </wp:positionV>
              <wp:extent cx="7579995" cy="9786620"/>
              <wp:effectExtent l="0" t="0" r="0" b="0"/>
              <wp:wrapNone/>
              <wp:docPr id="14" name="Freeform 14"/>
              <wp:cNvGraphicFramePr/>
              <a:graphic xmlns:a="http://schemas.openxmlformats.org/drawingml/2006/main">
                <a:graphicData uri="http://schemas.microsoft.com/office/word/2010/wordprocessingShape">
                  <wps:wsp>
                    <wps:cNvSpPr/>
                    <wps:spPr>
                      <a:xfrm>
                        <a:off x="1560765" y="0"/>
                        <a:ext cx="7570470" cy="7560000"/>
                      </a:xfrm>
                      <a:custGeom>
                        <a:avLst/>
                        <a:gdLst/>
                        <a:ahLst/>
                        <a:cxnLst/>
                        <a:rect l="l" t="t" r="r" b="b"/>
                        <a:pathLst>
                          <a:path w="7569200" h="9779055" extrusionOk="0">
                            <a:moveTo>
                              <a:pt x="2939613" y="926867"/>
                            </a:moveTo>
                            <a:cubicBezTo>
                              <a:pt x="5038819" y="-714379"/>
                              <a:pt x="6826523" y="267027"/>
                              <a:pt x="7569200" y="545025"/>
                            </a:cubicBezTo>
                            <a:lnTo>
                              <a:pt x="7569200" y="3173124"/>
                            </a:lnTo>
                            <a:lnTo>
                              <a:pt x="7569200" y="9779055"/>
                            </a:lnTo>
                            <a:lnTo>
                              <a:pt x="7569200" y="9779055"/>
                            </a:lnTo>
                            <a:lnTo>
                              <a:pt x="0" y="9779055"/>
                            </a:lnTo>
                            <a:lnTo>
                              <a:pt x="0" y="9779055"/>
                            </a:lnTo>
                            <a:lnTo>
                              <a:pt x="0" y="3173124"/>
                            </a:lnTo>
                            <a:lnTo>
                              <a:pt x="2939613" y="926867"/>
                            </a:lnTo>
                            <a:close/>
                          </a:path>
                        </a:pathLst>
                      </a:custGeom>
                      <a:blipFill rotWithShape="1">
                        <a:blip r:embed="rId2">
                          <a:alphaModFix/>
                        </a:blip>
                        <a:stretch>
                          <a:fillRect t="-18199" b="18199"/>
                        </a:stretch>
                      </a:blipFill>
                      <a:ln>
                        <a:noFill/>
                      </a:ln>
                    </wps:spPr>
                    <wps:txbx>
                      <w:txbxContent>
                        <w:p w14:paraId="2AFAA77B" w14:textId="77777777" w:rsidR="002820D4" w:rsidRDefault="002820D4">
                          <w:pPr>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0</wp:posOffset>
              </wp:positionH>
              <wp:positionV relativeFrom="paragraph">
                <wp:posOffset>609600</wp:posOffset>
              </wp:positionV>
              <wp:extent cx="7579995" cy="9786620"/>
              <wp:effectExtent b="0" l="0" r="0" t="0"/>
              <wp:wrapNone/>
              <wp:docPr id="14" name="image2.png"/>
              <a:graphic>
                <a:graphicData uri="http://schemas.openxmlformats.org/drawingml/2006/picture">
                  <pic:pic>
                    <pic:nvPicPr>
                      <pic:cNvPr id="0" name="image2.png"/>
                      <pic:cNvPicPr preferRelativeResize="0"/>
                    </pic:nvPicPr>
                    <pic:blipFill>
                      <a:blip r:embed="rId3"/>
                      <a:srcRect/>
                      <a:stretch>
                        <a:fillRect/>
                      </a:stretch>
                    </pic:blipFill>
                    <pic:spPr>
                      <a:xfrm>
                        <a:off x="0" y="0"/>
                        <a:ext cx="7579995" cy="9786620"/>
                      </a:xfrm>
                      <a:prstGeom prst="rect"/>
                      <a:ln/>
                    </pic:spPr>
                  </pic:pic>
                </a:graphicData>
              </a:graphic>
            </wp:anchor>
          </w:drawing>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E54E1C" w14:textId="77777777" w:rsidR="002820D4" w:rsidRDefault="00000000">
    <w:pPr>
      <w:pBdr>
        <w:top w:val="nil"/>
        <w:left w:val="nil"/>
        <w:bottom w:val="nil"/>
        <w:right w:val="nil"/>
        <w:between w:val="nil"/>
      </w:pBdr>
      <w:tabs>
        <w:tab w:val="center" w:pos="4536"/>
        <w:tab w:val="right" w:pos="9072"/>
      </w:tabs>
      <w:jc w:val="right"/>
      <w:rPr>
        <w:b/>
        <w:color w:val="FF0000"/>
      </w:rPr>
    </w:pPr>
    <w:r>
      <w:rPr>
        <w:noProof/>
        <w:color w:val="70AD47"/>
        <w:sz w:val="22"/>
        <w:szCs w:val="22"/>
      </w:rPr>
      <w:drawing>
        <wp:anchor distT="0" distB="0" distL="114300" distR="114300" simplePos="0" relativeHeight="251660288" behindDoc="0" locked="0" layoutInCell="1" hidden="0" allowOverlap="1" wp14:anchorId="37527F8B" wp14:editId="72F3D0A8">
          <wp:simplePos x="0" y="0"/>
          <wp:positionH relativeFrom="page">
            <wp:posOffset>900430</wp:posOffset>
          </wp:positionH>
          <wp:positionV relativeFrom="page">
            <wp:posOffset>449580</wp:posOffset>
          </wp:positionV>
          <wp:extent cx="2296800" cy="601200"/>
          <wp:effectExtent l="0" t="0" r="0" b="0"/>
          <wp:wrapNone/>
          <wp:docPr id="1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2296800" cy="601200"/>
                  </a:xfrm>
                  <a:prstGeom prst="rect">
                    <a:avLst/>
                  </a:prstGeom>
                  <a:ln/>
                </pic:spPr>
              </pic:pic>
            </a:graphicData>
          </a:graphic>
        </wp:anchor>
      </w:drawing>
    </w:r>
  </w:p>
  <w:p w14:paraId="0CF23E59" w14:textId="77777777" w:rsidR="002820D4" w:rsidRDefault="002820D4">
    <w:pPr>
      <w:pBdr>
        <w:top w:val="nil"/>
        <w:left w:val="nil"/>
        <w:bottom w:val="nil"/>
        <w:right w:val="nil"/>
        <w:between w:val="nil"/>
      </w:pBdr>
      <w:tabs>
        <w:tab w:val="center" w:pos="4536"/>
        <w:tab w:val="right" w:pos="9072"/>
      </w:tabs>
      <w:jc w:val="right"/>
      <w:rPr>
        <w:rFonts w:ascii="Arial" w:eastAsia="Arial" w:hAnsi="Arial" w:cs="Arial"/>
        <w:color w:val="2F5496"/>
        <w:sz w:val="20"/>
        <w:szCs w:val="20"/>
      </w:rPr>
    </w:pPr>
  </w:p>
  <w:p w14:paraId="444E9C52" w14:textId="77777777" w:rsidR="002820D4" w:rsidRDefault="002820D4">
    <w:pPr>
      <w:pBdr>
        <w:top w:val="nil"/>
        <w:left w:val="nil"/>
        <w:bottom w:val="nil"/>
        <w:right w:val="nil"/>
        <w:between w:val="nil"/>
      </w:pBdr>
      <w:tabs>
        <w:tab w:val="center" w:pos="4536"/>
        <w:tab w:val="right" w:pos="9072"/>
      </w:tabs>
      <w:jc w:val="right"/>
      <w:rPr>
        <w:rFonts w:ascii="Arial" w:eastAsia="Arial" w:hAnsi="Arial" w:cs="Arial"/>
        <w:color w:val="2F5496"/>
        <w:sz w:val="20"/>
        <w:szCs w:val="20"/>
      </w:rPr>
    </w:pPr>
  </w:p>
  <w:p w14:paraId="16CFD447" w14:textId="77777777" w:rsidR="002820D4" w:rsidRDefault="002820D4">
    <w:pPr>
      <w:pBdr>
        <w:top w:val="nil"/>
        <w:left w:val="nil"/>
        <w:bottom w:val="nil"/>
        <w:right w:val="nil"/>
        <w:between w:val="nil"/>
      </w:pBdr>
      <w:tabs>
        <w:tab w:val="center" w:pos="4536"/>
        <w:tab w:val="right" w:pos="9072"/>
      </w:tabs>
      <w:jc w:val="right"/>
      <w:rPr>
        <w:rFonts w:ascii="Arial" w:eastAsia="Arial" w:hAnsi="Arial" w:cs="Arial"/>
        <w:color w:val="2F5496"/>
        <w:sz w:val="20"/>
        <w:szCs w:val="20"/>
      </w:rPr>
    </w:pPr>
  </w:p>
  <w:p w14:paraId="3E0F5D24" w14:textId="77777777" w:rsidR="002820D4" w:rsidRDefault="002820D4">
    <w:pPr>
      <w:pBdr>
        <w:top w:val="nil"/>
        <w:left w:val="nil"/>
        <w:bottom w:val="nil"/>
        <w:right w:val="nil"/>
        <w:between w:val="nil"/>
      </w:pBdr>
      <w:tabs>
        <w:tab w:val="center" w:pos="4536"/>
        <w:tab w:val="right" w:pos="9072"/>
      </w:tabs>
      <w:jc w:val="right"/>
      <w:rPr>
        <w:color w:val="2F5496"/>
        <w:sz w:val="20"/>
        <w:szCs w:val="20"/>
      </w:rPr>
    </w:pPr>
  </w:p>
  <w:p w14:paraId="6E751481" w14:textId="77777777" w:rsidR="002820D4" w:rsidRDefault="002820D4">
    <w:pPr>
      <w:pBdr>
        <w:top w:val="nil"/>
        <w:left w:val="nil"/>
        <w:bottom w:val="nil"/>
        <w:right w:val="nil"/>
        <w:between w:val="nil"/>
      </w:pBdr>
      <w:tabs>
        <w:tab w:val="center" w:pos="4536"/>
        <w:tab w:val="right" w:pos="9072"/>
      </w:tabs>
      <w:jc w:val="right"/>
      <w:rPr>
        <w:b/>
        <w:color w:val="FF0000"/>
      </w:rPr>
    </w:pPr>
  </w:p>
  <w:p w14:paraId="1CA07E52" w14:textId="77777777" w:rsidR="002820D4" w:rsidRDefault="002820D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3B1245"/>
    <w:multiLevelType w:val="multilevel"/>
    <w:tmpl w:val="44B0A334"/>
    <w:lvl w:ilvl="0">
      <w:start w:val="1"/>
      <w:numFmt w:val="decimal"/>
      <w:lvlText w:val="Q%1"/>
      <w:lvlJc w:val="left"/>
      <w:pPr>
        <w:ind w:left="720" w:hanging="360"/>
      </w:pPr>
    </w:lvl>
    <w:lvl w:ilvl="1">
      <w:start w:val="1"/>
      <w:numFmt w:val="lowerLetter"/>
      <w:pStyle w:val="Title2"/>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58446622"/>
    <w:multiLevelType w:val="multilevel"/>
    <w:tmpl w:val="F586D5AA"/>
    <w:lvl w:ilvl="0">
      <w:start w:val="1"/>
      <w:numFmt w:val="bullet"/>
      <w:pStyle w:val="Title1"/>
      <w:lvlText w:val="●"/>
      <w:lvlJc w:val="left"/>
      <w:pPr>
        <w:ind w:left="928" w:hanging="360"/>
      </w:pPr>
      <w:rPr>
        <w:rFonts w:ascii="Noto Sans Symbols" w:eastAsia="Noto Sans Symbols" w:hAnsi="Noto Sans Symbols" w:cs="Noto Sans Symbol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pStyle w:val="Title3"/>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6C037AF5"/>
    <w:multiLevelType w:val="multilevel"/>
    <w:tmpl w:val="AE0A26E2"/>
    <w:lvl w:ilvl="0">
      <w:start w:val="1"/>
      <w:numFmt w:val="decimal"/>
      <w:pStyle w:val="Heading5"/>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7B246F18"/>
    <w:multiLevelType w:val="multilevel"/>
    <w:tmpl w:val="58F297E0"/>
    <w:lvl w:ilvl="0">
      <w:start w:val="1"/>
      <w:numFmt w:val="decimal"/>
      <w:pStyle w:val="Heading1"/>
      <w:lvlText w:val="%1."/>
      <w:lvlJc w:val="left"/>
      <w:pPr>
        <w:ind w:left="720" w:hanging="720"/>
      </w:pPr>
    </w:lvl>
    <w:lvl w:ilvl="1">
      <w:start w:val="1"/>
      <w:numFmt w:val="decimal"/>
      <w:pStyle w:val="Heading2"/>
      <w:lvlText w:val="%2."/>
      <w:lvlJc w:val="left"/>
      <w:pPr>
        <w:ind w:left="1440" w:hanging="720"/>
      </w:pPr>
    </w:lvl>
    <w:lvl w:ilvl="2">
      <w:start w:val="1"/>
      <w:numFmt w:val="decimal"/>
      <w:pStyle w:val="Heading3"/>
      <w:lvlText w:val="%3."/>
      <w:lvlJc w:val="left"/>
      <w:pPr>
        <w:ind w:left="2160" w:hanging="720"/>
      </w:pPr>
    </w:lvl>
    <w:lvl w:ilvl="3">
      <w:start w:val="1"/>
      <w:numFmt w:val="decimal"/>
      <w:pStyle w:val="Heading4"/>
      <w:lvlText w:val="%4."/>
      <w:lvlJc w:val="left"/>
      <w:pPr>
        <w:ind w:left="2880" w:hanging="720"/>
      </w:pPr>
    </w:lvl>
    <w:lvl w:ilvl="4">
      <w:start w:val="1"/>
      <w:numFmt w:val="decimal"/>
      <w:lvlText w:val="%5."/>
      <w:lvlJc w:val="left"/>
      <w:pPr>
        <w:ind w:left="3600" w:hanging="720"/>
      </w:pPr>
    </w:lvl>
    <w:lvl w:ilvl="5">
      <w:start w:val="1"/>
      <w:numFmt w:val="decimal"/>
      <w:pStyle w:val="Heading6"/>
      <w:lvlText w:val="%6."/>
      <w:lvlJc w:val="left"/>
      <w:pPr>
        <w:ind w:left="4320" w:hanging="720"/>
      </w:pPr>
    </w:lvl>
    <w:lvl w:ilvl="6">
      <w:start w:val="1"/>
      <w:numFmt w:val="decimal"/>
      <w:pStyle w:val="Heading7"/>
      <w:lvlText w:val="%7."/>
      <w:lvlJc w:val="left"/>
      <w:pPr>
        <w:ind w:left="5040" w:hanging="720"/>
      </w:pPr>
    </w:lvl>
    <w:lvl w:ilvl="7">
      <w:start w:val="1"/>
      <w:numFmt w:val="decimal"/>
      <w:pStyle w:val="Heading8"/>
      <w:lvlText w:val="%8."/>
      <w:lvlJc w:val="left"/>
      <w:pPr>
        <w:ind w:left="5760" w:hanging="720"/>
      </w:pPr>
    </w:lvl>
    <w:lvl w:ilvl="8">
      <w:start w:val="1"/>
      <w:numFmt w:val="decimal"/>
      <w:pStyle w:val="Heading9"/>
      <w:lvlText w:val="%9."/>
      <w:lvlJc w:val="left"/>
      <w:pPr>
        <w:ind w:left="6480" w:hanging="720"/>
      </w:pPr>
    </w:lvl>
  </w:abstractNum>
  <w:num w:numId="1" w16cid:durableId="951866104">
    <w:abstractNumId w:val="0"/>
  </w:num>
  <w:num w:numId="2" w16cid:durableId="696853344">
    <w:abstractNumId w:val="1"/>
  </w:num>
  <w:num w:numId="3" w16cid:durableId="389884553">
    <w:abstractNumId w:val="3"/>
  </w:num>
  <w:num w:numId="4" w16cid:durableId="2040156873">
    <w:abstractNumId w:val="2"/>
  </w:num>
  <w:num w:numId="5" w16cid:durableId="62619938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85083169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54602362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20D4"/>
    <w:rsid w:val="00214701"/>
    <w:rsid w:val="002820D4"/>
    <w:rsid w:val="003B0387"/>
    <w:rsid w:val="0087422D"/>
    <w:rsid w:val="008A1C90"/>
    <w:rsid w:val="00B769F7"/>
  </w:rsids>
  <m:mathPr>
    <m:mathFont m:val="Cambria Math"/>
    <m:brkBin m:val="before"/>
    <m:brkBinSub m:val="--"/>
    <m:smallFrac m:val="0"/>
    <m:dispDef/>
    <m:lMargin m:val="0"/>
    <m:rMargin m:val="0"/>
    <m:defJc m:val="centerGroup"/>
    <m:wrapIndent m:val="1440"/>
    <m:intLim m:val="subSup"/>
    <m:naryLim m:val="undOvr"/>
  </m:mathPr>
  <w:themeFontLang w:val="en-NL"/>
  <w:clrSchemeMapping w:bg1="light1" w:t1="dark1" w:bg2="light2" w:t2="dark2" w:accent1="accent1" w:accent2="accent2" w:accent3="accent3" w:accent4="accent4" w:accent5="accent5" w:accent6="accent6" w:hyperlink="hyperlink" w:followedHyperlink="followedHyperlink"/>
  <w:decimalSymbol w:val=","/>
  <w:listSeparator w:val=","/>
  <w14:docId w14:val="42BB876E"/>
  <w15:docId w15:val="{65F673D9-27AC-7845-8579-2305BD0A36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C15D5"/>
  </w:style>
  <w:style w:type="paragraph" w:styleId="Heading1">
    <w:name w:val="heading 1"/>
    <w:basedOn w:val="Normal"/>
    <w:next w:val="Normal"/>
    <w:link w:val="Heading1Char"/>
    <w:uiPriority w:val="9"/>
    <w:qFormat/>
    <w:rsid w:val="00FE0BD8"/>
    <w:pPr>
      <w:keepNext/>
      <w:keepLines/>
      <w:numPr>
        <w:numId w:val="3"/>
      </w:numPr>
      <w:spacing w:before="320"/>
      <w:outlineLvl w:val="0"/>
    </w:pPr>
    <w:rPr>
      <w:rFonts w:asciiTheme="majorHAnsi" w:eastAsiaTheme="majorEastAsia" w:hAnsiTheme="majorHAnsi" w:cstheme="majorBidi"/>
      <w:b/>
      <w:sz w:val="32"/>
      <w:szCs w:val="32"/>
    </w:rPr>
  </w:style>
  <w:style w:type="paragraph" w:styleId="Heading2">
    <w:name w:val="heading 2"/>
    <w:basedOn w:val="Normal"/>
    <w:next w:val="Normal"/>
    <w:link w:val="Heading2Char"/>
    <w:uiPriority w:val="9"/>
    <w:unhideWhenUsed/>
    <w:qFormat/>
    <w:rsid w:val="003C167E"/>
    <w:pPr>
      <w:keepNext/>
      <w:keepLines/>
      <w:numPr>
        <w:ilvl w:val="1"/>
        <w:numId w:val="3"/>
      </w:numPr>
      <w:spacing w:before="320"/>
      <w:outlineLvl w:val="1"/>
    </w:pPr>
    <w:rPr>
      <w:rFonts w:asciiTheme="majorHAnsi" w:eastAsiaTheme="majorEastAsia" w:hAnsiTheme="majorHAnsi" w:cstheme="majorBidi"/>
      <w:b/>
      <w:sz w:val="28"/>
      <w:szCs w:val="28"/>
    </w:rPr>
  </w:style>
  <w:style w:type="paragraph" w:styleId="Heading3">
    <w:name w:val="heading 3"/>
    <w:basedOn w:val="Normal"/>
    <w:next w:val="Normal"/>
    <w:link w:val="Heading3Char"/>
    <w:uiPriority w:val="9"/>
    <w:semiHidden/>
    <w:unhideWhenUsed/>
    <w:qFormat/>
    <w:rsid w:val="00020300"/>
    <w:pPr>
      <w:keepNext/>
      <w:keepLines/>
      <w:numPr>
        <w:ilvl w:val="2"/>
        <w:numId w:val="3"/>
      </w:numPr>
      <w:spacing w:before="320"/>
      <w:outlineLvl w:val="2"/>
    </w:pPr>
    <w:rPr>
      <w:rFonts w:asciiTheme="majorHAnsi" w:eastAsiaTheme="majorEastAsia" w:hAnsiTheme="majorHAnsi" w:cstheme="majorBidi"/>
    </w:rPr>
  </w:style>
  <w:style w:type="paragraph" w:styleId="Heading4">
    <w:name w:val="heading 4"/>
    <w:basedOn w:val="Normal"/>
    <w:next w:val="Normal"/>
    <w:link w:val="Heading4Char"/>
    <w:uiPriority w:val="9"/>
    <w:semiHidden/>
    <w:unhideWhenUsed/>
    <w:qFormat/>
    <w:rsid w:val="00020300"/>
    <w:pPr>
      <w:keepNext/>
      <w:keepLines/>
      <w:numPr>
        <w:ilvl w:val="3"/>
        <w:numId w:val="3"/>
      </w:numPr>
      <w:spacing w:before="320"/>
      <w:ind w:left="862" w:hanging="862"/>
      <w:outlineLvl w:val="3"/>
    </w:pPr>
    <w:rPr>
      <w:rFonts w:asciiTheme="majorHAnsi" w:eastAsiaTheme="majorEastAsia" w:hAnsiTheme="majorHAnsi" w:cstheme="majorBidi"/>
      <w:szCs w:val="22"/>
    </w:rPr>
  </w:style>
  <w:style w:type="paragraph" w:styleId="Heading5">
    <w:name w:val="heading 5"/>
    <w:basedOn w:val="Normal"/>
    <w:next w:val="Normal"/>
    <w:link w:val="Heading5Char"/>
    <w:uiPriority w:val="9"/>
    <w:semiHidden/>
    <w:unhideWhenUsed/>
    <w:qFormat/>
    <w:rsid w:val="007E7997"/>
    <w:pPr>
      <w:keepNext/>
      <w:keepLines/>
      <w:numPr>
        <w:numId w:val="4"/>
      </w:numPr>
      <w:spacing w:before="40"/>
      <w:outlineLvl w:val="4"/>
    </w:pPr>
    <w:rPr>
      <w:rFonts w:asciiTheme="majorHAnsi" w:eastAsiaTheme="majorEastAsia" w:hAnsiTheme="majorHAnsi" w:cstheme="majorBidi"/>
      <w:szCs w:val="22"/>
    </w:rPr>
  </w:style>
  <w:style w:type="paragraph" w:styleId="Heading6">
    <w:name w:val="heading 6"/>
    <w:basedOn w:val="Normal"/>
    <w:next w:val="Normal"/>
    <w:link w:val="Heading6Char"/>
    <w:uiPriority w:val="9"/>
    <w:semiHidden/>
    <w:unhideWhenUsed/>
    <w:qFormat/>
    <w:rsid w:val="00AA054E"/>
    <w:pPr>
      <w:keepNext/>
      <w:keepLines/>
      <w:numPr>
        <w:ilvl w:val="5"/>
        <w:numId w:val="3"/>
      </w:numPr>
      <w:spacing w:before="40"/>
      <w:outlineLvl w:val="5"/>
    </w:pPr>
    <w:rPr>
      <w:rFonts w:asciiTheme="majorHAnsi" w:eastAsiaTheme="majorEastAsia" w:hAnsiTheme="majorHAnsi" w:cstheme="majorBidi"/>
      <w:i/>
      <w:iCs/>
      <w:color w:val="44546A" w:themeColor="text2"/>
      <w:sz w:val="21"/>
      <w:szCs w:val="21"/>
    </w:rPr>
  </w:style>
  <w:style w:type="paragraph" w:styleId="Heading7">
    <w:name w:val="heading 7"/>
    <w:basedOn w:val="Normal"/>
    <w:next w:val="Normal"/>
    <w:link w:val="Heading7Char"/>
    <w:unhideWhenUsed/>
    <w:qFormat/>
    <w:rsid w:val="00AA054E"/>
    <w:pPr>
      <w:keepNext/>
      <w:keepLines/>
      <w:numPr>
        <w:ilvl w:val="6"/>
        <w:numId w:val="3"/>
      </w:numPr>
      <w:spacing w:before="40"/>
      <w:outlineLvl w:val="6"/>
    </w:pPr>
    <w:rPr>
      <w:rFonts w:asciiTheme="majorHAnsi" w:eastAsiaTheme="majorEastAsia" w:hAnsiTheme="majorHAnsi" w:cstheme="majorBidi"/>
      <w:i/>
      <w:iCs/>
      <w:color w:val="1F4E79" w:themeColor="accent1" w:themeShade="80"/>
      <w:sz w:val="21"/>
      <w:szCs w:val="21"/>
    </w:rPr>
  </w:style>
  <w:style w:type="paragraph" w:styleId="Heading8">
    <w:name w:val="heading 8"/>
    <w:basedOn w:val="Normal"/>
    <w:next w:val="Normal"/>
    <w:link w:val="Heading8Char"/>
    <w:unhideWhenUsed/>
    <w:qFormat/>
    <w:rsid w:val="00AA054E"/>
    <w:pPr>
      <w:keepNext/>
      <w:keepLines/>
      <w:numPr>
        <w:ilvl w:val="7"/>
        <w:numId w:val="3"/>
      </w:numPr>
      <w:spacing w:before="40"/>
      <w:outlineLvl w:val="7"/>
    </w:pPr>
    <w:rPr>
      <w:rFonts w:asciiTheme="majorHAnsi" w:eastAsiaTheme="majorEastAsia" w:hAnsiTheme="majorHAnsi" w:cstheme="majorBidi"/>
      <w:b/>
      <w:bCs/>
      <w:color w:val="44546A" w:themeColor="text2"/>
    </w:rPr>
  </w:style>
  <w:style w:type="paragraph" w:styleId="Heading9">
    <w:name w:val="heading 9"/>
    <w:basedOn w:val="Normal"/>
    <w:next w:val="Normal"/>
    <w:link w:val="Heading9Char"/>
    <w:unhideWhenUsed/>
    <w:qFormat/>
    <w:rsid w:val="00AA054E"/>
    <w:pPr>
      <w:keepNext/>
      <w:keepLines/>
      <w:numPr>
        <w:ilvl w:val="8"/>
        <w:numId w:val="3"/>
      </w:numPr>
      <w:spacing w:before="40"/>
      <w:outlineLvl w:val="8"/>
    </w:pPr>
    <w:rPr>
      <w:rFonts w:asciiTheme="majorHAnsi" w:eastAsiaTheme="majorEastAsia" w:hAnsiTheme="majorHAnsi" w:cstheme="majorBidi"/>
      <w:b/>
      <w:bCs/>
      <w:i/>
      <w:iCs/>
      <w:color w:val="44546A"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8F4642"/>
    <w:pPr>
      <w:contextualSpacing/>
    </w:pPr>
    <w:rPr>
      <w:rFonts w:asciiTheme="majorHAnsi" w:eastAsiaTheme="majorEastAsia" w:hAnsiTheme="majorHAnsi" w:cstheme="majorBidi"/>
      <w:b/>
      <w:color w:val="2F5496" w:themeColor="accent5" w:themeShade="BF"/>
      <w:spacing w:val="-10"/>
      <w:sz w:val="56"/>
      <w:szCs w:val="56"/>
    </w:rPr>
  </w:style>
  <w:style w:type="paragraph" w:styleId="NoSpacing">
    <w:name w:val="No Spacing"/>
    <w:link w:val="NoSpacingChar"/>
    <w:uiPriority w:val="1"/>
    <w:qFormat/>
    <w:rsid w:val="005B6B12"/>
  </w:style>
  <w:style w:type="character" w:customStyle="1" w:styleId="Heading4Char">
    <w:name w:val="Heading 4 Char"/>
    <w:basedOn w:val="DefaultParagraphFont"/>
    <w:link w:val="Heading4"/>
    <w:rsid w:val="00020300"/>
    <w:rPr>
      <w:rFonts w:asciiTheme="majorHAnsi" w:eastAsiaTheme="majorEastAsia" w:hAnsiTheme="majorHAnsi" w:cstheme="majorBidi"/>
      <w:sz w:val="24"/>
      <w:szCs w:val="22"/>
      <w:lang w:val="en-GB" w:eastAsia="en-GB"/>
    </w:rPr>
  </w:style>
  <w:style w:type="character" w:customStyle="1" w:styleId="Heading3Char">
    <w:name w:val="Heading 3 Char"/>
    <w:basedOn w:val="DefaultParagraphFont"/>
    <w:link w:val="Heading3"/>
    <w:rsid w:val="00020300"/>
    <w:rPr>
      <w:rFonts w:asciiTheme="majorHAnsi" w:eastAsiaTheme="majorEastAsia" w:hAnsiTheme="majorHAnsi" w:cstheme="majorBidi"/>
      <w:sz w:val="24"/>
      <w:szCs w:val="24"/>
      <w:lang w:val="en-GB" w:eastAsia="en-GB"/>
    </w:rPr>
  </w:style>
  <w:style w:type="character" w:customStyle="1" w:styleId="Heading1Char">
    <w:name w:val="Heading 1 Char"/>
    <w:basedOn w:val="DefaultParagraphFont"/>
    <w:link w:val="Heading1"/>
    <w:rsid w:val="00FE0BD8"/>
    <w:rPr>
      <w:rFonts w:asciiTheme="majorHAnsi" w:eastAsiaTheme="majorEastAsia" w:hAnsiTheme="majorHAnsi" w:cstheme="majorBidi"/>
      <w:b/>
      <w:sz w:val="32"/>
      <w:szCs w:val="32"/>
      <w:lang w:val="en-GB" w:eastAsia="en-GB"/>
    </w:rPr>
  </w:style>
  <w:style w:type="character" w:customStyle="1" w:styleId="Heading2Char">
    <w:name w:val="Heading 2 Char"/>
    <w:basedOn w:val="DefaultParagraphFont"/>
    <w:link w:val="Heading2"/>
    <w:rsid w:val="003C167E"/>
    <w:rPr>
      <w:rFonts w:asciiTheme="majorHAnsi" w:eastAsiaTheme="majorEastAsia" w:hAnsiTheme="majorHAnsi" w:cstheme="majorBidi"/>
      <w:b/>
      <w:sz w:val="28"/>
      <w:szCs w:val="28"/>
      <w:lang w:val="en-GB" w:eastAsia="en-GB"/>
    </w:rPr>
  </w:style>
  <w:style w:type="paragraph" w:customStyle="1" w:styleId="Subtitle1">
    <w:name w:val="Subtitle1"/>
    <w:basedOn w:val="Normal"/>
    <w:link w:val="Subtitle1Char"/>
    <w:autoRedefine/>
    <w:rsid w:val="003C4EB5"/>
    <w:pPr>
      <w:tabs>
        <w:tab w:val="left" w:pos="414"/>
      </w:tabs>
    </w:pPr>
    <w:rPr>
      <w:b/>
    </w:rPr>
  </w:style>
  <w:style w:type="character" w:customStyle="1" w:styleId="Subtitle1Char">
    <w:name w:val="Subtitle1 Char"/>
    <w:basedOn w:val="DefaultParagraphFont"/>
    <w:link w:val="Subtitle1"/>
    <w:rsid w:val="003C4EB5"/>
    <w:rPr>
      <w:rFonts w:cs="Times New Roman"/>
      <w:b/>
      <w:sz w:val="20"/>
      <w:szCs w:val="24"/>
      <w:lang w:val="en-GB" w:eastAsia="de-DE"/>
    </w:rPr>
  </w:style>
  <w:style w:type="paragraph" w:customStyle="1" w:styleId="Title1">
    <w:name w:val="Title 1"/>
    <w:basedOn w:val="ListParagraph"/>
    <w:link w:val="Title1Char"/>
    <w:autoRedefine/>
    <w:rsid w:val="002574D1"/>
    <w:pPr>
      <w:numPr>
        <w:numId w:val="2"/>
      </w:numPr>
    </w:pPr>
    <w:rPr>
      <w:b/>
      <w:sz w:val="28"/>
    </w:rPr>
  </w:style>
  <w:style w:type="character" w:customStyle="1" w:styleId="Title1Char">
    <w:name w:val="Title 1 Char"/>
    <w:basedOn w:val="DefaultParagraphFont"/>
    <w:link w:val="Title1"/>
    <w:rsid w:val="003C4EB5"/>
    <w:rPr>
      <w:rFonts w:eastAsiaTheme="majorEastAsia" w:cstheme="minorHAnsi"/>
      <w:b/>
      <w:sz w:val="28"/>
      <w:szCs w:val="22"/>
      <w:lang w:val="en-GB" w:eastAsia="en-GB"/>
    </w:rPr>
  </w:style>
  <w:style w:type="paragraph" w:styleId="ListParagraph">
    <w:name w:val="List Paragraph"/>
    <w:aliases w:val="Paragraphe EI,Paragraphe de liste1,EC,Paragraphe de liste,Normal Nivel 1,List Paragraph Main,List first level,List Paragraph_Sections"/>
    <w:basedOn w:val="Normal"/>
    <w:link w:val="ListParagraphChar"/>
    <w:autoRedefine/>
    <w:uiPriority w:val="34"/>
    <w:qFormat/>
    <w:rsid w:val="00695AF2"/>
    <w:pPr>
      <w:tabs>
        <w:tab w:val="left" w:pos="0"/>
        <w:tab w:val="left" w:pos="142"/>
        <w:tab w:val="left" w:pos="284"/>
        <w:tab w:val="left" w:pos="567"/>
        <w:tab w:val="num" w:pos="720"/>
      </w:tabs>
      <w:autoSpaceDE w:val="0"/>
      <w:autoSpaceDN w:val="0"/>
      <w:adjustRightInd w:val="0"/>
      <w:spacing w:line="264" w:lineRule="auto"/>
      <w:ind w:left="720" w:hanging="720"/>
      <w:jc w:val="both"/>
    </w:pPr>
    <w:rPr>
      <w:rFonts w:asciiTheme="minorHAnsi" w:eastAsiaTheme="majorEastAsia" w:hAnsiTheme="minorHAnsi" w:cstheme="minorHAnsi"/>
      <w:sz w:val="22"/>
      <w:szCs w:val="22"/>
    </w:rPr>
  </w:style>
  <w:style w:type="paragraph" w:customStyle="1" w:styleId="Title3">
    <w:name w:val="Title 3"/>
    <w:basedOn w:val="ListParagraph"/>
    <w:link w:val="Title3Char"/>
    <w:autoRedefine/>
    <w:rsid w:val="002574D1"/>
    <w:pPr>
      <w:numPr>
        <w:ilvl w:val="3"/>
        <w:numId w:val="2"/>
      </w:numPr>
    </w:pPr>
  </w:style>
  <w:style w:type="character" w:customStyle="1" w:styleId="Title3Char">
    <w:name w:val="Title 3 Char"/>
    <w:basedOn w:val="DefaultParagraphFont"/>
    <w:link w:val="Title3"/>
    <w:rsid w:val="003C4EB5"/>
    <w:rPr>
      <w:rFonts w:eastAsiaTheme="majorEastAsia" w:cstheme="minorHAnsi"/>
      <w:sz w:val="22"/>
      <w:szCs w:val="22"/>
      <w:lang w:val="en-GB" w:eastAsia="en-GB"/>
    </w:rPr>
  </w:style>
  <w:style w:type="paragraph" w:customStyle="1" w:styleId="Title2">
    <w:name w:val="Title 2"/>
    <w:basedOn w:val="Title1"/>
    <w:link w:val="Title2Char"/>
    <w:autoRedefine/>
    <w:rsid w:val="002574D1"/>
    <w:pPr>
      <w:numPr>
        <w:ilvl w:val="1"/>
        <w:numId w:val="1"/>
      </w:numPr>
      <w:ind w:left="0" w:firstLine="0"/>
    </w:pPr>
  </w:style>
  <w:style w:type="character" w:customStyle="1" w:styleId="Title2Char">
    <w:name w:val="Title 2 Char"/>
    <w:basedOn w:val="Title1Char"/>
    <w:link w:val="Title2"/>
    <w:rsid w:val="002574D1"/>
    <w:rPr>
      <w:rFonts w:eastAsiaTheme="majorEastAsia" w:cstheme="minorHAnsi"/>
      <w:b/>
      <w:sz w:val="28"/>
      <w:szCs w:val="22"/>
      <w:lang w:val="en-GB" w:eastAsia="en-GB"/>
    </w:rPr>
  </w:style>
  <w:style w:type="paragraph" w:customStyle="1" w:styleId="Title4">
    <w:name w:val="Title 4"/>
    <w:basedOn w:val="Title3"/>
    <w:link w:val="Title4Char"/>
    <w:autoRedefine/>
    <w:rsid w:val="003C4EB5"/>
    <w:pPr>
      <w:numPr>
        <w:ilvl w:val="0"/>
        <w:numId w:val="0"/>
      </w:numPr>
      <w:spacing w:before="120"/>
      <w:ind w:left="646" w:hanging="646"/>
    </w:pPr>
    <w:rPr>
      <w:rFonts w:eastAsia="Times New Roman"/>
      <w:lang w:val="fr-BE"/>
    </w:rPr>
  </w:style>
  <w:style w:type="character" w:customStyle="1" w:styleId="Title4Char">
    <w:name w:val="Title 4 Char"/>
    <w:basedOn w:val="Title3Char"/>
    <w:link w:val="Title4"/>
    <w:rsid w:val="003C4EB5"/>
    <w:rPr>
      <w:rFonts w:asciiTheme="majorHAnsi" w:eastAsiaTheme="majorEastAsia" w:hAnsiTheme="majorHAnsi" w:cstheme="majorBidi"/>
      <w:sz w:val="22"/>
      <w:szCs w:val="22"/>
      <w:lang w:val="fr-BE" w:eastAsia="en-GB"/>
    </w:rPr>
  </w:style>
  <w:style w:type="paragraph" w:customStyle="1" w:styleId="DocumentTitle">
    <w:name w:val="Document Title"/>
    <w:basedOn w:val="Normal"/>
    <w:link w:val="DocumentTitleChar"/>
    <w:autoRedefine/>
    <w:rsid w:val="003C4EB5"/>
    <w:pPr>
      <w:framePr w:hSpace="8505" w:wrap="around" w:vAnchor="page" w:hAnchor="page" w:x="1248" w:y="4401"/>
      <w:spacing w:line="400" w:lineRule="exact"/>
    </w:pPr>
    <w:rPr>
      <w:rFonts w:asciiTheme="majorHAnsi" w:hAnsiTheme="majorHAnsi"/>
      <w:b/>
      <w:color w:val="2D4190"/>
      <w:sz w:val="48"/>
    </w:rPr>
  </w:style>
  <w:style w:type="character" w:customStyle="1" w:styleId="DocumentTitleChar">
    <w:name w:val="Document Title Char"/>
    <w:basedOn w:val="DefaultParagraphFont"/>
    <w:link w:val="DocumentTitle"/>
    <w:rsid w:val="003C4EB5"/>
    <w:rPr>
      <w:rFonts w:asciiTheme="majorHAnsi" w:hAnsiTheme="majorHAnsi" w:cs="Times New Roman"/>
      <w:b/>
      <w:color w:val="2D4190"/>
      <w:sz w:val="48"/>
      <w:szCs w:val="24"/>
      <w:lang w:val="en-GB" w:eastAsia="de-DE"/>
    </w:rPr>
  </w:style>
  <w:style w:type="paragraph" w:customStyle="1" w:styleId="DocumentSubtitle">
    <w:name w:val="Document Subtitle"/>
    <w:basedOn w:val="Normal"/>
    <w:link w:val="DocumentSubtitleChar"/>
    <w:autoRedefine/>
    <w:rsid w:val="003C4EB5"/>
    <w:pPr>
      <w:framePr w:hSpace="8505" w:wrap="around" w:vAnchor="page" w:hAnchor="page" w:x="1248" w:y="4401"/>
    </w:pPr>
    <w:rPr>
      <w:rFonts w:asciiTheme="majorHAnsi" w:hAnsiTheme="majorHAnsi"/>
      <w:color w:val="000000"/>
      <w:sz w:val="28"/>
    </w:rPr>
  </w:style>
  <w:style w:type="character" w:customStyle="1" w:styleId="DocumentSubtitleChar">
    <w:name w:val="Document Subtitle Char"/>
    <w:basedOn w:val="DefaultParagraphFont"/>
    <w:link w:val="DocumentSubtitle"/>
    <w:rsid w:val="003C4EB5"/>
    <w:rPr>
      <w:rFonts w:asciiTheme="majorHAnsi" w:hAnsiTheme="majorHAnsi" w:cs="Times New Roman"/>
      <w:color w:val="000000"/>
      <w:sz w:val="28"/>
      <w:szCs w:val="24"/>
      <w:lang w:val="en-GB" w:eastAsia="de-DE"/>
    </w:rPr>
  </w:style>
  <w:style w:type="paragraph" w:customStyle="1" w:styleId="Introductiontitle">
    <w:name w:val="Introduction title"/>
    <w:basedOn w:val="Normal"/>
    <w:link w:val="IntroductiontitleChar"/>
    <w:autoRedefine/>
    <w:rsid w:val="003C4EB5"/>
    <w:rPr>
      <w:rFonts w:asciiTheme="majorHAnsi" w:hAnsiTheme="majorHAnsi"/>
      <w:b/>
      <w:sz w:val="28"/>
      <w:lang w:eastAsia="de-DE"/>
    </w:rPr>
  </w:style>
  <w:style w:type="character" w:customStyle="1" w:styleId="IntroductiontitleChar">
    <w:name w:val="Introduction title Char"/>
    <w:basedOn w:val="DefaultParagraphFont"/>
    <w:link w:val="Introductiontitle"/>
    <w:rsid w:val="003C4EB5"/>
    <w:rPr>
      <w:rFonts w:asciiTheme="majorHAnsi" w:hAnsiTheme="majorHAnsi" w:cs="Times New Roman"/>
      <w:b/>
      <w:sz w:val="28"/>
      <w:szCs w:val="24"/>
      <w:lang w:val="en-GB" w:eastAsia="de-DE"/>
    </w:rPr>
  </w:style>
  <w:style w:type="paragraph" w:customStyle="1" w:styleId="Introductionsubtitle">
    <w:name w:val="Introduction subtitle"/>
    <w:basedOn w:val="Normal"/>
    <w:link w:val="IntroductionsubtitleChar"/>
    <w:autoRedefine/>
    <w:rsid w:val="003C4EB5"/>
    <w:pPr>
      <w:tabs>
        <w:tab w:val="left" w:pos="414"/>
      </w:tabs>
    </w:pPr>
    <w:rPr>
      <w:rFonts w:asciiTheme="majorHAnsi" w:hAnsiTheme="majorHAnsi"/>
      <w:b/>
      <w:lang w:eastAsia="de-DE"/>
    </w:rPr>
  </w:style>
  <w:style w:type="character" w:customStyle="1" w:styleId="IntroductionsubtitleChar">
    <w:name w:val="Introduction subtitle Char"/>
    <w:basedOn w:val="DefaultParagraphFont"/>
    <w:link w:val="Introductionsubtitle"/>
    <w:rsid w:val="003C4EB5"/>
    <w:rPr>
      <w:rFonts w:asciiTheme="majorHAnsi" w:hAnsiTheme="majorHAnsi" w:cs="Times New Roman"/>
      <w:b/>
      <w:szCs w:val="24"/>
      <w:lang w:val="en-GB" w:eastAsia="de-DE"/>
    </w:rPr>
  </w:style>
  <w:style w:type="paragraph" w:customStyle="1" w:styleId="Introductionheading">
    <w:name w:val="Introduction heading"/>
    <w:basedOn w:val="Normal"/>
    <w:link w:val="IntroductionheadingChar"/>
    <w:autoRedefine/>
    <w:rsid w:val="00044C5A"/>
    <w:pPr>
      <w:spacing w:line="300" w:lineRule="exact"/>
    </w:pPr>
    <w:rPr>
      <w:b/>
      <w:sz w:val="28"/>
      <w:lang w:eastAsia="de-DE"/>
    </w:rPr>
  </w:style>
  <w:style w:type="character" w:customStyle="1" w:styleId="IntroductionheadingChar">
    <w:name w:val="Introduction heading Char"/>
    <w:basedOn w:val="DefaultParagraphFont"/>
    <w:link w:val="Introductionheading"/>
    <w:rsid w:val="00044C5A"/>
    <w:rPr>
      <w:rFonts w:ascii="Arial" w:eastAsia="Times New Roman" w:hAnsi="Arial" w:cs="Times New Roman"/>
      <w:b/>
      <w:sz w:val="28"/>
      <w:szCs w:val="24"/>
      <w:lang w:val="en-GB" w:eastAsia="de-DE"/>
    </w:rPr>
  </w:style>
  <w:style w:type="character" w:customStyle="1" w:styleId="Heading5Char">
    <w:name w:val="Heading 5 Char"/>
    <w:basedOn w:val="DefaultParagraphFont"/>
    <w:link w:val="Heading5"/>
    <w:uiPriority w:val="9"/>
    <w:rsid w:val="007E7997"/>
    <w:rPr>
      <w:rFonts w:asciiTheme="majorHAnsi" w:eastAsiaTheme="majorEastAsia" w:hAnsiTheme="majorHAnsi" w:cstheme="majorBidi"/>
      <w:sz w:val="24"/>
      <w:szCs w:val="22"/>
      <w:lang w:val="en-GB" w:eastAsia="en-GB"/>
    </w:rPr>
  </w:style>
  <w:style w:type="paragraph" w:styleId="BodyText">
    <w:name w:val="Body Text"/>
    <w:basedOn w:val="Normal"/>
    <w:link w:val="BodyTextChar"/>
    <w:uiPriority w:val="99"/>
    <w:semiHidden/>
    <w:unhideWhenUsed/>
    <w:rsid w:val="00044C5A"/>
  </w:style>
  <w:style w:type="character" w:customStyle="1" w:styleId="BodyTextChar">
    <w:name w:val="Body Text Char"/>
    <w:basedOn w:val="DefaultParagraphFont"/>
    <w:link w:val="BodyText"/>
    <w:uiPriority w:val="99"/>
    <w:semiHidden/>
    <w:rsid w:val="00044C5A"/>
    <w:rPr>
      <w:rFonts w:ascii="Arial" w:eastAsiaTheme="minorEastAsia" w:hAnsi="Arial"/>
    </w:rPr>
  </w:style>
  <w:style w:type="paragraph" w:styleId="BodyTextFirstIndent">
    <w:name w:val="Body Text First Indent"/>
    <w:basedOn w:val="BodyText"/>
    <w:link w:val="BodyTextFirstIndentChar"/>
    <w:uiPriority w:val="99"/>
    <w:semiHidden/>
    <w:unhideWhenUsed/>
    <w:rsid w:val="00044C5A"/>
    <w:pPr>
      <w:ind w:firstLine="360"/>
    </w:pPr>
  </w:style>
  <w:style w:type="character" w:customStyle="1" w:styleId="BodyTextFirstIndentChar">
    <w:name w:val="Body Text First Indent Char"/>
    <w:basedOn w:val="BodyTextChar"/>
    <w:link w:val="BodyTextFirstIndent"/>
    <w:uiPriority w:val="99"/>
    <w:semiHidden/>
    <w:rsid w:val="00044C5A"/>
    <w:rPr>
      <w:rFonts w:ascii="Arial" w:eastAsiaTheme="minorEastAsia" w:hAnsi="Arial"/>
    </w:rPr>
  </w:style>
  <w:style w:type="character" w:customStyle="1" w:styleId="Heading6Char">
    <w:name w:val="Heading 6 Char"/>
    <w:basedOn w:val="DefaultParagraphFont"/>
    <w:link w:val="Heading6"/>
    <w:rsid w:val="00AA054E"/>
    <w:rPr>
      <w:rFonts w:asciiTheme="majorHAnsi" w:eastAsiaTheme="majorEastAsia" w:hAnsiTheme="majorHAnsi" w:cstheme="majorBidi"/>
      <w:i/>
      <w:iCs/>
      <w:color w:val="44546A" w:themeColor="text2"/>
      <w:sz w:val="21"/>
      <w:szCs w:val="21"/>
      <w:lang w:val="en-GB" w:eastAsia="en-GB"/>
    </w:rPr>
  </w:style>
  <w:style w:type="character" w:customStyle="1" w:styleId="TitleChar">
    <w:name w:val="Title Char"/>
    <w:basedOn w:val="DefaultParagraphFont"/>
    <w:link w:val="Title"/>
    <w:uiPriority w:val="10"/>
    <w:rsid w:val="008F4642"/>
    <w:rPr>
      <w:rFonts w:asciiTheme="majorHAnsi" w:eastAsiaTheme="majorEastAsia" w:hAnsiTheme="majorHAnsi" w:cstheme="majorBidi"/>
      <w:b/>
      <w:color w:val="2F5496" w:themeColor="accent5" w:themeShade="BF"/>
      <w:spacing w:val="-10"/>
      <w:sz w:val="56"/>
      <w:szCs w:val="56"/>
      <w:lang w:val="en-GB"/>
    </w:rPr>
  </w:style>
  <w:style w:type="paragraph" w:styleId="Subtitle">
    <w:name w:val="Subtitle"/>
    <w:basedOn w:val="Normal"/>
    <w:next w:val="Normal"/>
    <w:link w:val="SubtitleChar"/>
    <w:uiPriority w:val="11"/>
    <w:qFormat/>
    <w:rPr>
      <w:rFonts w:ascii="Arial" w:eastAsia="Arial" w:hAnsi="Arial" w:cs="Arial"/>
      <w:b/>
      <w:sz w:val="28"/>
      <w:szCs w:val="28"/>
    </w:rPr>
  </w:style>
  <w:style w:type="character" w:customStyle="1" w:styleId="SubtitleChar">
    <w:name w:val="Subtitle Char"/>
    <w:basedOn w:val="DefaultParagraphFont"/>
    <w:link w:val="Subtitle"/>
    <w:uiPriority w:val="11"/>
    <w:rsid w:val="00366D42"/>
    <w:rPr>
      <w:rFonts w:asciiTheme="majorHAnsi" w:eastAsiaTheme="majorEastAsia" w:hAnsiTheme="majorHAnsi" w:cstheme="majorBidi"/>
      <w:b/>
      <w:sz w:val="28"/>
      <w:szCs w:val="24"/>
      <w:lang w:val="en-GB"/>
    </w:rPr>
  </w:style>
  <w:style w:type="character" w:customStyle="1" w:styleId="Heading7Char">
    <w:name w:val="Heading 7 Char"/>
    <w:basedOn w:val="DefaultParagraphFont"/>
    <w:link w:val="Heading7"/>
    <w:rsid w:val="00AA054E"/>
    <w:rPr>
      <w:rFonts w:asciiTheme="majorHAnsi" w:eastAsiaTheme="majorEastAsia" w:hAnsiTheme="majorHAnsi" w:cstheme="majorBidi"/>
      <w:i/>
      <w:iCs/>
      <w:color w:val="1F4E79" w:themeColor="accent1" w:themeShade="80"/>
      <w:sz w:val="21"/>
      <w:szCs w:val="21"/>
      <w:lang w:val="en-GB" w:eastAsia="en-GB"/>
    </w:rPr>
  </w:style>
  <w:style w:type="character" w:customStyle="1" w:styleId="Heading8Char">
    <w:name w:val="Heading 8 Char"/>
    <w:basedOn w:val="DefaultParagraphFont"/>
    <w:link w:val="Heading8"/>
    <w:rsid w:val="00AA054E"/>
    <w:rPr>
      <w:rFonts w:asciiTheme="majorHAnsi" w:eastAsiaTheme="majorEastAsia" w:hAnsiTheme="majorHAnsi" w:cstheme="majorBidi"/>
      <w:b/>
      <w:bCs/>
      <w:color w:val="44546A" w:themeColor="text2"/>
      <w:sz w:val="24"/>
      <w:szCs w:val="24"/>
      <w:lang w:val="en-GB" w:eastAsia="en-GB"/>
    </w:rPr>
  </w:style>
  <w:style w:type="character" w:customStyle="1" w:styleId="Heading9Char">
    <w:name w:val="Heading 9 Char"/>
    <w:basedOn w:val="DefaultParagraphFont"/>
    <w:link w:val="Heading9"/>
    <w:rsid w:val="00AA054E"/>
    <w:rPr>
      <w:rFonts w:asciiTheme="majorHAnsi" w:eastAsiaTheme="majorEastAsia" w:hAnsiTheme="majorHAnsi" w:cstheme="majorBidi"/>
      <w:b/>
      <w:bCs/>
      <w:i/>
      <w:iCs/>
      <w:color w:val="44546A" w:themeColor="text2"/>
      <w:sz w:val="24"/>
      <w:szCs w:val="24"/>
      <w:lang w:val="en-GB" w:eastAsia="en-GB"/>
    </w:rPr>
  </w:style>
  <w:style w:type="paragraph" w:styleId="Caption">
    <w:name w:val="caption"/>
    <w:basedOn w:val="Normal"/>
    <w:next w:val="Normal"/>
    <w:uiPriority w:val="35"/>
    <w:semiHidden/>
    <w:unhideWhenUsed/>
    <w:qFormat/>
    <w:rsid w:val="00AA054E"/>
    <w:rPr>
      <w:b/>
      <w:bCs/>
      <w:smallCaps/>
      <w:color w:val="595959" w:themeColor="text1" w:themeTint="A6"/>
      <w:spacing w:val="6"/>
    </w:rPr>
  </w:style>
  <w:style w:type="character" w:styleId="Strong">
    <w:name w:val="Strong"/>
    <w:basedOn w:val="DefaultParagraphFont"/>
    <w:uiPriority w:val="22"/>
    <w:qFormat/>
    <w:rsid w:val="00AA054E"/>
    <w:rPr>
      <w:b/>
      <w:bCs/>
    </w:rPr>
  </w:style>
  <w:style w:type="character" w:styleId="Emphasis">
    <w:name w:val="Emphasis"/>
    <w:basedOn w:val="DefaultParagraphFont"/>
    <w:uiPriority w:val="20"/>
    <w:qFormat/>
    <w:rsid w:val="00AA054E"/>
    <w:rPr>
      <w:i/>
      <w:iCs/>
    </w:rPr>
  </w:style>
  <w:style w:type="paragraph" w:styleId="Quote">
    <w:name w:val="Quote"/>
    <w:basedOn w:val="Normal"/>
    <w:next w:val="Normal"/>
    <w:link w:val="QuoteChar"/>
    <w:uiPriority w:val="29"/>
    <w:qFormat/>
    <w:rsid w:val="00AA054E"/>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AA054E"/>
    <w:rPr>
      <w:i/>
      <w:iCs/>
      <w:color w:val="404040" w:themeColor="text1" w:themeTint="BF"/>
    </w:rPr>
  </w:style>
  <w:style w:type="paragraph" w:styleId="IntenseQuote">
    <w:name w:val="Intense Quote"/>
    <w:basedOn w:val="Normal"/>
    <w:next w:val="Normal"/>
    <w:link w:val="IntenseQuoteChar"/>
    <w:uiPriority w:val="30"/>
    <w:qFormat/>
    <w:rsid w:val="00AA054E"/>
    <w:pPr>
      <w:pBdr>
        <w:left w:val="single" w:sz="18" w:space="12" w:color="5B9BD5" w:themeColor="accent1"/>
      </w:pBdr>
      <w:spacing w:before="100" w:beforeAutospacing="1" w:line="300" w:lineRule="auto"/>
      <w:ind w:left="1224" w:right="1224"/>
    </w:pPr>
    <w:rPr>
      <w:rFonts w:asciiTheme="majorHAnsi" w:eastAsiaTheme="majorEastAsia" w:hAnsiTheme="majorHAnsi" w:cstheme="majorBidi"/>
      <w:color w:val="5B9BD5" w:themeColor="accent1"/>
      <w:sz w:val="28"/>
      <w:szCs w:val="28"/>
    </w:rPr>
  </w:style>
  <w:style w:type="character" w:customStyle="1" w:styleId="IntenseQuoteChar">
    <w:name w:val="Intense Quote Char"/>
    <w:basedOn w:val="DefaultParagraphFont"/>
    <w:link w:val="IntenseQuote"/>
    <w:uiPriority w:val="30"/>
    <w:rsid w:val="00AA054E"/>
    <w:rPr>
      <w:rFonts w:asciiTheme="majorHAnsi" w:eastAsiaTheme="majorEastAsia" w:hAnsiTheme="majorHAnsi" w:cstheme="majorBidi"/>
      <w:color w:val="5B9BD5" w:themeColor="accent1"/>
      <w:sz w:val="28"/>
      <w:szCs w:val="28"/>
    </w:rPr>
  </w:style>
  <w:style w:type="character" w:styleId="SubtleEmphasis">
    <w:name w:val="Subtle Emphasis"/>
    <w:aliases w:val="Text,Emphase pâle,Diskret betoning"/>
    <w:basedOn w:val="DefaultParagraphFont"/>
    <w:uiPriority w:val="19"/>
    <w:qFormat/>
    <w:rsid w:val="00287C8F"/>
    <w:rPr>
      <w:rFonts w:asciiTheme="majorHAnsi" w:hAnsiTheme="majorHAnsi"/>
      <w:i/>
      <w:iCs/>
      <w:color w:val="auto"/>
      <w:sz w:val="22"/>
    </w:rPr>
  </w:style>
  <w:style w:type="character" w:styleId="IntenseEmphasis">
    <w:name w:val="Intense Emphasis"/>
    <w:basedOn w:val="DefaultParagraphFont"/>
    <w:uiPriority w:val="21"/>
    <w:qFormat/>
    <w:rsid w:val="00AA054E"/>
    <w:rPr>
      <w:b/>
      <w:bCs/>
      <w:i/>
      <w:iCs/>
    </w:rPr>
  </w:style>
  <w:style w:type="character" w:styleId="SubtleReference">
    <w:name w:val="Subtle Reference"/>
    <w:basedOn w:val="DefaultParagraphFont"/>
    <w:uiPriority w:val="31"/>
    <w:qFormat/>
    <w:rsid w:val="00AA054E"/>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AA054E"/>
    <w:rPr>
      <w:b/>
      <w:bCs/>
      <w:smallCaps/>
      <w:spacing w:val="5"/>
      <w:u w:val="single"/>
    </w:rPr>
  </w:style>
  <w:style w:type="character" w:styleId="BookTitle">
    <w:name w:val="Book Title"/>
    <w:basedOn w:val="DefaultParagraphFont"/>
    <w:uiPriority w:val="33"/>
    <w:qFormat/>
    <w:rsid w:val="00AA054E"/>
    <w:rPr>
      <w:b/>
      <w:bCs/>
      <w:smallCaps/>
    </w:rPr>
  </w:style>
  <w:style w:type="paragraph" w:styleId="TOCHeading">
    <w:name w:val="TOC Heading"/>
    <w:basedOn w:val="Heading1"/>
    <w:next w:val="Normal"/>
    <w:uiPriority w:val="39"/>
    <w:unhideWhenUsed/>
    <w:qFormat/>
    <w:rsid w:val="00AA054E"/>
    <w:pPr>
      <w:outlineLvl w:val="9"/>
    </w:pPr>
  </w:style>
  <w:style w:type="character" w:customStyle="1" w:styleId="NoSpacingChar">
    <w:name w:val="No Spacing Char"/>
    <w:basedOn w:val="DefaultParagraphFont"/>
    <w:link w:val="NoSpacing"/>
    <w:uiPriority w:val="1"/>
    <w:rsid w:val="005B6B12"/>
    <w:rPr>
      <w:lang w:val="en-GB"/>
    </w:rPr>
  </w:style>
  <w:style w:type="paragraph" w:styleId="Header">
    <w:name w:val="header"/>
    <w:basedOn w:val="Normal"/>
    <w:link w:val="HeaderChar"/>
    <w:unhideWhenUsed/>
    <w:qFormat/>
    <w:rsid w:val="007E7997"/>
    <w:pPr>
      <w:tabs>
        <w:tab w:val="center" w:pos="4536"/>
        <w:tab w:val="right" w:pos="9072"/>
      </w:tabs>
    </w:pPr>
  </w:style>
  <w:style w:type="character" w:customStyle="1" w:styleId="HeaderChar">
    <w:name w:val="Header Char"/>
    <w:basedOn w:val="DefaultParagraphFont"/>
    <w:link w:val="Header"/>
    <w:rsid w:val="007E7997"/>
    <w:rPr>
      <w:sz w:val="22"/>
    </w:rPr>
  </w:style>
  <w:style w:type="paragraph" w:styleId="Footer">
    <w:name w:val="footer"/>
    <w:basedOn w:val="Normal"/>
    <w:link w:val="FooterChar"/>
    <w:uiPriority w:val="99"/>
    <w:unhideWhenUsed/>
    <w:rsid w:val="007E7997"/>
    <w:pPr>
      <w:tabs>
        <w:tab w:val="center" w:pos="4536"/>
        <w:tab w:val="right" w:pos="9072"/>
      </w:tabs>
    </w:pPr>
  </w:style>
  <w:style w:type="character" w:customStyle="1" w:styleId="FooterChar">
    <w:name w:val="Footer Char"/>
    <w:basedOn w:val="DefaultParagraphFont"/>
    <w:link w:val="Footer"/>
    <w:uiPriority w:val="99"/>
    <w:rsid w:val="007E7997"/>
    <w:rPr>
      <w:sz w:val="22"/>
    </w:rPr>
  </w:style>
  <w:style w:type="paragraph" w:customStyle="1" w:styleId="00aPagenumber">
    <w:name w:val="00a_Page number"/>
    <w:basedOn w:val="Normal"/>
    <w:rsid w:val="007E7997"/>
    <w:pPr>
      <w:spacing w:line="280" w:lineRule="atLeast"/>
      <w:jc w:val="right"/>
    </w:pPr>
    <w:rPr>
      <w:rFonts w:ascii="Georgia" w:hAnsi="Georgia"/>
      <w:color w:val="000000"/>
      <w:lang w:eastAsia="de-DE"/>
    </w:rPr>
  </w:style>
  <w:style w:type="paragraph" w:customStyle="1" w:styleId="02Date">
    <w:name w:val="02_Date"/>
    <w:basedOn w:val="Normal"/>
    <w:rsid w:val="00636E02"/>
    <w:pPr>
      <w:spacing w:line="220" w:lineRule="exact"/>
    </w:pPr>
    <w:rPr>
      <w:rFonts w:ascii="Georgia" w:hAnsi="Georgia"/>
      <w:sz w:val="17"/>
      <w:lang w:eastAsia="de-DE"/>
    </w:rPr>
  </w:style>
  <w:style w:type="paragraph" w:styleId="TOC1">
    <w:name w:val="toc 1"/>
    <w:basedOn w:val="Normal"/>
    <w:next w:val="Normal"/>
    <w:autoRedefine/>
    <w:uiPriority w:val="39"/>
    <w:unhideWhenUsed/>
    <w:rsid w:val="00B81A44"/>
    <w:pPr>
      <w:tabs>
        <w:tab w:val="left" w:pos="440"/>
        <w:tab w:val="right" w:leader="dot" w:pos="9062"/>
      </w:tabs>
      <w:spacing w:after="100"/>
    </w:pPr>
  </w:style>
  <w:style w:type="paragraph" w:styleId="TOC2">
    <w:name w:val="toc 2"/>
    <w:basedOn w:val="Normal"/>
    <w:next w:val="Normal"/>
    <w:autoRedefine/>
    <w:uiPriority w:val="39"/>
    <w:unhideWhenUsed/>
    <w:rsid w:val="00BC422A"/>
    <w:pPr>
      <w:spacing w:after="100"/>
      <w:ind w:left="220"/>
    </w:pPr>
  </w:style>
  <w:style w:type="paragraph" w:styleId="TOC3">
    <w:name w:val="toc 3"/>
    <w:basedOn w:val="Normal"/>
    <w:next w:val="Normal"/>
    <w:autoRedefine/>
    <w:uiPriority w:val="39"/>
    <w:unhideWhenUsed/>
    <w:rsid w:val="00BC422A"/>
    <w:pPr>
      <w:spacing w:after="100"/>
      <w:ind w:left="440"/>
    </w:pPr>
  </w:style>
  <w:style w:type="character" w:styleId="Hyperlink">
    <w:name w:val="Hyperlink"/>
    <w:basedOn w:val="DefaultParagraphFont"/>
    <w:uiPriority w:val="99"/>
    <w:unhideWhenUsed/>
    <w:rsid w:val="00BC422A"/>
    <w:rPr>
      <w:color w:val="0563C1" w:themeColor="hyperlink"/>
      <w:u w:val="single"/>
    </w:rPr>
  </w:style>
  <w:style w:type="paragraph" w:customStyle="1" w:styleId="Questionstyle">
    <w:name w:val="Question style"/>
    <w:basedOn w:val="Normal"/>
    <w:next w:val="Normal"/>
    <w:link w:val="QuestionstyleChar"/>
    <w:autoRedefine/>
    <w:qFormat/>
    <w:rsid w:val="00871163"/>
    <w:pPr>
      <w:tabs>
        <w:tab w:val="num" w:pos="720"/>
      </w:tabs>
      <w:spacing w:after="250" w:line="276" w:lineRule="auto"/>
      <w:ind w:left="720" w:hanging="720"/>
      <w:contextualSpacing/>
      <w:jc w:val="both"/>
    </w:pPr>
    <w:rPr>
      <w:rFonts w:asciiTheme="minorHAnsi" w:hAnsiTheme="minorHAnsi" w:cstheme="minorHAnsi"/>
      <w:b/>
      <w:bCs/>
      <w:sz w:val="22"/>
      <w:szCs w:val="22"/>
    </w:rPr>
  </w:style>
  <w:style w:type="character" w:customStyle="1" w:styleId="QuestionstyleChar">
    <w:name w:val="Question style Char"/>
    <w:basedOn w:val="DefaultParagraphFont"/>
    <w:link w:val="Questionstyle"/>
    <w:rsid w:val="00871163"/>
    <w:rPr>
      <w:rFonts w:asciiTheme="minorHAnsi" w:hAnsiTheme="minorHAnsi" w:cstheme="minorHAnsi"/>
      <w:b/>
      <w:bCs/>
      <w:sz w:val="22"/>
      <w:szCs w:val="22"/>
    </w:rPr>
  </w:style>
  <w:style w:type="paragraph" w:customStyle="1" w:styleId="Listing2">
    <w:name w:val="Listing2"/>
    <w:basedOn w:val="Normal"/>
    <w:link w:val="Listing2Char"/>
    <w:autoRedefine/>
    <w:rsid w:val="00DF3785"/>
  </w:style>
  <w:style w:type="character" w:customStyle="1" w:styleId="Listing2Char">
    <w:name w:val="Listing2 Char"/>
    <w:basedOn w:val="DefaultParagraphFont"/>
    <w:link w:val="Listing2"/>
    <w:rsid w:val="00DF3785"/>
    <w:rPr>
      <w:lang w:val="en-GB"/>
    </w:rPr>
  </w:style>
  <w:style w:type="table" w:styleId="TableGrid">
    <w:name w:val="Table Grid"/>
    <w:basedOn w:val="TableNormal"/>
    <w:uiPriority w:val="39"/>
    <w:rsid w:val="00B91B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B50534"/>
  </w:style>
  <w:style w:type="character" w:customStyle="1" w:styleId="EndnoteTextChar">
    <w:name w:val="Endnote Text Char"/>
    <w:basedOn w:val="DefaultParagraphFont"/>
    <w:link w:val="EndnoteText"/>
    <w:uiPriority w:val="99"/>
    <w:semiHidden/>
    <w:rsid w:val="00B50534"/>
    <w:rPr>
      <w:lang w:val="en-GB"/>
    </w:rPr>
  </w:style>
  <w:style w:type="character" w:styleId="EndnoteReference">
    <w:name w:val="endnote reference"/>
    <w:basedOn w:val="DefaultParagraphFont"/>
    <w:uiPriority w:val="99"/>
    <w:semiHidden/>
    <w:unhideWhenUsed/>
    <w:rsid w:val="00B50534"/>
    <w:rPr>
      <w:vertAlign w:val="superscript"/>
    </w:rPr>
  </w:style>
  <w:style w:type="paragraph" w:styleId="FootnoteText">
    <w:name w:val="footnote text"/>
    <w:basedOn w:val="Normal"/>
    <w:link w:val="FootnoteTextChar"/>
    <w:autoRedefine/>
    <w:uiPriority w:val="99"/>
    <w:semiHidden/>
    <w:unhideWhenUsed/>
    <w:qFormat/>
    <w:rsid w:val="006F53E8"/>
    <w:rPr>
      <w:sz w:val="16"/>
    </w:rPr>
  </w:style>
  <w:style w:type="character" w:customStyle="1" w:styleId="FootnoteTextChar">
    <w:name w:val="Footnote Text Char"/>
    <w:basedOn w:val="DefaultParagraphFont"/>
    <w:link w:val="FootnoteText"/>
    <w:uiPriority w:val="99"/>
    <w:semiHidden/>
    <w:rsid w:val="006F53E8"/>
    <w:rPr>
      <w:sz w:val="16"/>
      <w:lang w:val="en-GB"/>
    </w:rPr>
  </w:style>
  <w:style w:type="character" w:styleId="FootnoteReference">
    <w:name w:val="footnote reference"/>
    <w:aliases w:val="SUPERS,Footnote reference number,Footnote symbol,note TESI,-E Fußnotenzeichen,number,BVI fnr,Footnote Reference Superscript,(Footnote Reference),EN Footnote Reference,Voetnootverwijzing,Times 10 Point,Exposant 3 Poi,16 Point, BVI fnr"/>
    <w:basedOn w:val="DefaultParagraphFont"/>
    <w:uiPriority w:val="99"/>
    <w:unhideWhenUsed/>
    <w:qFormat/>
    <w:rsid w:val="00A91D91"/>
    <w:rPr>
      <w:rFonts w:asciiTheme="majorHAnsi" w:hAnsiTheme="majorHAnsi"/>
      <w:sz w:val="16"/>
      <w:vertAlign w:val="superscript"/>
    </w:rPr>
  </w:style>
  <w:style w:type="paragraph" w:customStyle="1" w:styleId="Footnote">
    <w:name w:val="Footnote"/>
    <w:basedOn w:val="FootnoteText"/>
    <w:link w:val="FootnoteChar"/>
    <w:rsid w:val="00B50534"/>
    <w:rPr>
      <w:lang w:val="nl-BE"/>
    </w:rPr>
  </w:style>
  <w:style w:type="character" w:customStyle="1" w:styleId="FootnoteChar">
    <w:name w:val="Footnote Char"/>
    <w:basedOn w:val="FootnoteTextChar"/>
    <w:link w:val="Footnote"/>
    <w:rsid w:val="00B50534"/>
    <w:rPr>
      <w:sz w:val="16"/>
      <w:lang w:val="en-GB"/>
    </w:rPr>
  </w:style>
  <w:style w:type="table" w:customStyle="1" w:styleId="GridTable4-Accent11">
    <w:name w:val="Grid Table 4 - Accent 11"/>
    <w:basedOn w:val="TableNormal"/>
    <w:uiPriority w:val="49"/>
    <w:rsid w:val="00B15C0B"/>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04aNumbering">
    <w:name w:val="04a_Numbering"/>
    <w:basedOn w:val="Normal"/>
    <w:rsid w:val="00287C8F"/>
    <w:pPr>
      <w:tabs>
        <w:tab w:val="num" w:pos="567"/>
        <w:tab w:val="num" w:pos="720"/>
      </w:tabs>
      <w:ind w:left="567" w:hanging="454"/>
    </w:pPr>
    <w:rPr>
      <w:rFonts w:ascii="Georgia" w:hAnsi="Georgia"/>
      <w:sz w:val="20"/>
      <w:lang w:eastAsia="de-DE"/>
    </w:rPr>
  </w:style>
  <w:style w:type="paragraph" w:styleId="BalloonText">
    <w:name w:val="Balloon Text"/>
    <w:basedOn w:val="Normal"/>
    <w:link w:val="BalloonTextChar"/>
    <w:uiPriority w:val="99"/>
    <w:semiHidden/>
    <w:unhideWhenUsed/>
    <w:rsid w:val="003C167E"/>
    <w:rPr>
      <w:rFonts w:ascii="Tahoma" w:hAnsi="Tahoma" w:cs="Tahoma"/>
      <w:sz w:val="16"/>
      <w:szCs w:val="16"/>
    </w:rPr>
  </w:style>
  <w:style w:type="character" w:customStyle="1" w:styleId="BalloonTextChar">
    <w:name w:val="Balloon Text Char"/>
    <w:basedOn w:val="DefaultParagraphFont"/>
    <w:link w:val="BalloonText"/>
    <w:uiPriority w:val="99"/>
    <w:semiHidden/>
    <w:rsid w:val="003C167E"/>
    <w:rPr>
      <w:rFonts w:ascii="Tahoma" w:hAnsi="Tahoma" w:cs="Tahoma"/>
      <w:sz w:val="16"/>
      <w:szCs w:val="16"/>
      <w:lang w:val="en-GB"/>
    </w:rPr>
  </w:style>
  <w:style w:type="character" w:styleId="CommentReference">
    <w:name w:val="annotation reference"/>
    <w:basedOn w:val="DefaultParagraphFont"/>
    <w:uiPriority w:val="99"/>
    <w:semiHidden/>
    <w:unhideWhenUsed/>
    <w:rsid w:val="00FA2400"/>
    <w:rPr>
      <w:sz w:val="16"/>
      <w:szCs w:val="16"/>
    </w:rPr>
  </w:style>
  <w:style w:type="paragraph" w:styleId="CommentText">
    <w:name w:val="annotation text"/>
    <w:basedOn w:val="Normal"/>
    <w:link w:val="CommentTextChar"/>
    <w:uiPriority w:val="99"/>
    <w:unhideWhenUsed/>
    <w:rsid w:val="00FA2400"/>
    <w:rPr>
      <w:sz w:val="20"/>
    </w:rPr>
  </w:style>
  <w:style w:type="character" w:customStyle="1" w:styleId="CommentTextChar">
    <w:name w:val="Comment Text Char"/>
    <w:basedOn w:val="DefaultParagraphFont"/>
    <w:link w:val="CommentText"/>
    <w:uiPriority w:val="99"/>
    <w:rsid w:val="00FA2400"/>
    <w:rPr>
      <w:lang w:val="en-GB"/>
    </w:rPr>
  </w:style>
  <w:style w:type="paragraph" w:styleId="CommentSubject">
    <w:name w:val="annotation subject"/>
    <w:basedOn w:val="CommentText"/>
    <w:next w:val="CommentText"/>
    <w:link w:val="CommentSubjectChar"/>
    <w:uiPriority w:val="99"/>
    <w:semiHidden/>
    <w:unhideWhenUsed/>
    <w:rsid w:val="00FA2400"/>
    <w:rPr>
      <w:b/>
      <w:bCs/>
    </w:rPr>
  </w:style>
  <w:style w:type="character" w:customStyle="1" w:styleId="CommentSubjectChar">
    <w:name w:val="Comment Subject Char"/>
    <w:basedOn w:val="CommentTextChar"/>
    <w:link w:val="CommentSubject"/>
    <w:uiPriority w:val="99"/>
    <w:semiHidden/>
    <w:rsid w:val="00FA2400"/>
    <w:rPr>
      <w:b/>
      <w:bCs/>
      <w:lang w:val="en-GB"/>
    </w:rPr>
  </w:style>
  <w:style w:type="paragraph" w:styleId="Revision">
    <w:name w:val="Revision"/>
    <w:hidden/>
    <w:uiPriority w:val="99"/>
    <w:semiHidden/>
    <w:rsid w:val="00FD2677"/>
    <w:rPr>
      <w:sz w:val="22"/>
    </w:rPr>
  </w:style>
  <w:style w:type="paragraph" w:customStyle="1" w:styleId="body">
    <w:name w:val="body"/>
    <w:qFormat/>
    <w:rsid w:val="00750210"/>
    <w:pPr>
      <w:spacing w:before="240" w:line="276" w:lineRule="auto"/>
      <w:jc w:val="both"/>
    </w:pPr>
    <w:rPr>
      <w:sz w:val="22"/>
      <w:lang w:val="en-US"/>
    </w:rPr>
  </w:style>
  <w:style w:type="character" w:styleId="FollowedHyperlink">
    <w:name w:val="FollowedHyperlink"/>
    <w:basedOn w:val="DefaultParagraphFont"/>
    <w:uiPriority w:val="99"/>
    <w:semiHidden/>
    <w:unhideWhenUsed/>
    <w:rsid w:val="007B354B"/>
    <w:rPr>
      <w:color w:val="954F72" w:themeColor="followedHyperlink"/>
      <w:u w:val="single"/>
    </w:rPr>
  </w:style>
  <w:style w:type="paragraph" w:styleId="NormalWeb">
    <w:name w:val="Normal (Web)"/>
    <w:basedOn w:val="Normal"/>
    <w:uiPriority w:val="99"/>
    <w:semiHidden/>
    <w:unhideWhenUsed/>
    <w:rsid w:val="00B424F5"/>
    <w:pPr>
      <w:spacing w:before="100" w:beforeAutospacing="1" w:after="100" w:afterAutospacing="1"/>
    </w:pPr>
  </w:style>
  <w:style w:type="character" w:customStyle="1" w:styleId="outputecliaff">
    <w:name w:val="outputecliaff"/>
    <w:basedOn w:val="DefaultParagraphFont"/>
    <w:rsid w:val="00595F08"/>
  </w:style>
  <w:style w:type="paragraph" w:customStyle="1" w:styleId="05HeadlinenoIndex">
    <w:name w:val="05_Headline no Index"/>
    <w:basedOn w:val="Normal"/>
    <w:rsid w:val="005C7E1F"/>
    <w:pPr>
      <w:spacing w:after="250" w:line="300" w:lineRule="exact"/>
      <w:jc w:val="both"/>
    </w:pPr>
    <w:rPr>
      <w:rFonts w:ascii="Georgia" w:hAnsi="Georgia"/>
      <w:b/>
      <w:lang w:eastAsia="de-DE"/>
    </w:rPr>
  </w:style>
  <w:style w:type="paragraph" w:customStyle="1" w:styleId="04BodyText">
    <w:name w:val="04_Body Text"/>
    <w:basedOn w:val="Normal"/>
    <w:link w:val="04BodyTextChar"/>
    <w:uiPriority w:val="99"/>
    <w:rsid w:val="00BC5128"/>
    <w:pPr>
      <w:spacing w:after="250" w:line="276" w:lineRule="auto"/>
      <w:jc w:val="both"/>
    </w:pPr>
    <w:rPr>
      <w:rFonts w:ascii="Georgia" w:hAnsi="Georgia"/>
      <w:sz w:val="20"/>
      <w:lang w:eastAsia="de-DE"/>
    </w:rPr>
  </w:style>
  <w:style w:type="character" w:customStyle="1" w:styleId="04BodyTextChar">
    <w:name w:val="04_Body Text Char"/>
    <w:link w:val="04BodyText"/>
    <w:uiPriority w:val="99"/>
    <w:rsid w:val="00BC5128"/>
    <w:rPr>
      <w:rFonts w:ascii="Georgia" w:eastAsia="Times New Roman" w:hAnsi="Georgia" w:cs="Times New Roman"/>
      <w:szCs w:val="24"/>
      <w:lang w:val="en-GB" w:eastAsia="de-DE"/>
    </w:rPr>
  </w:style>
  <w:style w:type="table" w:customStyle="1" w:styleId="TableGrid1">
    <w:name w:val="Table Grid1"/>
    <w:basedOn w:val="TableNormal"/>
    <w:next w:val="TableGrid"/>
    <w:uiPriority w:val="59"/>
    <w:rsid w:val="003E13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3E13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Paragraphe EI Char,Paragraphe de liste1 Char,EC Char,Paragraphe de liste Char,Normal Nivel 1 Char,List Paragraph Main Char,List first level Char,List Paragraph_Sections Char"/>
    <w:basedOn w:val="DefaultParagraphFont"/>
    <w:link w:val="ListParagraph"/>
    <w:uiPriority w:val="34"/>
    <w:rsid w:val="00695AF2"/>
    <w:rPr>
      <w:rFonts w:asciiTheme="minorHAnsi" w:eastAsiaTheme="majorEastAsia" w:hAnsiTheme="minorHAnsi" w:cstheme="minorHAnsi"/>
      <w:sz w:val="22"/>
      <w:szCs w:val="22"/>
    </w:rPr>
  </w:style>
  <w:style w:type="table" w:customStyle="1" w:styleId="TableGrid3">
    <w:name w:val="Table Grid3"/>
    <w:basedOn w:val="TableNormal"/>
    <w:uiPriority w:val="59"/>
    <w:rsid w:val="00F372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8A2C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SMAConfidentialRestricted">
    <w:name w:val="ESMA Confidential/Restricted"/>
    <w:basedOn w:val="Strong"/>
    <w:uiPriority w:val="1"/>
    <w:qFormat/>
    <w:rsid w:val="00FA64BE"/>
    <w:rPr>
      <w:b w:val="0"/>
      <w:bCs/>
      <w:caps/>
      <w:smallCaps w:val="0"/>
      <w:color w:val="70AD47" w:themeColor="accent6"/>
      <w:sz w:val="22"/>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10.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g"/><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www.esma.europa.eu/legal-notice" TargetMode="External"/><Relationship Id="rId10" Type="http://schemas.openxmlformats.org/officeDocument/2006/relationships/header" Target="header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esma.europa.eu"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hyperlink" Target="https://sherpa.esma.europa.eu/sites/MKT/SMK/_layouts/15/DocIdRedir.aspx?ID=ESMA70-156-1484"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2.jp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HMKWJgmLaIa7UHBRtB7P+deN8ZA==">CgMxLjAyCGguZ2pkZ3hzOAByITE5Wi14U21SOENwWGJ6bzZyQXQ0eWpSSmtLMEMxZ3FwZQ==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3015</Words>
  <Characters>17191</Characters>
  <Application>Microsoft Office Word</Application>
  <DocSecurity>0</DocSecurity>
  <Lines>143</Lines>
  <Paragraphs>40</Paragraphs>
  <ScaleCrop>false</ScaleCrop>
  <Company/>
  <LinksUpToDate>false</LinksUpToDate>
  <CharactersWithSpaces>20166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Alina.Dragomir@esma.europa.eu</dc:creator>
  <cp:lastModifiedBy>Helen Beijaard</cp:lastModifiedBy>
  <cp:revision>4</cp:revision>
  <dcterms:created xsi:type="dcterms:W3CDTF">2024-01-24T09:11:00Z</dcterms:created>
  <dcterms:modified xsi:type="dcterms:W3CDTF">2024-04-25T07:41:00Z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smaAudience">
    <vt:lpwstr/>
  </property>
  <property fmtid="{D5CDD505-2E9C-101B-9397-08002B2CF9AE}" pid="3" name="ConfidentialityLevel">
    <vt:lpwstr>1;#Regular|07f1e362-856b-423d-bea6-a14079762141</vt:lpwstr>
  </property>
  <property fmtid="{D5CDD505-2E9C-101B-9397-08002B2CF9AE}" pid="4" name="ContentTypeId">
    <vt:lpwstr>0x010100545FD2DA307CC84A8E88FAE734BF48510400300AC345C1928543AF72C35DDC1A3D43</vt:lpwstr>
  </property>
  <property fmtid="{D5CDD505-2E9C-101B-9397-08002B2CF9AE}" pid="5" name="_dlc_DocIdItemGuid">
    <vt:lpwstr>1cdd794d-81e4-4525-af3d-81e542174913</vt:lpwstr>
  </property>
  <property fmtid="{D5CDD505-2E9C-101B-9397-08002B2CF9AE}" pid="6" name="DocumentType">
    <vt:lpwstr>84;#Report|78753201-1e9e-4a21-a088-6ff602b5c999</vt:lpwstr>
  </property>
  <property fmtid="{D5CDD505-2E9C-101B-9397-08002B2CF9AE}" pid="7" name="Topic">
    <vt:lpwstr>65;#MiCA - Qualification of crypto-assets|971b7e70-0142-41a8-a4a9-356713675f43</vt:lpwstr>
  </property>
  <property fmtid="{D5CDD505-2E9C-101B-9397-08002B2CF9AE}" pid="8" name="_docset_NoMedatataSyncRequired">
    <vt:lpwstr>False</vt:lpwstr>
  </property>
  <property fmtid="{D5CDD505-2E9C-101B-9397-08002B2CF9AE}" pid="9" name="Document_x0020_Language">
    <vt:lpwstr/>
  </property>
  <property fmtid="{D5CDD505-2E9C-101B-9397-08002B2CF9AE}" pid="10" name="Document Language">
    <vt:lpwstr/>
  </property>
  <property fmtid="{D5CDD505-2E9C-101B-9397-08002B2CF9AE}" pid="11" name="TeamName">
    <vt:lpwstr>26;#Trading Unit|0cda11c1-7d91-4d51-b3a1-339122a07b73</vt:lpwstr>
  </property>
  <property fmtid="{D5CDD505-2E9C-101B-9397-08002B2CF9AE}" pid="12" name="LegalInstrument">
    <vt:lpwstr>27;#Guidelines|5e144655-8ff3-49e5-b82a-b036da8a9173</vt:lpwstr>
  </property>
  <property fmtid="{D5CDD505-2E9C-101B-9397-08002B2CF9AE}" pid="13" name="MemberState">
    <vt:lpwstr/>
  </property>
  <property fmtid="{D5CDD505-2E9C-101B-9397-08002B2CF9AE}" pid="14" name="Stakeholder">
    <vt:lpwstr/>
  </property>
  <property fmtid="{D5CDD505-2E9C-101B-9397-08002B2CF9AE}" pid="15" name="LegalAct">
    <vt:lpwstr>30;#ESMA Regulation|1f6010a2-1a2c-44cf-adf8-f8fd9b166bb1</vt:lpwstr>
  </property>
  <property fmtid="{D5CDD505-2E9C-101B-9397-08002B2CF9AE}" pid="16" name="Related Legal Acts">
    <vt:lpwstr/>
  </property>
  <property fmtid="{D5CDD505-2E9C-101B-9397-08002B2CF9AE}" pid="17" name="SubTopic">
    <vt:lpwstr>148;#Qualification of crypto-assets - ESMA Guidelines on classification|4332d316-c095-4f91-9af2-56426177b6b7</vt:lpwstr>
  </property>
  <property fmtid="{D5CDD505-2E9C-101B-9397-08002B2CF9AE}" pid="18" name="TeamTopic">
    <vt:lpwstr>87;#Other Work|f1a52b52-917d-42ef-9667-945839604bb2</vt:lpwstr>
  </property>
  <property fmtid="{D5CDD505-2E9C-101B-9397-08002B2CF9AE}" pid="19" name="URL">
    <vt:lpwstr/>
  </property>
  <property fmtid="{D5CDD505-2E9C-101B-9397-08002B2CF9AE}" pid="20" name="DocumentSetDescription">
    <vt:lpwstr/>
  </property>
</Properties>
</file>