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re"/>
          </w:pPr>
          <w:r>
            <w:t xml:space="preserve">Reply </w:t>
          </w:r>
          <w:r w:rsidR="00DD03DC">
            <w:t>F</w:t>
          </w:r>
          <w:r>
            <w:t>orm</w:t>
          </w:r>
        </w:p>
        <w:p w14:paraId="0A9EB4DC" w14:textId="4DAA9FAD" w:rsidR="00D77369" w:rsidRPr="00D77369" w:rsidRDefault="00D77369" w:rsidP="007A206C">
          <w:pPr>
            <w:pStyle w:val="Sous-titre"/>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ous-titr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Paragraphedeliste"/>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Paragraphedeliste"/>
            <w:numPr>
              <w:ilvl w:val="0"/>
              <w:numId w:val="17"/>
            </w:numPr>
          </w:pPr>
          <w:r w:rsidRPr="00E13D25">
            <w:t>indicate the specific question to which the comment relates;</w:t>
          </w:r>
        </w:p>
        <w:p w14:paraId="78B206B7" w14:textId="77777777" w:rsidR="002533FC" w:rsidRPr="00E13D25" w:rsidRDefault="002533FC" w:rsidP="00E33ECD">
          <w:pPr>
            <w:pStyle w:val="Paragraphedeliste"/>
            <w:numPr>
              <w:ilvl w:val="0"/>
              <w:numId w:val="17"/>
            </w:numPr>
          </w:pPr>
          <w:r w:rsidRPr="00E13D25">
            <w:t>contain a clear rationale; and</w:t>
          </w:r>
        </w:p>
        <w:p w14:paraId="60B8834E" w14:textId="53F4D678" w:rsidR="002533FC" w:rsidRPr="00E13D25" w:rsidRDefault="002533FC" w:rsidP="00E33ECD">
          <w:pPr>
            <w:pStyle w:val="Paragraphedeliste"/>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6B7794" w:rsidRDefault="00EC6066" w:rsidP="00EC6066">
          <w:pPr>
            <w:pStyle w:val="Sous-titr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Paragraphedeliste"/>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Paragraphedeliste"/>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Paragraphedeliste"/>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Paragraphedeliste"/>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Paragraphedeliste"/>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Paragraphedeliste"/>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774F55B0" w:rsidR="00635BCA" w:rsidRPr="00557BD2" w:rsidRDefault="00081B40" w:rsidP="00D21C35">
                <w:r w:rsidRPr="00081B40">
                  <w:rPr>
                    <w:lang w:val="fr-FR"/>
                  </w:rPr>
                  <w:t xml:space="preserve">Association Française de la Gestion Financière (AFG) </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76A8A211" w:rsidR="00635BCA" w:rsidRPr="00557BD2" w:rsidRDefault="00081B40"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44D29CD9" w:rsidR="00635BCA" w:rsidRPr="00557BD2" w:rsidRDefault="00081B40"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6C91A996" w:rsidR="00635BCA" w:rsidRPr="00557BD2" w:rsidRDefault="00081B40" w:rsidP="00D21C35">
                <w:r>
                  <w:t>France</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Titre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4298E437" w14:textId="77777777" w:rsidR="003D2F8B" w:rsidRDefault="003D2F8B" w:rsidP="003D2F8B">
      <w:pPr>
        <w:spacing w:after="0" w:line="240" w:lineRule="atLeast"/>
        <w:rPr>
          <w:rFonts w:cstheme="minorHAnsi"/>
        </w:rPr>
      </w:pPr>
      <w:permStart w:id="406275320" w:edGrp="everyone"/>
      <w:r>
        <w:rPr>
          <w:rFonts w:cstheme="minorHAnsi"/>
        </w:rPr>
        <w:t xml:space="preserve">Introduction: </w:t>
      </w:r>
    </w:p>
    <w:p w14:paraId="575FC2D3" w14:textId="77777777" w:rsidR="003D2F8B" w:rsidRDefault="003D2F8B" w:rsidP="003D2F8B">
      <w:pPr>
        <w:spacing w:after="0" w:line="240" w:lineRule="atLeast"/>
        <w:rPr>
          <w:rFonts w:cstheme="minorHAnsi"/>
        </w:rPr>
      </w:pPr>
    </w:p>
    <w:p w14:paraId="47E36030" w14:textId="0D507CB0" w:rsidR="003D2F8B" w:rsidRDefault="003D2F8B" w:rsidP="003D2F8B">
      <w:pPr>
        <w:spacing w:after="0" w:line="240" w:lineRule="atLeast"/>
        <w:rPr>
          <w:rFonts w:cstheme="minorHAnsi"/>
        </w:rPr>
      </w:pPr>
      <w:r>
        <w:rPr>
          <w:rFonts w:cstheme="minorHAnsi"/>
        </w:rPr>
        <w:t xml:space="preserve">Access to reliable, comparable and audited non-financial and financial data is essential for asset managers to answer their clients’ growing demand for transparency. Yet today, EU financial and sustainability </w:t>
      </w:r>
      <w:proofErr w:type="spellStart"/>
      <w:r>
        <w:rPr>
          <w:rFonts w:cstheme="minorHAnsi"/>
        </w:rPr>
        <w:t>datas</w:t>
      </w:r>
      <w:proofErr w:type="spellEnd"/>
      <w:r>
        <w:rPr>
          <w:rFonts w:cstheme="minorHAnsi"/>
        </w:rPr>
        <w:t xml:space="preserve"> are scattered between 27 jurisdictions and are provided in 27 different languages </w:t>
      </w:r>
      <w:r w:rsidR="00770C47">
        <w:rPr>
          <w:rFonts w:cstheme="minorHAnsi"/>
        </w:rPr>
        <w:t xml:space="preserve">and formats </w:t>
      </w:r>
      <w:r>
        <w:rPr>
          <w:rFonts w:cstheme="minorHAnsi"/>
        </w:rPr>
        <w:t xml:space="preserve">which makes them hard to assess and compare. Furthermore, the industry relies heavily on a few </w:t>
      </w:r>
      <w:r w:rsidR="00EC26EE">
        <w:rPr>
          <w:rFonts w:cstheme="minorHAnsi"/>
        </w:rPr>
        <w:t xml:space="preserve">non-EU </w:t>
      </w:r>
      <w:r>
        <w:rPr>
          <w:rFonts w:cstheme="minorHAnsi"/>
        </w:rPr>
        <w:t xml:space="preserve">providers who take advantage of their oligopolistic position to keep raising prices while providing less and less reliable, transparent information on their methodology for instance.  </w:t>
      </w:r>
    </w:p>
    <w:p w14:paraId="78EDDB63" w14:textId="77777777" w:rsidR="003D2F8B" w:rsidRPr="00503E6E" w:rsidRDefault="003D2F8B" w:rsidP="003D2F8B">
      <w:pPr>
        <w:spacing w:after="0" w:line="240" w:lineRule="atLeast"/>
        <w:rPr>
          <w:rFonts w:ascii="Arial" w:hAnsi="Arial" w:cs="Arial"/>
        </w:rPr>
      </w:pPr>
    </w:p>
    <w:p w14:paraId="58066FE1" w14:textId="6A28D877" w:rsidR="003D2F8B" w:rsidRPr="00770C47" w:rsidRDefault="003D2F8B" w:rsidP="003D2F8B">
      <w:pPr>
        <w:spacing w:after="0" w:line="240" w:lineRule="atLeast"/>
        <w:rPr>
          <w:rFonts w:ascii="Arial" w:hAnsi="Arial" w:cs="Arial"/>
        </w:rPr>
      </w:pPr>
      <w:r>
        <w:rPr>
          <w:rFonts w:ascii="Arial" w:hAnsi="Arial" w:cs="Arial"/>
        </w:rPr>
        <w:t>That’s why we</w:t>
      </w:r>
      <w:r w:rsidRPr="00503E6E">
        <w:rPr>
          <w:rFonts w:ascii="Arial" w:hAnsi="Arial" w:cs="Arial"/>
        </w:rPr>
        <w:t xml:space="preserve"> highly support the implementation of a</w:t>
      </w:r>
      <w:r>
        <w:rPr>
          <w:rFonts w:ascii="Arial" w:hAnsi="Arial" w:cs="Arial"/>
        </w:rPr>
        <w:t xml:space="preserve"> single access point that will</w:t>
      </w:r>
      <w:r w:rsidRPr="00503E6E">
        <w:rPr>
          <w:rFonts w:ascii="Arial" w:hAnsi="Arial" w:cs="Arial"/>
        </w:rPr>
        <w:t xml:space="preserve"> source raw, reliable, comparable financial and sustainability </w:t>
      </w:r>
      <w:proofErr w:type="spellStart"/>
      <w:r w:rsidRPr="00503E6E">
        <w:rPr>
          <w:rFonts w:ascii="Arial" w:hAnsi="Arial" w:cs="Arial"/>
        </w:rPr>
        <w:t>datas</w:t>
      </w:r>
      <w:proofErr w:type="spellEnd"/>
      <w:r w:rsidRPr="00503E6E">
        <w:rPr>
          <w:rFonts w:ascii="Arial" w:hAnsi="Arial" w:cs="Arial"/>
        </w:rPr>
        <w:t>, free to all</w:t>
      </w:r>
      <w:r w:rsidR="00770C47">
        <w:rPr>
          <w:rFonts w:ascii="Arial" w:hAnsi="Arial" w:cs="Arial"/>
        </w:rPr>
        <w:t>, accessible in a standardised market format</w:t>
      </w:r>
      <w:r w:rsidRPr="00503E6E">
        <w:rPr>
          <w:rFonts w:ascii="Arial" w:hAnsi="Arial" w:cs="Arial"/>
        </w:rPr>
        <w:t xml:space="preserve"> and in all languages.</w:t>
      </w:r>
      <w:r w:rsidR="00770C47">
        <w:rPr>
          <w:rFonts w:ascii="Arial" w:hAnsi="Arial" w:cs="Arial"/>
        </w:rPr>
        <w:t xml:space="preserve"> For doing so,</w:t>
      </w:r>
      <w:r w:rsidR="008E6F07">
        <w:rPr>
          <w:rFonts w:ascii="Arial" w:hAnsi="Arial" w:cs="Arial"/>
        </w:rPr>
        <w:t xml:space="preserve"> </w:t>
      </w:r>
      <w:r w:rsidR="00770C47">
        <w:rPr>
          <w:rFonts w:ascii="Arial" w:hAnsi="Arial" w:cs="Arial"/>
        </w:rPr>
        <w:t>t</w:t>
      </w:r>
      <w:r w:rsidR="008E6F07" w:rsidRPr="00770C47">
        <w:rPr>
          <w:rFonts w:ascii="Arial" w:hAnsi="Arial" w:cs="Arial"/>
        </w:rPr>
        <w:t>he ESAP should leverage as much as possible on the existing data reporting channels and infrastructure which</w:t>
      </w:r>
      <w:r w:rsidR="008E6F07" w:rsidRPr="00770C47">
        <w:rPr>
          <w:rFonts w:ascii="Arial" w:hAnsi="Arial" w:cs="Arial"/>
          <w:szCs w:val="22"/>
        </w:rPr>
        <w:t xml:space="preserve"> has been successfully implemented within the EU.</w:t>
      </w:r>
      <w:r w:rsidR="001F1624">
        <w:rPr>
          <w:rFonts w:ascii="Arial" w:hAnsi="Arial" w:cs="Arial"/>
          <w:szCs w:val="22"/>
        </w:rPr>
        <w:t xml:space="preserve"> More generally, the implementation of ESAP </w:t>
      </w:r>
      <w:r w:rsidR="001F1624" w:rsidRPr="001F1624">
        <w:rPr>
          <w:rFonts w:ascii="Arial" w:hAnsi="Arial" w:cs="Arial"/>
          <w:szCs w:val="22"/>
        </w:rPr>
        <w:t>must not increase reporting and compliance costs for entities</w:t>
      </w:r>
      <w:r w:rsidR="001F1624">
        <w:rPr>
          <w:rFonts w:ascii="Arial" w:hAnsi="Arial" w:cs="Arial"/>
          <w:szCs w:val="22"/>
        </w:rPr>
        <w:t>.</w:t>
      </w:r>
    </w:p>
    <w:p w14:paraId="09FF01F4" w14:textId="77777777" w:rsidR="003D2F8B" w:rsidRPr="00770C47" w:rsidRDefault="003D2F8B" w:rsidP="003D2F8B">
      <w:pPr>
        <w:spacing w:after="0" w:line="240" w:lineRule="atLeast"/>
        <w:rPr>
          <w:rFonts w:ascii="Arial" w:hAnsi="Arial" w:cs="Arial"/>
        </w:rPr>
      </w:pPr>
    </w:p>
    <w:p w14:paraId="16FAA0BF" w14:textId="77777777" w:rsidR="003D2F8B" w:rsidRPr="00503E6E" w:rsidRDefault="003D2F8B" w:rsidP="003D2F8B">
      <w:pPr>
        <w:spacing w:after="0" w:line="240" w:lineRule="atLeast"/>
        <w:rPr>
          <w:rFonts w:ascii="Arial" w:hAnsi="Arial" w:cs="Arial"/>
        </w:rPr>
      </w:pPr>
      <w:r>
        <w:rPr>
          <w:rFonts w:ascii="Arial" w:hAnsi="Arial" w:cs="Arial"/>
        </w:rPr>
        <w:t xml:space="preserve">AFG therefore thanks </w:t>
      </w:r>
      <w:r w:rsidRPr="00503E6E">
        <w:rPr>
          <w:rFonts w:ascii="Arial" w:hAnsi="Arial" w:cs="Arial"/>
        </w:rPr>
        <w:t>ESMA for the opportunity to</w:t>
      </w:r>
      <w:r>
        <w:rPr>
          <w:rFonts w:ascii="Arial" w:hAnsi="Arial" w:cs="Arial"/>
        </w:rPr>
        <w:t xml:space="preserve"> answer this consultation </w:t>
      </w:r>
      <w:r w:rsidRPr="00EE7472">
        <w:rPr>
          <w:rFonts w:ascii="Arial" w:hAnsi="Arial" w:cs="Arial"/>
        </w:rPr>
        <w:t>on draft ITS specifying certain tasks of collection bodies and certain functionalities</w:t>
      </w:r>
      <w:r>
        <w:rPr>
          <w:rFonts w:ascii="Arial" w:hAnsi="Arial" w:cs="Arial"/>
        </w:rPr>
        <w:t xml:space="preserve"> of</w:t>
      </w:r>
      <w:r w:rsidRPr="00EE7472">
        <w:rPr>
          <w:rFonts w:ascii="Arial" w:hAnsi="Arial" w:cs="Arial"/>
        </w:rPr>
        <w:t xml:space="preserve"> </w:t>
      </w:r>
      <w:r>
        <w:rPr>
          <w:rFonts w:ascii="Arial" w:hAnsi="Arial" w:cs="Arial"/>
        </w:rPr>
        <w:t>ESAP. Indeed, while we are convinced of the benefit such a one-stop-shop can bring, we still want to raise a few points of attention.</w:t>
      </w:r>
    </w:p>
    <w:p w14:paraId="27F56E38" w14:textId="77777777" w:rsidR="003D2F8B" w:rsidRDefault="003D2F8B" w:rsidP="003D2F8B">
      <w:pPr>
        <w:spacing w:after="0" w:line="240" w:lineRule="atLeast"/>
        <w:rPr>
          <w:rFonts w:cstheme="minorHAnsi"/>
        </w:rPr>
      </w:pPr>
    </w:p>
    <w:p w14:paraId="0D9221FB" w14:textId="77777777" w:rsidR="003D2F8B" w:rsidRDefault="003D2F8B" w:rsidP="003D2F8B">
      <w:pPr>
        <w:spacing w:after="0" w:line="240" w:lineRule="atLeast"/>
        <w:rPr>
          <w:rFonts w:cstheme="minorHAnsi"/>
        </w:rPr>
      </w:pPr>
    </w:p>
    <w:p w14:paraId="3A2E402C" w14:textId="77777777" w:rsidR="003D2F8B" w:rsidRDefault="003D2F8B" w:rsidP="003D2F8B">
      <w:pPr>
        <w:spacing w:after="0" w:line="240" w:lineRule="atLeast"/>
        <w:rPr>
          <w:rFonts w:cstheme="minorHAnsi"/>
        </w:rPr>
      </w:pPr>
      <w:r>
        <w:rPr>
          <w:rFonts w:cstheme="minorHAnsi"/>
        </w:rPr>
        <w:t>Response to Q1:</w:t>
      </w:r>
    </w:p>
    <w:p w14:paraId="05C32BCB" w14:textId="77777777" w:rsidR="003D2F8B" w:rsidRDefault="003D2F8B" w:rsidP="003D2F8B">
      <w:pPr>
        <w:spacing w:after="0" w:line="240" w:lineRule="atLeast"/>
        <w:rPr>
          <w:rFonts w:cstheme="minorHAnsi"/>
        </w:rPr>
      </w:pPr>
    </w:p>
    <w:p w14:paraId="6DC80758" w14:textId="472230C5" w:rsidR="00467E2C" w:rsidRPr="005F3297" w:rsidRDefault="00467E2C" w:rsidP="00467E2C">
      <w:pPr>
        <w:spacing w:after="0" w:line="240" w:lineRule="atLeast"/>
        <w:rPr>
          <w:rFonts w:cstheme="minorHAnsi"/>
        </w:rPr>
      </w:pPr>
      <w:r w:rsidRPr="005F3297">
        <w:rPr>
          <w:rFonts w:cstheme="minorHAnsi"/>
        </w:rPr>
        <w:t>Overall, we agree with the validation processes proposed by ESMA. However, we insist on getting a certain level of transparency from the collection bodies (CB) to allow reporting entities to adapt their processes, anticipate and limit any risks of rejections. Precise descriptions of the technical controls conducted by CBs should be made public to entities and a reasonable period of testing should be set before the go live.</w:t>
      </w:r>
    </w:p>
    <w:p w14:paraId="2DCE9C01" w14:textId="77777777" w:rsidR="00467E2C" w:rsidRPr="005F3297" w:rsidRDefault="00467E2C" w:rsidP="00467E2C">
      <w:pPr>
        <w:spacing w:after="0" w:line="240" w:lineRule="atLeast"/>
        <w:rPr>
          <w:rFonts w:cstheme="minorHAnsi"/>
        </w:rPr>
      </w:pPr>
    </w:p>
    <w:p w14:paraId="6A438E87" w14:textId="5836CD14" w:rsidR="00467E2C" w:rsidRPr="005F3297" w:rsidRDefault="00467E2C" w:rsidP="00467E2C">
      <w:pPr>
        <w:spacing w:after="0" w:line="240" w:lineRule="atLeast"/>
        <w:rPr>
          <w:rFonts w:cstheme="minorHAnsi"/>
        </w:rPr>
      </w:pPr>
      <w:r w:rsidRPr="005F3297">
        <w:rPr>
          <w:rFonts w:cstheme="minorHAnsi"/>
        </w:rPr>
        <w:t xml:space="preserve">Furthermore, some data extractable text can contain graphs and pictures. It should be specified/confirmed that these data extractable documents which contain pictures or graphs will not prevent the CB from validating it under the extractable format. </w:t>
      </w:r>
    </w:p>
    <w:p w14:paraId="3CBFCBC7" w14:textId="77777777" w:rsidR="00467E2C" w:rsidRPr="005F3297" w:rsidRDefault="00467E2C" w:rsidP="00467E2C">
      <w:pPr>
        <w:spacing w:after="0" w:line="240" w:lineRule="atLeast"/>
        <w:rPr>
          <w:rFonts w:cstheme="minorHAnsi"/>
        </w:rPr>
      </w:pPr>
    </w:p>
    <w:p w14:paraId="3D61D8D4" w14:textId="63D4495E" w:rsidR="00467E2C" w:rsidRPr="005F3297" w:rsidRDefault="00467E2C" w:rsidP="00467E2C">
      <w:pPr>
        <w:spacing w:after="0" w:line="240" w:lineRule="atLeast"/>
        <w:rPr>
          <w:rFonts w:cstheme="minorHAnsi"/>
        </w:rPr>
      </w:pPr>
      <w:r w:rsidRPr="005F3297">
        <w:rPr>
          <w:rFonts w:cstheme="minorHAnsi"/>
        </w:rPr>
        <w:lastRenderedPageBreak/>
        <w:t>Regarding machine readable validation, as sectoral legislation will bring precisions on the data and the specifications that will be required, some specific validation may have to be conducted that has not been foreseen yet in the current approach.</w:t>
      </w:r>
      <w:r w:rsidR="001F1624">
        <w:rPr>
          <w:rFonts w:cstheme="minorHAnsi"/>
        </w:rPr>
        <w:t xml:space="preserve"> This parameter needs to be kept in mind. </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5AE1FC8A" w14:textId="46832811" w:rsidR="005F3297" w:rsidRPr="005F3297" w:rsidRDefault="005F3297" w:rsidP="007A206C">
      <w:permStart w:id="1195062243" w:edGrp="everyone"/>
      <w:r>
        <w:t xml:space="preserve">As explained in Q1, we agree with the proposed approach </w:t>
      </w:r>
      <w:r w:rsidR="00E32C6F">
        <w:t>if</w:t>
      </w:r>
      <w:r>
        <w:t xml:space="preserve"> it gives sufficient transparency to entities. However, even though we agree that the text should not be in a “picture format” to be qualified as data-extractable, ESAs should specify that documents which contain pictures or graphs but that still allow the text to be extracted, shall be validated by CBs as a data extractable format.</w:t>
      </w:r>
    </w:p>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6BBC3F55" w:rsidR="007A206C" w:rsidRDefault="005F3297" w:rsidP="005F3297">
      <w:pPr>
        <w:spacing w:after="0" w:line="240" w:lineRule="atLeast"/>
      </w:pPr>
      <w:permStart w:id="1726764009" w:edGrp="everyone"/>
      <w:r>
        <w:t xml:space="preserve">As explained in Q1, we </w:t>
      </w:r>
      <w:r w:rsidRPr="005F3297">
        <w:rPr>
          <w:rFonts w:cstheme="minorHAnsi"/>
        </w:rPr>
        <w:t>agree with the ESAs proposed approach. However, as sectoral legislation will bring precisions on the data and the specifications that will be required in machine-readable format, further validation processes may need to be reviewed in light of these specifications.</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76689FA6" w14:textId="551073EF" w:rsidR="007A206C" w:rsidRDefault="00896167" w:rsidP="007A206C">
      <w:permStart w:id="1728526542" w:edGrp="everyone"/>
      <w:r>
        <w:lastRenderedPageBreak/>
        <w:t xml:space="preserve">See answer to Q1. </w:t>
      </w:r>
      <w:r w:rsidR="001F1624">
        <w:t>Overall,</w:t>
      </w:r>
      <w:r>
        <w:t xml:space="preserve"> we agree with the approach although we understand that precisions will be provided through other ITS or through level 3.</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43E41B6B" w:rsidR="007A206C" w:rsidRDefault="00CB2F36" w:rsidP="007A206C">
      <w:permStart w:id="824394787" w:edGrp="everyone"/>
      <w:r w:rsidRPr="00CB2F36">
        <w:rPr>
          <w:lang w:val="fr-FR"/>
        </w:rPr>
        <w:t>TY</w:t>
      </w:r>
      <w:r>
        <w:rPr>
          <w:lang w:val="fr-FR"/>
        </w:rPr>
        <w:t>P</w:t>
      </w:r>
      <w:r w:rsidRPr="00CB2F36">
        <w:rPr>
          <w:lang w:val="fr-FR"/>
        </w:rPr>
        <w:t>E Y</w:t>
      </w:r>
      <w:r>
        <w:t>OUR TEXT HERE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CFE8037" w14:textId="3DF2228B" w:rsidR="007A206C" w:rsidRPr="00896167" w:rsidRDefault="00467E2C" w:rsidP="00896167">
      <w:pPr>
        <w:spacing w:after="0" w:line="240" w:lineRule="atLeast"/>
        <w:rPr>
          <w:rFonts w:cstheme="minorHAnsi"/>
          <w:color w:val="auto"/>
          <w:lang w:val="en-US"/>
        </w:rPr>
      </w:pPr>
      <w:permStart w:id="1826049044" w:edGrp="everyone"/>
      <w:r w:rsidRPr="00896167">
        <w:rPr>
          <w:rFonts w:cstheme="minorHAnsi"/>
          <w:color w:val="auto"/>
          <w:lang w:val="en-US"/>
        </w:rPr>
        <w:t xml:space="preserve">We fully </w:t>
      </w:r>
      <w:r w:rsidR="00896167" w:rsidRPr="00896167">
        <w:rPr>
          <w:rFonts w:cstheme="minorHAnsi"/>
          <w:color w:val="auto"/>
          <w:lang w:val="en-US"/>
        </w:rPr>
        <w:t>agree that t</w:t>
      </w:r>
      <w:r w:rsidRPr="00896167">
        <w:rPr>
          <w:rFonts w:cstheme="minorHAnsi"/>
          <w:color w:val="auto"/>
          <w:lang w:val="en-US"/>
        </w:rPr>
        <w:t>he format of rejection feedback</w:t>
      </w:r>
      <w:r w:rsidR="00896167" w:rsidRPr="00896167">
        <w:rPr>
          <w:rFonts w:cstheme="minorHAnsi"/>
          <w:color w:val="auto"/>
          <w:lang w:val="en-US"/>
        </w:rPr>
        <w:t xml:space="preserve"> should be </w:t>
      </w:r>
      <w:r w:rsidR="001F1624">
        <w:rPr>
          <w:rFonts w:cstheme="minorHAnsi"/>
          <w:color w:val="auto"/>
          <w:lang w:val="en-US"/>
        </w:rPr>
        <w:t>standardized</w:t>
      </w:r>
      <w:r w:rsidR="00896167">
        <w:rPr>
          <w:rFonts w:cstheme="minorHAnsi"/>
          <w:color w:val="auto"/>
          <w:lang w:val="en-US"/>
        </w:rPr>
        <w:t xml:space="preserve"> </w:t>
      </w:r>
      <w:r w:rsidR="001F1624">
        <w:rPr>
          <w:rFonts w:cstheme="minorHAnsi"/>
          <w:color w:val="auto"/>
          <w:lang w:val="en-US"/>
        </w:rPr>
        <w:t>to</w:t>
      </w:r>
      <w:r w:rsidR="00896167">
        <w:rPr>
          <w:rFonts w:cstheme="minorHAnsi"/>
          <w:color w:val="auto"/>
          <w:lang w:val="en-US"/>
        </w:rPr>
        <w:t xml:space="preserve"> provide consistency</w:t>
      </w:r>
      <w:r w:rsidR="00896167" w:rsidRPr="00896167">
        <w:rPr>
          <w:rFonts w:cstheme="minorHAnsi"/>
          <w:color w:val="auto"/>
          <w:lang w:val="en-US"/>
        </w:rPr>
        <w:t>.</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73D4BD3F" w14:textId="4379B4E3" w:rsidR="00467E2C" w:rsidRPr="00896167" w:rsidRDefault="00467E2C" w:rsidP="00467E2C">
      <w:pPr>
        <w:spacing w:after="0" w:line="240" w:lineRule="atLeast"/>
        <w:rPr>
          <w:rFonts w:cstheme="minorHAnsi"/>
          <w:color w:val="auto"/>
          <w:lang w:val="en-US"/>
        </w:rPr>
      </w:pPr>
      <w:permStart w:id="1096168369" w:edGrp="everyone"/>
      <w:r w:rsidRPr="00896167">
        <w:rPr>
          <w:rFonts w:cstheme="minorHAnsi"/>
          <w:color w:val="auto"/>
          <w:lang w:val="en-US"/>
        </w:rPr>
        <w:t xml:space="preserve">The ISO 20022 methodology is widely used in </w:t>
      </w:r>
      <w:r w:rsidR="00896167" w:rsidRPr="00896167">
        <w:rPr>
          <w:rFonts w:cstheme="minorHAnsi"/>
          <w:color w:val="auto"/>
          <w:lang w:val="en-US"/>
        </w:rPr>
        <w:t xml:space="preserve">the </w:t>
      </w:r>
      <w:r w:rsidRPr="00896167">
        <w:rPr>
          <w:rFonts w:cstheme="minorHAnsi"/>
          <w:color w:val="auto"/>
          <w:lang w:val="en-US"/>
        </w:rPr>
        <w:t>financial sector</w:t>
      </w:r>
      <w:r w:rsidR="00BB4BB0">
        <w:rPr>
          <w:rFonts w:cstheme="minorHAnsi"/>
          <w:color w:val="auto"/>
          <w:lang w:val="en-US"/>
        </w:rPr>
        <w:t xml:space="preserve"> notably in the transaction reporting i.e. EMIR, SFTR</w:t>
      </w:r>
      <w:r w:rsidR="00896167" w:rsidRPr="00896167">
        <w:rPr>
          <w:rFonts w:cstheme="minorHAnsi"/>
          <w:color w:val="auto"/>
          <w:lang w:val="en-US"/>
        </w:rPr>
        <w:t xml:space="preserve">. </w:t>
      </w:r>
      <w:r w:rsidR="001F1624" w:rsidRPr="00896167">
        <w:rPr>
          <w:rFonts w:cstheme="minorHAnsi"/>
          <w:color w:val="auto"/>
          <w:lang w:val="en-US"/>
        </w:rPr>
        <w:t>Therefore,</w:t>
      </w:r>
      <w:r w:rsidRPr="00896167">
        <w:rPr>
          <w:rFonts w:cstheme="minorHAnsi"/>
          <w:color w:val="auto"/>
          <w:lang w:val="en-US"/>
        </w:rPr>
        <w:t xml:space="preserve"> </w:t>
      </w:r>
      <w:r w:rsidR="00896167" w:rsidRPr="00896167">
        <w:rPr>
          <w:rFonts w:cstheme="minorHAnsi"/>
          <w:color w:val="auto"/>
          <w:lang w:val="en-US"/>
        </w:rPr>
        <w:t xml:space="preserve">we agree that the rejection feedback should be provided in a common format in accordance with the ISO 20022 </w:t>
      </w:r>
      <w:r w:rsidRPr="00896167">
        <w:rPr>
          <w:rFonts w:cstheme="minorHAnsi"/>
          <w:color w:val="auto"/>
          <w:lang w:val="en-US"/>
        </w:rPr>
        <w:t>methodology.</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lastRenderedPageBreak/>
        <w:t>&lt;ESMA_QUESTION_ESAP_8&gt;</w:t>
      </w:r>
    </w:p>
    <w:p w14:paraId="70388E38" w14:textId="12B7E436" w:rsidR="00BB4BB0" w:rsidRPr="00E32C6F" w:rsidRDefault="00BB4BB0" w:rsidP="00BB4BB0">
      <w:pPr>
        <w:rPr>
          <w:lang w:val="en-US"/>
        </w:rPr>
      </w:pPr>
      <w:permStart w:id="553735427" w:edGrp="everyone"/>
      <w:r>
        <w:rPr>
          <w:lang w:val="en-US"/>
        </w:rPr>
        <w:t xml:space="preserve">We believe that </w:t>
      </w:r>
      <w:r>
        <w:t>notifying entities of rejection within “a reasonable timeframe”</w:t>
      </w:r>
      <w:r>
        <w:rPr>
          <w:lang w:val="en-US"/>
        </w:rPr>
        <w:t xml:space="preserve"> should be understood as “as soon as possible and at least within sixty minutes”.</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3272D4AE" w:rsidR="007A206C" w:rsidRPr="00E32C6F" w:rsidRDefault="00CB2F36" w:rsidP="007A206C">
      <w:pPr>
        <w:rPr>
          <w:lang w:val="en-US"/>
        </w:rPr>
      </w:pPr>
      <w:permStart w:id="436031283" w:edGrp="everyone"/>
      <w:r w:rsidRPr="00E32C6F">
        <w:rPr>
          <w:lang w:val="en-US"/>
        </w:rPr>
        <w:t>TYPE Y</w:t>
      </w:r>
      <w:r>
        <w:t>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77777777" w:rsidR="007A206C" w:rsidRDefault="007A206C" w:rsidP="007A206C">
      <w:permStart w:id="394012641" w:edGrp="everyone"/>
      <w:r>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77777777" w:rsidR="007A206C" w:rsidRDefault="007A206C" w:rsidP="007A206C">
      <w:permStart w:id="999039619" w:edGrp="everyone"/>
      <w:r>
        <w:t>TYPE YOUR TEXT HERE</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lastRenderedPageBreak/>
        <w:t>&lt;ESMA_QUESTION_ESAP_12&gt;</w:t>
      </w:r>
    </w:p>
    <w:p w14:paraId="1AA3529F" w14:textId="71D7D446" w:rsidR="00467E2C" w:rsidRPr="003A529E" w:rsidRDefault="00CB2F36" w:rsidP="00467E2C">
      <w:pPr>
        <w:spacing w:after="0" w:line="240" w:lineRule="atLeast"/>
        <w:rPr>
          <w:rFonts w:ascii="Montserrat" w:hAnsi="Montserrat"/>
          <w:color w:val="34009F" w:themeColor="accent1"/>
          <w:lang w:val="en-US"/>
        </w:rPr>
      </w:pPr>
      <w:permStart w:id="1486563786" w:edGrp="everyone"/>
      <w:r>
        <w:t>We believe that the ISO 17442 LEI is an attribute that can be used in order to identify the organisation using the seal i.e. the submitting entity.</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35115DC9" w14:textId="30A4ABC3" w:rsidR="008749CA" w:rsidRPr="008749CA" w:rsidRDefault="00467E2C" w:rsidP="00467E2C">
      <w:pPr>
        <w:spacing w:after="0" w:line="240" w:lineRule="atLeast"/>
        <w:rPr>
          <w:rFonts w:cstheme="minorHAnsi"/>
          <w:color w:val="auto"/>
          <w:lang w:val="en-US"/>
        </w:rPr>
      </w:pPr>
      <w:permStart w:id="1638944561" w:edGrp="everyone"/>
      <w:r w:rsidRPr="008749CA">
        <w:rPr>
          <w:rFonts w:cstheme="minorHAnsi"/>
          <w:color w:val="auto"/>
          <w:lang w:val="en-US"/>
        </w:rPr>
        <w:t xml:space="preserve">We understand that the aim of ESAP consists precisely in promoting an </w:t>
      </w:r>
      <w:r w:rsidR="008749CA" w:rsidRPr="008749CA">
        <w:rPr>
          <w:rFonts w:cstheme="minorHAnsi"/>
          <w:color w:val="auto"/>
          <w:lang w:val="en-US"/>
        </w:rPr>
        <w:t>open-source</w:t>
      </w:r>
      <w:r w:rsidR="008749CA">
        <w:rPr>
          <w:rFonts w:cstheme="minorHAnsi"/>
          <w:color w:val="auto"/>
          <w:lang w:val="en-US"/>
        </w:rPr>
        <w:t>d</w:t>
      </w:r>
      <w:r w:rsidRPr="008749CA">
        <w:rPr>
          <w:rFonts w:cstheme="minorHAnsi"/>
          <w:color w:val="auto"/>
          <w:lang w:val="en-US"/>
        </w:rPr>
        <w:t xml:space="preserve"> approach and facilitating the </w:t>
      </w:r>
      <w:r w:rsidR="008749CA">
        <w:rPr>
          <w:rFonts w:cstheme="minorHAnsi"/>
          <w:color w:val="auto"/>
          <w:lang w:val="en-US"/>
        </w:rPr>
        <w:t xml:space="preserve">access and </w:t>
      </w:r>
      <w:r w:rsidRPr="008749CA">
        <w:rPr>
          <w:rFonts w:cstheme="minorHAnsi"/>
          <w:color w:val="auto"/>
          <w:lang w:val="en-US"/>
        </w:rPr>
        <w:t>usage of data without specific barriers due to copyright and property rights. This does not mean that any misuse likely to bring prejudice to the reporting entity should not be regulated by common law.</w:t>
      </w:r>
      <w:r w:rsidR="008749CA" w:rsidRPr="008749CA">
        <w:rPr>
          <w:rFonts w:cstheme="minorHAnsi"/>
          <w:color w:val="auto"/>
          <w:lang w:val="en-US"/>
        </w:rPr>
        <w:t xml:space="preserve"> Therefore, we agree with the proposed approach to use CCO</w:t>
      </w:r>
      <w:r w:rsidR="001B2E27">
        <w:rPr>
          <w:rFonts w:cstheme="minorHAnsi"/>
          <w:color w:val="auto"/>
          <w:lang w:val="en-US"/>
        </w:rPr>
        <w:t xml:space="preserve"> (</w:t>
      </w:r>
      <w:r w:rsidR="001B2E27">
        <w:t>Creative Commons Public Domain Dedication)</w:t>
      </w:r>
      <w:r w:rsidR="008749CA" w:rsidRPr="008749CA">
        <w:rPr>
          <w:rFonts w:cstheme="minorHAnsi"/>
          <w:color w:val="auto"/>
          <w:lang w:val="en-US"/>
        </w:rPr>
        <w:t xml:space="preserve"> licenses.</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2CF45E42" w:rsidR="007A206C" w:rsidRDefault="004C3D97" w:rsidP="007A206C">
      <w:permStart w:id="654211918" w:edGrp="everyone"/>
      <w:r>
        <w:t>We do not see any particular issue with the proposed characteristics of the API for data collection.</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24A3A09F" w14:textId="00F8A471" w:rsidR="00E3048E" w:rsidRPr="00E3048E" w:rsidRDefault="00E3048E" w:rsidP="00E3048E">
      <w:pPr>
        <w:spacing w:after="0" w:line="240" w:lineRule="atLeast"/>
        <w:rPr>
          <w:rFonts w:cstheme="minorHAnsi"/>
          <w:color w:val="auto"/>
        </w:rPr>
      </w:pPr>
      <w:permStart w:id="1396908232" w:edGrp="everyone"/>
      <w:r w:rsidRPr="00E3048E">
        <w:rPr>
          <w:rFonts w:cstheme="minorHAnsi"/>
          <w:color w:val="auto"/>
        </w:rPr>
        <w:t>Although we understand the consultation on ITS concerns metadata which should be provided by the CB to ESMA, and that the ESAs have a separate mandate under certain sectoral legislation to specify additional metadata which reporting entities shall provide CB</w:t>
      </w:r>
      <w:r>
        <w:rPr>
          <w:rFonts w:cstheme="minorHAnsi"/>
          <w:color w:val="auto"/>
        </w:rPr>
        <w:t>s</w:t>
      </w:r>
      <w:r w:rsidRPr="00E3048E">
        <w:rPr>
          <w:rFonts w:cstheme="minorHAnsi"/>
          <w:color w:val="auto"/>
        </w:rPr>
        <w:t xml:space="preserve">, we believe that ESAs should clarify certain of these </w:t>
      </w:r>
      <w:proofErr w:type="spellStart"/>
      <w:r w:rsidRPr="00E3048E">
        <w:rPr>
          <w:rFonts w:cstheme="minorHAnsi"/>
          <w:color w:val="auto"/>
        </w:rPr>
        <w:t>informations</w:t>
      </w:r>
      <w:proofErr w:type="spellEnd"/>
      <w:r w:rsidRPr="00E3048E">
        <w:rPr>
          <w:rFonts w:cstheme="minorHAnsi"/>
          <w:color w:val="auto"/>
        </w:rPr>
        <w:t xml:space="preserve"> to make sure that CB</w:t>
      </w:r>
      <w:r>
        <w:rPr>
          <w:rFonts w:cstheme="minorHAnsi"/>
          <w:color w:val="auto"/>
        </w:rPr>
        <w:t>s</w:t>
      </w:r>
      <w:r w:rsidRPr="00E3048E">
        <w:rPr>
          <w:rFonts w:cstheme="minorHAnsi"/>
          <w:color w:val="auto"/>
        </w:rPr>
        <w:t xml:space="preserve"> will require the same information from reporting entities and to promote consistency. </w:t>
      </w:r>
    </w:p>
    <w:p w14:paraId="3455C728" w14:textId="77777777" w:rsidR="00E3048E" w:rsidRPr="00E3048E" w:rsidRDefault="00E3048E" w:rsidP="00E3048E">
      <w:pPr>
        <w:spacing w:after="0" w:line="240" w:lineRule="atLeast"/>
        <w:rPr>
          <w:rFonts w:cstheme="minorHAnsi"/>
          <w:color w:val="auto"/>
        </w:rPr>
      </w:pPr>
    </w:p>
    <w:p w14:paraId="59C629BD" w14:textId="5E298F81" w:rsidR="00E3048E" w:rsidRPr="00E3048E" w:rsidRDefault="00E3048E" w:rsidP="00E3048E">
      <w:pPr>
        <w:spacing w:after="0" w:line="240" w:lineRule="atLeast"/>
        <w:rPr>
          <w:rFonts w:cstheme="minorHAnsi"/>
          <w:color w:val="auto"/>
        </w:rPr>
      </w:pPr>
      <w:r w:rsidRPr="00E3048E">
        <w:rPr>
          <w:rFonts w:cstheme="minorHAnsi"/>
          <w:color w:val="auto"/>
        </w:rPr>
        <w:t>For instance, certain metadata raise some questions</w:t>
      </w:r>
      <w:r w:rsidR="00A152A0">
        <w:rPr>
          <w:rFonts w:cstheme="minorHAnsi"/>
          <w:color w:val="auto"/>
        </w:rPr>
        <w:t xml:space="preserve"> and complexities</w:t>
      </w:r>
      <w:r w:rsidRPr="00E3048E">
        <w:rPr>
          <w:rFonts w:cstheme="minorHAnsi"/>
          <w:color w:val="auto"/>
        </w:rPr>
        <w:t xml:space="preserve"> depending upon the type of information/sectoral legislation concerned.</w:t>
      </w:r>
    </w:p>
    <w:p w14:paraId="5A8154BD" w14:textId="77777777" w:rsidR="00E3048E" w:rsidRDefault="00E3048E" w:rsidP="00E3048E">
      <w:pPr>
        <w:spacing w:after="0" w:line="240" w:lineRule="auto"/>
        <w:rPr>
          <w:lang w:val="en-US"/>
        </w:rPr>
      </w:pPr>
    </w:p>
    <w:p w14:paraId="4C850C2A" w14:textId="780F79CC" w:rsidR="00E3048E" w:rsidRDefault="00E3048E" w:rsidP="00E3048E">
      <w:pPr>
        <w:spacing w:after="0" w:line="240" w:lineRule="auto"/>
        <w:rPr>
          <w:lang w:val="en-US"/>
        </w:rPr>
      </w:pPr>
      <w:r>
        <w:rPr>
          <w:lang w:val="en-US"/>
        </w:rPr>
        <w:t xml:space="preserve">Here below are some </w:t>
      </w:r>
      <w:r w:rsidR="00285C33">
        <w:rPr>
          <w:lang w:val="en-US"/>
        </w:rPr>
        <w:t>non</w:t>
      </w:r>
      <w:r w:rsidR="00A152A0">
        <w:rPr>
          <w:lang w:val="en-US"/>
        </w:rPr>
        <w:t>-</w:t>
      </w:r>
      <w:r w:rsidR="00285C33">
        <w:rPr>
          <w:lang w:val="en-US"/>
        </w:rPr>
        <w:t>exhaustive</w:t>
      </w:r>
      <w:r>
        <w:rPr>
          <w:lang w:val="en-US"/>
        </w:rPr>
        <w:t xml:space="preserve"> examples: </w:t>
      </w:r>
    </w:p>
    <w:p w14:paraId="715DDBC4" w14:textId="77777777" w:rsidR="00E3048E" w:rsidRDefault="00E3048E" w:rsidP="00E3048E">
      <w:pPr>
        <w:spacing w:after="0" w:line="240" w:lineRule="auto"/>
        <w:rPr>
          <w:lang w:val="en-US"/>
        </w:rPr>
      </w:pPr>
    </w:p>
    <w:p w14:paraId="5A1EECB3" w14:textId="77777777" w:rsidR="00CF59F9" w:rsidRDefault="00467E2C" w:rsidP="00E3048E">
      <w:pPr>
        <w:numPr>
          <w:ilvl w:val="0"/>
          <w:numId w:val="21"/>
        </w:numPr>
        <w:spacing w:after="0" w:line="240" w:lineRule="auto"/>
        <w:ind w:left="0"/>
        <w:rPr>
          <w:lang w:val="en-US"/>
        </w:rPr>
      </w:pPr>
      <w:r w:rsidRPr="00E3048E">
        <w:rPr>
          <w:u w:val="single"/>
          <w:lang w:val="en-US"/>
        </w:rPr>
        <w:t>Legal framework</w:t>
      </w:r>
      <w:r w:rsidRPr="00E3048E">
        <w:rPr>
          <w:lang w:val="en-US"/>
        </w:rPr>
        <w:t xml:space="preserve"> (</w:t>
      </w:r>
      <w:r w:rsidRPr="00E3048E">
        <w:rPr>
          <w:i/>
          <w:iCs/>
          <w:lang w:val="en-US"/>
        </w:rPr>
        <w:t>Annex</w:t>
      </w:r>
      <w:r w:rsidR="00E3048E" w:rsidRPr="00E3048E">
        <w:rPr>
          <w:i/>
          <w:iCs/>
          <w:lang w:val="en-US"/>
        </w:rPr>
        <w:t xml:space="preserve"> </w:t>
      </w:r>
      <w:r w:rsidRPr="00E3048E">
        <w:rPr>
          <w:i/>
          <w:iCs/>
          <w:lang w:val="en-US"/>
        </w:rPr>
        <w:t>I</w:t>
      </w:r>
      <w:r w:rsidR="00E3048E" w:rsidRPr="00E3048E">
        <w:rPr>
          <w:i/>
          <w:iCs/>
          <w:lang w:val="en-US"/>
        </w:rPr>
        <w:t>, T</w:t>
      </w:r>
      <w:r w:rsidRPr="00E3048E">
        <w:rPr>
          <w:i/>
          <w:iCs/>
          <w:lang w:val="en-US"/>
        </w:rPr>
        <w:t>able</w:t>
      </w:r>
      <w:r w:rsidR="00E3048E" w:rsidRPr="00E3048E">
        <w:rPr>
          <w:i/>
          <w:iCs/>
          <w:lang w:val="en-US"/>
        </w:rPr>
        <w:t xml:space="preserve"> </w:t>
      </w:r>
      <w:r w:rsidRPr="00E3048E">
        <w:rPr>
          <w:i/>
          <w:iCs/>
          <w:lang w:val="en-US"/>
        </w:rPr>
        <w:t>1</w:t>
      </w:r>
      <w:r w:rsidR="00E3048E" w:rsidRPr="00E3048E">
        <w:rPr>
          <w:i/>
          <w:iCs/>
          <w:lang w:val="en-US"/>
        </w:rPr>
        <w:t>, Field 23</w:t>
      </w:r>
      <w:r w:rsidRPr="00E3048E">
        <w:rPr>
          <w:lang w:val="en-US"/>
        </w:rPr>
        <w:t xml:space="preserve">): </w:t>
      </w:r>
      <w:r w:rsidR="00E3048E">
        <w:rPr>
          <w:lang w:val="en-US"/>
        </w:rPr>
        <w:t xml:space="preserve">the case where one disclosure obligation is required by one regulation but is embedded in the disclosure of another. This can be the case in </w:t>
      </w:r>
      <w:hyperlink r:id="rId18" w:history="1">
        <w:r w:rsidRPr="00E3048E">
          <w:rPr>
            <w:rStyle w:val="Lienhypertexte"/>
            <w:lang w:val="en-US"/>
          </w:rPr>
          <w:t>SFDR</w:t>
        </w:r>
      </w:hyperlink>
      <w:r w:rsidR="00E3048E">
        <w:rPr>
          <w:lang w:val="en-US"/>
        </w:rPr>
        <w:t xml:space="preserve"> for example, where</w:t>
      </w:r>
      <w:r w:rsidRPr="00E3048E">
        <w:rPr>
          <w:lang w:val="en-US"/>
        </w:rPr>
        <w:t xml:space="preserve"> article</w:t>
      </w:r>
      <w:r w:rsidR="00E3048E">
        <w:rPr>
          <w:lang w:val="en-US"/>
        </w:rPr>
        <w:t>s</w:t>
      </w:r>
      <w:r w:rsidRPr="00E3048E">
        <w:rPr>
          <w:lang w:val="en-US"/>
        </w:rPr>
        <w:t xml:space="preserve"> 8 and 10(1)(c) requires that SFDR pre</w:t>
      </w:r>
      <w:r w:rsidR="00E3048E">
        <w:rPr>
          <w:lang w:val="en-US"/>
        </w:rPr>
        <w:t>-</w:t>
      </w:r>
      <w:r w:rsidRPr="00E3048E">
        <w:rPr>
          <w:lang w:val="en-US"/>
        </w:rPr>
        <w:t xml:space="preserve">contractual disclosures </w:t>
      </w:r>
      <w:r w:rsidR="00E3048E">
        <w:rPr>
          <w:lang w:val="en-US"/>
        </w:rPr>
        <w:t xml:space="preserve">must </w:t>
      </w:r>
      <w:r w:rsidRPr="00E3048E">
        <w:rPr>
          <w:lang w:val="en-US"/>
        </w:rPr>
        <w:t xml:space="preserve">be disclosed </w:t>
      </w:r>
      <w:r w:rsidR="00E3048E">
        <w:rPr>
          <w:lang w:val="en-US"/>
        </w:rPr>
        <w:t xml:space="preserve">according to the </w:t>
      </w:r>
      <w:r w:rsidRPr="00E3048E">
        <w:rPr>
          <w:lang w:val="en-US"/>
        </w:rPr>
        <w:t xml:space="preserve">list </w:t>
      </w:r>
      <w:r w:rsidR="00E3048E">
        <w:rPr>
          <w:lang w:val="en-US"/>
        </w:rPr>
        <w:t>of</w:t>
      </w:r>
      <w:r w:rsidRPr="00E3048E">
        <w:rPr>
          <w:lang w:val="en-US"/>
        </w:rPr>
        <w:t xml:space="preserve"> article 6(3), </w:t>
      </w:r>
      <w:r w:rsidR="00E3048E">
        <w:rPr>
          <w:lang w:val="en-US"/>
        </w:rPr>
        <w:t xml:space="preserve">which </w:t>
      </w:r>
      <w:r w:rsidR="00E3048E" w:rsidRPr="00E3048E">
        <w:rPr>
          <w:lang w:val="en-US"/>
        </w:rPr>
        <w:t>refers</w:t>
      </w:r>
      <w:r w:rsidRPr="00E3048E">
        <w:rPr>
          <w:lang w:val="en-US"/>
        </w:rPr>
        <w:t xml:space="preserve"> to specific regulation. For </w:t>
      </w:r>
      <w:r w:rsidR="00CF59F9">
        <w:rPr>
          <w:lang w:val="en-US"/>
        </w:rPr>
        <w:t xml:space="preserve">instance, taking the case of </w:t>
      </w:r>
      <w:r w:rsidRPr="00E3048E">
        <w:rPr>
          <w:lang w:val="en-US"/>
        </w:rPr>
        <w:t xml:space="preserve">a UCITS, </w:t>
      </w:r>
      <w:r w:rsidR="00CF59F9">
        <w:rPr>
          <w:lang w:val="en-US"/>
        </w:rPr>
        <w:t>pre-contractual disclosures shal</w:t>
      </w:r>
      <w:r w:rsidRPr="00E3048E">
        <w:rPr>
          <w:lang w:val="en-US"/>
        </w:rPr>
        <w:t xml:space="preserve">l be disclosed </w:t>
      </w:r>
      <w:r w:rsidR="00CF59F9">
        <w:rPr>
          <w:lang w:val="en-US"/>
        </w:rPr>
        <w:t>through</w:t>
      </w:r>
      <w:r w:rsidRPr="00E3048E">
        <w:rPr>
          <w:lang w:val="en-US"/>
        </w:rPr>
        <w:t xml:space="preserve"> the prospectus (</w:t>
      </w:r>
      <w:r w:rsidR="00E3048E" w:rsidRPr="00E3048E">
        <w:rPr>
          <w:i/>
          <w:iCs/>
          <w:lang w:val="en-US"/>
        </w:rPr>
        <w:t>SFDR, art. 6(3)(g)</w:t>
      </w:r>
      <w:r w:rsidRPr="00E3048E">
        <w:rPr>
          <w:lang w:val="en-US"/>
        </w:rPr>
        <w:t xml:space="preserve">). </w:t>
      </w:r>
    </w:p>
    <w:p w14:paraId="0ADC2EDE" w14:textId="5E07E0DA" w:rsidR="00467E2C" w:rsidRPr="00E3048E" w:rsidRDefault="00CF59F9" w:rsidP="00CF59F9">
      <w:pPr>
        <w:spacing w:after="0" w:line="240" w:lineRule="auto"/>
        <w:rPr>
          <w:lang w:val="en-US"/>
        </w:rPr>
      </w:pPr>
      <w:r w:rsidRPr="00CF59F9">
        <w:rPr>
          <w:lang w:val="en-US"/>
        </w:rPr>
        <w:t xml:space="preserve">Its therefore not clear which </w:t>
      </w:r>
      <w:r w:rsidR="00467E2C" w:rsidRPr="00CF59F9">
        <w:rPr>
          <w:lang w:val="en-US"/>
        </w:rPr>
        <w:t>legal</w:t>
      </w:r>
      <w:r w:rsidR="00467E2C" w:rsidRPr="00E3048E">
        <w:rPr>
          <w:lang w:val="en-US"/>
        </w:rPr>
        <w:t xml:space="preserve"> framework would have to be shown in ESAP</w:t>
      </w:r>
      <w:r>
        <w:rPr>
          <w:lang w:val="en-US"/>
        </w:rPr>
        <w:t>.</w:t>
      </w:r>
      <w:r w:rsidR="00467E2C" w:rsidRPr="00E3048E">
        <w:rPr>
          <w:lang w:val="en-US"/>
        </w:rPr>
        <w:t xml:space="preserve"> </w:t>
      </w:r>
      <w:r>
        <w:rPr>
          <w:lang w:val="en-US"/>
        </w:rPr>
        <w:t xml:space="preserve">Clarification on that point through forthcoming ITS per sectoral legislations is of paramount. </w:t>
      </w:r>
    </w:p>
    <w:p w14:paraId="73AD981D" w14:textId="77777777" w:rsidR="00E3048E" w:rsidRDefault="00E3048E" w:rsidP="00E3048E">
      <w:pPr>
        <w:spacing w:after="0" w:line="240" w:lineRule="auto"/>
        <w:rPr>
          <w:lang w:val="en-US"/>
        </w:rPr>
      </w:pPr>
    </w:p>
    <w:p w14:paraId="3BFEAF8C" w14:textId="1E25128A" w:rsidR="00467E2C" w:rsidRDefault="00467E2C" w:rsidP="00E3048E">
      <w:pPr>
        <w:numPr>
          <w:ilvl w:val="0"/>
          <w:numId w:val="21"/>
        </w:numPr>
        <w:spacing w:after="0" w:line="240" w:lineRule="auto"/>
        <w:ind w:left="0"/>
        <w:rPr>
          <w:lang w:val="en-US"/>
        </w:rPr>
      </w:pPr>
      <w:r w:rsidRPr="00CF59F9">
        <w:rPr>
          <w:u w:val="single"/>
          <w:lang w:val="en-US"/>
        </w:rPr>
        <w:t>Home member state/Host member state</w:t>
      </w:r>
      <w:r>
        <w:rPr>
          <w:i/>
          <w:iCs/>
          <w:lang w:val="en-US"/>
        </w:rPr>
        <w:t xml:space="preserve"> </w:t>
      </w:r>
      <w:r>
        <w:rPr>
          <w:lang w:val="en-US"/>
        </w:rPr>
        <w:t>(</w:t>
      </w:r>
      <w:r w:rsidRPr="00CF59F9">
        <w:rPr>
          <w:i/>
          <w:iCs/>
          <w:lang w:val="en-US"/>
        </w:rPr>
        <w:t>Annex</w:t>
      </w:r>
      <w:r w:rsidR="00CF59F9" w:rsidRPr="00CF59F9">
        <w:rPr>
          <w:i/>
          <w:iCs/>
          <w:lang w:val="en-US"/>
        </w:rPr>
        <w:t xml:space="preserve"> </w:t>
      </w:r>
      <w:r w:rsidRPr="00CF59F9">
        <w:rPr>
          <w:i/>
          <w:iCs/>
          <w:lang w:val="en-US"/>
        </w:rPr>
        <w:t>I</w:t>
      </w:r>
      <w:r w:rsidR="00CF59F9" w:rsidRPr="00CF59F9">
        <w:rPr>
          <w:i/>
          <w:iCs/>
          <w:lang w:val="en-US"/>
        </w:rPr>
        <w:t>, T</w:t>
      </w:r>
      <w:r w:rsidRPr="00CF59F9">
        <w:rPr>
          <w:i/>
          <w:iCs/>
          <w:lang w:val="en-US"/>
        </w:rPr>
        <w:t>able</w:t>
      </w:r>
      <w:r w:rsidR="00CF59F9" w:rsidRPr="00CF59F9">
        <w:rPr>
          <w:i/>
          <w:iCs/>
          <w:lang w:val="en-US"/>
        </w:rPr>
        <w:t xml:space="preserve"> </w:t>
      </w:r>
      <w:r w:rsidRPr="00CF59F9">
        <w:rPr>
          <w:i/>
          <w:iCs/>
          <w:lang w:val="en-US"/>
        </w:rPr>
        <w:t>1</w:t>
      </w:r>
      <w:r w:rsidR="00CF59F9" w:rsidRPr="00CF59F9">
        <w:rPr>
          <w:i/>
          <w:iCs/>
          <w:lang w:val="en-US"/>
        </w:rPr>
        <w:t>, Fields 24 &amp; 25</w:t>
      </w:r>
      <w:r>
        <w:rPr>
          <w:lang w:val="en-US"/>
        </w:rPr>
        <w:t xml:space="preserve">): </w:t>
      </w:r>
      <w:r w:rsidR="00CF59F9">
        <w:rPr>
          <w:lang w:val="en-US"/>
        </w:rPr>
        <w:t xml:space="preserve">Clarification should be brought in case of a </w:t>
      </w:r>
      <w:r>
        <w:rPr>
          <w:lang w:val="en-US"/>
        </w:rPr>
        <w:t>product domiciled in one Member State</w:t>
      </w:r>
      <w:r w:rsidR="00CF59F9">
        <w:rPr>
          <w:lang w:val="en-US"/>
        </w:rPr>
        <w:t xml:space="preserve"> (MS),</w:t>
      </w:r>
      <w:r>
        <w:rPr>
          <w:lang w:val="en-US"/>
        </w:rPr>
        <w:t xml:space="preserve"> passported in another and managed by a company domiciled in </w:t>
      </w:r>
      <w:r w:rsidR="00CF59F9">
        <w:rPr>
          <w:lang w:val="en-US"/>
        </w:rPr>
        <w:t xml:space="preserve">yet </w:t>
      </w:r>
      <w:r>
        <w:rPr>
          <w:lang w:val="en-US"/>
        </w:rPr>
        <w:t>a</w:t>
      </w:r>
      <w:r w:rsidR="00CF59F9">
        <w:rPr>
          <w:lang w:val="en-US"/>
        </w:rPr>
        <w:t>nother MS.</w:t>
      </w:r>
    </w:p>
    <w:p w14:paraId="666A9888" w14:textId="77777777" w:rsidR="00A152A0" w:rsidRDefault="00467E2C" w:rsidP="00E3048E">
      <w:pPr>
        <w:numPr>
          <w:ilvl w:val="0"/>
          <w:numId w:val="21"/>
        </w:numPr>
        <w:spacing w:after="0" w:line="240" w:lineRule="auto"/>
        <w:ind w:left="0"/>
        <w:rPr>
          <w:lang w:val="en-US"/>
        </w:rPr>
      </w:pPr>
      <w:r w:rsidRPr="00CF59F9">
        <w:rPr>
          <w:u w:val="single"/>
          <w:lang w:val="en-US"/>
        </w:rPr>
        <w:t>Beginning / End of the publication period</w:t>
      </w:r>
      <w:r>
        <w:rPr>
          <w:i/>
          <w:iCs/>
          <w:lang w:val="en-US"/>
        </w:rPr>
        <w:t xml:space="preserve"> </w:t>
      </w:r>
      <w:r>
        <w:rPr>
          <w:lang w:val="en-US"/>
        </w:rPr>
        <w:t>(</w:t>
      </w:r>
      <w:r w:rsidRPr="00CF59F9">
        <w:rPr>
          <w:i/>
          <w:iCs/>
          <w:lang w:val="en-US"/>
        </w:rPr>
        <w:t>Annex</w:t>
      </w:r>
      <w:r w:rsidR="00CF59F9" w:rsidRPr="00CF59F9">
        <w:rPr>
          <w:i/>
          <w:iCs/>
          <w:lang w:val="en-US"/>
        </w:rPr>
        <w:t xml:space="preserve"> </w:t>
      </w:r>
      <w:r w:rsidRPr="00CF59F9">
        <w:rPr>
          <w:i/>
          <w:iCs/>
          <w:lang w:val="en-US"/>
        </w:rPr>
        <w:t>I</w:t>
      </w:r>
      <w:r w:rsidR="00CF59F9" w:rsidRPr="00CF59F9">
        <w:rPr>
          <w:i/>
          <w:iCs/>
          <w:lang w:val="en-US"/>
        </w:rPr>
        <w:t>, T</w:t>
      </w:r>
      <w:r w:rsidRPr="00CF59F9">
        <w:rPr>
          <w:i/>
          <w:iCs/>
          <w:lang w:val="en-US"/>
        </w:rPr>
        <w:t>able</w:t>
      </w:r>
      <w:r w:rsidR="00CF59F9" w:rsidRPr="00CF59F9">
        <w:rPr>
          <w:i/>
          <w:iCs/>
          <w:lang w:val="en-US"/>
        </w:rPr>
        <w:t xml:space="preserve"> </w:t>
      </w:r>
      <w:r w:rsidRPr="00CF59F9">
        <w:rPr>
          <w:i/>
          <w:iCs/>
          <w:lang w:val="en-US"/>
        </w:rPr>
        <w:t>1</w:t>
      </w:r>
      <w:r w:rsidR="00CF59F9" w:rsidRPr="00CF59F9">
        <w:rPr>
          <w:i/>
          <w:iCs/>
          <w:lang w:val="en-US"/>
        </w:rPr>
        <w:t>, Fields 21 &amp; 22</w:t>
      </w:r>
      <w:r>
        <w:rPr>
          <w:lang w:val="en-US"/>
        </w:rPr>
        <w:t xml:space="preserve">): </w:t>
      </w:r>
      <w:r w:rsidR="00CF59F9">
        <w:rPr>
          <w:lang w:val="en-US"/>
        </w:rPr>
        <w:t>It is unclear how these fields have to be completed as certain</w:t>
      </w:r>
      <w:r>
        <w:rPr>
          <w:lang w:val="en-US"/>
        </w:rPr>
        <w:t xml:space="preserve"> information are not periodic but “permanent” over the life of an entity/product</w:t>
      </w:r>
      <w:r w:rsidR="00CF59F9">
        <w:rPr>
          <w:lang w:val="en-US"/>
        </w:rPr>
        <w:t>. This is the case of the prospectus of a product for instance. Precision should be brought on that point and clarification on whether it is possible to consider “N/A” as a relevant metadata.</w:t>
      </w:r>
    </w:p>
    <w:p w14:paraId="6D7CF3E3" w14:textId="77777777" w:rsidR="00A152A0" w:rsidRDefault="00A152A0" w:rsidP="00A152A0">
      <w:pPr>
        <w:spacing w:after="0" w:line="240" w:lineRule="auto"/>
        <w:rPr>
          <w:lang w:val="en-US"/>
        </w:rPr>
      </w:pPr>
    </w:p>
    <w:p w14:paraId="34A170D7" w14:textId="160265AC" w:rsidR="00467E2C" w:rsidRDefault="00A152A0" w:rsidP="00A152A0">
      <w:pPr>
        <w:spacing w:after="0" w:line="240" w:lineRule="auto"/>
        <w:rPr>
          <w:lang w:val="en-US"/>
        </w:rPr>
      </w:pPr>
      <w:r>
        <w:rPr>
          <w:lang w:val="en-US"/>
        </w:rPr>
        <w:t xml:space="preserve">Finally, we would suggest adding the record status as a </w:t>
      </w:r>
      <w:r w:rsidR="004C3D97">
        <w:rPr>
          <w:lang w:val="en-US"/>
        </w:rPr>
        <w:t>criterion</w:t>
      </w:r>
      <w:r>
        <w:rPr>
          <w:lang w:val="en-US"/>
        </w:rPr>
        <w:t>.</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77777777" w:rsidR="007A206C" w:rsidRDefault="007A206C" w:rsidP="007A206C">
      <w:permStart w:id="1817079671" w:edGrp="everyone"/>
      <w:r>
        <w:t>TYPE YOUR TEXT HERE</w:t>
      </w:r>
    </w:p>
    <w:permEnd w:id="1817079671"/>
    <w:p w14:paraId="4FEBB74F" w14:textId="77777777" w:rsidR="007A206C" w:rsidRDefault="007A206C" w:rsidP="007A206C">
      <w:r>
        <w:lastRenderedPageBreak/>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0BB7C357" w14:textId="2F8D8330" w:rsidR="007158B0" w:rsidRDefault="00417925" w:rsidP="007158B0">
      <w:permStart w:id="1770933408" w:edGrp="everyone"/>
      <w:r>
        <w:t>In fact, asset managers need to have access to price and time-sensitive information as part of their job</w:t>
      </w:r>
      <w:r w:rsidR="004C3D97">
        <w:t xml:space="preserve"> and therefore uses officially appointed mechanisms as well as public and private databases</w:t>
      </w:r>
      <w:r>
        <w:t>.</w:t>
      </w:r>
      <w:r w:rsidR="004C3D97">
        <w:t xml:space="preserve"> However, t</w:t>
      </w:r>
      <w:r>
        <w:t xml:space="preserve">oday they get this information at </w:t>
      </w:r>
      <w:r w:rsidRPr="00417925">
        <w:t>exorbitant cost</w:t>
      </w:r>
      <w:r>
        <w:t xml:space="preserve"> through a few </w:t>
      </w:r>
      <w:r w:rsidR="00EC26EE">
        <w:t xml:space="preserve">non-EU </w:t>
      </w:r>
      <w:r>
        <w:t>providers that are usually in an oligopolistic situation and with a certain lack of reliability due to poor transparency on their methodology</w:t>
      </w:r>
      <w:r w:rsidR="004C3D97">
        <w:t>.</w:t>
      </w:r>
    </w:p>
    <w:permEnd w:id="1770933408"/>
    <w:p w14:paraId="0E323314" w14:textId="2112B72A"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141BCDA0" w14:textId="475D1FED" w:rsidR="007A206C" w:rsidRDefault="00A476DD" w:rsidP="007A206C">
      <w:permStart w:id="1031027166" w:edGrp="everyone"/>
      <w:r w:rsidRPr="00A476DD">
        <w:rPr>
          <w:rFonts w:cstheme="minorHAnsi"/>
          <w:color w:val="auto"/>
        </w:rPr>
        <w:t xml:space="preserve">The ESAs made it clear in their consultation that the aim of ESAP is not to provide price and time sensitive </w:t>
      </w:r>
      <w:proofErr w:type="spellStart"/>
      <w:r w:rsidRPr="00A476DD">
        <w:rPr>
          <w:rFonts w:cstheme="minorHAnsi"/>
          <w:color w:val="auto"/>
        </w:rPr>
        <w:t>datas</w:t>
      </w:r>
      <w:proofErr w:type="spellEnd"/>
      <w:r w:rsidRPr="00A476DD">
        <w:rPr>
          <w:rFonts w:cstheme="minorHAnsi"/>
          <w:color w:val="auto"/>
        </w:rPr>
        <w:t>.</w:t>
      </w:r>
      <w:r>
        <w:rPr>
          <w:rFonts w:cstheme="minorHAnsi"/>
          <w:color w:val="auto"/>
        </w:rPr>
        <w:t xml:space="preserve"> </w:t>
      </w:r>
      <w:r w:rsidRPr="00A476DD">
        <w:rPr>
          <w:rFonts w:cstheme="minorHAnsi"/>
          <w:color w:val="auto"/>
        </w:rPr>
        <w:t xml:space="preserve">Therefore, </w:t>
      </w:r>
      <w:r w:rsidR="00467E2C" w:rsidRPr="00A476DD">
        <w:rPr>
          <w:rFonts w:cstheme="minorHAnsi"/>
          <w:color w:val="auto"/>
          <w:lang w:val="en-US"/>
        </w:rPr>
        <w:t>without any in-depth analysis</w:t>
      </w:r>
      <w:r w:rsidRPr="00A476DD">
        <w:rPr>
          <w:rFonts w:cstheme="minorHAnsi"/>
          <w:color w:val="auto"/>
          <w:lang w:val="en-US"/>
        </w:rPr>
        <w:t xml:space="preserve"> and</w:t>
      </w:r>
      <w:r w:rsidR="00467E2C" w:rsidRPr="00A476DD">
        <w:rPr>
          <w:rFonts w:cstheme="minorHAnsi"/>
          <w:color w:val="auto"/>
          <w:lang w:val="en-US"/>
        </w:rPr>
        <w:t xml:space="preserve"> </w:t>
      </w:r>
      <w:r w:rsidRPr="00A476DD">
        <w:rPr>
          <w:rFonts w:cstheme="minorHAnsi"/>
          <w:color w:val="auto"/>
          <w:lang w:val="en-US"/>
        </w:rPr>
        <w:t>consider</w:t>
      </w:r>
      <w:r w:rsidR="00467E2C" w:rsidRPr="00A476DD">
        <w:rPr>
          <w:rFonts w:cstheme="minorHAnsi"/>
          <w:color w:val="auto"/>
          <w:lang w:val="en-US"/>
        </w:rPr>
        <w:t xml:space="preserve">ing the types of data </w:t>
      </w:r>
      <w:r>
        <w:rPr>
          <w:rFonts w:cstheme="minorHAnsi"/>
          <w:color w:val="auto"/>
          <w:lang w:val="en-US"/>
        </w:rPr>
        <w:t>that</w:t>
      </w:r>
      <w:r w:rsidR="00467E2C" w:rsidRPr="00A476DD">
        <w:rPr>
          <w:rFonts w:cstheme="minorHAnsi"/>
          <w:color w:val="auto"/>
          <w:lang w:val="en-US"/>
        </w:rPr>
        <w:t xml:space="preserve"> will</w:t>
      </w:r>
      <w:r>
        <w:rPr>
          <w:rFonts w:cstheme="minorHAnsi"/>
          <w:color w:val="auto"/>
          <w:lang w:val="en-US"/>
        </w:rPr>
        <w:t xml:space="preserve"> be provided through</w:t>
      </w:r>
      <w:r w:rsidRPr="00A476DD">
        <w:rPr>
          <w:rFonts w:cstheme="minorHAnsi"/>
          <w:color w:val="auto"/>
          <w:lang w:val="en-US"/>
        </w:rPr>
        <w:t xml:space="preserve"> ESAP</w:t>
      </w:r>
      <w:r w:rsidR="00467E2C" w:rsidRPr="00A476DD">
        <w:rPr>
          <w:rFonts w:cstheme="minorHAnsi"/>
          <w:color w:val="auto"/>
          <w:lang w:val="en-US"/>
        </w:rPr>
        <w:t xml:space="preserve">, such a delay </w:t>
      </w:r>
      <w:r>
        <w:rPr>
          <w:rFonts w:cstheme="minorHAnsi"/>
          <w:color w:val="auto"/>
          <w:lang w:val="en-US"/>
        </w:rPr>
        <w:t>does</w:t>
      </w:r>
      <w:r w:rsidR="00467E2C" w:rsidRPr="00A476DD">
        <w:rPr>
          <w:rFonts w:cstheme="minorHAnsi"/>
          <w:color w:val="auto"/>
          <w:lang w:val="en-US"/>
        </w:rPr>
        <w:t xml:space="preserve"> not</w:t>
      </w:r>
      <w:r>
        <w:rPr>
          <w:rFonts w:cstheme="minorHAnsi"/>
          <w:color w:val="auto"/>
          <w:lang w:val="en-US"/>
        </w:rPr>
        <w:t xml:space="preserve"> seem to be</w:t>
      </w:r>
      <w:r w:rsidR="00467E2C" w:rsidRPr="00A476DD">
        <w:rPr>
          <w:rFonts w:cstheme="minorHAnsi"/>
          <w:color w:val="auto"/>
          <w:lang w:val="en-US"/>
        </w:rPr>
        <w:t xml:space="preserve"> a</w:t>
      </w:r>
      <w:r w:rsidRPr="00A476DD">
        <w:rPr>
          <w:rFonts w:cstheme="minorHAnsi"/>
          <w:color w:val="auto"/>
          <w:lang w:val="en-US"/>
        </w:rPr>
        <w:t xml:space="preserve"> particular</w:t>
      </w:r>
      <w:r w:rsidR="00467E2C" w:rsidRPr="00A476DD">
        <w:rPr>
          <w:rFonts w:cstheme="minorHAnsi"/>
          <w:color w:val="auto"/>
          <w:lang w:val="en-US"/>
        </w:rPr>
        <w:t xml:space="preserve"> issue</w:t>
      </w:r>
      <w:r w:rsidR="004C3D97">
        <w:rPr>
          <w:rFonts w:cstheme="minorHAnsi"/>
          <w:color w:val="auto"/>
          <w:lang w:val="en-US"/>
        </w:rPr>
        <w:t>. Indeed, in addition to ESAP, investors will still rely on press releases, investor events, companies’ website to get a certain type of information and particularly price and time-sensitive issues.</w:t>
      </w:r>
      <w:r w:rsidR="00467E2C" w:rsidRPr="00A476DD">
        <w:rPr>
          <w:rFonts w:cstheme="minorHAnsi"/>
          <w:color w:val="auto"/>
          <w:lang w:val="en-US"/>
        </w:rPr>
        <w:t>.</w:t>
      </w:r>
      <w:permEnd w:id="1031027166"/>
      <w:r w:rsidR="007A206C">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0FFD13CB" w14:textId="77777777" w:rsidR="00E3048E" w:rsidRPr="008749CA" w:rsidRDefault="00E3048E" w:rsidP="00E3048E">
      <w:pPr>
        <w:spacing w:after="0" w:line="240" w:lineRule="atLeast"/>
        <w:rPr>
          <w:rFonts w:cstheme="minorHAnsi"/>
        </w:rPr>
      </w:pPr>
      <w:permStart w:id="1832207884" w:edGrp="everyone"/>
      <w:r w:rsidRPr="008749CA">
        <w:rPr>
          <w:rFonts w:cstheme="minorHAnsi"/>
        </w:rPr>
        <w:t xml:space="preserve">The format must remain realistic from a cost/benefit perspective as inappropriately harmonised format could lead asset managers to review regulatory documents related to funds (e.g. annual report). This would incur high costs and would put them in a position where the cost is too high </w:t>
      </w:r>
      <w:r w:rsidRPr="008749CA">
        <w:rPr>
          <w:rFonts w:cstheme="minorHAnsi"/>
        </w:rPr>
        <w:lastRenderedPageBreak/>
        <w:t>to comply e.g. machine-readable formats. Furthermore, the integration of new format is time consuming and demands high IT developments. Finally, we should not loose human readability (retail).</w:t>
      </w:r>
    </w:p>
    <w:p w14:paraId="7AED1D39" w14:textId="77777777" w:rsidR="00E3048E" w:rsidRPr="008749CA" w:rsidRDefault="00E3048E" w:rsidP="00E3048E">
      <w:pPr>
        <w:spacing w:after="0" w:line="240" w:lineRule="atLeast"/>
        <w:rPr>
          <w:rFonts w:cstheme="minorHAnsi"/>
        </w:rPr>
      </w:pPr>
    </w:p>
    <w:p w14:paraId="758702AC" w14:textId="77777777" w:rsidR="00E3048E" w:rsidRPr="008749CA" w:rsidRDefault="00E3048E" w:rsidP="00E3048E">
      <w:pPr>
        <w:spacing w:after="0" w:line="240" w:lineRule="atLeast"/>
        <w:rPr>
          <w:rFonts w:cstheme="minorHAnsi"/>
        </w:rPr>
      </w:pPr>
      <w:r w:rsidRPr="008749CA">
        <w:rPr>
          <w:rFonts w:cstheme="minorHAnsi"/>
        </w:rPr>
        <w:t xml:space="preserve">In that sense we agree on the list of different formats described in ESMA’s consultation with data extractable format being the format by default (i.e. PDF and </w:t>
      </w:r>
      <w:proofErr w:type="spellStart"/>
      <w:r w:rsidRPr="008749CA">
        <w:rPr>
          <w:rFonts w:cstheme="minorHAnsi"/>
        </w:rPr>
        <w:t>xHTML</w:t>
      </w:r>
      <w:proofErr w:type="spellEnd"/>
      <w:r w:rsidRPr="008749CA">
        <w:rPr>
          <w:rFonts w:cstheme="minorHAnsi"/>
        </w:rPr>
        <w:t xml:space="preserve">) unless a machine-readable format is specified through existing sectoral legislation (i.e. XML, JSON, XBRL, XBRL-csv, </w:t>
      </w:r>
      <w:proofErr w:type="spellStart"/>
      <w:r w:rsidRPr="008749CA">
        <w:rPr>
          <w:rFonts w:cstheme="minorHAnsi"/>
        </w:rPr>
        <w:t>iXBRL</w:t>
      </w:r>
      <w:proofErr w:type="spellEnd"/>
      <w:r w:rsidRPr="008749CA">
        <w:rPr>
          <w:rFonts w:cstheme="minorHAnsi"/>
        </w:rPr>
        <w:t xml:space="preserve">). However, we would suggest adding CSV, TXT and Excel formats to that list. </w:t>
      </w:r>
    </w:p>
    <w:p w14:paraId="577E8123" w14:textId="77777777" w:rsidR="00E3048E" w:rsidRDefault="00E3048E" w:rsidP="00E3048E">
      <w:pPr>
        <w:spacing w:after="0" w:line="240" w:lineRule="atLeast"/>
      </w:pPr>
    </w:p>
    <w:p w14:paraId="2B2CF0E9" w14:textId="1C76492C" w:rsidR="00E3048E" w:rsidRPr="00A476DD" w:rsidRDefault="00E3048E" w:rsidP="00A476DD">
      <w:pPr>
        <w:spacing w:after="0" w:line="240" w:lineRule="atLeast"/>
        <w:rPr>
          <w:rFonts w:cstheme="minorHAnsi"/>
        </w:rPr>
      </w:pPr>
      <w:r w:rsidRPr="00A476DD">
        <w:rPr>
          <w:rFonts w:cstheme="minorHAnsi"/>
        </w:rPr>
        <w:t>Moreover, clarification should be made on whether and how a specific format will be required for a specific regulation, type of information and related datapoints. Indeed, if a new type of formats must be introduced through a sectoral legislation through an ITS, we would expect it to follow a thorough impact assessment</w:t>
      </w:r>
      <w:r w:rsidR="00A476DD">
        <w:rPr>
          <w:rFonts w:cstheme="minorHAnsi"/>
        </w:rPr>
        <w:t xml:space="preserve"> (</w:t>
      </w:r>
      <w:r w:rsidR="00A476DD" w:rsidRPr="00A476DD">
        <w:rPr>
          <w:rFonts w:eastAsia="Times New Roman" w:cstheme="minorHAnsi"/>
          <w:lang w:val="en-US"/>
        </w:rPr>
        <w:t>advantages and disadvantages, not only on the usage of one vs</w:t>
      </w:r>
      <w:r w:rsidR="00A476DD">
        <w:rPr>
          <w:rFonts w:eastAsia="Times New Roman" w:cstheme="minorHAnsi"/>
          <w:lang w:val="en-US"/>
        </w:rPr>
        <w:t>.</w:t>
      </w:r>
      <w:r w:rsidR="00A476DD" w:rsidRPr="00A476DD">
        <w:rPr>
          <w:rFonts w:eastAsia="Times New Roman" w:cstheme="minorHAnsi"/>
          <w:lang w:val="en-US"/>
        </w:rPr>
        <w:t xml:space="preserve"> multiple formats but on the choice of one specific format vs</w:t>
      </w:r>
      <w:r w:rsidR="00A476DD">
        <w:rPr>
          <w:rFonts w:eastAsia="Times New Roman" w:cstheme="minorHAnsi"/>
          <w:lang w:val="en-US"/>
        </w:rPr>
        <w:t>.</w:t>
      </w:r>
      <w:r w:rsidR="00A476DD" w:rsidRPr="00A476DD">
        <w:rPr>
          <w:rFonts w:eastAsia="Times New Roman" w:cstheme="minorHAnsi"/>
          <w:lang w:val="en-US"/>
        </w:rPr>
        <w:t xml:space="preserve"> another)</w:t>
      </w:r>
      <w:r w:rsidRPr="00A476DD">
        <w:rPr>
          <w:rFonts w:cstheme="minorHAnsi"/>
        </w:rPr>
        <w:t xml:space="preserve"> and we stress the importance for the industry to be consulted. Confirmation from ESMA on the process and the schedule to issue such “sectoral” ITS should therefore be provided. This is important for asset managers, as contributors to ESAP but also as potential users of ESAP’s machine readable information.</w:t>
      </w:r>
    </w:p>
    <w:p w14:paraId="10967435" w14:textId="77777777" w:rsidR="00E3048E" w:rsidRPr="00A476DD" w:rsidRDefault="00E3048E" w:rsidP="00A476DD">
      <w:pPr>
        <w:spacing w:after="0" w:line="240" w:lineRule="atLeast"/>
        <w:rPr>
          <w:rFonts w:cstheme="minorHAnsi"/>
          <w:color w:val="34009F" w:themeColor="accent1"/>
        </w:rPr>
      </w:pPr>
    </w:p>
    <w:p w14:paraId="51AD4DCA" w14:textId="4CA39330" w:rsidR="00467E2C" w:rsidRPr="00A476DD" w:rsidRDefault="00A476DD" w:rsidP="00467E2C">
      <w:pPr>
        <w:spacing w:after="0" w:line="240" w:lineRule="atLeast"/>
        <w:rPr>
          <w:rFonts w:cstheme="minorHAnsi"/>
        </w:rPr>
      </w:pPr>
      <w:r w:rsidRPr="00A476DD">
        <w:rPr>
          <w:rFonts w:cstheme="minorHAnsi"/>
        </w:rPr>
        <w:t xml:space="preserve">This remark is particularly true when we see that </w:t>
      </w:r>
      <w:r w:rsidR="00467E2C" w:rsidRPr="00A476DD">
        <w:rPr>
          <w:rFonts w:cstheme="minorHAnsi"/>
        </w:rPr>
        <w:t>in their final draft RTS report on SFDR</w:t>
      </w:r>
      <w:r w:rsidRPr="00A476DD">
        <w:rPr>
          <w:rFonts w:cstheme="minorHAnsi"/>
        </w:rPr>
        <w:t xml:space="preserve">, the </w:t>
      </w:r>
      <w:r w:rsidR="00467E2C" w:rsidRPr="00A476DD">
        <w:rPr>
          <w:rFonts w:cstheme="minorHAnsi"/>
        </w:rPr>
        <w:t>ESAs have introduced specific format for all SFDR disclosures (</w:t>
      </w:r>
      <w:r w:rsidRPr="00A476DD">
        <w:rPr>
          <w:rFonts w:cstheme="minorHAnsi"/>
        </w:rPr>
        <w:t>HTM</w:t>
      </w:r>
      <w:r w:rsidR="00467E2C" w:rsidRPr="00A476DD">
        <w:rPr>
          <w:rFonts w:cstheme="minorHAnsi"/>
        </w:rPr>
        <w:t xml:space="preserve"> and </w:t>
      </w:r>
      <w:proofErr w:type="spellStart"/>
      <w:r w:rsidRPr="00A476DD">
        <w:rPr>
          <w:rFonts w:cstheme="minorHAnsi"/>
        </w:rPr>
        <w:t>iXBRL</w:t>
      </w:r>
      <w:proofErr w:type="spellEnd"/>
      <w:r w:rsidR="00467E2C" w:rsidRPr="00A476DD">
        <w:rPr>
          <w:rFonts w:cstheme="minorHAnsi"/>
        </w:rPr>
        <w:t>)</w:t>
      </w:r>
      <w:r w:rsidRPr="00A476DD">
        <w:rPr>
          <w:rFonts w:cstheme="minorHAnsi"/>
        </w:rPr>
        <w:t xml:space="preserve">. These formats are </w:t>
      </w:r>
      <w:r w:rsidR="00467E2C" w:rsidRPr="00A476DD">
        <w:rPr>
          <w:rFonts w:cstheme="minorHAnsi"/>
        </w:rPr>
        <w:t xml:space="preserve">different from the </w:t>
      </w:r>
      <w:r w:rsidRPr="00A476DD">
        <w:rPr>
          <w:rFonts w:cstheme="minorHAnsi"/>
        </w:rPr>
        <w:t>ones</w:t>
      </w:r>
      <w:r>
        <w:rPr>
          <w:rFonts w:cstheme="minorHAnsi"/>
        </w:rPr>
        <w:t xml:space="preserve"> that were currently</w:t>
      </w:r>
      <w:r w:rsidR="00467E2C" w:rsidRPr="00A476DD">
        <w:rPr>
          <w:rFonts w:cstheme="minorHAnsi"/>
        </w:rPr>
        <w:t xml:space="preserve"> used </w:t>
      </w:r>
      <w:r w:rsidRPr="00A476DD">
        <w:rPr>
          <w:rFonts w:cstheme="minorHAnsi"/>
        </w:rPr>
        <w:t>under</w:t>
      </w:r>
      <w:r w:rsidR="00467E2C" w:rsidRPr="00A476DD">
        <w:rPr>
          <w:rFonts w:cstheme="minorHAnsi"/>
        </w:rPr>
        <w:t xml:space="preserve"> SFDR</w:t>
      </w:r>
      <w:r w:rsidRPr="00A476DD">
        <w:rPr>
          <w:rFonts w:cstheme="minorHAnsi"/>
        </w:rPr>
        <w:t xml:space="preserve"> i.e.</w:t>
      </w:r>
      <w:r w:rsidR="00467E2C" w:rsidRPr="00A476DD">
        <w:rPr>
          <w:rFonts w:cstheme="minorHAnsi"/>
        </w:rPr>
        <w:t xml:space="preserve"> searchable pdfs for data extractable formats, and </w:t>
      </w:r>
      <w:r w:rsidRPr="00A476DD">
        <w:rPr>
          <w:rFonts w:cstheme="minorHAnsi"/>
        </w:rPr>
        <w:t>CSV</w:t>
      </w:r>
      <w:r w:rsidR="00467E2C" w:rsidRPr="00A476DD">
        <w:rPr>
          <w:rFonts w:cstheme="minorHAnsi"/>
        </w:rPr>
        <w:t xml:space="preserve"> for some specific machine readable datapoints that are commonly provided through the EET files. </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358D3ECA" w14:textId="1D4002CE" w:rsidR="00467E2C" w:rsidRPr="00A476DD" w:rsidRDefault="00A476DD" w:rsidP="00467E2C">
      <w:pPr>
        <w:spacing w:after="0" w:line="240" w:lineRule="atLeast"/>
        <w:contextualSpacing/>
        <w:rPr>
          <w:rFonts w:cstheme="minorHAnsi"/>
          <w:color w:val="auto"/>
        </w:rPr>
      </w:pPr>
      <w:permStart w:id="1123965946" w:edGrp="everyone"/>
      <w:r w:rsidRPr="00A476DD">
        <w:rPr>
          <w:rFonts w:cstheme="minorHAnsi"/>
          <w:color w:val="auto"/>
        </w:rPr>
        <w:t>We agree on the proposed characteristics but would also ask for a m</w:t>
      </w:r>
      <w:r w:rsidR="00467E2C" w:rsidRPr="00A476DD">
        <w:rPr>
          <w:rFonts w:cstheme="minorHAnsi"/>
          <w:color w:val="auto"/>
        </w:rPr>
        <w:t xml:space="preserve">aximum availability of </w:t>
      </w:r>
      <w:r w:rsidRPr="00A476DD">
        <w:rPr>
          <w:rFonts w:cstheme="minorHAnsi"/>
          <w:color w:val="auto"/>
        </w:rPr>
        <w:t xml:space="preserve">the </w:t>
      </w:r>
      <w:r w:rsidR="00467E2C" w:rsidRPr="00A476DD">
        <w:rPr>
          <w:rFonts w:cstheme="minorHAnsi"/>
          <w:color w:val="auto"/>
        </w:rPr>
        <w:t>API during the day</w:t>
      </w:r>
      <w:r w:rsidRPr="00A476DD">
        <w:rPr>
          <w:rFonts w:cstheme="minorHAnsi"/>
          <w:color w:val="auto"/>
        </w:rPr>
        <w:t>.</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780AB28B" w:rsidR="007A206C" w:rsidRDefault="00467E2C" w:rsidP="007A206C">
      <w:permStart w:id="1658737231" w:edGrp="everyone"/>
      <w:r>
        <w:lastRenderedPageBreak/>
        <w:t>Yes</w:t>
      </w:r>
      <w:r w:rsidR="00A41711">
        <w:t>, we believe that using the ISO 17442 LEI code is justified.</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2D28195E" w14:textId="5D72F8BA" w:rsidR="00467E2C" w:rsidRDefault="00A41711" w:rsidP="00A41711">
      <w:pPr>
        <w:spacing w:after="0" w:line="240" w:lineRule="atLeast"/>
        <w:rPr>
          <w:rFonts w:eastAsia="Times New Roman"/>
          <w:lang w:val="en-US"/>
        </w:rPr>
      </w:pPr>
      <w:permStart w:id="630529236" w:edGrp="everyone"/>
      <w:r>
        <w:rPr>
          <w:rFonts w:eastAsia="Times New Roman"/>
          <w:lang w:val="en-US"/>
        </w:rPr>
        <w:t xml:space="preserve">We agree with option 1 in </w:t>
      </w:r>
      <w:proofErr w:type="spellStart"/>
      <w:r>
        <w:rPr>
          <w:rFonts w:eastAsia="Times New Roman"/>
          <w:lang w:val="en-US"/>
        </w:rPr>
        <w:t>parag</w:t>
      </w:r>
      <w:proofErr w:type="spellEnd"/>
      <w:r>
        <w:rPr>
          <w:rFonts w:eastAsia="Times New Roman"/>
          <w:lang w:val="en-US"/>
        </w:rPr>
        <w:t>. 109 that provides for granularity and whereby each disclosure obligation is a different type of information. Furthermore,</w:t>
      </w:r>
      <w:r w:rsidRPr="00A41711">
        <w:rPr>
          <w:rFonts w:cstheme="minorHAnsi"/>
        </w:rPr>
        <w:t xml:space="preserve"> </w:t>
      </w:r>
      <w:r>
        <w:rPr>
          <w:rFonts w:cstheme="minorHAnsi"/>
        </w:rPr>
        <w:t>w</w:t>
      </w:r>
      <w:r w:rsidRPr="00A41711">
        <w:rPr>
          <w:rFonts w:cstheme="minorHAnsi"/>
        </w:rPr>
        <w:t xml:space="preserve">e understand that further information can be made accessible on ESAP by any further legally binding Union act which provides for centralised electronic access to information through ESAP. However, if that is the case, </w:t>
      </w:r>
      <w:r>
        <w:rPr>
          <w:rFonts w:cstheme="minorHAnsi"/>
        </w:rPr>
        <w:t xml:space="preserve">Table 1 of Annex I of </w:t>
      </w:r>
      <w:r w:rsidRPr="00A41711">
        <w:rPr>
          <w:rFonts w:cstheme="minorHAnsi"/>
        </w:rPr>
        <w:t>ESAP ITS should be amended accordingly to reflect the new type of information required. Therefore, we do not approve of the category “other” which prevents any predictability</w:t>
      </w:r>
      <w:r>
        <w:rPr>
          <w:rFonts w:ascii="Montserrat" w:hAnsi="Montserrat"/>
        </w:rPr>
        <w:t>.</w:t>
      </w:r>
      <w:r w:rsidR="00467E2C">
        <w:rPr>
          <w:rFonts w:eastAsia="Times New Roman"/>
          <w:lang w:val="en-US"/>
        </w:rPr>
        <w:t xml:space="preserve"> </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77777777" w:rsidR="007A206C" w:rsidRDefault="007A206C" w:rsidP="007A206C">
      <w:permStart w:id="1947600168" w:edGrp="everyone"/>
      <w:r>
        <w:t>TYPE YOUR TEXT HERE</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018CE32A" w14:textId="77777777" w:rsidR="00EA7082" w:rsidRDefault="00EA7082" w:rsidP="00EA7082">
      <w:pPr>
        <w:spacing w:after="0" w:line="240" w:lineRule="atLeast"/>
        <w:rPr>
          <w:highlight w:val="yellow"/>
          <w:lang w:val="en-US"/>
        </w:rPr>
      </w:pPr>
      <w:permStart w:id="412037857" w:edGrp="everyone"/>
      <w:r w:rsidRPr="00C078E0">
        <w:rPr>
          <w:highlight w:val="yellow"/>
          <w:lang w:val="en-US"/>
        </w:rPr>
        <w:t>We agree with the general approach regarding the size of the entities that submitted the information and to which the information relates. However,</w:t>
      </w:r>
      <w:r>
        <w:rPr>
          <w:highlight w:val="yellow"/>
          <w:lang w:val="en-US"/>
        </w:rPr>
        <w:t xml:space="preserve"> regarding investment firms (Regulation (EU) 2019/2033), we believe it would be pertinent to distinguish between :</w:t>
      </w:r>
    </w:p>
    <w:p w14:paraId="14F37417" w14:textId="77777777" w:rsidR="00EA7082" w:rsidRPr="00C078E0" w:rsidRDefault="00EA7082" w:rsidP="00EA7082">
      <w:pPr>
        <w:spacing w:after="0" w:line="240" w:lineRule="atLeast"/>
        <w:rPr>
          <w:highlight w:val="yellow"/>
          <w:lang w:val="en-US"/>
        </w:rPr>
      </w:pPr>
    </w:p>
    <w:p w14:paraId="5AB941D0" w14:textId="77777777" w:rsidR="00EA7082" w:rsidRDefault="00EA7082" w:rsidP="00EA7082">
      <w:pPr>
        <w:pStyle w:val="Paragraphedeliste"/>
        <w:numPr>
          <w:ilvl w:val="0"/>
          <w:numId w:val="21"/>
        </w:numPr>
      </w:pPr>
      <w:r>
        <w:t>Investment firms subject to CRR/CRD (Class 1);</w:t>
      </w:r>
      <w:r w:rsidRPr="00636BE6">
        <w:t xml:space="preserve"> </w:t>
      </w:r>
    </w:p>
    <w:p w14:paraId="101EBB65" w14:textId="77777777" w:rsidR="00EA7082" w:rsidRDefault="00EA7082" w:rsidP="00EA7082">
      <w:pPr>
        <w:pStyle w:val="Paragraphedeliste"/>
        <w:numPr>
          <w:ilvl w:val="0"/>
          <w:numId w:val="21"/>
        </w:numPr>
      </w:pPr>
      <w:r>
        <w:t>S</w:t>
      </w:r>
      <w:r w:rsidRPr="00636BE6">
        <w:t>mall and non-interconnected I</w:t>
      </w:r>
      <w:r>
        <w:t xml:space="preserve">nvestment </w:t>
      </w:r>
      <w:r w:rsidRPr="00636BE6">
        <w:t>F</w:t>
      </w:r>
      <w:r>
        <w:t>irms (Class 3</w:t>
      </w:r>
      <w:r w:rsidRPr="00636BE6">
        <w:t>)</w:t>
      </w:r>
      <w:r>
        <w:t>;</w:t>
      </w:r>
    </w:p>
    <w:p w14:paraId="0607C000" w14:textId="77777777" w:rsidR="00EA7082" w:rsidRPr="00EC4455" w:rsidRDefault="00EA7082" w:rsidP="00EA7082">
      <w:pPr>
        <w:pStyle w:val="Paragraphedeliste"/>
        <w:numPr>
          <w:ilvl w:val="0"/>
          <w:numId w:val="21"/>
        </w:numPr>
      </w:pPr>
      <w:r>
        <w:t>I</w:t>
      </w:r>
      <w:r w:rsidRPr="00636BE6">
        <w:t>nvestment firms subject to IFR</w:t>
      </w:r>
      <w:r>
        <w:t>/IFD (Class 1bis &amp; class 2).</w:t>
      </w:r>
    </w:p>
    <w:p w14:paraId="26945E5F" w14:textId="77777777" w:rsidR="00467E2C" w:rsidRPr="00EA7082" w:rsidRDefault="00467E2C" w:rsidP="007A206C">
      <w:pPr>
        <w:rPr>
          <w:color w:val="auto"/>
          <w:lang w:val="pt-PT"/>
        </w:rPr>
      </w:pP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512B9F9B" w:rsidR="007A206C" w:rsidRDefault="00467E2C" w:rsidP="007A206C">
      <w:permStart w:id="1281185188" w:edGrp="everyone"/>
      <w:r>
        <w:t>See Answer to Q°25</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01F9B340" w14:textId="77777777" w:rsidR="00EA7082" w:rsidRDefault="00EA7082" w:rsidP="00EA7082">
      <w:pPr>
        <w:rPr>
          <w:lang w:val="en-US"/>
        </w:rPr>
      </w:pPr>
      <w:permStart w:id="1389058679" w:edGrp="everyone"/>
      <w:r>
        <w:rPr>
          <w:lang w:val="en-US"/>
        </w:rPr>
        <w:t xml:space="preserve">We do not believe that leveraging on DORA thresholds for PRIIPS manufacturers is a good ideal for two reasons: </w:t>
      </w:r>
    </w:p>
    <w:p w14:paraId="635E3E8B" w14:textId="77777777" w:rsidR="00EA7082" w:rsidRDefault="00EA7082" w:rsidP="00EA7082">
      <w:pPr>
        <w:pStyle w:val="Paragraphedeliste"/>
        <w:numPr>
          <w:ilvl w:val="0"/>
          <w:numId w:val="21"/>
        </w:numPr>
      </w:pPr>
      <w:r w:rsidRPr="00636BE6">
        <w:t>A PRIIPS manufacturer is not a regulatory category. The regulatory category is rather UCITS man</w:t>
      </w:r>
      <w:r>
        <w:t xml:space="preserve">agement </w:t>
      </w:r>
      <w:r w:rsidRPr="00636BE6">
        <w:t>co</w:t>
      </w:r>
      <w:r>
        <w:t>mpany</w:t>
      </w:r>
      <w:r w:rsidRPr="00636BE6">
        <w:t>, insurance company…</w:t>
      </w:r>
      <w:r>
        <w:t>;</w:t>
      </w:r>
      <w:r w:rsidRPr="00636BE6">
        <w:t xml:space="preserve"> </w:t>
      </w:r>
    </w:p>
    <w:p w14:paraId="31923F5A" w14:textId="3168901D" w:rsidR="00EA7082" w:rsidRDefault="00EA7082" w:rsidP="00EA7082">
      <w:pPr>
        <w:pStyle w:val="Paragraphedeliste"/>
        <w:numPr>
          <w:ilvl w:val="0"/>
          <w:numId w:val="21"/>
        </w:numPr>
      </w:pPr>
      <w:r w:rsidRPr="00636BE6">
        <w:t>the thresholds are not that different from the accounting directive threshold</w:t>
      </w:r>
      <w:r>
        <w:t>s.</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D6B44DE" w14:textId="77777777" w:rsidR="003D2F8B" w:rsidRDefault="003D2F8B" w:rsidP="003D2F8B">
      <w:pPr>
        <w:rPr>
          <w:color w:val="auto"/>
          <w:lang w:val="en-US"/>
        </w:rPr>
      </w:pPr>
      <w:permStart w:id="1185285024" w:edGrp="everyone"/>
      <w:r>
        <w:rPr>
          <w:color w:val="auto"/>
          <w:lang w:val="en-US"/>
        </w:rPr>
        <w:t>We agree with the ESAs that the NACE code might not be appropriate for the industry classification of financial counterparties.</w:t>
      </w:r>
    </w:p>
    <w:p w14:paraId="273DC47A" w14:textId="3F57B1D6" w:rsidR="003D2F8B" w:rsidRDefault="003D2F8B" w:rsidP="003D2F8B">
      <w:r>
        <w:t xml:space="preserve">Furthermore, the </w:t>
      </w:r>
      <w:hyperlink r:id="rId19" w:history="1">
        <w:r w:rsidRPr="002463FB">
          <w:rPr>
            <w:rStyle w:val="Lienhypertexte"/>
          </w:rPr>
          <w:t>benchmark regulation</w:t>
        </w:r>
      </w:hyperlink>
      <w:r>
        <w:t xml:space="preserve"> (BMR) does not only apply to critical benchmark but also to significant and non-significant benchmarks</w:t>
      </w:r>
      <w:r w:rsidR="00770C47">
        <w:t xml:space="preserve"> (at least today as BMR is currently under review and non-significant BMR might fall out of the scope)</w:t>
      </w:r>
      <w:r>
        <w:t xml:space="preserve"> i.e. disclosure obligations on their methodology, the benchmark statement, the register. We would therefore suggest </w:t>
      </w:r>
      <w:r w:rsidR="00770C47">
        <w:t>modifying</w:t>
      </w:r>
      <w:r>
        <w:t xml:space="preserve"> what is currently proposed by the ESAs from “</w:t>
      </w:r>
      <w:r w:rsidRPr="002463FB">
        <w:rPr>
          <w:i/>
          <w:iCs/>
        </w:rPr>
        <w:t>Administrator of critical benchmarks as defined in Regulation (EU) 2016/1011</w:t>
      </w:r>
      <w:r>
        <w:t>” to “</w:t>
      </w:r>
      <w:r w:rsidRPr="002463FB">
        <w:rPr>
          <w:i/>
          <w:iCs/>
        </w:rPr>
        <w:t>Administrator of benchmarks as defined in Regulation (EU) 2016/1011</w:t>
      </w:r>
      <w:r>
        <w:t>”.</w:t>
      </w:r>
    </w:p>
    <w:p w14:paraId="07A74F45" w14:textId="77777777" w:rsidR="003D2F8B" w:rsidRDefault="003D2F8B" w:rsidP="003D2F8B"/>
    <w:p w14:paraId="42C1AF2D" w14:textId="797FCD40" w:rsidR="007A206C" w:rsidRPr="003D2F8B" w:rsidRDefault="003D2F8B" w:rsidP="007A206C">
      <w:r>
        <w:t xml:space="preserve">Finally, regarding financial products, only UCITS are shown (NB: “and their management </w:t>
      </w:r>
      <w:r w:rsidRPr="004F0D33">
        <w:t>company” can be removed as it is already listed as an entity). We believe other financial products with possible</w:t>
      </w:r>
      <w:r w:rsidRPr="004F0D33">
        <w:rPr>
          <w:i/>
          <w:iCs/>
        </w:rPr>
        <w:t xml:space="preserve"> public</w:t>
      </w:r>
      <w:r w:rsidRPr="004F0D33">
        <w:t xml:space="preserve"> disclosures in ESAP, directly or through other regulation such as Transparency or Prospectus or PRIIPS, should therefore also be identified in Table 3.  At the very minimum: “PRIIPS product – other than UCITS”.</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43AE20A0" w:rsidR="007A206C" w:rsidRDefault="00467E2C" w:rsidP="007A206C">
      <w:permStart w:id="268372919" w:edGrp="everyone"/>
      <w:r>
        <w:t>See Answer to Q°28.</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20"/>
      <w:footerReference w:type="default" r:id="rId21"/>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63E5C" w14:textId="77777777" w:rsidR="00CD2480" w:rsidRDefault="00CD2480" w:rsidP="007E7997">
      <w:pPr>
        <w:spacing w:line="240" w:lineRule="auto"/>
      </w:pPr>
      <w:r>
        <w:separator/>
      </w:r>
    </w:p>
  </w:endnote>
  <w:endnote w:type="continuationSeparator" w:id="0">
    <w:p w14:paraId="537A46C2" w14:textId="77777777" w:rsidR="00CD2480" w:rsidRDefault="00CD2480" w:rsidP="007E7997">
      <w:pPr>
        <w:spacing w:line="240" w:lineRule="auto"/>
      </w:pPr>
      <w:r>
        <w:continuationSeparator/>
      </w:r>
    </w:p>
  </w:endnote>
  <w:endnote w:type="continuationNotice" w:id="1">
    <w:p w14:paraId="3E15FB12" w14:textId="77777777" w:rsidR="00CD2480" w:rsidRDefault="00CD2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9B880" w14:textId="77777777" w:rsidR="00CD2480" w:rsidRDefault="00CD2480" w:rsidP="007E7997">
      <w:pPr>
        <w:spacing w:line="240" w:lineRule="auto"/>
      </w:pPr>
      <w:r>
        <w:separator/>
      </w:r>
    </w:p>
  </w:footnote>
  <w:footnote w:type="continuationSeparator" w:id="0">
    <w:p w14:paraId="26FDA012" w14:textId="77777777" w:rsidR="00CD2480" w:rsidRDefault="00CD2480" w:rsidP="007E7997">
      <w:pPr>
        <w:spacing w:line="240" w:lineRule="auto"/>
      </w:pPr>
      <w:r>
        <w:continuationSeparator/>
      </w:r>
    </w:p>
  </w:footnote>
  <w:footnote w:type="continuationNotice" w:id="1">
    <w:p w14:paraId="75511605" w14:textId="77777777" w:rsidR="00CD2480" w:rsidRDefault="00CD24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722144D6" w:rsidR="00D77369" w:rsidRPr="008858FE" w:rsidRDefault="00D77369" w:rsidP="008858FE">
    <w:pPr>
      <w:pStyle w:val="En-tte"/>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En-tte"/>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69D"/>
    <w:multiLevelType w:val="hybridMultilevel"/>
    <w:tmpl w:val="E542969E"/>
    <w:lvl w:ilvl="0" w:tplc="6C7A1738">
      <w:start w:val="4"/>
      <w:numFmt w:val="bullet"/>
      <w:lvlText w:val=""/>
      <w:lvlJc w:val="left"/>
      <w:pPr>
        <w:ind w:left="720" w:hanging="360"/>
      </w:pPr>
      <w:rPr>
        <w:rFonts w:ascii="Symbol" w:eastAsia="DengXi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B209F"/>
    <w:multiLevelType w:val="hybridMultilevel"/>
    <w:tmpl w:val="897278AC"/>
    <w:lvl w:ilvl="0" w:tplc="EFF87DC6">
      <w:numFmt w:val="bullet"/>
      <w:lvlText w:val=""/>
      <w:lvlJc w:val="left"/>
      <w:pPr>
        <w:ind w:left="720" w:hanging="360"/>
      </w:pPr>
      <w:rPr>
        <w:rFonts w:ascii="Wingdings" w:eastAsia="DengXian" w:hAnsi="Wingdings"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3E2F73"/>
    <w:multiLevelType w:val="hybridMultilevel"/>
    <w:tmpl w:val="F704F336"/>
    <w:lvl w:ilvl="0" w:tplc="0CC8BC4C">
      <w:numFmt w:val="bullet"/>
      <w:lvlText w:val="-"/>
      <w:lvlJc w:val="left"/>
      <w:pPr>
        <w:ind w:left="360" w:hanging="360"/>
      </w:pPr>
      <w:rPr>
        <w:rFonts w:ascii="Calibri" w:eastAsia="DengXi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074A24A">
      <w:start w:val="1"/>
      <w:numFmt w:val="bullet"/>
      <w:pStyle w:val="Paragraphedeliste"/>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CDA5B46"/>
    <w:multiLevelType w:val="hybridMultilevel"/>
    <w:tmpl w:val="D8A25C16"/>
    <w:lvl w:ilvl="0" w:tplc="4B5C96D0">
      <w:start w:val="1"/>
      <w:numFmt w:val="bullet"/>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12"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3"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7" w15:restartNumberingAfterBreak="0">
    <w:nsid w:val="6218791B"/>
    <w:multiLevelType w:val="hybridMultilevel"/>
    <w:tmpl w:val="BB5C5E7C"/>
    <w:lvl w:ilvl="0" w:tplc="26C0FD1A">
      <w:start w:val="1"/>
      <w:numFmt w:val="bullet"/>
      <w:lvlText w:val=""/>
      <w:lvlJc w:val="left"/>
      <w:pPr>
        <w:ind w:left="720" w:hanging="360"/>
      </w:pPr>
      <w:rPr>
        <w:rFonts w:ascii="Symbol" w:hAnsi="Symbol"/>
      </w:rPr>
    </w:lvl>
    <w:lvl w:ilvl="1" w:tplc="7A00BD22">
      <w:start w:val="1"/>
      <w:numFmt w:val="bullet"/>
      <w:lvlText w:val=""/>
      <w:lvlJc w:val="left"/>
      <w:pPr>
        <w:ind w:left="720" w:hanging="360"/>
      </w:pPr>
      <w:rPr>
        <w:rFonts w:ascii="Symbol" w:hAnsi="Symbol"/>
      </w:rPr>
    </w:lvl>
    <w:lvl w:ilvl="2" w:tplc="786E7C54">
      <w:start w:val="1"/>
      <w:numFmt w:val="bullet"/>
      <w:lvlText w:val=""/>
      <w:lvlJc w:val="left"/>
      <w:pPr>
        <w:ind w:left="720" w:hanging="360"/>
      </w:pPr>
      <w:rPr>
        <w:rFonts w:ascii="Symbol" w:hAnsi="Symbol"/>
      </w:rPr>
    </w:lvl>
    <w:lvl w:ilvl="3" w:tplc="0A84AE5C">
      <w:start w:val="1"/>
      <w:numFmt w:val="bullet"/>
      <w:lvlText w:val=""/>
      <w:lvlJc w:val="left"/>
      <w:pPr>
        <w:ind w:left="720" w:hanging="360"/>
      </w:pPr>
      <w:rPr>
        <w:rFonts w:ascii="Symbol" w:hAnsi="Symbol"/>
      </w:rPr>
    </w:lvl>
    <w:lvl w:ilvl="4" w:tplc="6DD4BE36">
      <w:start w:val="1"/>
      <w:numFmt w:val="bullet"/>
      <w:lvlText w:val=""/>
      <w:lvlJc w:val="left"/>
      <w:pPr>
        <w:ind w:left="720" w:hanging="360"/>
      </w:pPr>
      <w:rPr>
        <w:rFonts w:ascii="Symbol" w:hAnsi="Symbol"/>
      </w:rPr>
    </w:lvl>
    <w:lvl w:ilvl="5" w:tplc="CA0E272E">
      <w:start w:val="1"/>
      <w:numFmt w:val="bullet"/>
      <w:lvlText w:val=""/>
      <w:lvlJc w:val="left"/>
      <w:pPr>
        <w:ind w:left="720" w:hanging="360"/>
      </w:pPr>
      <w:rPr>
        <w:rFonts w:ascii="Symbol" w:hAnsi="Symbol"/>
      </w:rPr>
    </w:lvl>
    <w:lvl w:ilvl="6" w:tplc="53D0B5F8">
      <w:start w:val="1"/>
      <w:numFmt w:val="bullet"/>
      <w:lvlText w:val=""/>
      <w:lvlJc w:val="left"/>
      <w:pPr>
        <w:ind w:left="720" w:hanging="360"/>
      </w:pPr>
      <w:rPr>
        <w:rFonts w:ascii="Symbol" w:hAnsi="Symbol"/>
      </w:rPr>
    </w:lvl>
    <w:lvl w:ilvl="7" w:tplc="7FF0AB2C">
      <w:start w:val="1"/>
      <w:numFmt w:val="bullet"/>
      <w:lvlText w:val=""/>
      <w:lvlJc w:val="left"/>
      <w:pPr>
        <w:ind w:left="720" w:hanging="360"/>
      </w:pPr>
      <w:rPr>
        <w:rFonts w:ascii="Symbol" w:hAnsi="Symbol"/>
      </w:rPr>
    </w:lvl>
    <w:lvl w:ilvl="8" w:tplc="2A52D3AC">
      <w:start w:val="1"/>
      <w:numFmt w:val="bullet"/>
      <w:lvlText w:val=""/>
      <w:lvlJc w:val="left"/>
      <w:pPr>
        <w:ind w:left="720" w:hanging="360"/>
      </w:pPr>
      <w:rPr>
        <w:rFonts w:ascii="Symbol" w:hAnsi="Symbol"/>
      </w:rPr>
    </w:lvl>
  </w:abstractNum>
  <w:abstractNum w:abstractNumId="18"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7B66AC"/>
    <w:multiLevelType w:val="hybridMultilevel"/>
    <w:tmpl w:val="57446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20"/>
  </w:num>
  <w:num w:numId="2" w16cid:durableId="270287514">
    <w:abstractNumId w:val="7"/>
  </w:num>
  <w:num w:numId="3" w16cid:durableId="1675497260">
    <w:abstractNumId w:val="15"/>
  </w:num>
  <w:num w:numId="4" w16cid:durableId="1146706333">
    <w:abstractNumId w:val="5"/>
  </w:num>
  <w:num w:numId="5" w16cid:durableId="1502348752">
    <w:abstractNumId w:val="1"/>
  </w:num>
  <w:num w:numId="6" w16cid:durableId="1544101585">
    <w:abstractNumId w:val="9"/>
  </w:num>
  <w:num w:numId="7" w16cid:durableId="896626050">
    <w:abstractNumId w:val="21"/>
  </w:num>
  <w:num w:numId="8" w16cid:durableId="806780153">
    <w:abstractNumId w:val="3"/>
  </w:num>
  <w:num w:numId="9" w16cid:durableId="1677002603">
    <w:abstractNumId w:val="18"/>
  </w:num>
  <w:num w:numId="10" w16cid:durableId="22487393">
    <w:abstractNumId w:val="14"/>
  </w:num>
  <w:num w:numId="11" w16cid:durableId="270942799">
    <w:abstractNumId w:val="12"/>
  </w:num>
  <w:num w:numId="12" w16cid:durableId="10230698">
    <w:abstractNumId w:val="12"/>
    <w:lvlOverride w:ilvl="0">
      <w:startOverride w:val="1"/>
    </w:lvlOverride>
  </w:num>
  <w:num w:numId="13" w16cid:durableId="1914856611">
    <w:abstractNumId w:val="2"/>
  </w:num>
  <w:num w:numId="14" w16cid:durableId="297614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1"/>
  </w:num>
  <w:num w:numId="17" w16cid:durableId="2027319631">
    <w:abstractNumId w:val="16"/>
  </w:num>
  <w:num w:numId="18" w16cid:durableId="1118719538">
    <w:abstractNumId w:val="8"/>
  </w:num>
  <w:num w:numId="19" w16cid:durableId="264074300">
    <w:abstractNumId w:val="13"/>
  </w:num>
  <w:num w:numId="20" w16cid:durableId="1951933659">
    <w:abstractNumId w:val="10"/>
  </w:num>
  <w:num w:numId="21" w16cid:durableId="1086850658">
    <w:abstractNumId w:val="6"/>
  </w:num>
  <w:num w:numId="22" w16cid:durableId="1856770364">
    <w:abstractNumId w:val="19"/>
  </w:num>
  <w:num w:numId="23" w16cid:durableId="1443068285">
    <w:abstractNumId w:val="4"/>
  </w:num>
  <w:num w:numId="24" w16cid:durableId="2010135179">
    <w:abstractNumId w:val="0"/>
  </w:num>
  <w:num w:numId="25" w16cid:durableId="2083675507">
    <w:abstractNumId w:val="6"/>
  </w:num>
  <w:num w:numId="26" w16cid:durableId="200705520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B40"/>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2E27"/>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624"/>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33"/>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C71"/>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2F8B"/>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074"/>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925"/>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67E2C"/>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D97"/>
    <w:rsid w:val="004C3FD2"/>
    <w:rsid w:val="004C47F3"/>
    <w:rsid w:val="004C4E07"/>
    <w:rsid w:val="004C4E65"/>
    <w:rsid w:val="004C5070"/>
    <w:rsid w:val="004C5846"/>
    <w:rsid w:val="004C5959"/>
    <w:rsid w:val="004C59B8"/>
    <w:rsid w:val="004C5B35"/>
    <w:rsid w:val="004C5DDC"/>
    <w:rsid w:val="004C5E29"/>
    <w:rsid w:val="004C67EB"/>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9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BE6"/>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5FF8"/>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8B0"/>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1FB"/>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47"/>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9CA"/>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167"/>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6F07"/>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493"/>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53D"/>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2A0"/>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711"/>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6DD"/>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08A"/>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BB0"/>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8E0"/>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2D02"/>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2F36"/>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2480"/>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9F9"/>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14"/>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48E"/>
    <w:rsid w:val="00E30663"/>
    <w:rsid w:val="00E30C17"/>
    <w:rsid w:val="00E30F6A"/>
    <w:rsid w:val="00E310B7"/>
    <w:rsid w:val="00E31122"/>
    <w:rsid w:val="00E31329"/>
    <w:rsid w:val="00E313A8"/>
    <w:rsid w:val="00E31C78"/>
    <w:rsid w:val="00E31C8D"/>
    <w:rsid w:val="00E32777"/>
    <w:rsid w:val="00E32989"/>
    <w:rsid w:val="00E32C6F"/>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082"/>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6EE"/>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D65"/>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A5A"/>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636BE6"/>
    <w:pPr>
      <w:numPr>
        <w:ilvl w:val="2"/>
        <w:numId w:val="2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636BE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Standa1">
    <w:name w:val="Standa1"/>
    <w:uiPriority w:val="99"/>
    <w:rsid w:val="004C3D97"/>
    <w:pPr>
      <w:spacing w:after="200" w:line="240" w:lineRule="auto"/>
    </w:pPr>
    <w:rPr>
      <w:rFonts w:ascii="Cambria" w:eastAsia="Cambria" w:hAnsi="Cambria"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197813696">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052548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30772935">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93774386">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90190584">
      <w:bodyDiv w:val="1"/>
      <w:marLeft w:val="0"/>
      <w:marRight w:val="0"/>
      <w:marTop w:val="0"/>
      <w:marBottom w:val="0"/>
      <w:divBdr>
        <w:top w:val="none" w:sz="0" w:space="0" w:color="auto"/>
        <w:left w:val="none" w:sz="0" w:space="0" w:color="auto"/>
        <w:bottom w:val="none" w:sz="0" w:space="0" w:color="auto"/>
        <w:right w:val="none" w:sz="0" w:space="0" w:color="auto"/>
      </w:divBdr>
    </w:div>
    <w:div w:id="1918585587">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19850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eur-lex.europa.eu/legal-content/EN/TXT/?uri=CELEX%3A32019R208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eur-lex.europa.eu/legal-content/EN/TXT/?uri=celex%3A32016R10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xtedelespacerserv"/>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6064B"/>
    <w:rsid w:val="003F235F"/>
    <w:rsid w:val="0044391D"/>
    <w:rsid w:val="00472128"/>
    <w:rsid w:val="004D5ED1"/>
    <w:rsid w:val="004E4CF9"/>
    <w:rsid w:val="004F263F"/>
    <w:rsid w:val="005D66AB"/>
    <w:rsid w:val="006707C2"/>
    <w:rsid w:val="00797022"/>
    <w:rsid w:val="00813189"/>
    <w:rsid w:val="008222A0"/>
    <w:rsid w:val="00836D47"/>
    <w:rsid w:val="009B6B9C"/>
    <w:rsid w:val="00AA0564"/>
    <w:rsid w:val="00B22006"/>
    <w:rsid w:val="00D0782D"/>
    <w:rsid w:val="00DC3796"/>
    <w:rsid w:val="00DC4211"/>
    <w:rsid w:val="00EB5C1F"/>
    <w:rsid w:val="00F81463"/>
    <w:rsid w:val="00FA41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5.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s>
</ds:datastoreItem>
</file>

<file path=customXml/itemProps5.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3432</Words>
  <Characters>18880</Characters>
  <Application>Microsoft Office Word</Application>
  <DocSecurity>8</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22268</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LE ROY Mathilde</cp:lastModifiedBy>
  <cp:revision>14</cp:revision>
  <cp:lastPrinted>2023-09-09T00:53:00Z</cp:lastPrinted>
  <dcterms:created xsi:type="dcterms:W3CDTF">2024-03-06T09:47:00Z</dcterms:created>
  <dcterms:modified xsi:type="dcterms:W3CDTF">2024-03-08T10:13:00Z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