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2ED61AF3" w:rsidR="00563C1F" w:rsidRDefault="00EC6066" w:rsidP="00F72D28">
          <w:pPr>
            <w:pStyle w:val="Titel"/>
          </w:pPr>
          <w:r>
            <w:t xml:space="preserve">Reply </w:t>
          </w:r>
          <w:r w:rsidR="00DD03DC">
            <w:t>F</w:t>
          </w:r>
          <w:r>
            <w:t>orm</w:t>
          </w:r>
        </w:p>
        <w:p w14:paraId="0A9EB4DC" w14:textId="4DAA9FAD" w:rsidR="00D77369" w:rsidRPr="00D77369" w:rsidRDefault="00D77369" w:rsidP="007A206C">
          <w:pPr>
            <w:pStyle w:val="Untertitel"/>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lang w:val="de-DE" w:eastAsia="de-DE"/>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enabsatz"/>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enabsatz"/>
            <w:numPr>
              <w:ilvl w:val="0"/>
              <w:numId w:val="17"/>
            </w:numPr>
          </w:pPr>
          <w:r w:rsidRPr="00E13D25">
            <w:t>indicate the specific question to which the comment relates;</w:t>
          </w:r>
        </w:p>
        <w:p w14:paraId="78B206B7" w14:textId="77777777" w:rsidR="002533FC" w:rsidRPr="00E13D25" w:rsidRDefault="002533FC" w:rsidP="00E33ECD">
          <w:pPr>
            <w:pStyle w:val="Listenabsatz"/>
            <w:numPr>
              <w:ilvl w:val="0"/>
              <w:numId w:val="17"/>
            </w:numPr>
          </w:pPr>
          <w:r w:rsidRPr="00E13D25">
            <w:t>contain a clear rationale; and</w:t>
          </w:r>
        </w:p>
        <w:p w14:paraId="60B8834E" w14:textId="53F4D678" w:rsidR="002533FC" w:rsidRPr="00E13D25" w:rsidRDefault="002533FC" w:rsidP="00E33ECD">
          <w:pPr>
            <w:pStyle w:val="Listenabsatz"/>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enabsatz"/>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enabsatz"/>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enabsatz"/>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enabsatz"/>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enabsatz"/>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enabsatz"/>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6E35444A" w:rsidR="00635BCA" w:rsidRPr="00557BD2" w:rsidRDefault="000927D9" w:rsidP="00D21C35">
                <w:r>
                  <w:t>Bundesanzeiger Verlag GmbH</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63DC0BC1" w:rsidR="00635BCA" w:rsidRPr="00557BD2" w:rsidRDefault="000927D9" w:rsidP="00D21C35">
                <w:r>
                  <w:t>OAM Germany</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0"/>
              <w14:checkedState w14:val="2612" w14:font="MS Gothic"/>
              <w14:uncheckedState w14:val="2610" w14:font="MS Gothic"/>
            </w14:checkbox>
          </w:sdtPr>
          <w:sdtEndPr/>
          <w:sdtContent>
            <w:permStart w:id="1071191175" w:edGrp="everyone" w:displacedByCustomXml="prev"/>
            <w:tc>
              <w:tcPr>
                <w:tcW w:w="4531" w:type="dxa"/>
              </w:tcPr>
              <w:p w14:paraId="2AD81A72" w14:textId="77777777" w:rsidR="00635BCA" w:rsidRPr="00557BD2" w:rsidRDefault="00555F0B"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7B2A1CCE" w:rsidR="00635BCA" w:rsidRPr="00557BD2" w:rsidRDefault="000927D9" w:rsidP="00D21C35">
                <w:r>
                  <w:t>Germany</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berschrift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29DDCF5B" w14:textId="77777777" w:rsidR="00A82041" w:rsidRDefault="000927D9" w:rsidP="007A206C">
      <w:pPr>
        <w:rPr>
          <w:b/>
          <w:bCs/>
          <w:color w:val="171717"/>
          <w:szCs w:val="22"/>
        </w:rPr>
      </w:pPr>
      <w:permStart w:id="406275320" w:edGrp="everyone"/>
      <w:r>
        <w:rPr>
          <w:b/>
          <w:bCs/>
          <w:color w:val="171717"/>
          <w:szCs w:val="22"/>
        </w:rPr>
        <w:t>Common OAM position (</w:t>
      </w:r>
      <w:r w:rsidR="00A82041">
        <w:rPr>
          <w:b/>
          <w:bCs/>
          <w:lang w:val="en-US"/>
        </w:rPr>
        <w:t>AT, DE, EE, FI, IE, LT, LU, NO</w:t>
      </w:r>
      <w:r>
        <w:rPr>
          <w:b/>
          <w:bCs/>
          <w:color w:val="171717"/>
          <w:szCs w:val="22"/>
        </w:rPr>
        <w:t>):</w:t>
      </w:r>
    </w:p>
    <w:p w14:paraId="3AF97C6E" w14:textId="3D689287" w:rsidR="000927D9" w:rsidRDefault="000927D9" w:rsidP="007A206C">
      <w:pPr>
        <w:rPr>
          <w:color w:val="171717"/>
          <w:szCs w:val="22"/>
        </w:rPr>
      </w:pPr>
      <w:r>
        <w:rPr>
          <w:color w:val="171717"/>
          <w:szCs w:val="22"/>
        </w:rPr>
        <w:t xml:space="preserve">We agree with the flexible approach. Level III guidance would be helpful to give us more details on the validation requirements. </w:t>
      </w:r>
    </w:p>
    <w:permEnd w:id="406275320"/>
    <w:p w14:paraId="3C64BF82" w14:textId="10274DF2"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6B18CD03" w14:textId="4B9F16B1" w:rsidR="00C20278" w:rsidRDefault="00C20278" w:rsidP="00C20278">
      <w:permStart w:id="1195062243" w:edGrp="everyone"/>
      <w:r w:rsidRPr="00C20278">
        <w:rPr>
          <w:b/>
        </w:rPr>
        <w:t>OAM DE:</w:t>
      </w:r>
      <w:r>
        <w:t xml:space="preserve"> We agree that validations should consist of extracting successfully the text content of the submitted information (para 19 CP). For this purpose, possible validation steps could be:</w:t>
      </w:r>
    </w:p>
    <w:p w14:paraId="317DEAB8" w14:textId="77777777" w:rsidR="00C20278" w:rsidRDefault="00C20278" w:rsidP="00C20278">
      <w:r>
        <w:tab/>
        <w:t xml:space="preserve">- </w:t>
      </w:r>
      <w:r>
        <w:tab/>
        <w:t xml:space="preserve">automated opening of the documents </w:t>
      </w:r>
    </w:p>
    <w:p w14:paraId="605A82CC" w14:textId="5709E121" w:rsidR="00C20278" w:rsidRDefault="00C20278" w:rsidP="00C20278">
      <w:r>
        <w:tab/>
        <w:t xml:space="preserve">- </w:t>
      </w:r>
      <w:r>
        <w:tab/>
        <w:t>automated identification of existen</w:t>
      </w:r>
      <w:r w:rsidR="0027086C">
        <w:t>ce of text (characters, numbers</w:t>
      </w:r>
      <w:r>
        <w:t xml:space="preserve"> etc.)</w:t>
      </w:r>
    </w:p>
    <w:p w14:paraId="20FBE8B4" w14:textId="0B58B097" w:rsidR="007A206C" w:rsidRDefault="00C20278" w:rsidP="00C20278">
      <w:r>
        <w:t xml:space="preserve">However, this </w:t>
      </w:r>
      <w:r w:rsidRPr="0027086C">
        <w:rPr>
          <w:b/>
        </w:rPr>
        <w:t>cannot include checks as to whether</w:t>
      </w:r>
      <w:r>
        <w:t xml:space="preserve">, for example, </w:t>
      </w:r>
      <w:r w:rsidRPr="0027086C">
        <w:rPr>
          <w:b/>
        </w:rPr>
        <w:t>not extractable parts</w:t>
      </w:r>
      <w:r>
        <w:t xml:space="preserve"> such as additional image files may also </w:t>
      </w:r>
      <w:r w:rsidRPr="0027086C">
        <w:rPr>
          <w:b/>
        </w:rPr>
        <w:t>contain regulated information</w:t>
      </w:r>
      <w:r>
        <w:t>. Such validation would require content-related checks, which CBs are not required to carry out. This remains within the company‘s liability (i.e. part of responsibility for completeness pursuant to Art 5 (6) ESAP Regulation).</w:t>
      </w:r>
    </w:p>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20CB426" w14:textId="761FF591" w:rsidR="00E173B2" w:rsidRDefault="000927D9" w:rsidP="007A206C">
      <w:pPr>
        <w:rPr>
          <w:b/>
          <w:bCs/>
          <w:color w:val="171717"/>
          <w:szCs w:val="22"/>
        </w:rPr>
      </w:pPr>
      <w:permStart w:id="1726764009" w:edGrp="everyone"/>
      <w:r>
        <w:rPr>
          <w:b/>
          <w:bCs/>
          <w:color w:val="171717"/>
          <w:szCs w:val="22"/>
        </w:rPr>
        <w:t xml:space="preserve">OAM </w:t>
      </w:r>
      <w:r w:rsidR="00257DCF">
        <w:rPr>
          <w:b/>
          <w:bCs/>
          <w:color w:val="171717"/>
          <w:szCs w:val="22"/>
        </w:rPr>
        <w:t>DE</w:t>
      </w:r>
      <w:r>
        <w:rPr>
          <w:b/>
          <w:bCs/>
          <w:color w:val="171717"/>
          <w:szCs w:val="22"/>
        </w:rPr>
        <w:t>:</w:t>
      </w:r>
    </w:p>
    <w:p w14:paraId="0471BB1C" w14:textId="200978C3" w:rsidR="00257DCF" w:rsidRDefault="00E173B2" w:rsidP="007A206C">
      <w:r>
        <w:t>In principle we agree with the proposal on how to val</w:t>
      </w:r>
      <w:r w:rsidR="00257DCF">
        <w:t>idate machine readable formats.</w:t>
      </w:r>
    </w:p>
    <w:permEnd w:id="1726764009"/>
    <w:p w14:paraId="297D4079" w14:textId="1A23D912"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4315F0D5" w14:textId="77777777" w:rsidR="00A82041" w:rsidRDefault="000927D9">
      <w:pPr>
        <w:pStyle w:val="Default"/>
        <w:rPr>
          <w:b/>
          <w:bCs/>
          <w:color w:val="171717"/>
          <w:sz w:val="22"/>
          <w:szCs w:val="22"/>
          <w:lang w:val="en-US"/>
        </w:rPr>
      </w:pPr>
      <w:permStart w:id="1728526542" w:edGrp="everyone"/>
      <w:r w:rsidRPr="000927D9">
        <w:rPr>
          <w:b/>
          <w:bCs/>
          <w:color w:val="171717"/>
          <w:sz w:val="22"/>
          <w:szCs w:val="22"/>
          <w:lang w:val="en-US"/>
        </w:rPr>
        <w:t>Common OAM position</w:t>
      </w:r>
      <w:r>
        <w:rPr>
          <w:b/>
          <w:bCs/>
          <w:color w:val="171717"/>
          <w:sz w:val="22"/>
          <w:szCs w:val="22"/>
          <w:lang w:val="en-US"/>
        </w:rPr>
        <w:t xml:space="preserve"> (</w:t>
      </w:r>
      <w:r w:rsidR="00A82041">
        <w:rPr>
          <w:b/>
          <w:bCs/>
          <w:lang w:val="en-US"/>
        </w:rPr>
        <w:t>AT, DE, EE, FI, IE, LT, LU, NO</w:t>
      </w:r>
      <w:r w:rsidRPr="000927D9">
        <w:rPr>
          <w:b/>
          <w:bCs/>
          <w:color w:val="171717"/>
          <w:sz w:val="22"/>
          <w:szCs w:val="22"/>
          <w:lang w:val="en-US"/>
        </w:rPr>
        <w:t>):</w:t>
      </w:r>
    </w:p>
    <w:p w14:paraId="0AFDD9AE" w14:textId="77777777" w:rsidR="00A82041" w:rsidRDefault="00A82041">
      <w:pPr>
        <w:pStyle w:val="Default"/>
        <w:rPr>
          <w:b/>
          <w:bCs/>
          <w:color w:val="171717"/>
          <w:sz w:val="22"/>
          <w:szCs w:val="22"/>
          <w:lang w:val="en-US"/>
        </w:rPr>
      </w:pPr>
    </w:p>
    <w:p w14:paraId="6AA35496" w14:textId="3BC4E123" w:rsidR="000927D9" w:rsidRDefault="000927D9">
      <w:pPr>
        <w:pStyle w:val="Default"/>
        <w:rPr>
          <w:sz w:val="22"/>
          <w:szCs w:val="22"/>
          <w:lang w:val="en-US"/>
        </w:rPr>
      </w:pPr>
      <w:r w:rsidRPr="000927D9">
        <w:rPr>
          <w:sz w:val="22"/>
          <w:szCs w:val="22"/>
          <w:lang w:val="en-US"/>
        </w:rPr>
        <w:t>In principle we agree with the above proposal that CBs have to validate if the metadata or the information submitted by the entities is available and complete. However, the collection bodies must be able to fulfill the validation process technically automated, which means that the validity check is limited to the existence and correct format of the required metadata. A content quality or consistency check of the metadata of any kind lies in full and solely responsibility of the submitting entity. Accordingly, collection bodies are not responsible for collecting or completing</w:t>
      </w:r>
      <w:r>
        <w:rPr>
          <w:sz w:val="22"/>
          <w:szCs w:val="22"/>
          <w:lang w:val="en-US"/>
        </w:rPr>
        <w:t xml:space="preserve"> incorrect or missing metadata.</w:t>
      </w:r>
    </w:p>
    <w:p w14:paraId="76ADB9E9" w14:textId="77777777" w:rsidR="000927D9" w:rsidRPr="0027086C" w:rsidRDefault="000927D9" w:rsidP="000927D9">
      <w:pPr>
        <w:pStyle w:val="Default"/>
        <w:rPr>
          <w:sz w:val="22"/>
          <w:szCs w:val="22"/>
          <w:lang w:val="en-US"/>
        </w:rPr>
      </w:pPr>
    </w:p>
    <w:p w14:paraId="7ACA8969" w14:textId="112CB9A7" w:rsidR="000927D9" w:rsidRDefault="000927D9" w:rsidP="000927D9">
      <w:pPr>
        <w:pStyle w:val="Default"/>
        <w:rPr>
          <w:sz w:val="22"/>
          <w:szCs w:val="22"/>
          <w:lang w:val="en-US"/>
        </w:rPr>
      </w:pPr>
      <w:r w:rsidRPr="000927D9">
        <w:rPr>
          <w:sz w:val="22"/>
          <w:szCs w:val="22"/>
          <w:lang w:val="en-US"/>
        </w:rPr>
        <w:t>Regarding points 24. and 25., which describe the validation of legal entity identifiers, the details and requirements must be clarified in Article 5 of the CB ITS</w:t>
      </w:r>
      <w:r w:rsidR="00E173B2">
        <w:rPr>
          <w:sz w:val="22"/>
          <w:szCs w:val="22"/>
          <w:lang w:val="en-US"/>
        </w:rPr>
        <w:t xml:space="preserve"> and also in the level III guidance</w:t>
      </w:r>
      <w:r w:rsidRPr="000927D9">
        <w:rPr>
          <w:sz w:val="22"/>
          <w:szCs w:val="22"/>
          <w:lang w:val="en-US"/>
        </w:rPr>
        <w:t xml:space="preserve">. </w:t>
      </w:r>
      <w:r w:rsidRPr="0027086C">
        <w:rPr>
          <w:sz w:val="22"/>
          <w:szCs w:val="22"/>
          <w:lang w:val="en-US"/>
        </w:rPr>
        <w:t>Collection Bodies should not be required to rely on external interfaces, such as the GLEIF database for the verification of LEI codes. If these external interfaces are not accessible or their function is disrupted, the collection bodies would not be able to fulfill any verification obligation and the deadlines mentioned in Q8 and Q19 cannot be complied with. In addition, the submitting entities (Number 3 of Annex I Table 1 “Characteristics of Metadata”) and the entities, which the information relates to (Number 4 of Annex I Table 1 “Characteristics of Metadata”) are solely responsible to ensure that the LEI code has the status required for submission (LEI status “</w:t>
      </w:r>
      <w:r w:rsidR="00257DCF">
        <w:rPr>
          <w:sz w:val="22"/>
          <w:szCs w:val="22"/>
          <w:lang w:val="en-US"/>
        </w:rPr>
        <w:t>ISSUED</w:t>
      </w:r>
      <w:r w:rsidRPr="0027086C">
        <w:rPr>
          <w:sz w:val="22"/>
          <w:szCs w:val="22"/>
          <w:lang w:val="en-US"/>
        </w:rPr>
        <w:t xml:space="preserve">”). </w:t>
      </w:r>
      <w:r w:rsidRPr="000927D9">
        <w:rPr>
          <w:sz w:val="22"/>
          <w:szCs w:val="22"/>
          <w:lang w:val="en-US"/>
        </w:rPr>
        <w:t xml:space="preserve">Any other status of the LEI at the time </w:t>
      </w:r>
      <w:bookmarkStart w:id="0" w:name="_GoBack"/>
      <w:bookmarkEnd w:id="0"/>
      <w:r w:rsidRPr="000927D9">
        <w:rPr>
          <w:sz w:val="22"/>
          <w:szCs w:val="22"/>
          <w:lang w:val="en-US"/>
        </w:rPr>
        <w:t xml:space="preserve">of submission to the collection bodies, earlier (e. g. during the reporting period of the submitted information) or later (e. g. time of submission to ESAP) cannot be validated by the collection bodies and therefore must not lead to a </w:t>
      </w:r>
      <w:r>
        <w:rPr>
          <w:sz w:val="22"/>
          <w:szCs w:val="22"/>
          <w:lang w:val="en-US"/>
        </w:rPr>
        <w:t>rejection of the submission.</w:t>
      </w:r>
    </w:p>
    <w:p w14:paraId="0C10BED4" w14:textId="77777777" w:rsidR="000927D9" w:rsidRPr="000927D9" w:rsidRDefault="000927D9" w:rsidP="000927D9">
      <w:pPr>
        <w:pStyle w:val="Default"/>
        <w:rPr>
          <w:sz w:val="22"/>
          <w:szCs w:val="22"/>
          <w:lang w:val="en-US"/>
        </w:rPr>
      </w:pPr>
    </w:p>
    <w:p w14:paraId="47068638" w14:textId="77777777" w:rsidR="000927D9" w:rsidRDefault="000927D9" w:rsidP="000927D9">
      <w:pPr>
        <w:pStyle w:val="Default"/>
        <w:rPr>
          <w:sz w:val="22"/>
          <w:szCs w:val="22"/>
          <w:lang w:val="en-US"/>
        </w:rPr>
      </w:pPr>
      <w:r w:rsidRPr="000927D9">
        <w:rPr>
          <w:sz w:val="22"/>
          <w:szCs w:val="22"/>
          <w:lang w:val="en-US"/>
        </w:rPr>
        <w:t xml:space="preserve">For the abovementioned reasons a </w:t>
      </w:r>
      <w:r w:rsidRPr="00BC58B6">
        <w:rPr>
          <w:b/>
          <w:sz w:val="22"/>
          <w:szCs w:val="22"/>
          <w:lang w:val="en-US"/>
        </w:rPr>
        <w:t>level III guidance is required</w:t>
      </w:r>
      <w:r w:rsidRPr="000927D9">
        <w:rPr>
          <w:sz w:val="22"/>
          <w:szCs w:val="22"/>
          <w:lang w:val="en-US"/>
        </w:rPr>
        <w:t xml:space="preserve"> to clarify how to deal with incorrect or unavailable external interfaces during the metadata check. A level III guidance must also specify that the status of the LEI codes does not have to be validated by the </w:t>
      </w:r>
      <w:r w:rsidRPr="000927D9">
        <w:rPr>
          <w:sz w:val="22"/>
          <w:szCs w:val="22"/>
          <w:lang w:val="en-US"/>
        </w:rPr>
        <w:lastRenderedPageBreak/>
        <w:t xml:space="preserve">collection bodies at any time. Also we propose to </w:t>
      </w:r>
      <w:r w:rsidRPr="00BC58B6">
        <w:rPr>
          <w:b/>
          <w:sz w:val="22"/>
          <w:szCs w:val="22"/>
          <w:lang w:val="en-US"/>
        </w:rPr>
        <w:t>add following phrase</w:t>
      </w:r>
      <w:r w:rsidRPr="000927D9">
        <w:rPr>
          <w:sz w:val="22"/>
          <w:szCs w:val="22"/>
          <w:lang w:val="en-US"/>
        </w:rPr>
        <w:t xml:space="preserve"> as first and second sentence in </w:t>
      </w:r>
      <w:r w:rsidRPr="00BC58B6">
        <w:rPr>
          <w:b/>
          <w:sz w:val="22"/>
          <w:szCs w:val="22"/>
          <w:lang w:val="en-US"/>
        </w:rPr>
        <w:t>Art. 5 of the CB ITS</w:t>
      </w:r>
      <w:r w:rsidRPr="000927D9">
        <w:rPr>
          <w:sz w:val="22"/>
          <w:szCs w:val="22"/>
          <w:lang w:val="en-US"/>
        </w:rPr>
        <w:t xml:space="preserve">: </w:t>
      </w:r>
    </w:p>
    <w:p w14:paraId="2C20A954" w14:textId="77777777" w:rsidR="000927D9" w:rsidRPr="000927D9" w:rsidRDefault="000927D9" w:rsidP="000927D9">
      <w:pPr>
        <w:pStyle w:val="Default"/>
        <w:rPr>
          <w:sz w:val="22"/>
          <w:szCs w:val="22"/>
          <w:lang w:val="en-US"/>
        </w:rPr>
      </w:pPr>
    </w:p>
    <w:p w14:paraId="33A78406" w14:textId="6057DC99" w:rsidR="000927D9" w:rsidRDefault="000927D9" w:rsidP="000927D9">
      <w:pPr>
        <w:rPr>
          <w:b/>
          <w:bCs/>
          <w:i/>
          <w:iCs/>
          <w:szCs w:val="22"/>
        </w:rPr>
      </w:pPr>
      <w:r>
        <w:rPr>
          <w:i/>
          <w:iCs/>
          <w:szCs w:val="22"/>
        </w:rPr>
        <w:t>"</w:t>
      </w:r>
      <w:r w:rsidRPr="00BC58B6">
        <w:rPr>
          <w:b/>
          <w:i/>
          <w:iCs/>
          <w:szCs w:val="22"/>
        </w:rPr>
        <w:t>Collection bodies shall validate if the metadata information submitted by the entities is available and complete. This validation is intended and limited to verify the existence and technical processability of the metadata and does not include quality or consistency checks of any kind. When providing (…</w:t>
      </w:r>
      <w:r w:rsidRPr="00BC58B6">
        <w:rPr>
          <w:b/>
          <w:bCs/>
          <w:i/>
          <w:iCs/>
          <w:szCs w:val="22"/>
        </w:rPr>
        <w:t>)</w:t>
      </w:r>
      <w:r>
        <w:rPr>
          <w:b/>
          <w:bCs/>
          <w:i/>
          <w:iCs/>
          <w:szCs w:val="22"/>
        </w:rPr>
        <w:t>”</w:t>
      </w:r>
    </w:p>
    <w:p w14:paraId="1737B5FD" w14:textId="04BACA91" w:rsidR="00B60473" w:rsidRPr="00B60473" w:rsidRDefault="00B60473" w:rsidP="00E173B2">
      <w:pPr>
        <w:spacing w:after="160" w:line="259" w:lineRule="auto"/>
        <w:rPr>
          <w:szCs w:val="22"/>
          <w:lang w:val="en-US"/>
        </w:rPr>
      </w:pPr>
      <w:r w:rsidRPr="00B60473">
        <w:rPr>
          <w:rFonts w:cstheme="minorHAnsi"/>
          <w:b/>
          <w:bCs/>
          <w:iCs/>
          <w:szCs w:val="22"/>
        </w:rPr>
        <w:t xml:space="preserve">OAM DE: </w:t>
      </w:r>
      <w:r w:rsidRPr="00B60473">
        <w:rPr>
          <w:rFonts w:eastAsia="Calibri" w:cstheme="minorHAnsi"/>
          <w:color w:val="auto"/>
          <w:szCs w:val="22"/>
          <w:lang w:val="en-US"/>
        </w:rPr>
        <w:t>It would facilitate for all Collection Bodies if a central ESMA ESAP validation implementation would be provided as a library</w:t>
      </w:r>
      <w:r w:rsidR="00C20278">
        <w:rPr>
          <w:rFonts w:eastAsia="Calibri" w:cstheme="minorHAnsi"/>
          <w:color w:val="auto"/>
          <w:szCs w:val="22"/>
          <w:lang w:val="en-US"/>
        </w:rPr>
        <w:t xml:space="preserve"> in different programming languages</w:t>
      </w:r>
      <w:r w:rsidRPr="00B60473">
        <w:rPr>
          <w:rFonts w:eastAsia="Calibri" w:cstheme="minorHAnsi"/>
          <w:color w:val="auto"/>
          <w:szCs w:val="22"/>
          <w:lang w:val="en-US"/>
        </w:rPr>
        <w:t xml:space="preserve">, which all Collection Bodies could utilize. This should be applied to ensure the validations of metadata and files are performed in a harmonized and standardized way across all member states. If changes to the ruleset and validations are implemented then version handling should be applied. </w:t>
      </w:r>
    </w:p>
    <w:permEnd w:id="1728526542"/>
    <w:p w14:paraId="26C1AD66" w14:textId="3C80996B"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1072C157" w14:textId="1DC15B73" w:rsidR="00C20278" w:rsidRDefault="00C20278" w:rsidP="00C20278">
      <w:permStart w:id="824394787" w:edGrp="everyone"/>
      <w:r w:rsidRPr="00C20278">
        <w:rPr>
          <w:b/>
        </w:rPr>
        <w:t>OAM DE:</w:t>
      </w:r>
      <w:r>
        <w:t xml:space="preserve"> The process of applying for a seal to sign the information would be a complicated process that all </w:t>
      </w:r>
      <w:r w:rsidR="00E173B2">
        <w:t>submitting entities</w:t>
      </w:r>
      <w:r>
        <w:t xml:space="preserve"> will have to go through. This would lead to an additional burden for all those involved in the process, especially tax advisors</w:t>
      </w:r>
      <w:r w:rsidR="00E173B2">
        <w:t>, consultants</w:t>
      </w:r>
      <w:r>
        <w:t xml:space="preserve"> and </w:t>
      </w:r>
      <w:r w:rsidR="00E173B2">
        <w:t>entities</w:t>
      </w:r>
      <w:r>
        <w:t>, and thus to an increase in bureaucracy. The validation of the seals by the collection bodies is an additional task that would definitely lead to an increase in fees.</w:t>
      </w:r>
    </w:p>
    <w:p w14:paraId="7CB5367B" w14:textId="1D6FD2D1" w:rsidR="007A206C" w:rsidRDefault="00C20278" w:rsidP="00C20278">
      <w:r>
        <w:t>For this reason, it is important to emphasize that the voluntary approach of using the electronic seals by the collection bodies is very welcome.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CFE8037" w14:textId="5E7823F2" w:rsidR="007A206C" w:rsidRDefault="00C20278" w:rsidP="007A206C">
      <w:permStart w:id="1826049044" w:edGrp="everyone"/>
      <w:r w:rsidRPr="00C20278">
        <w:rPr>
          <w:b/>
        </w:rPr>
        <w:t>OAM DE:</w:t>
      </w:r>
      <w:r>
        <w:t xml:space="preserve"> </w:t>
      </w:r>
      <w:r w:rsidRPr="00C20278">
        <w:t>Standardization of the rejection feedback is not necessary for the German collection body, as proven feedback channels already exist. Even in a large country like Germany, t</w:t>
      </w:r>
      <w:r w:rsidR="005E10AA">
        <w:t xml:space="preserve">he </w:t>
      </w:r>
      <w:r w:rsidR="005E10AA">
        <w:lastRenderedPageBreak/>
        <w:t>expected rejections will be not that numerous, so t</w:t>
      </w:r>
      <w:r w:rsidRPr="00C20278">
        <w:t>he effort required to introduce a standardized feedback format does not seem appropriate.</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47044A09" w14:textId="77777777" w:rsidR="005E10AA" w:rsidRDefault="005E10AA" w:rsidP="005E10AA">
      <w:permStart w:id="1096168369" w:edGrp="everyone"/>
      <w:r w:rsidRPr="00C20278">
        <w:rPr>
          <w:b/>
        </w:rPr>
        <w:t>OAM DE:</w:t>
      </w:r>
      <w:r>
        <w:t xml:space="preserve"> </w:t>
      </w:r>
      <w:r w:rsidRPr="00C20278">
        <w:t>Standardization of the rejection feedback is not necessary for the German collection body, as proven feedback channels already exist. Even in a large country like Germany, t</w:t>
      </w:r>
      <w:r>
        <w:t>he expected rejections will be not that numerous, so t</w:t>
      </w:r>
      <w:r w:rsidRPr="00C20278">
        <w:t>he effort required to introduce a standardized feedback format does not seem appropriate.</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78D08E93" w14:textId="77777777" w:rsidR="00A82041" w:rsidRDefault="00737F37">
      <w:pPr>
        <w:pStyle w:val="Default"/>
        <w:rPr>
          <w:b/>
          <w:bCs/>
          <w:color w:val="171717"/>
          <w:sz w:val="22"/>
          <w:szCs w:val="22"/>
          <w:lang w:val="en-US"/>
        </w:rPr>
      </w:pPr>
      <w:permStart w:id="553735427" w:edGrp="everyone"/>
      <w:r w:rsidRPr="00737F37">
        <w:rPr>
          <w:b/>
          <w:bCs/>
          <w:color w:val="171717"/>
          <w:sz w:val="22"/>
          <w:szCs w:val="22"/>
          <w:lang w:val="en-US"/>
        </w:rPr>
        <w:t>Common OAM position (</w:t>
      </w:r>
      <w:r w:rsidR="00A82041">
        <w:rPr>
          <w:b/>
          <w:bCs/>
          <w:lang w:val="en-US"/>
        </w:rPr>
        <w:t>AT, DE, EE, FI, IE, LT, LU, NO</w:t>
      </w:r>
      <w:r w:rsidRPr="00737F37">
        <w:rPr>
          <w:b/>
          <w:bCs/>
          <w:color w:val="171717"/>
          <w:sz w:val="22"/>
          <w:szCs w:val="22"/>
          <w:lang w:val="en-US"/>
        </w:rPr>
        <w:t>):</w:t>
      </w:r>
    </w:p>
    <w:p w14:paraId="7154AB6E" w14:textId="77777777" w:rsidR="00A82041" w:rsidRDefault="00A82041">
      <w:pPr>
        <w:pStyle w:val="Default"/>
        <w:rPr>
          <w:b/>
          <w:bCs/>
          <w:color w:val="171717"/>
          <w:sz w:val="22"/>
          <w:szCs w:val="22"/>
          <w:lang w:val="en-US"/>
        </w:rPr>
      </w:pPr>
    </w:p>
    <w:p w14:paraId="2F85EFDC" w14:textId="73FAA339" w:rsidR="00737F37" w:rsidRPr="00257DCF" w:rsidRDefault="00737F37">
      <w:pPr>
        <w:pStyle w:val="Default"/>
        <w:rPr>
          <w:sz w:val="22"/>
          <w:szCs w:val="22"/>
          <w:lang w:val="en-US"/>
        </w:rPr>
      </w:pPr>
      <w:r w:rsidRPr="00737F37">
        <w:rPr>
          <w:sz w:val="22"/>
          <w:szCs w:val="22"/>
          <w:lang w:val="en-US"/>
        </w:rPr>
        <w:t xml:space="preserve">The time frame of 60 minutes seems rather tight. In our opinion, a specific time limit is not necessary. Instead, a more flexible approach for CBs would be helpful, as there will be a lack of experience, especially in phase 1; existing systems will have to be adapted. </w:t>
      </w:r>
      <w:r w:rsidRPr="00257DCF">
        <w:rPr>
          <w:sz w:val="22"/>
          <w:szCs w:val="22"/>
          <w:lang w:val="en-US"/>
        </w:rPr>
        <w:t xml:space="preserve">In this sense, Art 6 para 6 ITS should therefore read: </w:t>
      </w:r>
    </w:p>
    <w:p w14:paraId="15DF7D2A" w14:textId="77777777" w:rsidR="005E10AA" w:rsidRPr="00257DCF" w:rsidRDefault="005E10AA">
      <w:pPr>
        <w:pStyle w:val="Default"/>
        <w:rPr>
          <w:sz w:val="22"/>
          <w:szCs w:val="22"/>
          <w:lang w:val="en-US"/>
        </w:rPr>
      </w:pPr>
    </w:p>
    <w:p w14:paraId="4848B758" w14:textId="77777777" w:rsidR="00737F37" w:rsidRDefault="00737F37" w:rsidP="007A206C">
      <w:pPr>
        <w:rPr>
          <w:i/>
          <w:iCs/>
          <w:szCs w:val="22"/>
        </w:rPr>
      </w:pPr>
      <w:r>
        <w:rPr>
          <w:szCs w:val="22"/>
        </w:rPr>
        <w:t>„</w:t>
      </w:r>
      <w:r>
        <w:rPr>
          <w:i/>
          <w:iCs/>
          <w:szCs w:val="22"/>
        </w:rPr>
        <w:t xml:space="preserve">The collection body must inform the reporting entity without unnecessary delay.“ </w:t>
      </w:r>
    </w:p>
    <w:permEnd w:id="553735427"/>
    <w:p w14:paraId="3E8FD4F1" w14:textId="28AE75F9"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9DB62D5" w14:textId="77777777" w:rsidR="00A82041" w:rsidRDefault="00737F37" w:rsidP="007A206C">
      <w:pPr>
        <w:rPr>
          <w:b/>
          <w:bCs/>
          <w:color w:val="171717"/>
          <w:szCs w:val="22"/>
        </w:rPr>
      </w:pPr>
      <w:permStart w:id="436031283" w:edGrp="everyone"/>
      <w:r>
        <w:rPr>
          <w:b/>
          <w:bCs/>
          <w:color w:val="171717"/>
          <w:szCs w:val="22"/>
        </w:rPr>
        <w:lastRenderedPageBreak/>
        <w:t>Common OAM position (</w:t>
      </w:r>
      <w:r w:rsidR="00A82041">
        <w:rPr>
          <w:b/>
          <w:bCs/>
          <w:lang w:val="en-US"/>
        </w:rPr>
        <w:t>AT, DE, EE, FI, IE, LT, LU, NO</w:t>
      </w:r>
      <w:r>
        <w:rPr>
          <w:b/>
          <w:bCs/>
          <w:color w:val="171717"/>
          <w:szCs w:val="22"/>
        </w:rPr>
        <w:t>):</w:t>
      </w:r>
    </w:p>
    <w:p w14:paraId="0514ECE9" w14:textId="006B6F55" w:rsidR="00737F37" w:rsidRDefault="00737F37" w:rsidP="007A206C">
      <w:pPr>
        <w:rPr>
          <w:color w:val="171717"/>
          <w:szCs w:val="22"/>
        </w:rPr>
      </w:pPr>
      <w:r>
        <w:rPr>
          <w:color w:val="171717"/>
          <w:szCs w:val="22"/>
        </w:rPr>
        <w:t xml:space="preserve">We agree. However, for further processing CAdES should be preferred. </w:t>
      </w:r>
    </w:p>
    <w:p w14:paraId="76DBF583" w14:textId="70136786" w:rsidR="00BD3657" w:rsidRDefault="00BD3657" w:rsidP="007A206C">
      <w:pPr>
        <w:rPr>
          <w:color w:val="171717"/>
          <w:szCs w:val="22"/>
        </w:rPr>
      </w:pPr>
      <w:r w:rsidRPr="00BD3657">
        <w:rPr>
          <w:b/>
          <w:color w:val="171717"/>
          <w:szCs w:val="22"/>
        </w:rPr>
        <w:t>OAM DE:</w:t>
      </w:r>
      <w:r>
        <w:rPr>
          <w:color w:val="171717"/>
          <w:szCs w:val="22"/>
        </w:rPr>
        <w:t xml:space="preserve"> </w:t>
      </w:r>
      <w:r w:rsidRPr="00BD3657">
        <w:rPr>
          <w:color w:val="171717"/>
          <w:szCs w:val="22"/>
        </w:rPr>
        <w:t>We strongly advise against the use of seals. The procurement and use of the seals means a high and unnecessary bureaucratic burden for the submitters. The use of electronic seals should therefore be completely avoided. As a precautionary measure, the question should be answered as follows: Seals embedded in files should generally be avoided. Embedded seals offer opportunities for attacks; in the past there have often been security gaps, especially with partially signed/sealed files. Therefore, only detached seals in CAdES format should be used. This can be used to seal all types of files. If</w:t>
      </w:r>
      <w:r w:rsidR="005E10AA">
        <w:rPr>
          <w:color w:val="171717"/>
          <w:szCs w:val="22"/>
        </w:rPr>
        <w:t>, despite these risks and drawbacks,</w:t>
      </w:r>
      <w:r w:rsidRPr="00BD3657">
        <w:rPr>
          <w:color w:val="171717"/>
          <w:szCs w:val="22"/>
        </w:rPr>
        <w:t xml:space="preserve"> XAdES or PAdES </w:t>
      </w:r>
      <w:r w:rsidR="005E10AA">
        <w:rPr>
          <w:color w:val="171717"/>
          <w:szCs w:val="22"/>
        </w:rPr>
        <w:t>are to</w:t>
      </w:r>
      <w:r w:rsidRPr="00BD3657">
        <w:rPr>
          <w:color w:val="171717"/>
          <w:szCs w:val="22"/>
        </w:rPr>
        <w:t xml:space="preserve"> be used, the technical requirements for every document type has to be defined.</w:t>
      </w:r>
    </w:p>
    <w:permEnd w:id="436031283"/>
    <w:p w14:paraId="6F54DADD" w14:textId="0ED165AA"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70E3D826" w14:textId="77777777" w:rsidR="00A82041" w:rsidRDefault="00737F37" w:rsidP="007A206C">
      <w:pPr>
        <w:rPr>
          <w:b/>
          <w:bCs/>
          <w:color w:val="171717"/>
          <w:szCs w:val="22"/>
        </w:rPr>
      </w:pPr>
      <w:permStart w:id="394012641" w:edGrp="everyone"/>
      <w:r>
        <w:rPr>
          <w:b/>
          <w:bCs/>
          <w:color w:val="171717"/>
          <w:szCs w:val="22"/>
        </w:rPr>
        <w:t>Common OAM position (</w:t>
      </w:r>
      <w:r w:rsidR="00A82041">
        <w:rPr>
          <w:b/>
          <w:bCs/>
          <w:lang w:val="en-US"/>
        </w:rPr>
        <w:t>AT, DE, EE, FI, IE, LT, LU, NO</w:t>
      </w:r>
      <w:r>
        <w:rPr>
          <w:b/>
          <w:bCs/>
          <w:color w:val="171717"/>
          <w:szCs w:val="22"/>
        </w:rPr>
        <w:t>):</w:t>
      </w:r>
    </w:p>
    <w:p w14:paraId="00F1674D" w14:textId="6FE80E22" w:rsidR="00737F37" w:rsidRDefault="00737F37" w:rsidP="007A206C">
      <w:pPr>
        <w:rPr>
          <w:szCs w:val="22"/>
        </w:rPr>
      </w:pPr>
      <w:r>
        <w:rPr>
          <w:szCs w:val="22"/>
        </w:rPr>
        <w:t xml:space="preserve">We agree. However, it should be ensured that zip uploads, such as those used under the TD for annual financial reports, remain possible. </w:t>
      </w:r>
    </w:p>
    <w:permEnd w:id="394012641"/>
    <w:p w14:paraId="61AFD2C0" w14:textId="48149D0F"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4787C7A5" w14:textId="77777777" w:rsidR="00A82041" w:rsidRDefault="00737F37" w:rsidP="007A206C">
      <w:pPr>
        <w:rPr>
          <w:b/>
          <w:bCs/>
          <w:color w:val="171717"/>
          <w:szCs w:val="22"/>
        </w:rPr>
      </w:pPr>
      <w:permStart w:id="999039619" w:edGrp="everyone"/>
      <w:r>
        <w:rPr>
          <w:b/>
          <w:bCs/>
          <w:color w:val="171717"/>
          <w:szCs w:val="22"/>
        </w:rPr>
        <w:t>Common OAM position (</w:t>
      </w:r>
      <w:r w:rsidR="00A82041">
        <w:rPr>
          <w:b/>
          <w:bCs/>
          <w:lang w:val="en-US"/>
        </w:rPr>
        <w:t>AT, DE, EE, FI, IE, LT, LU, NO</w:t>
      </w:r>
      <w:r>
        <w:rPr>
          <w:b/>
          <w:bCs/>
          <w:color w:val="171717"/>
          <w:szCs w:val="22"/>
        </w:rPr>
        <w:t>):</w:t>
      </w:r>
    </w:p>
    <w:p w14:paraId="713E90B6" w14:textId="3F02E719" w:rsidR="00737F37" w:rsidRDefault="00737F37" w:rsidP="007A206C">
      <w:pPr>
        <w:rPr>
          <w:szCs w:val="22"/>
        </w:rPr>
      </w:pPr>
      <w:r>
        <w:rPr>
          <w:szCs w:val="22"/>
        </w:rPr>
        <w:t xml:space="preserve">As regards par 45 CP: In our opinion it is not necessary that the seal remains valid beyond the date of submission. It is sufficient if the information is provided with a valid seal at the time of technical validation, i.e. at the time of submission. Therefore, B- or- T-level fulfil the purpose of proper technical validation. </w:t>
      </w:r>
    </w:p>
    <w:permEnd w:id="999039619"/>
    <w:p w14:paraId="5BF6F4D4" w14:textId="08428B75"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254B5F3F" w:rsidR="007A206C" w:rsidRDefault="00BD3657" w:rsidP="007A206C">
      <w:permStart w:id="1486563786" w:edGrp="everyone"/>
      <w:r w:rsidRPr="00BD3657">
        <w:rPr>
          <w:b/>
        </w:rPr>
        <w:t>OAM DE:</w:t>
      </w:r>
      <w:r>
        <w:t xml:space="preserve"> No comment</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A0C07DA" w:rsidR="007A206C" w:rsidRDefault="00BD3657" w:rsidP="007A206C">
      <w:permStart w:id="348419033" w:edGrp="everyone"/>
      <w:r w:rsidRPr="00BD3657">
        <w:rPr>
          <w:b/>
        </w:rPr>
        <w:t>OAM DE:</w:t>
      </w:r>
      <w:r>
        <w:t xml:space="preserve"> </w:t>
      </w:r>
      <w:r w:rsidRPr="00BD3657">
        <w:t>Collection Bodies should also be eligible as trusted bodies.</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54FDDF50" w14:textId="5B13E43B" w:rsidR="007A206C" w:rsidRDefault="00BD3657" w:rsidP="007A206C">
      <w:permStart w:id="1638944561" w:edGrp="everyone"/>
      <w:r w:rsidRPr="00BD3657">
        <w:rPr>
          <w:b/>
        </w:rPr>
        <w:t>OAM DE:</w:t>
      </w:r>
      <w:r>
        <w:t xml:space="preserve"> We agree</w:t>
      </w:r>
      <w:r w:rsidR="00A82041" w:rsidRPr="00A82041">
        <w:t xml:space="preserve"> </w:t>
      </w:r>
      <w:r w:rsidR="00A82041">
        <w:t xml:space="preserve">with </w:t>
      </w:r>
      <w:r w:rsidR="00A82041" w:rsidRPr="00A82041">
        <w:t>the proposed approach to the open standard licences</w:t>
      </w:r>
      <w:r w:rsidR="005E10AA">
        <w:t>. However, additional conditions concerning the re-use of personal data may be relevant</w:t>
      </w:r>
      <w:r w:rsidR="005E10AA">
        <w:cr/>
      </w:r>
      <w:permEnd w:id="1638944561"/>
      <w:r w:rsidR="007A206C">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2C4C1A8D" w14:textId="77777777" w:rsidR="00A82041" w:rsidRDefault="00737F37" w:rsidP="00737F37">
      <w:pPr>
        <w:pStyle w:val="Default"/>
        <w:rPr>
          <w:b/>
          <w:bCs/>
          <w:color w:val="171717"/>
          <w:sz w:val="22"/>
          <w:szCs w:val="22"/>
          <w:lang w:val="en-US"/>
        </w:rPr>
      </w:pPr>
      <w:permStart w:id="654211918" w:edGrp="everyone"/>
      <w:r w:rsidRPr="00737F37">
        <w:rPr>
          <w:b/>
          <w:bCs/>
          <w:color w:val="171717"/>
          <w:sz w:val="22"/>
          <w:szCs w:val="22"/>
          <w:lang w:val="en-US"/>
        </w:rPr>
        <w:t>Common OAM position</w:t>
      </w:r>
      <w:r>
        <w:rPr>
          <w:b/>
          <w:bCs/>
          <w:color w:val="171717"/>
          <w:sz w:val="22"/>
          <w:szCs w:val="22"/>
          <w:lang w:val="en-US"/>
        </w:rPr>
        <w:t xml:space="preserve"> (</w:t>
      </w:r>
      <w:r w:rsidR="00A82041">
        <w:rPr>
          <w:b/>
          <w:bCs/>
          <w:lang w:val="en-US"/>
        </w:rPr>
        <w:t>AT, DE, EE, FI, IE, LT, LU, NO</w:t>
      </w:r>
      <w:r w:rsidRPr="00737F37">
        <w:rPr>
          <w:b/>
          <w:bCs/>
          <w:color w:val="171717"/>
          <w:sz w:val="22"/>
          <w:szCs w:val="22"/>
          <w:lang w:val="en-US"/>
        </w:rPr>
        <w:t>):</w:t>
      </w:r>
    </w:p>
    <w:p w14:paraId="5CB8E636" w14:textId="77777777" w:rsidR="00A82041" w:rsidRDefault="00A82041" w:rsidP="00737F37">
      <w:pPr>
        <w:pStyle w:val="Default"/>
        <w:rPr>
          <w:b/>
          <w:bCs/>
          <w:color w:val="171717"/>
          <w:sz w:val="22"/>
          <w:szCs w:val="22"/>
          <w:lang w:val="en-US"/>
        </w:rPr>
      </w:pPr>
    </w:p>
    <w:p w14:paraId="599034F8" w14:textId="7EA36078" w:rsidR="00737F37" w:rsidRDefault="00737F37" w:rsidP="00737F37">
      <w:pPr>
        <w:pStyle w:val="Default"/>
        <w:rPr>
          <w:sz w:val="22"/>
          <w:szCs w:val="22"/>
          <w:lang w:val="en-US"/>
        </w:rPr>
      </w:pPr>
      <w:r w:rsidRPr="00737F37">
        <w:rPr>
          <w:sz w:val="22"/>
          <w:szCs w:val="22"/>
          <w:lang w:val="en-US"/>
        </w:rPr>
        <w:lastRenderedPageBreak/>
        <w:t xml:space="preserve">In principle we agree with the technical characteristics of the API. Insofar as the characteristics of the API are based on double storage of the information, we do not consider them to be appropriate. According to the ESAP regulation, a system such as the planned EEAP or BRIS and Boris is appropriate. If documents are not only to be provided by the collection bodies but also be submitted for double storage, some issues need at least to be considered, especially: </w:t>
      </w:r>
    </w:p>
    <w:p w14:paraId="009EC3F8" w14:textId="77777777" w:rsidR="00737F37" w:rsidRPr="00737F37" w:rsidRDefault="00737F37" w:rsidP="00737F37">
      <w:pPr>
        <w:pStyle w:val="Default"/>
        <w:rPr>
          <w:sz w:val="22"/>
          <w:szCs w:val="22"/>
          <w:lang w:val="en-US"/>
        </w:rPr>
      </w:pPr>
    </w:p>
    <w:p w14:paraId="0C4CE5B0" w14:textId="4BAAADDB" w:rsidR="00737F37" w:rsidRPr="00737F37" w:rsidRDefault="00737F37" w:rsidP="00737F37">
      <w:pPr>
        <w:pStyle w:val="Default"/>
        <w:numPr>
          <w:ilvl w:val="0"/>
          <w:numId w:val="21"/>
        </w:numPr>
        <w:spacing w:after="302"/>
        <w:ind w:left="993" w:hanging="284"/>
        <w:rPr>
          <w:sz w:val="22"/>
          <w:szCs w:val="22"/>
          <w:lang w:val="en-US"/>
        </w:rPr>
      </w:pPr>
      <w:r w:rsidRPr="00737F37">
        <w:rPr>
          <w:sz w:val="22"/>
          <w:szCs w:val="22"/>
          <w:lang w:val="en-US"/>
        </w:rPr>
        <w:t xml:space="preserve">Which document is deemed to be the </w:t>
      </w:r>
      <w:r w:rsidRPr="00737F37">
        <w:rPr>
          <w:b/>
          <w:bCs/>
          <w:sz w:val="22"/>
          <w:szCs w:val="22"/>
          <w:lang w:val="en-US"/>
        </w:rPr>
        <w:t xml:space="preserve">authentic and most current document </w:t>
      </w:r>
      <w:r w:rsidRPr="00737F37">
        <w:rPr>
          <w:sz w:val="22"/>
          <w:szCs w:val="22"/>
          <w:lang w:val="en-US"/>
        </w:rPr>
        <w:t xml:space="preserve">in the event of data corruption or deviations during the process of submission or in the event of deviant second storage? </w:t>
      </w:r>
    </w:p>
    <w:p w14:paraId="7D14515F" w14:textId="6005B22C" w:rsidR="00737F37" w:rsidRPr="00737F37" w:rsidRDefault="00737F37" w:rsidP="00737F37">
      <w:pPr>
        <w:pStyle w:val="Default"/>
        <w:numPr>
          <w:ilvl w:val="0"/>
          <w:numId w:val="21"/>
        </w:numPr>
        <w:spacing w:after="302"/>
        <w:ind w:left="993" w:hanging="284"/>
        <w:rPr>
          <w:sz w:val="22"/>
          <w:szCs w:val="22"/>
          <w:lang w:val="en-US"/>
        </w:rPr>
      </w:pPr>
      <w:r w:rsidRPr="00737F37">
        <w:rPr>
          <w:b/>
          <w:bCs/>
          <w:sz w:val="22"/>
          <w:szCs w:val="22"/>
          <w:lang w:val="en-US"/>
        </w:rPr>
        <w:t xml:space="preserve">Liabilities </w:t>
      </w:r>
      <w:r w:rsidRPr="00737F37">
        <w:rPr>
          <w:sz w:val="22"/>
          <w:szCs w:val="22"/>
          <w:lang w:val="en-US"/>
        </w:rPr>
        <w:t xml:space="preserve">for the transmission and storage process. </w:t>
      </w:r>
    </w:p>
    <w:p w14:paraId="0F82B1CF" w14:textId="4D8D0E48" w:rsidR="00737F37" w:rsidRDefault="00737F37" w:rsidP="00737F37">
      <w:pPr>
        <w:pStyle w:val="Default"/>
        <w:numPr>
          <w:ilvl w:val="0"/>
          <w:numId w:val="21"/>
        </w:numPr>
        <w:ind w:left="993" w:hanging="284"/>
        <w:rPr>
          <w:sz w:val="22"/>
          <w:szCs w:val="22"/>
          <w:lang w:val="en-US"/>
        </w:rPr>
      </w:pPr>
      <w:r w:rsidRPr="00737F37">
        <w:rPr>
          <w:sz w:val="22"/>
          <w:szCs w:val="22"/>
          <w:lang w:val="en-US"/>
        </w:rPr>
        <w:t xml:space="preserve">Responsibilities for correct and </w:t>
      </w:r>
      <w:r w:rsidRPr="00737F37">
        <w:rPr>
          <w:b/>
          <w:bCs/>
          <w:sz w:val="22"/>
          <w:szCs w:val="22"/>
          <w:lang w:val="en-US"/>
        </w:rPr>
        <w:t xml:space="preserve">simultaneous deletion </w:t>
      </w:r>
      <w:r w:rsidRPr="00737F37">
        <w:rPr>
          <w:sz w:val="22"/>
          <w:szCs w:val="22"/>
          <w:lang w:val="en-US"/>
        </w:rPr>
        <w:t xml:space="preserve">of documents at the level of both storage systems. </w:t>
      </w:r>
    </w:p>
    <w:p w14:paraId="43F1127B" w14:textId="77777777" w:rsidR="00737F37" w:rsidRDefault="00737F37" w:rsidP="00737F37">
      <w:pPr>
        <w:pStyle w:val="Default"/>
        <w:rPr>
          <w:sz w:val="22"/>
          <w:szCs w:val="22"/>
          <w:lang w:val="en-US"/>
        </w:rPr>
      </w:pPr>
    </w:p>
    <w:p w14:paraId="1659B547" w14:textId="16667BCC" w:rsidR="00B60473" w:rsidRPr="00737F37" w:rsidRDefault="00B60473" w:rsidP="00737F37">
      <w:pPr>
        <w:pStyle w:val="Default"/>
        <w:rPr>
          <w:sz w:val="22"/>
          <w:szCs w:val="22"/>
          <w:lang w:val="en-US"/>
        </w:rPr>
      </w:pPr>
      <w:r>
        <w:rPr>
          <w:sz w:val="22"/>
          <w:szCs w:val="22"/>
          <w:lang w:val="en-US"/>
        </w:rPr>
        <w:t xml:space="preserve">OAM DE: </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0803D197" w14:textId="77777777" w:rsidR="00A82041" w:rsidRDefault="00737F37" w:rsidP="00737F37">
      <w:pPr>
        <w:pStyle w:val="Default"/>
        <w:rPr>
          <w:b/>
          <w:bCs/>
          <w:color w:val="171717"/>
          <w:sz w:val="22"/>
          <w:szCs w:val="22"/>
          <w:lang w:val="en-US"/>
        </w:rPr>
      </w:pPr>
      <w:permStart w:id="1396908232" w:edGrp="everyone"/>
      <w:r w:rsidRPr="00737F37">
        <w:rPr>
          <w:b/>
          <w:bCs/>
          <w:color w:val="171717"/>
          <w:sz w:val="22"/>
          <w:szCs w:val="22"/>
          <w:lang w:val="en-US"/>
        </w:rPr>
        <w:t>Common OAM position (</w:t>
      </w:r>
      <w:r w:rsidR="00A82041">
        <w:rPr>
          <w:b/>
          <w:bCs/>
          <w:lang w:val="en-US"/>
        </w:rPr>
        <w:t>AT, DE, EE, FI, IE, LT, LU, NO</w:t>
      </w:r>
      <w:r w:rsidRPr="00737F37">
        <w:rPr>
          <w:b/>
          <w:bCs/>
          <w:color w:val="171717"/>
          <w:sz w:val="22"/>
          <w:szCs w:val="22"/>
          <w:lang w:val="en-US"/>
        </w:rPr>
        <w:t>):</w:t>
      </w:r>
    </w:p>
    <w:p w14:paraId="42317A5A" w14:textId="77777777" w:rsidR="00A82041" w:rsidRDefault="00A82041" w:rsidP="00737F37">
      <w:pPr>
        <w:pStyle w:val="Default"/>
        <w:rPr>
          <w:b/>
          <w:bCs/>
          <w:color w:val="171717"/>
          <w:sz w:val="22"/>
          <w:szCs w:val="22"/>
          <w:lang w:val="en-US"/>
        </w:rPr>
      </w:pPr>
    </w:p>
    <w:p w14:paraId="42AE0425" w14:textId="158C4B4D" w:rsidR="00737F37" w:rsidRDefault="00737F37" w:rsidP="00737F37">
      <w:pPr>
        <w:pStyle w:val="Default"/>
        <w:rPr>
          <w:color w:val="171717"/>
          <w:sz w:val="22"/>
          <w:szCs w:val="22"/>
          <w:lang w:val="en-US"/>
        </w:rPr>
      </w:pPr>
      <w:r w:rsidRPr="00737F37">
        <w:rPr>
          <w:color w:val="171717"/>
          <w:sz w:val="22"/>
          <w:szCs w:val="22"/>
          <w:lang w:val="en-US"/>
        </w:rPr>
        <w:t xml:space="preserve">In principle we agree. </w:t>
      </w:r>
      <w:r w:rsidRPr="0027086C">
        <w:rPr>
          <w:color w:val="171717"/>
          <w:sz w:val="22"/>
          <w:szCs w:val="22"/>
          <w:lang w:val="en-US"/>
        </w:rPr>
        <w:t xml:space="preserve">We understand that the CBs are not responsible for completing or collecting incomplete or missing metadata. </w:t>
      </w:r>
      <w:r w:rsidRPr="00737F37">
        <w:rPr>
          <w:color w:val="171717"/>
          <w:sz w:val="22"/>
          <w:szCs w:val="22"/>
          <w:lang w:val="en-US"/>
        </w:rPr>
        <w:t>CBs will/must use metadata created by the submitting entities for the purposes of providing it to ESAP (‘business metadata’). In addition, CB must create additional metadata (e.g. time of submission field 7 Annex I; ‘technical metadata’). It should be made clear in the ITS that the metadata transmitted by the entities may be adopted by the CB for the purposes of providing them with ESAP.</w:t>
      </w:r>
    </w:p>
    <w:p w14:paraId="3F77D030" w14:textId="77777777" w:rsidR="00737F37" w:rsidRPr="00737F37" w:rsidRDefault="00737F37" w:rsidP="00737F37">
      <w:pPr>
        <w:pStyle w:val="Default"/>
        <w:rPr>
          <w:sz w:val="22"/>
          <w:szCs w:val="22"/>
          <w:lang w:val="en-US"/>
        </w:rPr>
      </w:pPr>
    </w:p>
    <w:p w14:paraId="28E1E7E5" w14:textId="77777777" w:rsidR="00737F37" w:rsidRDefault="00737F37" w:rsidP="00737F37">
      <w:pPr>
        <w:pStyle w:val="Default"/>
        <w:rPr>
          <w:color w:val="171717"/>
          <w:sz w:val="22"/>
          <w:szCs w:val="22"/>
          <w:lang w:val="en-US"/>
        </w:rPr>
      </w:pPr>
      <w:r w:rsidRPr="00737F37">
        <w:rPr>
          <w:color w:val="171717"/>
          <w:sz w:val="22"/>
          <w:szCs w:val="22"/>
          <w:lang w:val="en-US"/>
        </w:rPr>
        <w:t>Proposal for Art 5 CB ITS: "</w:t>
      </w:r>
      <w:r w:rsidRPr="00BC58B6">
        <w:rPr>
          <w:i/>
          <w:color w:val="171717"/>
          <w:sz w:val="22"/>
          <w:szCs w:val="22"/>
          <w:lang w:val="en-US"/>
        </w:rPr>
        <w:t>Collection Bodies may rely on the metadata created by the submitting companies when providing the metadata to the ESAP.</w:t>
      </w:r>
      <w:r w:rsidRPr="00737F37">
        <w:rPr>
          <w:color w:val="171717"/>
          <w:sz w:val="22"/>
          <w:szCs w:val="22"/>
          <w:lang w:val="en-US"/>
        </w:rPr>
        <w:t xml:space="preserve">" </w:t>
      </w:r>
    </w:p>
    <w:p w14:paraId="547F37A1" w14:textId="77777777" w:rsidR="00737F37" w:rsidRPr="00737F37" w:rsidRDefault="00737F37" w:rsidP="00737F37">
      <w:pPr>
        <w:pStyle w:val="Default"/>
        <w:rPr>
          <w:sz w:val="22"/>
          <w:szCs w:val="22"/>
          <w:lang w:val="en-US"/>
        </w:rPr>
      </w:pPr>
    </w:p>
    <w:p w14:paraId="6C50D17B" w14:textId="7D89F79B" w:rsidR="00737F37" w:rsidRDefault="00737F37" w:rsidP="00737F37">
      <w:pPr>
        <w:rPr>
          <w:color w:val="171717"/>
          <w:szCs w:val="22"/>
        </w:rPr>
      </w:pPr>
      <w:r>
        <w:rPr>
          <w:color w:val="171717"/>
          <w:szCs w:val="22"/>
        </w:rPr>
        <w:t xml:space="preserve">The field description of number 14 of Annex I Table 1 CB ITS Draft reads: "The collection body </w:t>
      </w:r>
      <w:r>
        <w:rPr>
          <w:b/>
          <w:bCs/>
          <w:color w:val="171717"/>
          <w:szCs w:val="22"/>
        </w:rPr>
        <w:t xml:space="preserve">responsible </w:t>
      </w:r>
      <w:r>
        <w:rPr>
          <w:color w:val="171717"/>
          <w:szCs w:val="22"/>
        </w:rPr>
        <w:t xml:space="preserve">for the collection of the submitted information". Collection is a mere </w:t>
      </w:r>
      <w:r>
        <w:rPr>
          <w:b/>
          <w:bCs/>
          <w:color w:val="171717"/>
          <w:szCs w:val="22"/>
        </w:rPr>
        <w:t xml:space="preserve">receipt </w:t>
      </w:r>
      <w:r>
        <w:rPr>
          <w:color w:val="171717"/>
          <w:szCs w:val="22"/>
        </w:rPr>
        <w:t>of the information submitted by the entity. It is not the CB but the submitting company that is primarily responsible for this initial phase of the transmission process. The subsequent actions which are the responsibility of the CB are (i) storage and (ii) provision of the information to the ESAP. The field description number 14 should therefore read: The collection body designated (or competent) for the collection of the submitted information.</w:t>
      </w:r>
    </w:p>
    <w:permEnd w:id="1396908232"/>
    <w:p w14:paraId="608D25D0" w14:textId="73815224" w:rsidR="007A206C" w:rsidRDefault="007A206C" w:rsidP="007A206C">
      <w:r>
        <w:lastRenderedPageBreak/>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16CA86C3" w14:textId="77777777" w:rsidR="00A82041" w:rsidRDefault="00737F37" w:rsidP="007A206C">
      <w:pPr>
        <w:rPr>
          <w:b/>
          <w:bCs/>
          <w:color w:val="171717"/>
          <w:szCs w:val="22"/>
        </w:rPr>
      </w:pPr>
      <w:permStart w:id="1817079671" w:edGrp="everyone"/>
      <w:r>
        <w:rPr>
          <w:b/>
          <w:bCs/>
          <w:color w:val="171717"/>
          <w:szCs w:val="22"/>
        </w:rPr>
        <w:t>Common OAM position (</w:t>
      </w:r>
      <w:r w:rsidR="00A82041">
        <w:rPr>
          <w:b/>
          <w:bCs/>
          <w:lang w:val="en-US"/>
        </w:rPr>
        <w:t>AT, DE, EE, FI, IE, LT, LU, NO</w:t>
      </w:r>
      <w:r>
        <w:rPr>
          <w:b/>
          <w:bCs/>
          <w:color w:val="171717"/>
          <w:szCs w:val="22"/>
        </w:rPr>
        <w:t>):</w:t>
      </w:r>
    </w:p>
    <w:p w14:paraId="2F4030EA" w14:textId="72A0A22E" w:rsidR="00737F37" w:rsidRDefault="00737F37" w:rsidP="007A206C">
      <w:pPr>
        <w:rPr>
          <w:color w:val="171717"/>
          <w:szCs w:val="22"/>
        </w:rPr>
      </w:pPr>
      <w:r>
        <w:rPr>
          <w:color w:val="171717"/>
          <w:szCs w:val="22"/>
        </w:rPr>
        <w:t xml:space="preserve">The ITS does not address accessibility and maintenance windows for the CB's systems. A provision similar to Art 11 of the ESAP Regulation should be included, e.g: “Article 11(1)(c) ESAP Regulation applies accordingly to the provision of information by the CB to the ESAP.” </w:t>
      </w:r>
    </w:p>
    <w:permEnd w:id="1817079671"/>
    <w:p w14:paraId="4FEBB74F" w14:textId="4CA13FDF"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593812E4" w14:textId="77777777" w:rsidR="00492A8D" w:rsidRDefault="00737F37" w:rsidP="007A206C">
      <w:pPr>
        <w:rPr>
          <w:b/>
          <w:bCs/>
          <w:color w:val="171717"/>
          <w:szCs w:val="22"/>
        </w:rPr>
      </w:pPr>
      <w:permStart w:id="1770933408" w:edGrp="everyone"/>
      <w:r>
        <w:rPr>
          <w:b/>
          <w:bCs/>
          <w:color w:val="171717"/>
          <w:szCs w:val="22"/>
        </w:rPr>
        <w:t>Common OAM position (</w:t>
      </w:r>
      <w:r w:rsidR="00492A8D">
        <w:rPr>
          <w:b/>
          <w:bCs/>
          <w:lang w:val="en-US"/>
        </w:rPr>
        <w:t>AT, DE, EE, FI, IE, LT, LU, NO</w:t>
      </w:r>
      <w:r>
        <w:rPr>
          <w:b/>
          <w:bCs/>
          <w:color w:val="171717"/>
          <w:szCs w:val="22"/>
        </w:rPr>
        <w:t>):</w:t>
      </w:r>
    </w:p>
    <w:p w14:paraId="5DF9D7AD" w14:textId="5739A79E" w:rsidR="00737F37" w:rsidRDefault="00737F37" w:rsidP="007A206C">
      <w:pPr>
        <w:rPr>
          <w:szCs w:val="22"/>
        </w:rPr>
      </w:pPr>
      <w:r>
        <w:rPr>
          <w:szCs w:val="22"/>
        </w:rPr>
        <w:t xml:space="preserve">Q18 </w:t>
      </w:r>
      <w:r w:rsidR="00A82041">
        <w:rPr>
          <w:szCs w:val="22"/>
        </w:rPr>
        <w:t xml:space="preserve">is </w:t>
      </w:r>
      <w:r>
        <w:rPr>
          <w:szCs w:val="22"/>
        </w:rPr>
        <w:t xml:space="preserve">not addressed to OAMs. </w:t>
      </w:r>
    </w:p>
    <w:permEnd w:id="1770933408"/>
    <w:p w14:paraId="0E323314" w14:textId="54D3FD7C"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2ADCF151" w14:textId="77777777" w:rsidR="00492A8D" w:rsidRDefault="00737F37" w:rsidP="007A206C">
      <w:pPr>
        <w:rPr>
          <w:b/>
          <w:bCs/>
          <w:color w:val="171717"/>
          <w:szCs w:val="22"/>
        </w:rPr>
      </w:pPr>
      <w:permStart w:id="1031027166" w:edGrp="everyone"/>
      <w:r>
        <w:rPr>
          <w:b/>
          <w:bCs/>
          <w:color w:val="171717"/>
          <w:szCs w:val="22"/>
        </w:rPr>
        <w:t>Common OAM position (</w:t>
      </w:r>
      <w:r w:rsidR="00492A8D">
        <w:rPr>
          <w:b/>
          <w:bCs/>
          <w:lang w:val="en-US"/>
        </w:rPr>
        <w:t>AT, DE, EE, FI, IE, LT, LU, NO</w:t>
      </w:r>
      <w:r>
        <w:rPr>
          <w:b/>
          <w:bCs/>
          <w:color w:val="171717"/>
          <w:szCs w:val="22"/>
        </w:rPr>
        <w:t>):</w:t>
      </w:r>
    </w:p>
    <w:p w14:paraId="5DFA75A1" w14:textId="792278A7" w:rsidR="00737F37" w:rsidRDefault="00737F37" w:rsidP="007A206C">
      <w:pPr>
        <w:rPr>
          <w:color w:val="171717"/>
          <w:szCs w:val="22"/>
        </w:rPr>
      </w:pPr>
      <w:r>
        <w:rPr>
          <w:color w:val="171717"/>
          <w:szCs w:val="22"/>
        </w:rPr>
        <w:t>We do not believe that processing within 60 minutes affects the usefulness of the ESAP</w:t>
      </w:r>
      <w:r w:rsidR="00A82041">
        <w:rPr>
          <w:color w:val="171717"/>
          <w:szCs w:val="22"/>
        </w:rPr>
        <w:t>.</w:t>
      </w:r>
      <w:r>
        <w:rPr>
          <w:color w:val="171717"/>
          <w:szCs w:val="22"/>
        </w:rPr>
        <w:t xml:space="preserve"> </w:t>
      </w:r>
    </w:p>
    <w:permEnd w:id="1031027166"/>
    <w:p w14:paraId="141BCDA0" w14:textId="6C7F8823" w:rsidR="007A206C" w:rsidRDefault="007A206C" w:rsidP="007A206C">
      <w:r>
        <w:lastRenderedPageBreak/>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25A6BE15" w14:textId="77777777" w:rsidR="00492A8D" w:rsidRDefault="00737F37" w:rsidP="007A206C">
      <w:pPr>
        <w:rPr>
          <w:b/>
          <w:bCs/>
          <w:color w:val="171717"/>
          <w:szCs w:val="22"/>
        </w:rPr>
      </w:pPr>
      <w:permStart w:id="1832207884" w:edGrp="everyone"/>
      <w:r>
        <w:rPr>
          <w:b/>
          <w:bCs/>
          <w:color w:val="171717"/>
          <w:szCs w:val="22"/>
        </w:rPr>
        <w:t>Common OAM position (</w:t>
      </w:r>
      <w:r w:rsidR="00492A8D">
        <w:rPr>
          <w:b/>
          <w:bCs/>
          <w:lang w:val="en-US"/>
        </w:rPr>
        <w:t>AT, DE, EE, FI, IE, LT, LU, NO</w:t>
      </w:r>
      <w:r>
        <w:rPr>
          <w:b/>
          <w:bCs/>
          <w:color w:val="171717"/>
          <w:szCs w:val="22"/>
        </w:rPr>
        <w:t>):</w:t>
      </w:r>
    </w:p>
    <w:p w14:paraId="573CB6DC" w14:textId="08D7022D" w:rsidR="00737F37" w:rsidRDefault="00737F37" w:rsidP="007A206C">
      <w:pPr>
        <w:rPr>
          <w:color w:val="171717"/>
          <w:szCs w:val="22"/>
        </w:rPr>
      </w:pPr>
      <w:r>
        <w:rPr>
          <w:color w:val="171717"/>
          <w:szCs w:val="22"/>
        </w:rPr>
        <w:t xml:space="preserve">We agree </w:t>
      </w:r>
    </w:p>
    <w:permEnd w:id="1832207884"/>
    <w:p w14:paraId="00FC093E" w14:textId="4F3FF036"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17504A7" w14:textId="77777777" w:rsidR="00492A8D" w:rsidRDefault="00737F37" w:rsidP="007A206C">
      <w:pPr>
        <w:rPr>
          <w:b/>
          <w:bCs/>
          <w:color w:val="171717"/>
          <w:szCs w:val="22"/>
        </w:rPr>
      </w:pPr>
      <w:permStart w:id="1123965946" w:edGrp="everyone"/>
      <w:r>
        <w:rPr>
          <w:b/>
          <w:bCs/>
          <w:color w:val="171717"/>
          <w:szCs w:val="22"/>
        </w:rPr>
        <w:t>Common OAM position (</w:t>
      </w:r>
      <w:r w:rsidR="00492A8D">
        <w:rPr>
          <w:b/>
          <w:bCs/>
          <w:lang w:val="en-US"/>
        </w:rPr>
        <w:t>AT, DE, EE, FI, IE, LT, LU, NO</w:t>
      </w:r>
      <w:r>
        <w:rPr>
          <w:b/>
          <w:bCs/>
          <w:color w:val="171717"/>
          <w:szCs w:val="22"/>
        </w:rPr>
        <w:t>):</w:t>
      </w:r>
    </w:p>
    <w:p w14:paraId="740A12F0" w14:textId="614075A0" w:rsidR="00737F37" w:rsidRDefault="00737F37" w:rsidP="007A206C">
      <w:pPr>
        <w:rPr>
          <w:color w:val="171717"/>
          <w:szCs w:val="22"/>
        </w:rPr>
      </w:pPr>
      <w:r>
        <w:rPr>
          <w:color w:val="171717"/>
          <w:szCs w:val="22"/>
        </w:rPr>
        <w:t xml:space="preserve">We agree </w:t>
      </w:r>
    </w:p>
    <w:permEnd w:id="1123965946"/>
    <w:p w14:paraId="23A65E6C" w14:textId="418578D9"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539FA2F0" w14:textId="77777777" w:rsidR="00492A8D" w:rsidRDefault="00737F37" w:rsidP="00737F37">
      <w:pPr>
        <w:rPr>
          <w:b/>
          <w:bCs/>
          <w:color w:val="171717"/>
          <w:szCs w:val="22"/>
        </w:rPr>
      </w:pPr>
      <w:permStart w:id="1658737231" w:edGrp="everyone"/>
      <w:r>
        <w:rPr>
          <w:b/>
          <w:bCs/>
          <w:color w:val="171717"/>
          <w:szCs w:val="22"/>
        </w:rPr>
        <w:t>Common OAM position (</w:t>
      </w:r>
      <w:r w:rsidR="00492A8D">
        <w:rPr>
          <w:b/>
          <w:bCs/>
          <w:lang w:val="en-US"/>
        </w:rPr>
        <w:t>AT, DE, EE, FI, IE, LT, LU, NO</w:t>
      </w:r>
      <w:r>
        <w:rPr>
          <w:b/>
          <w:bCs/>
          <w:color w:val="171717"/>
          <w:szCs w:val="22"/>
        </w:rPr>
        <w:t>):</w:t>
      </w:r>
    </w:p>
    <w:p w14:paraId="6D1A9C4F" w14:textId="2E3AC64D" w:rsidR="00737F37" w:rsidRDefault="00737F37" w:rsidP="00737F37">
      <w:pPr>
        <w:rPr>
          <w:color w:val="171717"/>
          <w:szCs w:val="22"/>
        </w:rPr>
      </w:pPr>
      <w:r>
        <w:rPr>
          <w:color w:val="171717"/>
          <w:szCs w:val="22"/>
        </w:rPr>
        <w:t xml:space="preserve">We agree </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5A7752AE" w14:textId="77777777" w:rsidR="00492A8D" w:rsidRDefault="00737F37" w:rsidP="007A206C">
      <w:pPr>
        <w:rPr>
          <w:b/>
          <w:bCs/>
          <w:color w:val="171717"/>
          <w:szCs w:val="22"/>
        </w:rPr>
      </w:pPr>
      <w:permStart w:id="630529236" w:edGrp="everyone"/>
      <w:r>
        <w:rPr>
          <w:b/>
          <w:bCs/>
          <w:color w:val="171717"/>
          <w:szCs w:val="22"/>
        </w:rPr>
        <w:t>Common OAM position (</w:t>
      </w:r>
      <w:r w:rsidR="00492A8D">
        <w:rPr>
          <w:b/>
          <w:bCs/>
          <w:lang w:val="en-US"/>
        </w:rPr>
        <w:t>AT, DE, EE, FI, IE, LT, LU, NO</w:t>
      </w:r>
      <w:r>
        <w:rPr>
          <w:b/>
          <w:bCs/>
          <w:color w:val="171717"/>
          <w:szCs w:val="22"/>
        </w:rPr>
        <w:t>):</w:t>
      </w:r>
    </w:p>
    <w:p w14:paraId="51A2DC5C" w14:textId="2EABC5AA" w:rsidR="00737F37" w:rsidRDefault="00737F37" w:rsidP="007A206C">
      <w:pPr>
        <w:rPr>
          <w:color w:val="171717"/>
          <w:szCs w:val="22"/>
        </w:rPr>
      </w:pPr>
      <w:r>
        <w:rPr>
          <w:color w:val="171717"/>
          <w:szCs w:val="22"/>
        </w:rPr>
        <w:t xml:space="preserve">We would like to point out that the responsibility for the creation of metadata must lie with the reporting entity (except for technical metadata pursuant par 75 CP). </w:t>
      </w:r>
    </w:p>
    <w:permEnd w:id="630529236"/>
    <w:p w14:paraId="083BB48C" w14:textId="6FEC99F9"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0B8779DC" w14:textId="7D942DAD" w:rsidR="00737F37" w:rsidRPr="00492A8D" w:rsidRDefault="00737F37">
      <w:pPr>
        <w:pStyle w:val="Default"/>
        <w:rPr>
          <w:b/>
          <w:bCs/>
          <w:color w:val="171717"/>
          <w:sz w:val="22"/>
          <w:szCs w:val="22"/>
          <w:lang w:val="en-US"/>
        </w:rPr>
      </w:pPr>
      <w:permStart w:id="1947600168" w:edGrp="everyone"/>
      <w:r w:rsidRPr="00737F37">
        <w:rPr>
          <w:b/>
          <w:bCs/>
          <w:color w:val="171717"/>
          <w:sz w:val="22"/>
          <w:szCs w:val="22"/>
          <w:lang w:val="en-US"/>
        </w:rPr>
        <w:t>Common OAM posi</w:t>
      </w:r>
      <w:r>
        <w:rPr>
          <w:b/>
          <w:bCs/>
          <w:color w:val="171717"/>
          <w:sz w:val="22"/>
          <w:szCs w:val="22"/>
          <w:lang w:val="en-US"/>
        </w:rPr>
        <w:t>tion (</w:t>
      </w:r>
      <w:r w:rsidR="00492A8D">
        <w:rPr>
          <w:b/>
          <w:bCs/>
          <w:lang w:val="en-US"/>
        </w:rPr>
        <w:t>AT, DE, EE, FI, IE, LT, NO</w:t>
      </w:r>
      <w:r w:rsidRPr="00737F37">
        <w:rPr>
          <w:b/>
          <w:bCs/>
          <w:color w:val="171717"/>
          <w:sz w:val="22"/>
          <w:szCs w:val="22"/>
          <w:lang w:val="en-US"/>
        </w:rPr>
        <w:t>):</w:t>
      </w:r>
      <w:r w:rsidR="00492A8D">
        <w:rPr>
          <w:b/>
          <w:bCs/>
          <w:color w:val="171717"/>
          <w:sz w:val="22"/>
          <w:szCs w:val="22"/>
          <w:lang w:val="en-US"/>
        </w:rPr>
        <w:t xml:space="preserve"> </w:t>
      </w:r>
      <w:r w:rsidRPr="00737F37">
        <w:rPr>
          <w:color w:val="171717"/>
          <w:sz w:val="22"/>
          <w:szCs w:val="22"/>
          <w:lang w:val="en-US"/>
        </w:rPr>
        <w:t xml:space="preserve">Such </w:t>
      </w:r>
      <w:r w:rsidRPr="00737F37">
        <w:rPr>
          <w:sz w:val="22"/>
          <w:szCs w:val="22"/>
          <w:lang w:val="en-US"/>
        </w:rPr>
        <w:t xml:space="preserve">information </w:t>
      </w:r>
      <w:r w:rsidRPr="00737F37">
        <w:rPr>
          <w:b/>
          <w:bCs/>
          <w:sz w:val="22"/>
          <w:szCs w:val="22"/>
          <w:lang w:val="en-US"/>
        </w:rPr>
        <w:t>should be covered by a general category</w:t>
      </w:r>
      <w:r w:rsidRPr="00737F37">
        <w:rPr>
          <w:sz w:val="22"/>
          <w:szCs w:val="22"/>
          <w:lang w:val="en-US"/>
        </w:rPr>
        <w:t>, namely, as proposed in the CP, by one category "</w:t>
      </w:r>
      <w:r w:rsidRPr="00737F37">
        <w:rPr>
          <w:b/>
          <w:bCs/>
          <w:sz w:val="22"/>
          <w:szCs w:val="22"/>
          <w:lang w:val="en-US"/>
        </w:rPr>
        <w:t>Additional regulated information required to be disclosed under the law of a Member State</w:t>
      </w:r>
      <w:r w:rsidRPr="00737F37">
        <w:rPr>
          <w:sz w:val="22"/>
          <w:szCs w:val="22"/>
          <w:lang w:val="en-US"/>
        </w:rPr>
        <w:t xml:space="preserve">". This seems to be reasonable because such information does not necessarily have harmonised wording. Furthermore, the generic name of the category can remain unchanged, even if the national requirements change. </w:t>
      </w:r>
    </w:p>
    <w:p w14:paraId="21A7F54D" w14:textId="77777777" w:rsidR="00737F37" w:rsidRPr="00737F37" w:rsidRDefault="00737F37">
      <w:pPr>
        <w:pStyle w:val="Default"/>
        <w:rPr>
          <w:sz w:val="22"/>
          <w:szCs w:val="22"/>
          <w:lang w:val="en-US"/>
        </w:rPr>
      </w:pPr>
    </w:p>
    <w:p w14:paraId="1B3575D1" w14:textId="44E5F0DA" w:rsidR="00737F37" w:rsidRDefault="00737F37" w:rsidP="007A206C">
      <w:pPr>
        <w:rPr>
          <w:szCs w:val="22"/>
        </w:rPr>
      </w:pPr>
      <w:r>
        <w:rPr>
          <w:b/>
          <w:bCs/>
          <w:color w:val="171717"/>
          <w:szCs w:val="22"/>
        </w:rPr>
        <w:t>Common OAM position (</w:t>
      </w:r>
      <w:r w:rsidR="00492A8D">
        <w:rPr>
          <w:b/>
          <w:bCs/>
          <w:lang w:val="en-US"/>
        </w:rPr>
        <w:t>AT, DE, EE, FI, IE, LT, LU, NO</w:t>
      </w:r>
      <w:r>
        <w:rPr>
          <w:b/>
          <w:bCs/>
          <w:color w:val="171717"/>
          <w:szCs w:val="22"/>
        </w:rPr>
        <w:t xml:space="preserve">): </w:t>
      </w:r>
      <w:r>
        <w:rPr>
          <w:szCs w:val="22"/>
        </w:rPr>
        <w:t xml:space="preserve">General comment on Art 3 (1) TD: The labelling as </w:t>
      </w:r>
      <w:r>
        <w:rPr>
          <w:b/>
          <w:bCs/>
          <w:szCs w:val="22"/>
        </w:rPr>
        <w:t>"gold plating</w:t>
      </w:r>
      <w:r>
        <w:rPr>
          <w:szCs w:val="22"/>
        </w:rPr>
        <w:t>" indicates an incompatibility of Union law or at least a negative connotation. This surprises us, as we have so far understood the exercise of the right of a Member State to require the publication of further information in accordance with the provisions of the Transparency Directive as lawful and in the interest of the objective of transparent market information.</w:t>
      </w:r>
    </w:p>
    <w:permEnd w:id="1947600168"/>
    <w:p w14:paraId="0CB36B75" w14:textId="6CF582CD"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lastRenderedPageBreak/>
        <w:t>&lt;ESMA_QUESTION_ESAP_25&gt;</w:t>
      </w:r>
    </w:p>
    <w:p w14:paraId="2EA9931D" w14:textId="77777777" w:rsidR="00492A8D" w:rsidRDefault="00737F37" w:rsidP="007A206C">
      <w:pPr>
        <w:rPr>
          <w:b/>
          <w:bCs/>
          <w:color w:val="171717"/>
          <w:szCs w:val="22"/>
        </w:rPr>
      </w:pPr>
      <w:permStart w:id="412037857" w:edGrp="everyone"/>
      <w:r>
        <w:rPr>
          <w:b/>
          <w:bCs/>
          <w:color w:val="171717"/>
          <w:szCs w:val="22"/>
        </w:rPr>
        <w:t>Common OAM position (</w:t>
      </w:r>
      <w:r w:rsidR="00492A8D">
        <w:rPr>
          <w:b/>
          <w:bCs/>
          <w:lang w:val="en-US"/>
        </w:rPr>
        <w:t>AT, DE, EE, FI, IE, LT, LU, NO</w:t>
      </w:r>
      <w:r>
        <w:rPr>
          <w:b/>
          <w:bCs/>
          <w:color w:val="171717"/>
          <w:szCs w:val="22"/>
        </w:rPr>
        <w:t>):</w:t>
      </w:r>
    </w:p>
    <w:p w14:paraId="79B3173D" w14:textId="3A7D842C" w:rsidR="00737F37" w:rsidRDefault="00737F37" w:rsidP="007A206C">
      <w:pPr>
        <w:rPr>
          <w:szCs w:val="22"/>
        </w:rPr>
      </w:pPr>
      <w:r>
        <w:rPr>
          <w:szCs w:val="22"/>
        </w:rPr>
        <w:t xml:space="preserve">Cf Q23 </w:t>
      </w:r>
    </w:p>
    <w:permEnd w:id="412037857"/>
    <w:p w14:paraId="3772932F" w14:textId="668F735F"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376CA30" w14:textId="77777777" w:rsidR="00492A8D" w:rsidRDefault="00737F37" w:rsidP="007A206C">
      <w:pPr>
        <w:rPr>
          <w:b/>
          <w:bCs/>
          <w:color w:val="171717"/>
          <w:szCs w:val="22"/>
        </w:rPr>
      </w:pPr>
      <w:permStart w:id="1281185188" w:edGrp="everyone"/>
      <w:r>
        <w:rPr>
          <w:b/>
          <w:bCs/>
          <w:color w:val="171717"/>
          <w:szCs w:val="22"/>
        </w:rPr>
        <w:t>Common OAM position (</w:t>
      </w:r>
      <w:r w:rsidR="00492A8D">
        <w:rPr>
          <w:b/>
          <w:bCs/>
          <w:lang w:val="en-US"/>
        </w:rPr>
        <w:t>AT, DE, EE, FI, IE, LT, LU, NO</w:t>
      </w:r>
      <w:r>
        <w:rPr>
          <w:b/>
          <w:bCs/>
          <w:color w:val="171717"/>
          <w:szCs w:val="22"/>
        </w:rPr>
        <w:t>):</w:t>
      </w:r>
    </w:p>
    <w:p w14:paraId="26AA3071" w14:textId="33065024" w:rsidR="00737F37" w:rsidRDefault="00492A8D" w:rsidP="007A206C">
      <w:pPr>
        <w:rPr>
          <w:szCs w:val="22"/>
        </w:rPr>
      </w:pPr>
      <w:r>
        <w:rPr>
          <w:szCs w:val="22"/>
        </w:rPr>
        <w:t>N</w:t>
      </w:r>
      <w:r w:rsidR="00737F37">
        <w:rPr>
          <w:szCs w:val="22"/>
        </w:rPr>
        <w:t xml:space="preserve">o comment </w:t>
      </w:r>
    </w:p>
    <w:permEnd w:id="1281185188"/>
    <w:p w14:paraId="42F2AE90" w14:textId="6A113285"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333220B8" w14:textId="77777777" w:rsidR="00492A8D" w:rsidRDefault="00737F37" w:rsidP="007A206C">
      <w:pPr>
        <w:rPr>
          <w:b/>
          <w:bCs/>
          <w:color w:val="171717"/>
          <w:szCs w:val="22"/>
        </w:rPr>
      </w:pPr>
      <w:permStart w:id="1389058679" w:edGrp="everyone"/>
      <w:r>
        <w:rPr>
          <w:b/>
          <w:bCs/>
          <w:color w:val="171717"/>
          <w:szCs w:val="22"/>
        </w:rPr>
        <w:t>Common OAM position (</w:t>
      </w:r>
      <w:r w:rsidR="00492A8D">
        <w:rPr>
          <w:b/>
          <w:bCs/>
          <w:lang w:val="en-US"/>
        </w:rPr>
        <w:t>AT, DE, EE, FI, IE, LT, LU, NO</w:t>
      </w:r>
      <w:r>
        <w:rPr>
          <w:b/>
          <w:bCs/>
          <w:color w:val="171717"/>
          <w:szCs w:val="22"/>
        </w:rPr>
        <w:t>):</w:t>
      </w:r>
    </w:p>
    <w:p w14:paraId="3A18D909" w14:textId="0ABA1FB1" w:rsidR="00737F37" w:rsidRDefault="00492A8D" w:rsidP="007A206C">
      <w:pPr>
        <w:rPr>
          <w:szCs w:val="22"/>
        </w:rPr>
      </w:pPr>
      <w:r w:rsidRPr="00492A8D">
        <w:rPr>
          <w:bCs/>
          <w:color w:val="171717"/>
          <w:szCs w:val="22"/>
        </w:rPr>
        <w:t>N</w:t>
      </w:r>
      <w:r w:rsidR="00737F37" w:rsidRPr="00492A8D">
        <w:rPr>
          <w:szCs w:val="22"/>
        </w:rPr>
        <w:t>o</w:t>
      </w:r>
      <w:r w:rsidR="00737F37">
        <w:rPr>
          <w:szCs w:val="22"/>
        </w:rPr>
        <w:t xml:space="preserve"> comment </w:t>
      </w:r>
    </w:p>
    <w:permEnd w:id="1389058679"/>
    <w:p w14:paraId="7718EF4C" w14:textId="664B0961"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lastRenderedPageBreak/>
        <w:t>&lt;ESMA_QUESTION_ESAP_28&gt;</w:t>
      </w:r>
    </w:p>
    <w:p w14:paraId="6B5B6468" w14:textId="77777777" w:rsidR="002E3FE5" w:rsidRDefault="00737F37" w:rsidP="007A206C">
      <w:pPr>
        <w:rPr>
          <w:b/>
          <w:bCs/>
          <w:color w:val="171717"/>
          <w:szCs w:val="22"/>
        </w:rPr>
      </w:pPr>
      <w:permStart w:id="1185285024" w:edGrp="everyone"/>
      <w:r>
        <w:rPr>
          <w:b/>
          <w:bCs/>
          <w:color w:val="171717"/>
          <w:szCs w:val="22"/>
        </w:rPr>
        <w:t>Common OAM position (</w:t>
      </w:r>
      <w:r w:rsidR="00492A8D">
        <w:rPr>
          <w:b/>
          <w:bCs/>
          <w:lang w:val="en-US"/>
        </w:rPr>
        <w:t>AT, DE, EE, FI, IE, LT, LU, NO</w:t>
      </w:r>
      <w:r>
        <w:rPr>
          <w:b/>
          <w:bCs/>
          <w:color w:val="171717"/>
          <w:szCs w:val="22"/>
        </w:rPr>
        <w:t>):</w:t>
      </w:r>
    </w:p>
    <w:p w14:paraId="189C5836" w14:textId="2C27DEAC" w:rsidR="00737F37" w:rsidRDefault="00737F37" w:rsidP="007A206C">
      <w:pPr>
        <w:rPr>
          <w:szCs w:val="22"/>
        </w:rPr>
      </w:pPr>
      <w:r>
        <w:rPr>
          <w:szCs w:val="22"/>
        </w:rPr>
        <w:t xml:space="preserve">Cf Q23 </w:t>
      </w:r>
    </w:p>
    <w:permEnd w:id="1185285024"/>
    <w:p w14:paraId="1B6A318F" w14:textId="40F0BF7F"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2A99837" w14:textId="77777777" w:rsidR="00492A8D" w:rsidRDefault="00737F37" w:rsidP="007A206C">
      <w:pPr>
        <w:rPr>
          <w:b/>
          <w:bCs/>
          <w:color w:val="171717"/>
          <w:szCs w:val="22"/>
        </w:rPr>
      </w:pPr>
      <w:permStart w:id="268372919" w:edGrp="everyone"/>
      <w:r>
        <w:rPr>
          <w:b/>
          <w:bCs/>
          <w:color w:val="171717"/>
          <w:szCs w:val="22"/>
        </w:rPr>
        <w:t>Common OAM position (</w:t>
      </w:r>
      <w:r w:rsidR="00492A8D">
        <w:rPr>
          <w:b/>
          <w:bCs/>
          <w:lang w:val="en-US"/>
        </w:rPr>
        <w:t>AT, DE, EE, FI, IE, LT, LU, NO</w:t>
      </w:r>
      <w:r>
        <w:rPr>
          <w:b/>
          <w:bCs/>
          <w:color w:val="171717"/>
          <w:szCs w:val="22"/>
        </w:rPr>
        <w:t>):</w:t>
      </w:r>
    </w:p>
    <w:p w14:paraId="58F2F07A" w14:textId="351DC87A" w:rsidR="00737F37" w:rsidRDefault="00492A8D" w:rsidP="007A206C">
      <w:pPr>
        <w:rPr>
          <w:szCs w:val="22"/>
        </w:rPr>
      </w:pPr>
      <w:r>
        <w:rPr>
          <w:szCs w:val="22"/>
        </w:rPr>
        <w:t>N</w:t>
      </w:r>
      <w:r w:rsidR="00737F37">
        <w:rPr>
          <w:szCs w:val="22"/>
        </w:rPr>
        <w:t xml:space="preserve">o comment </w:t>
      </w:r>
    </w:p>
    <w:permEnd w:id="268372919"/>
    <w:p w14:paraId="4AF1677D" w14:textId="7B005F58"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8CFA8" w14:textId="77777777" w:rsidR="00FE1446" w:rsidRDefault="00FE1446" w:rsidP="007E7997">
      <w:pPr>
        <w:spacing w:line="240" w:lineRule="auto"/>
      </w:pPr>
      <w:r>
        <w:separator/>
      </w:r>
    </w:p>
  </w:endnote>
  <w:endnote w:type="continuationSeparator" w:id="0">
    <w:p w14:paraId="7B474DD1" w14:textId="77777777" w:rsidR="00FE1446" w:rsidRDefault="00FE1446" w:rsidP="007E7997">
      <w:pPr>
        <w:spacing w:line="240" w:lineRule="auto"/>
      </w:pPr>
      <w:r>
        <w:continuationSeparator/>
      </w:r>
    </w:p>
  </w:endnote>
  <w:endnote w:type="continuationNotice" w:id="1">
    <w:p w14:paraId="6FD2E6AB" w14:textId="77777777" w:rsidR="00FE1446" w:rsidRDefault="00FE1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sidR="00257DCF">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1A16" w14:textId="77777777" w:rsidR="00FE1446" w:rsidRDefault="00FE1446" w:rsidP="007E7997">
      <w:pPr>
        <w:spacing w:line="240" w:lineRule="auto"/>
      </w:pPr>
      <w:r>
        <w:separator/>
      </w:r>
    </w:p>
  </w:footnote>
  <w:footnote w:type="continuationSeparator" w:id="0">
    <w:p w14:paraId="578B637E" w14:textId="77777777" w:rsidR="00FE1446" w:rsidRDefault="00FE1446" w:rsidP="007E7997">
      <w:pPr>
        <w:spacing w:line="240" w:lineRule="auto"/>
      </w:pPr>
      <w:r>
        <w:continuationSeparator/>
      </w:r>
    </w:p>
  </w:footnote>
  <w:footnote w:type="continuationNotice" w:id="1">
    <w:p w14:paraId="2CE6A35B" w14:textId="77777777" w:rsidR="00FE1446" w:rsidRDefault="00FE14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42034" w14:textId="722144D6" w:rsidR="00D77369" w:rsidRPr="008858FE" w:rsidRDefault="00D77369" w:rsidP="008858FE">
    <w:pPr>
      <w:pStyle w:val="Kopfzeile"/>
      <w:rPr>
        <w:bCs/>
        <w:caps/>
        <w:color w:val="FF0000" w:themeColor="accent6"/>
        <w:sz w:val="22"/>
      </w:rPr>
    </w:pPr>
    <w:r w:rsidRPr="00413D4F">
      <w:rPr>
        <w:rStyle w:val="ESMAConfidentialRestricted"/>
        <w:noProof/>
        <w:highlight w:val="yellow"/>
        <w:lang w:val="de-DE" w:eastAsia="de-DE"/>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Kopfzeile"/>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lang w:val="de-DE" w:eastAsia="de-DE"/>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enabsatz"/>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84801"/>
    <w:multiLevelType w:val="hybridMultilevel"/>
    <w:tmpl w:val="A00BF72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4"/>
  </w:num>
  <w:num w:numId="3">
    <w:abstractNumId w:val="12"/>
  </w:num>
  <w:num w:numId="4">
    <w:abstractNumId w:val="3"/>
  </w:num>
  <w:num w:numId="5">
    <w:abstractNumId w:val="0"/>
  </w:num>
  <w:num w:numId="6">
    <w:abstractNumId w:val="6"/>
  </w:num>
  <w:num w:numId="7">
    <w:abstractNumId w:val="16"/>
  </w:num>
  <w:num w:numId="8">
    <w:abstractNumId w:val="2"/>
  </w:num>
  <w:num w:numId="9">
    <w:abstractNumId w:val="14"/>
  </w:num>
  <w:num w:numId="10">
    <w:abstractNumId w:val="11"/>
  </w:num>
  <w:num w:numId="11">
    <w:abstractNumId w:val="9"/>
  </w:num>
  <w:num w:numId="12">
    <w:abstractNumId w:val="9"/>
    <w:lvlOverride w:ilvl="0">
      <w:startOverride w:val="1"/>
    </w:lvlOverride>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3"/>
  </w:num>
  <w:num w:numId="18">
    <w:abstractNumId w:val="5"/>
  </w:num>
  <w:num w:numId="19">
    <w:abstractNumId w:val="10"/>
  </w:num>
  <w:num w:numId="20">
    <w:abstractNumId w:val="7"/>
  </w:num>
  <w:num w:numId="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396"/>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D9"/>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5EF"/>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DCF"/>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6C"/>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DC7"/>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3FE5"/>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A8D"/>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0AA"/>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345"/>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7F3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041"/>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473"/>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8B6"/>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657"/>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278"/>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A7C"/>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173B2"/>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446"/>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10AA"/>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customStyle="1" w:styleId="UnresolvedMention">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Hyp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customStyle="1" w:styleId="Mention">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Default">
    <w:name w:val="Default"/>
    <w:rsid w:val="000927D9"/>
    <w:pPr>
      <w:autoSpaceDE w:val="0"/>
      <w:autoSpaceDN w:val="0"/>
      <w:adjustRightInd w:val="0"/>
      <w:spacing w:after="0" w:line="240" w:lineRule="auto"/>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06"/>
    <w:rsid w:val="000B5175"/>
    <w:rsid w:val="0015768C"/>
    <w:rsid w:val="002E1B7C"/>
    <w:rsid w:val="003B197E"/>
    <w:rsid w:val="0044391D"/>
    <w:rsid w:val="004E4CF9"/>
    <w:rsid w:val="004F263F"/>
    <w:rsid w:val="005D66AB"/>
    <w:rsid w:val="00813189"/>
    <w:rsid w:val="008222A0"/>
    <w:rsid w:val="00836D47"/>
    <w:rsid w:val="00983C72"/>
    <w:rsid w:val="009B6B9C"/>
    <w:rsid w:val="00B22006"/>
    <w:rsid w:val="00D0782D"/>
    <w:rsid w:val="00DC3796"/>
    <w:rsid w:val="00DC4211"/>
    <w:rsid w:val="00E84A5D"/>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s>
</ds:datastoreItem>
</file>

<file path=customXml/itemProps4.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79AC12-FE61-48CD-A6AD-46A717DD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2981</Words>
  <Characters>18786</Characters>
  <Application>Microsoft Office Word</Application>
  <DocSecurity>8</DocSecurity>
  <Lines>156</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21724</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Brass, Ulrich</cp:lastModifiedBy>
  <cp:revision>2</cp:revision>
  <cp:lastPrinted>2023-09-09T00:53:00Z</cp:lastPrinted>
  <dcterms:created xsi:type="dcterms:W3CDTF">2024-03-08T13:49:00Z</dcterms:created>
  <dcterms:modified xsi:type="dcterms:W3CDTF">2024-03-08T13:49:00Z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