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A9EB4DC" w14:textId="4DAA9FAD" w:rsidR="00D77369" w:rsidRPr="00D77369" w:rsidRDefault="00D77369" w:rsidP="007A206C">
          <w:pPr>
            <w:pStyle w:val="Subtitle"/>
            <w:jc w:val="left"/>
            <w:sectPr w:rsidR="00D77369" w:rsidRPr="00D77369" w:rsidSect="0043139E">
              <w:footerReference w:type="even" r:id="rId12"/>
              <w:footerReference w:type="default" r:id="rId13"/>
              <w:headerReference w:type="first" r:id="rId14"/>
              <w:footerReference w:type="first" r:id="rId15"/>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9" w:history="1">
            <w:r w:rsidRPr="005B6B12">
              <w:rPr>
                <w:rStyle w:val="Hyperlink"/>
              </w:rPr>
              <w:t>www.esma.europa.eu</w:t>
            </w:r>
          </w:hyperlink>
          <w:r w:rsidRPr="005B6B12">
            <w:t xml:space="preserve"> under the heading </w:t>
          </w:r>
          <w:r w:rsidRPr="00025A7F">
            <w:rPr>
              <w:rStyle w:val="Hyperlink"/>
            </w:rPr>
            <w:t>‘</w:t>
          </w:r>
          <w:hyperlink r:id="rId20"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06969E69" w:rsidR="00635BCA" w:rsidRPr="00557BD2" w:rsidRDefault="00561B0A" w:rsidP="00D21C35">
                <w:r>
                  <w:t>Kneip</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342410D8" w:rsidR="00635BCA" w:rsidRPr="00557BD2" w:rsidRDefault="00561B0A"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2CA1024B" w:rsidR="00635BCA" w:rsidRPr="00557BD2" w:rsidRDefault="00561B0A"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69FA2EDF" w:rsidR="00635BCA" w:rsidRPr="00557BD2" w:rsidRDefault="00561B0A" w:rsidP="00D21C35">
                <w:r>
                  <w:t>Luxembourg</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7064D89B" w:rsidR="007A206C" w:rsidRDefault="00561B0A" w:rsidP="007A206C">
      <w:permStart w:id="406275320" w:edGrp="everyone"/>
      <w:r w:rsidRPr="00561B0A">
        <w:t xml:space="preserve">We concur that collection bodies should diligently conduct validation checks on submitted information to ensure both consistency and compliance. However, we advocate for the suboptimal approach described, where ESAP should share their comprehensive expectations, thereby enhancing the overall quality and accuracy of the data </w:t>
      </w:r>
      <w:r w:rsidRPr="00561B0A">
        <w:t>received.</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30E1A6E4" w:rsidR="007A206C" w:rsidRDefault="00561B0A" w:rsidP="007A206C">
      <w:permStart w:id="1195062243" w:edGrp="everyone"/>
      <w:r w:rsidRPr="00561B0A">
        <w:t xml:space="preserve">We concur with the proposed approach. Drawing from our industry experience, fund documentation is currently generated by automated systems, which inherently qualifies it as data extractable. However, should any obstacles arise, we recommend exploring alternative methods to ensure seamless data </w:t>
      </w:r>
      <w:r w:rsidRPr="00561B0A">
        <w:t>extraction.</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042CE3D9" w:rsidR="007A206C" w:rsidRDefault="00561B0A" w:rsidP="007A206C">
      <w:permStart w:id="1726764009" w:edGrp="everyone"/>
      <w:r w:rsidRPr="00561B0A">
        <w:lastRenderedPageBreak/>
        <w:t>We endorse the proposed approach. However, it is imperative that the collection bodies also validate that the information or report adheres to the prescribed formats outlined in the respective regulations</w:t>
      </w:r>
      <w:r>
        <w:t>.</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t>&lt;ESMA_QUESTION_ESAP_4&gt;</w:t>
      </w:r>
    </w:p>
    <w:p w14:paraId="76689FA6" w14:textId="11EFA434" w:rsidR="007A206C" w:rsidRDefault="00561B0A" w:rsidP="007A206C">
      <w:permStart w:id="1728526542" w:edGrp="everyone"/>
      <w:r w:rsidRPr="00561B0A">
        <w:t>We endorse this proposal. Ideally, metadata standards should be established for each document type, and ESAP should communicate the specific requirements. Where existing standards are in place, adoption is recommended. This approach will ensure uniformity in the data submitted by all entities.</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D7C13F9" w:rsidR="007A206C" w:rsidRDefault="00561B0A" w:rsidP="007A206C">
      <w:permStart w:id="824394787" w:edGrp="everyone"/>
      <w:r w:rsidRPr="00561B0A">
        <w:t>While we concur with the proposed approach for verifying the authenticity of electronic seals, it is essential to acknowledge a significant challenge. Collection bodies will need to navigate the diverse Qualified Electronic Signature (QES) formats required for each document type. Ideally, a uniform format would have been preferable, but we recognize that achieving technological feasibility in this regard may be complex.</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0428A38" w:rsidR="007A206C" w:rsidRDefault="00561B0A" w:rsidP="007A206C">
      <w:permStart w:id="1826049044" w:edGrp="everyone"/>
      <w:r w:rsidRPr="00561B0A">
        <w:lastRenderedPageBreak/>
        <w:t>While we agree that standardization can simplify processes, we also recognize that the requirement to notify ESMA of rejections introduces complexity. Our perspective is that the feedback loop should remain exclusively between the entity and the collection body until approval. Subsequently, relevant data and QES can be transmitted to ESMA/ESAP. To distinguish between rejection and delay feedback, we propose an alternative approach: granting ESMA access to ESAP logs. This would allow ESMA to retrieve necessary information rather than relying on automatic notifications from collection bodies.</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5AC8A0B" w:rsidR="007A206C" w:rsidRDefault="00561B0A" w:rsidP="007A206C">
      <w:permStart w:id="1096168369" w:edGrp="everyone"/>
      <w:r w:rsidRPr="00561B0A">
        <w:t>We recognize that ISO 20022 methodology is widely adopted and considered a best practice within the financial services industry. Consequently, it should be the preferred approach for delivering rejection feedback. Implementing this is a new requirement for Kneip and will necessitate further investigation.</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t>&lt;ESMA_QUESTION_ESAP_8&gt;</w:t>
      </w:r>
    </w:p>
    <w:p w14:paraId="4CA05954" w14:textId="6C4D8ED0" w:rsidR="007A206C" w:rsidRDefault="00561B0A" w:rsidP="007A206C">
      <w:permStart w:id="553735427" w:edGrp="everyone"/>
      <w:r w:rsidRPr="00561B0A">
        <w:t>While we acknowledge that immediate feedback may be achievable, we maintain that rejection feedback is not inherently time critical. In the context of Kneip acting as a delegated third party, we prioritize ensuring that all necessary data is in place before submission to ESAP. In such cases, the entity will receive information about any missing components, rather than an outright rejection, allowing for subsequent approval or verification.</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lastRenderedPageBreak/>
        <w:t>&lt;ESMA_QUESTION_ESAP_9&gt;</w:t>
      </w:r>
    </w:p>
    <w:p w14:paraId="4FAB07BE" w14:textId="75123B5C" w:rsidR="007A206C" w:rsidRDefault="00561B0A" w:rsidP="007A206C">
      <w:permStart w:id="436031283" w:edGrp="everyone"/>
      <w:r w:rsidRPr="00561B0A">
        <w:t xml:space="preserve">We concur with the proposal. We recognize the importance of adhering to industry standards. If </w:t>
      </w:r>
      <w:proofErr w:type="spellStart"/>
      <w:r w:rsidRPr="00561B0A">
        <w:t>XAdES</w:t>
      </w:r>
      <w:proofErr w:type="spellEnd"/>
      <w:r w:rsidRPr="00561B0A">
        <w:t xml:space="preserve">, </w:t>
      </w:r>
      <w:proofErr w:type="spellStart"/>
      <w:r w:rsidRPr="00561B0A">
        <w:t>CAdES</w:t>
      </w:r>
      <w:proofErr w:type="spellEnd"/>
      <w:r w:rsidRPr="00561B0A">
        <w:t xml:space="preserve">, and </w:t>
      </w:r>
      <w:proofErr w:type="spellStart"/>
      <w:r w:rsidRPr="00561B0A">
        <w:t>PAdES</w:t>
      </w:r>
      <w:proofErr w:type="spellEnd"/>
      <w:r w:rsidRPr="00561B0A">
        <w:t xml:space="preserve"> formats are widely accepted as best practices, we are committed to ensuring that Kneip implements the necessary adjustments to accommodate these formats effectively.</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B4DD6CB" w:rsidR="007A206C" w:rsidRDefault="00561B0A" w:rsidP="007A206C">
      <w:permStart w:id="394012641" w:edGrp="everyone"/>
      <w:r w:rsidRPr="00561B0A">
        <w:t>While acknowledging the potential efficiency gains associated with sealing and packaging multiple documents simultaneously, we concur that maintaining the granularity of a Qualified Electronic Signature (QES) for each individual document is essential. This approach ensures both transparency and accuracy throughout the process. Importantly, in the event of data or QES rejection, the impact would be limited to a single document rather than affecting the entire package.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3D6FF031" w:rsidR="007A206C" w:rsidRDefault="00561B0A" w:rsidP="007A206C">
      <w:permStart w:id="999039619" w:edGrp="everyone"/>
      <w:r w:rsidRPr="00561B0A">
        <w:t>We concur that QES should indeed meet at least the Long-Term Validation (LT) level. Furthermore, if it becomes feasible to proactively determine revocation based on the document type, it will significantly enhance the alignment of data and documents with the relevant regulatory framework. For instance, consider the case of a PRIIPs Key Information Document (KID), which should remain valid for a specific period (e.g., 12 months from the production date). In such scenarios, timely revocation of the QES ensures accuracy and compliance, prompting the creation of an updated document as needed.</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04C71B73" w:rsidR="007A206C" w:rsidRDefault="00561B0A" w:rsidP="007A206C">
      <w:permStart w:id="1486563786" w:edGrp="everyone"/>
      <w:r w:rsidRPr="00561B0A">
        <w:t>Certainly, we recognize the value of incorporating the ISO 17442 Legal Entity Identifier (LEI) code within every Qualified Electronic Seal (QES). This practice would enhance accountability and maintain consistency, ensuring a reliable audit trail. However, it’s essential to acknowledge that within our industry, companies may possess multiple LEIs based on factors such as the funds and underlying share classes domicile. Therefore, we kindly request clarification regarding the specific entity definition to determine the expected LEI.</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1AF741A8" w:rsidR="007A206C" w:rsidRDefault="00561B0A" w:rsidP="007A206C">
      <w:permStart w:id="348419033" w:edGrp="everyone"/>
      <w:r w:rsidRPr="00561B0A">
        <w:t>We have no further comments on QES currently.</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69346FD7" w:rsidR="007A206C" w:rsidRDefault="00561B0A" w:rsidP="007A206C">
      <w:permStart w:id="1638944561" w:edGrp="everyone"/>
      <w:r w:rsidRPr="00561B0A">
        <w:t>While we appreciate the concept of applying open standard licenses to the datasets intended for ESAP, we harbour reservations regarding the unrestricted reuse of data, especially for commercial purposes. It is imperative that relevant terms and conditions are thoughtfully applied to prevent unauthorized editing or misuse, which could potentially harm the reputation of the involved entities. We advocate for a diligent and responsible use of this data by all users.</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6D3675D2" w:rsidR="007A206C" w:rsidRDefault="00561B0A" w:rsidP="007A206C">
      <w:permStart w:id="654211918" w:edGrp="everyone"/>
      <w:r w:rsidRPr="00561B0A">
        <w:t>We concur with the proposed characteristics of the API for data collection. At Kneip, we are already equipped to provide data via API and can promptly notify ESAP of any changes or new data (Deltas), aligning with the specified requirements.</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5DAA8DD" w14:textId="72D4E809" w:rsidR="007A206C" w:rsidRDefault="00561B0A" w:rsidP="007A206C">
      <w:permStart w:id="1396908232" w:edGrp="everyone"/>
      <w:r w:rsidRPr="00561B0A">
        <w:t>While we acknowledge the importance of using metadata to ensure consistency and machine readability, we have reservations regarding the extensive amount of metadata expected. Embedding identical metadata in every document appears overly burdensome. Specifically, if the ISO 17442 Legal Entity Identifier (LEI) code is designated for use in the Qualified Electronic Signature (QES), we recommend that the LEI be the sole metadata item present in all documents produced by the entity. For reporting financial data and documentation related to financial products, other metadata elements may be excluded. These measures should be limited to entity-level documents. Additionally, an alternative method should be established for updating other essential data mandated by ESMA, EBA, and EIOPA, such as entity size. Lastly, it’s worth noting that only the producer of a PDF can embed metadata, and when embedded, this takes precedence over any additional metadata files. Consequently, collection bodies may face limitations in independently supplying this information.</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5D0EC5E5" w:rsidR="007A206C" w:rsidRDefault="00561B0A" w:rsidP="007A206C">
      <w:permStart w:id="1817079671" w:edGrp="everyone"/>
      <w:r w:rsidRPr="00561B0A">
        <w:t xml:space="preserve">While we appreciate the need for timely reporting, we recommend reconsidering the requirement for collection bodies to transmit documents to ESAP within a strict 60-minute window upon receipt. Instead, we propose favouring the second scenario outlined in section </w:t>
      </w:r>
      <w:r w:rsidRPr="00561B0A">
        <w:lastRenderedPageBreak/>
        <w:t>83. Under this approach, content would be verified before submission to ESAP, either concurrently with its public release or within the same 60-minute timeframe. Our document production process involves filing with relevant National Competent Authorities (NCAs) once approval is granted by the respective countries. This workflow relies on alignment between the controls exercised by NCAs and ESAP. Any deviation by ESAP beyond NCA parameters introduces potential risks to the overall process, necessitating document refiling. In extreme cases, conflicting controls could lead to a deadlock situation. Therefore, ESAP must ensure that its controls remain consistent with, and do not exceed, those of the NCAs.</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13CCE0A3" w:rsidR="007A206C" w:rsidRDefault="00561B0A" w:rsidP="007A206C">
      <w:permStart w:id="1770933408" w:edGrp="everyone"/>
      <w:r w:rsidRPr="00561B0A">
        <w:t>At present, we do not have any additional comments on this matter.</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6C8DB9BF" w14:textId="7D0A2F8C" w:rsidR="007A206C" w:rsidRDefault="00561B0A" w:rsidP="007A206C">
      <w:permStart w:id="1031027166" w:edGrp="everyone"/>
      <w:r w:rsidRPr="00561B0A">
        <w:t>While we acknowledge that imposing a maximum time limit of sixty minutes can enhance data and document accuracy within the market, we recognize the investor’s perspective. Investors often seek real-time information on their preferred platforms to make informed decisions before executing trades. Therefore, striking a balance between timely availability and accuracy remains crucial. The value of ESAP lies in bridging this gap effectively.</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62200210" w14:textId="2724E3E7" w:rsidR="007A206C" w:rsidRDefault="00561B0A" w:rsidP="007A206C">
      <w:permStart w:id="1832207884" w:edGrp="everyone"/>
      <w:r w:rsidRPr="00561B0A">
        <w:t>We concur with the proposed list of formats.</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64441A00" w14:textId="01311EC2" w:rsidR="007A206C" w:rsidRDefault="00561B0A" w:rsidP="007A206C">
      <w:permStart w:id="1123965946" w:edGrp="everyone"/>
      <w:r w:rsidRPr="00561B0A">
        <w:t>While we concur with the proposed API characteristics from a professional standpoint, we raise a valid concern regarding the intended audience. It is essential to recognize that the public may not possess the technical expertise required to effectively utilize an API for data search and retrieval. Therefore, we recommend developing a user-friendly interface to enhance the overall user experience and ensure broader accessibility.</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1DCC5DBD" w14:textId="4D85D3DA" w:rsidR="007A206C" w:rsidRDefault="00561B0A" w:rsidP="007A206C">
      <w:permStart w:id="1658737231" w:edGrp="everyone"/>
      <w:r w:rsidRPr="00561B0A">
        <w:t>We concur with the proposed approach.</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1C95500A" w:rsidR="007A206C" w:rsidRDefault="00561B0A" w:rsidP="007A206C">
      <w:permStart w:id="630529236" w:edGrp="everyone"/>
      <w:r w:rsidRPr="00561B0A">
        <w:t>We concur with the proposed approach.</w:t>
      </w:r>
    </w:p>
    <w:permEnd w:id="630529236"/>
    <w:p w14:paraId="083BB48C" w14:textId="77777777" w:rsidR="007A206C" w:rsidRDefault="007A206C" w:rsidP="007A206C">
      <w:r>
        <w:lastRenderedPageBreak/>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F1F3EA8" w14:textId="2EE86B42" w:rsidR="007A206C" w:rsidRDefault="00561B0A" w:rsidP="007A206C">
      <w:permStart w:id="1947600168" w:edGrp="everyone"/>
      <w:r w:rsidRPr="00561B0A">
        <w:t>We believe that, for optimal user experience, it is advisable to maintain granularity by categorizing specific types of information rather than relying solely on a generic category. When information is grouped together, there arises a need to establish a mechanism for confirming the inclusion of underlying documents. Additionally, considering the term “informed users,” it becomes evident that a management report inherently encompasses sustainability reports and disclosures related to Taxonomy Regulation article 8. However, expecting the public to possess this nuanced understanding may be unrealistic.</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7F7F50BE" w:rsidR="007A206C" w:rsidRDefault="00561B0A" w:rsidP="007A206C">
      <w:permStart w:id="412037857" w:edGrp="everyone"/>
      <w:r w:rsidRPr="00561B0A">
        <w:t>While we concur with the proposed approach, we note that there has been no mention of incorporating a search-by-name functionality. From a user perspective, it is essential to enable searches for specific entities of interest, rather than merely providing a list filtered by size. Additionally, this consideration intersects with the LEI question—determining which entity should be listed. Given the varying document manufacturers across different fund domiciles, addressing these nuances becomes crucial.</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 xml:space="preserve">Do you agree that it would be disproportionate to the purpose of the ESAP search function to introduce new categories by size for reporting regimes </w:t>
      </w:r>
      <w:r w:rsidRPr="00973CDE">
        <w:lastRenderedPageBreak/>
        <w:t>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C8394E6" w:rsidR="007A206C" w:rsidRDefault="00561B0A" w:rsidP="007A206C">
      <w:permStart w:id="1281185188" w:edGrp="everyone"/>
      <w:r w:rsidRPr="00561B0A">
        <w:t>We concur with the proposed approach.</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66F8EFEB" w14:textId="1AF86488" w:rsidR="007A206C" w:rsidRDefault="00561B0A" w:rsidP="007A206C">
      <w:permStart w:id="1389058679" w:edGrp="everyone"/>
      <w:r w:rsidRPr="00561B0A">
        <w:t>Acknowledging that DORA has already established clear thresholds, we recommend adopting these as best practice within the ESAP framework. Specifically, aligning the classification of entities—such as IDD intermediaries and PRIIPs manufacturers—according to the DORA-defined categories (“microenterprises,” “small enterprises,” “medium-sized enterprises,” and “large”) ensures comprehensive coverage. By leveraging these thresholds, we promote consistency and facilitate a robust assessment across all relevant entities.</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06F351F3" w:rsidR="007A206C" w:rsidRDefault="00561B0A" w:rsidP="007A206C">
      <w:permStart w:id="1185285024" w:edGrp="everyone"/>
      <w:r w:rsidRPr="00561B0A">
        <w:t>For financial entities, we concur that aligning our classification with the standards set by ESMA and EMIR represents the most prudent approach. By adopting a consistent framework, we enhance clarity, comparability, and regulatory compliance across the industry.</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441C9734" w:rsidR="007A206C" w:rsidRDefault="00561B0A" w:rsidP="007A206C">
      <w:permStart w:id="268372919" w:edGrp="everyone"/>
      <w:r w:rsidRPr="00561B0A">
        <w:t>At present, we do not have any additional comments on this matter.</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21"/>
      <w:footerReference w:type="even" r:id="rId22"/>
      <w:footerReference w:type="default" r:id="rId23"/>
      <w:footerReference w:type="firs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4F79" w14:textId="77777777" w:rsidR="00F173B7" w:rsidRDefault="00F173B7" w:rsidP="007E7997">
      <w:pPr>
        <w:spacing w:line="240" w:lineRule="auto"/>
      </w:pPr>
      <w:r>
        <w:separator/>
      </w:r>
    </w:p>
  </w:endnote>
  <w:endnote w:type="continuationSeparator" w:id="0">
    <w:p w14:paraId="28143E83" w14:textId="77777777" w:rsidR="00F173B7" w:rsidRDefault="00F173B7" w:rsidP="007E7997">
      <w:pPr>
        <w:spacing w:line="240" w:lineRule="auto"/>
      </w:pPr>
      <w:r>
        <w:continuationSeparator/>
      </w:r>
    </w:p>
  </w:endnote>
  <w:endnote w:type="continuationNotice" w:id="1">
    <w:p w14:paraId="70F10BFF" w14:textId="77777777" w:rsidR="00F173B7" w:rsidRDefault="00F17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8B4" w14:textId="77777777" w:rsidR="00561B0A" w:rsidRDefault="00561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9AEA" w14:textId="77777777" w:rsidR="00561B0A" w:rsidRDefault="00561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AE7" w14:textId="77777777" w:rsidR="00561B0A" w:rsidRDefault="00561B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1716" w14:textId="77777777" w:rsidR="00561B0A" w:rsidRDefault="00561B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406F" w14:textId="77777777" w:rsidR="00561B0A" w:rsidRDefault="0056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B10F" w14:textId="77777777" w:rsidR="00F173B7" w:rsidRDefault="00F173B7" w:rsidP="007E7997">
      <w:pPr>
        <w:spacing w:line="240" w:lineRule="auto"/>
      </w:pPr>
      <w:r>
        <w:separator/>
      </w:r>
    </w:p>
  </w:footnote>
  <w:footnote w:type="continuationSeparator" w:id="0">
    <w:p w14:paraId="6497A7B2" w14:textId="77777777" w:rsidR="00F173B7" w:rsidRDefault="00F173B7" w:rsidP="007E7997">
      <w:pPr>
        <w:spacing w:line="240" w:lineRule="auto"/>
      </w:pPr>
      <w:r>
        <w:continuationSeparator/>
      </w:r>
    </w:p>
  </w:footnote>
  <w:footnote w:type="continuationNotice" w:id="1">
    <w:p w14:paraId="6568BDBC" w14:textId="77777777" w:rsidR="00F173B7" w:rsidRDefault="00F17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22144D6"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Header"/>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6"/>
  </w:num>
  <w:num w:numId="8" w16cid:durableId="806780153">
    <w:abstractNumId w:val="2"/>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5"/>
  </w:num>
  <w:num w:numId="19" w16cid:durableId="264074300">
    <w:abstractNumId w:val="10"/>
  </w:num>
  <w:num w:numId="20" w16cid:durableId="19519336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3489"/>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1B0A"/>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3B7"/>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sm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D66AB"/>
    <w:rsid w:val="00656C76"/>
    <w:rsid w:val="00813189"/>
    <w:rsid w:val="008222A0"/>
    <w:rsid w:val="00836D47"/>
    <w:rsid w:val="009B6B9C"/>
    <w:rsid w:val="00B22006"/>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s>
</ds:datastoreItem>
</file>

<file path=customXml/itemProps4.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3071</Words>
  <Characters>17505</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Joe Lear</cp:lastModifiedBy>
  <cp:revision>12</cp:revision>
  <cp:lastPrinted>2023-09-09T00:53:00Z</cp:lastPrinted>
  <dcterms:created xsi:type="dcterms:W3CDTF">2024-01-12T09:15:00Z</dcterms:created>
  <dcterms:modified xsi:type="dcterms:W3CDTF">2024-03-07T10:40:00Z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y fmtid="{D5CDD505-2E9C-101B-9397-08002B2CF9AE}" pid="21" name="MSIP_Label_4dc17b74-b5f6-430d-82e3-3dabdd474fec_Enabled">
    <vt:lpwstr>true</vt:lpwstr>
  </property>
  <property fmtid="{D5CDD505-2E9C-101B-9397-08002B2CF9AE}" pid="22" name="MSIP_Label_4dc17b74-b5f6-430d-82e3-3dabdd474fec_SetDate">
    <vt:lpwstr>2024-03-07T10:40:19Z</vt:lpwstr>
  </property>
  <property fmtid="{D5CDD505-2E9C-101B-9397-08002B2CF9AE}" pid="23" name="MSIP_Label_4dc17b74-b5f6-430d-82e3-3dabdd474fec_Method">
    <vt:lpwstr>Privileged</vt:lpwstr>
  </property>
  <property fmtid="{D5CDD505-2E9C-101B-9397-08002B2CF9AE}" pid="24" name="MSIP_Label_4dc17b74-b5f6-430d-82e3-3dabdd474fec_Name">
    <vt:lpwstr>Public – FAX – No Marking</vt:lpwstr>
  </property>
  <property fmtid="{D5CDD505-2E9C-101B-9397-08002B2CF9AE}" pid="25" name="MSIP_Label_4dc17b74-b5f6-430d-82e3-3dabdd474fec_SiteId">
    <vt:lpwstr>e00ddcdf-1e0f-4be5-a37a-894a4731986a</vt:lpwstr>
  </property>
  <property fmtid="{D5CDD505-2E9C-101B-9397-08002B2CF9AE}" pid="26" name="MSIP_Label_4dc17b74-b5f6-430d-82e3-3dabdd474fec_ActionId">
    <vt:lpwstr>e2f4f723-44ec-4662-8525-b6f99632caf2</vt:lpwstr>
  </property>
  <property fmtid="{D5CDD505-2E9C-101B-9397-08002B2CF9AE}" pid="27" name="MSIP_Label_4dc17b74-b5f6-430d-82e3-3dabdd474fec_ContentBits">
    <vt:lpwstr>0</vt:lpwstr>
  </property>
</Properties>
</file>