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le"/>
          </w:pPr>
          <w:r>
            <w:t xml:space="preserve">Reply </w:t>
          </w:r>
          <w:r w:rsidR="00DD03DC">
            <w:t>F</w:t>
          </w:r>
          <w:r>
            <w:t>orm</w:t>
          </w:r>
        </w:p>
        <w:p w14:paraId="0A9EB4DC" w14:textId="4DAA9FAD" w:rsidR="00D77369" w:rsidRPr="00D77369" w:rsidRDefault="00D77369" w:rsidP="007A206C">
          <w:pPr>
            <w:pStyle w:val="Subtitle"/>
            <w:jc w:val="left"/>
            <w:sectPr w:rsidR="00D77369" w:rsidRPr="00D77369" w:rsidSect="0043139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Paragraph"/>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Paragraph"/>
            <w:numPr>
              <w:ilvl w:val="0"/>
              <w:numId w:val="17"/>
            </w:numPr>
          </w:pPr>
          <w:r w:rsidRPr="00E13D25">
            <w:t>indicate the specific question to which the comment relates;</w:t>
          </w:r>
        </w:p>
        <w:p w14:paraId="78B206B7" w14:textId="77777777" w:rsidR="002533FC" w:rsidRPr="00E13D25" w:rsidRDefault="002533FC" w:rsidP="00E33ECD">
          <w:pPr>
            <w:pStyle w:val="ListParagraph"/>
            <w:numPr>
              <w:ilvl w:val="0"/>
              <w:numId w:val="17"/>
            </w:numPr>
          </w:pPr>
          <w:r w:rsidRPr="00E13D25">
            <w:t>contain a clear rationale; and</w:t>
          </w:r>
        </w:p>
        <w:p w14:paraId="60B8834E" w14:textId="53F4D678" w:rsidR="002533FC" w:rsidRPr="00E13D25" w:rsidRDefault="002533FC" w:rsidP="00E33ECD">
          <w:pPr>
            <w:pStyle w:val="ListParagraph"/>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Subtitl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Paragraph"/>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Paragraph"/>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Paragraph"/>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Paragraph"/>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Paragraph"/>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Paragraph"/>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44C0E846" w:rsidR="00635BCA" w:rsidRPr="00557BD2" w:rsidRDefault="005E0772" w:rsidP="00D21C35">
                <w:r>
                  <w:t>S&amp;P Global</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30DBDB73" w:rsidR="00635BCA" w:rsidRPr="00557BD2" w:rsidRDefault="005E0772" w:rsidP="00D21C35">
                <w:r>
                  <w:t>Others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0"/>
              <w14:checkedState w14:val="2612" w14:font="MS Gothic"/>
              <w14:uncheckedState w14:val="2610" w14:font="MS Gothic"/>
            </w14:checkbox>
          </w:sdtPr>
          <w:sdtContent>
            <w:permStart w:id="1071191175" w:edGrp="everyone" w:displacedByCustomXml="prev"/>
            <w:tc>
              <w:tcPr>
                <w:tcW w:w="4531" w:type="dxa"/>
              </w:tcPr>
              <w:p w14:paraId="2AD81A72" w14:textId="77777777" w:rsidR="00635BCA" w:rsidRPr="00557BD2" w:rsidRDefault="00555F0B"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0D177ADD" w:rsidR="00635BCA" w:rsidRPr="00557BD2" w:rsidRDefault="00E724BA" w:rsidP="00D21C35">
                <w:r>
                  <w:t>International</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Heading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77F2E5BF" w14:textId="77777777" w:rsidR="007A206C" w:rsidRDefault="007A206C" w:rsidP="007A206C">
      <w:permStart w:id="406275320" w:edGrp="everyone"/>
      <w:r>
        <w:t>TYPE YOUR TEXT HERE</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0FBE8B4" w14:textId="77777777" w:rsidR="007A206C" w:rsidRDefault="007A206C" w:rsidP="007A206C">
      <w:permStart w:id="1195062243" w:edGrp="everyone"/>
      <w:r>
        <w:t>TYPE YOUR TEXT HERE</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DF4F58F" w14:textId="77777777" w:rsidR="007A206C" w:rsidRDefault="007A206C" w:rsidP="007A206C">
      <w:permStart w:id="1726764009" w:edGrp="everyone"/>
      <w:r>
        <w:t>TYPE YOUR TEXT HERE</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lastRenderedPageBreak/>
        <w:t>&lt;ESMA_QUESTION_ESAP_4&gt;</w:t>
      </w:r>
    </w:p>
    <w:p w14:paraId="76689FA6" w14:textId="77777777" w:rsidR="007A206C" w:rsidRDefault="007A206C" w:rsidP="007A206C">
      <w:permStart w:id="1728526542" w:edGrp="everyone"/>
      <w:r>
        <w:t>TYPE YOUR TEXT HERE</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77777777" w:rsidR="007A206C" w:rsidRDefault="007A206C" w:rsidP="007A206C">
      <w:permStart w:id="824394787" w:edGrp="everyone"/>
      <w:r>
        <w:t>TYPE YOUR TEXT HERE</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3CFE8037" w14:textId="77777777" w:rsidR="007A206C" w:rsidRDefault="007A206C" w:rsidP="007A206C">
      <w:permStart w:id="1826049044" w:edGrp="everyone"/>
      <w:r>
        <w:t>TYPE YOUR TEXT HERE</w:t>
      </w:r>
    </w:p>
    <w:permEnd w:id="1826049044"/>
    <w:p w14:paraId="0A89A3A9" w14:textId="77777777"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77777777" w:rsidR="007A206C" w:rsidRDefault="007A206C" w:rsidP="007A206C">
      <w:permStart w:id="1096168369" w:edGrp="everyone"/>
      <w:r>
        <w:t>TYPE YOUR TEXT HERE</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lastRenderedPageBreak/>
        <w:t>&lt;ESMA_QUESTION_ESAP_8&gt;</w:t>
      </w:r>
    </w:p>
    <w:p w14:paraId="4CA05954" w14:textId="77777777" w:rsidR="007A206C" w:rsidRDefault="007A206C" w:rsidP="007A206C">
      <w:permStart w:id="553735427" w:edGrp="everyone"/>
      <w:r>
        <w:t>TYPE YOUR TEXT HERE</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4FAB07BE" w14:textId="77777777" w:rsidR="007A206C" w:rsidRDefault="007A206C" w:rsidP="007A206C">
      <w:permStart w:id="436031283" w:edGrp="everyone"/>
      <w:r>
        <w:t>TYPE YOUR TEXT HERE</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7777777" w:rsidR="007A206C" w:rsidRDefault="007A206C" w:rsidP="007A206C">
      <w:permStart w:id="394012641" w:edGrp="everyone"/>
      <w:r>
        <w:t>TYPE YOUR TEXT HERE</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77777777" w:rsidR="007A206C" w:rsidRDefault="007A206C" w:rsidP="007A206C">
      <w:permStart w:id="999039619" w:edGrp="everyone"/>
      <w:r>
        <w:t>TYPE YOUR TEXT HERE</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C9D9F89" w14:textId="77777777" w:rsidR="007A206C" w:rsidRDefault="007A206C" w:rsidP="007A206C">
      <w:permStart w:id="1486563786" w:edGrp="everyone"/>
      <w:r>
        <w:lastRenderedPageBreak/>
        <w:t>TYPE YOUR TEXT HERE</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61B764B9" w14:textId="77777777" w:rsidR="007A206C" w:rsidRDefault="007A206C" w:rsidP="007A206C">
      <w:permStart w:id="348419033" w:edGrp="everyone"/>
      <w:r>
        <w:t>TYPE YOUR TEXT HERE</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310AC1A6" w14:textId="77777777" w:rsidR="00C83EA0" w:rsidRDefault="00C83EA0" w:rsidP="00D0276A">
      <w:pPr>
        <w:spacing w:line="240" w:lineRule="auto"/>
        <w:contextualSpacing/>
        <w:rPr>
          <w:rFonts w:ascii="Calibri" w:hAnsi="Calibri" w:cs="Calibri"/>
          <w:lang w:val="en-US"/>
        </w:rPr>
      </w:pPr>
      <w:permStart w:id="1638944561" w:edGrp="everyone"/>
      <w:r w:rsidRPr="2EAD65B6">
        <w:rPr>
          <w:rFonts w:ascii="Calibri" w:hAnsi="Calibri" w:cs="Calibri"/>
          <w:lang w:val="en-US"/>
        </w:rPr>
        <w:t xml:space="preserve">S&amp;P Global has concerns about the suggested approach outlined in paragraphs 51 – 58 of the Consultation Paper to allow open standard </w:t>
      </w:r>
      <w:proofErr w:type="spellStart"/>
      <w:r w:rsidRPr="2EAD65B6">
        <w:rPr>
          <w:rFonts w:ascii="Calibri" w:hAnsi="Calibri" w:cs="Calibri"/>
          <w:lang w:val="en-US"/>
        </w:rPr>
        <w:t>licences</w:t>
      </w:r>
      <w:proofErr w:type="spellEnd"/>
      <w:r w:rsidRPr="2EAD65B6">
        <w:rPr>
          <w:rFonts w:ascii="Calibri" w:hAnsi="Calibri" w:cs="Calibri"/>
          <w:lang w:val="en-US"/>
        </w:rPr>
        <w:t xml:space="preserve"> to be applied by collection bodies to datasets reported to ESAP. We believe that this suggestion is not in line with the intended approach outlined in the Level 1 ESAP Regulation concerning the limitations to use and re</w:t>
      </w:r>
      <w:r>
        <w:rPr>
          <w:rFonts w:ascii="Calibri" w:hAnsi="Calibri" w:cs="Calibri"/>
          <w:lang w:val="en-US"/>
        </w:rPr>
        <w:t>-</w:t>
      </w:r>
      <w:r w:rsidRPr="2EAD65B6">
        <w:rPr>
          <w:rFonts w:ascii="Calibri" w:hAnsi="Calibri" w:cs="Calibri"/>
          <w:lang w:val="en-US"/>
        </w:rPr>
        <w:t>use under certain circumstances to protect the commercial rights of reporting entities. We therefore urge that basic mechanisms to safeguard the intellectual property of information submitted to ESAP be introduced around the concept.</w:t>
      </w:r>
    </w:p>
    <w:p w14:paraId="04B3CCE2" w14:textId="77777777" w:rsidR="00C83EA0" w:rsidRDefault="00C83EA0" w:rsidP="00D0276A">
      <w:pPr>
        <w:spacing w:line="240" w:lineRule="auto"/>
        <w:contextualSpacing/>
        <w:rPr>
          <w:rFonts w:ascii="Calibri" w:hAnsi="Calibri" w:cs="Calibri"/>
          <w:szCs w:val="22"/>
          <w:lang w:val="en-US"/>
        </w:rPr>
      </w:pPr>
    </w:p>
    <w:p w14:paraId="00C7A9D6" w14:textId="77777777" w:rsidR="00C83EA0" w:rsidRDefault="00C83EA0" w:rsidP="00D0276A">
      <w:pPr>
        <w:spacing w:line="240" w:lineRule="auto"/>
        <w:contextualSpacing/>
        <w:rPr>
          <w:rFonts w:ascii="Calibri" w:hAnsi="Calibri" w:cs="Calibri"/>
          <w:szCs w:val="22"/>
          <w:lang w:val="en-US"/>
        </w:rPr>
      </w:pPr>
      <w:r>
        <w:rPr>
          <w:rFonts w:ascii="Calibri" w:hAnsi="Calibri" w:cs="Calibri"/>
          <w:szCs w:val="22"/>
          <w:lang w:val="en-US"/>
        </w:rPr>
        <w:t>T</w:t>
      </w:r>
      <w:r w:rsidRPr="008A5C19">
        <w:rPr>
          <w:rFonts w:ascii="Calibri" w:hAnsi="Calibri" w:cs="Calibri"/>
          <w:szCs w:val="22"/>
          <w:lang w:val="en-US"/>
        </w:rPr>
        <w:t xml:space="preserve">he ESAP Regulation </w:t>
      </w:r>
      <w:r>
        <w:rPr>
          <w:rFonts w:ascii="Calibri" w:hAnsi="Calibri" w:cs="Calibri"/>
          <w:szCs w:val="22"/>
          <w:lang w:val="en-US"/>
        </w:rPr>
        <w:t>contains a provision that is intended to prevent the</w:t>
      </w:r>
      <w:r w:rsidRPr="008A5C19">
        <w:rPr>
          <w:rFonts w:ascii="Calibri" w:hAnsi="Calibri" w:cs="Calibri"/>
          <w:szCs w:val="22"/>
          <w:lang w:val="en-US"/>
        </w:rPr>
        <w:t xml:space="preserve"> limitation of use and re-use</w:t>
      </w:r>
      <w:r>
        <w:rPr>
          <w:rFonts w:ascii="Calibri" w:hAnsi="Calibri" w:cs="Calibri"/>
          <w:szCs w:val="22"/>
          <w:lang w:val="en-US"/>
        </w:rPr>
        <w:t xml:space="preserve"> of information made available through ESAP </w:t>
      </w:r>
      <w:r w:rsidRPr="008A5C19">
        <w:rPr>
          <w:rFonts w:ascii="Calibri" w:hAnsi="Calibri" w:cs="Calibri"/>
          <w:szCs w:val="22"/>
          <w:lang w:val="en-US"/>
        </w:rPr>
        <w:t xml:space="preserve">for </w:t>
      </w:r>
      <w:r w:rsidRPr="005A7030">
        <w:rPr>
          <w:rFonts w:ascii="Calibri" w:hAnsi="Calibri" w:cs="Calibri"/>
          <w:b/>
          <w:bCs/>
          <w:i/>
          <w:iCs/>
          <w:szCs w:val="22"/>
          <w:lang w:val="en-US"/>
        </w:rPr>
        <w:t>"regulatory and non-commercial purposes"</w:t>
      </w:r>
      <w:r w:rsidRPr="008A5C19">
        <w:rPr>
          <w:rFonts w:ascii="Calibri" w:hAnsi="Calibri" w:cs="Calibri"/>
          <w:szCs w:val="22"/>
          <w:lang w:val="en-US"/>
        </w:rPr>
        <w:t xml:space="preserve"> (see Recital 18 and Article 9).  </w:t>
      </w:r>
      <w:r>
        <w:rPr>
          <w:rFonts w:ascii="Calibri" w:hAnsi="Calibri" w:cs="Calibri"/>
          <w:szCs w:val="22"/>
          <w:lang w:val="en-US"/>
        </w:rPr>
        <w:t>However, the</w:t>
      </w:r>
      <w:r w:rsidRPr="008A5C19">
        <w:rPr>
          <w:rFonts w:ascii="Calibri" w:hAnsi="Calibri" w:cs="Calibri"/>
          <w:szCs w:val="22"/>
          <w:lang w:val="en-US"/>
        </w:rPr>
        <w:t xml:space="preserve"> ESAP Regulation </w:t>
      </w:r>
      <w:r w:rsidRPr="007152EE">
        <w:rPr>
          <w:rFonts w:ascii="Calibri" w:hAnsi="Calibri" w:cs="Calibri"/>
          <w:szCs w:val="22"/>
          <w:lang w:val="en-US"/>
        </w:rPr>
        <w:t>does not</w:t>
      </w:r>
      <w:r w:rsidRPr="008A5C19">
        <w:rPr>
          <w:rFonts w:ascii="Calibri" w:hAnsi="Calibri" w:cs="Calibri"/>
          <w:szCs w:val="22"/>
          <w:lang w:val="en-US"/>
        </w:rPr>
        <w:t xml:space="preserve"> prevent limitation of use and re-use for other purpose</w:t>
      </w:r>
      <w:r>
        <w:rPr>
          <w:rFonts w:ascii="Calibri" w:hAnsi="Calibri" w:cs="Calibri"/>
          <w:szCs w:val="22"/>
          <w:lang w:val="en-US"/>
        </w:rPr>
        <w:t>s</w:t>
      </w:r>
      <w:r w:rsidRPr="008A5C19">
        <w:rPr>
          <w:rFonts w:ascii="Calibri" w:hAnsi="Calibri" w:cs="Calibri"/>
          <w:szCs w:val="22"/>
          <w:lang w:val="en-US"/>
        </w:rPr>
        <w:t xml:space="preserve">, </w:t>
      </w:r>
      <w:r>
        <w:rPr>
          <w:rFonts w:ascii="Calibri" w:hAnsi="Calibri" w:cs="Calibri"/>
          <w:szCs w:val="22"/>
          <w:lang w:val="en-US"/>
        </w:rPr>
        <w:t xml:space="preserve">including </w:t>
      </w:r>
      <w:r w:rsidRPr="008A5C19">
        <w:rPr>
          <w:rFonts w:ascii="Calibri" w:hAnsi="Calibri" w:cs="Calibri"/>
          <w:szCs w:val="22"/>
          <w:lang w:val="en-US"/>
        </w:rPr>
        <w:t xml:space="preserve">limitation of use for commercial purposes. </w:t>
      </w:r>
      <w:r>
        <w:rPr>
          <w:rFonts w:ascii="Calibri" w:hAnsi="Calibri" w:cs="Calibri"/>
          <w:szCs w:val="22"/>
          <w:lang w:val="en-US"/>
        </w:rPr>
        <w:t>The ability and intent to limit use and re-use of ESAP information for commercial purposes is therefore clear.</w:t>
      </w:r>
    </w:p>
    <w:p w14:paraId="06CB1EE8" w14:textId="77777777" w:rsidR="00C83EA0" w:rsidRPr="008A5C19" w:rsidRDefault="00C83EA0" w:rsidP="00D0276A">
      <w:pPr>
        <w:spacing w:line="240" w:lineRule="auto"/>
        <w:contextualSpacing/>
        <w:rPr>
          <w:rFonts w:ascii="Calibri" w:hAnsi="Calibri" w:cs="Calibri"/>
          <w:szCs w:val="22"/>
          <w:lang w:val="en-US"/>
        </w:rPr>
      </w:pPr>
    </w:p>
    <w:p w14:paraId="396D6B8C" w14:textId="77777777" w:rsidR="00C83EA0" w:rsidRDefault="00C83EA0" w:rsidP="00D0276A">
      <w:pPr>
        <w:spacing w:line="240" w:lineRule="auto"/>
        <w:contextualSpacing/>
        <w:rPr>
          <w:rFonts w:ascii="Calibri" w:hAnsi="Calibri" w:cs="Calibri"/>
          <w:lang w:val="en-US"/>
        </w:rPr>
      </w:pPr>
      <w:r w:rsidRPr="0A7D8903">
        <w:rPr>
          <w:rFonts w:ascii="Calibri" w:hAnsi="Calibri" w:cs="Calibri"/>
          <w:lang w:val="en-US"/>
        </w:rPr>
        <w:t>S&amp;P Global welcomes this safeguard (</w:t>
      </w:r>
      <w:proofErr w:type="gramStart"/>
      <w:r w:rsidRPr="0A7D8903">
        <w:rPr>
          <w:rFonts w:ascii="Calibri" w:hAnsi="Calibri" w:cs="Calibri"/>
          <w:lang w:val="en-US"/>
        </w:rPr>
        <w:t>similar to</w:t>
      </w:r>
      <w:proofErr w:type="gramEnd"/>
      <w:r w:rsidRPr="0A7D8903">
        <w:rPr>
          <w:rFonts w:ascii="Calibri" w:hAnsi="Calibri" w:cs="Calibri"/>
          <w:lang w:val="en-US"/>
        </w:rPr>
        <w:t xml:space="preserve"> safeguards on the European Ratings Platform) as it is essential to maintain the integrity of the credit ratings information made available on ESAP. If firms were unable to prevent use and re-use for commercial purposes, third parties could alter, either intentionally or accidentally, the credit ratings reported to ESAP by ESMA-regulated Credit Rating Agencies (CRAs) and disseminate these to the market. </w:t>
      </w:r>
    </w:p>
    <w:p w14:paraId="35C3A0DB" w14:textId="77777777" w:rsidR="00C83EA0" w:rsidRPr="005A7030" w:rsidRDefault="00C83EA0" w:rsidP="00D0276A">
      <w:pPr>
        <w:spacing w:line="240" w:lineRule="auto"/>
        <w:contextualSpacing/>
        <w:rPr>
          <w:rFonts w:ascii="Calibri" w:hAnsi="Calibri" w:cs="Calibri"/>
          <w:szCs w:val="22"/>
          <w:lang w:val="en-US"/>
        </w:rPr>
      </w:pPr>
    </w:p>
    <w:p w14:paraId="2CFEBC30" w14:textId="77777777" w:rsidR="00C83EA0" w:rsidRDefault="00C83EA0" w:rsidP="00D0276A">
      <w:pPr>
        <w:spacing w:line="240" w:lineRule="auto"/>
        <w:contextualSpacing/>
        <w:rPr>
          <w:rFonts w:ascii="Calibri" w:hAnsi="Calibri" w:cs="Calibri"/>
          <w:lang w:val="en-US"/>
        </w:rPr>
      </w:pPr>
      <w:r w:rsidRPr="01E09235">
        <w:rPr>
          <w:rFonts w:ascii="Calibri" w:hAnsi="Calibri" w:cs="Calibri"/>
          <w:lang w:val="en-US"/>
        </w:rPr>
        <w:lastRenderedPageBreak/>
        <w:t xml:space="preserve">Moreover, credit ratings are not simply regulatory disclosures but are commercial products created in line with the CRA Regulation by trained analysts applying a proprietary methodology. Credit ratings enable financial markets to operate more efficiently and effectively by conveying independent assessments of credit risk to the market and are used by financial market participants for many purposes in addition to regulatory reporting. </w:t>
      </w:r>
      <w:r w:rsidRPr="006900A9">
        <w:rPr>
          <w:rFonts w:ascii="Calibri" w:hAnsi="Calibri" w:cs="Calibri"/>
          <w:szCs w:val="22"/>
          <w:lang w:val="en-US"/>
        </w:rPr>
        <w:t xml:space="preserve">Without </w:t>
      </w:r>
      <w:r w:rsidRPr="006900A9">
        <w:rPr>
          <w:rStyle w:val="cf01"/>
          <w:rFonts w:cstheme="minorHAnsi"/>
          <w:szCs w:val="22"/>
        </w:rPr>
        <w:t>having effective measures in place</w:t>
      </w:r>
      <w:r>
        <w:rPr>
          <w:rStyle w:val="cf01"/>
          <w:rFonts w:cstheme="minorHAnsi"/>
          <w:szCs w:val="22"/>
        </w:rPr>
        <w:t xml:space="preserve"> </w:t>
      </w:r>
      <w:r w:rsidRPr="01E09235">
        <w:rPr>
          <w:rFonts w:ascii="Calibri" w:hAnsi="Calibri" w:cs="Calibri"/>
          <w:lang w:val="en-US"/>
        </w:rPr>
        <w:t xml:space="preserve">to limit use and re-use for commercial purposes and to prohibit adaptations, credit ratings could be taken from ESAP and commercialized by third parties which could lead to potential errors in transmission and the publication of credit ratings which are not faithful to the original. </w:t>
      </w:r>
    </w:p>
    <w:p w14:paraId="438653FB" w14:textId="77777777" w:rsidR="00C83EA0" w:rsidRPr="005A7030" w:rsidRDefault="00C83EA0" w:rsidP="00D0276A">
      <w:pPr>
        <w:spacing w:line="240" w:lineRule="auto"/>
        <w:contextualSpacing/>
        <w:rPr>
          <w:rFonts w:ascii="Calibri" w:hAnsi="Calibri" w:cs="Calibri"/>
          <w:szCs w:val="22"/>
          <w:lang w:val="en-US"/>
        </w:rPr>
      </w:pPr>
    </w:p>
    <w:p w14:paraId="13509628" w14:textId="77777777" w:rsidR="00C83EA0" w:rsidRDefault="00C83EA0" w:rsidP="00D0276A">
      <w:pPr>
        <w:spacing w:line="240" w:lineRule="auto"/>
        <w:contextualSpacing/>
        <w:rPr>
          <w:rFonts w:ascii="Calibri" w:hAnsi="Calibri" w:cs="Calibri"/>
          <w:lang w:val="en-US"/>
        </w:rPr>
      </w:pPr>
      <w:r w:rsidRPr="72062C99">
        <w:rPr>
          <w:rFonts w:ascii="Calibri" w:hAnsi="Calibri" w:cs="Calibri"/>
          <w:lang w:val="en-US"/>
        </w:rPr>
        <w:t xml:space="preserve">Such re-commercialization of credit ratings without the permission of the issuing CRA could also create a situation where financial market participants could unknowingly be using “stale” credit ratings provided through an unauthorized third party. Importantly, given the use of credit ratings in EU prudential regulation for </w:t>
      </w:r>
      <w:r>
        <w:rPr>
          <w:rFonts w:ascii="Calibri" w:hAnsi="Calibri" w:cs="Calibri"/>
          <w:lang w:val="en-US"/>
        </w:rPr>
        <w:t>b</w:t>
      </w:r>
      <w:r w:rsidRPr="72062C99">
        <w:rPr>
          <w:rFonts w:ascii="Calibri" w:hAnsi="Calibri" w:cs="Calibri"/>
          <w:lang w:val="en-US"/>
        </w:rPr>
        <w:t xml:space="preserve">anks (Capital Requirements Regulation) and insurance undertakings (Solvency II), having multiple and competing sources of credit ratings would introduce undue risk into the financial system. </w:t>
      </w:r>
    </w:p>
    <w:p w14:paraId="159D4B6F" w14:textId="77777777" w:rsidR="00C83EA0" w:rsidRDefault="00C83EA0" w:rsidP="00D0276A">
      <w:pPr>
        <w:spacing w:line="240" w:lineRule="auto"/>
        <w:contextualSpacing/>
        <w:rPr>
          <w:rFonts w:ascii="Calibri" w:hAnsi="Calibri" w:cs="Calibri"/>
          <w:szCs w:val="22"/>
          <w:lang w:val="en-US"/>
        </w:rPr>
      </w:pPr>
    </w:p>
    <w:p w14:paraId="4E639F11" w14:textId="77777777" w:rsidR="00C83EA0" w:rsidRDefault="00C83EA0" w:rsidP="00D0276A">
      <w:pPr>
        <w:spacing w:line="240" w:lineRule="auto"/>
        <w:contextualSpacing/>
        <w:rPr>
          <w:rFonts w:ascii="Calibri" w:hAnsi="Calibri" w:cs="Calibri"/>
          <w:szCs w:val="22"/>
          <w:lang w:val="en-US"/>
        </w:rPr>
      </w:pPr>
      <w:r>
        <w:rPr>
          <w:rFonts w:ascii="Calibri" w:hAnsi="Calibri" w:cs="Calibri"/>
          <w:szCs w:val="22"/>
          <w:lang w:val="en-US"/>
        </w:rPr>
        <w:t>However, in paragraph 56, the consultation states that the conditions of the CCO “allow users to copy, modify, distribute, and perform the work even for commercial purposes”. We do not believe this is aligned to the wording in Article 9 and Recital 18 of ESAP which explicitly states that the limitation should apply to “use and re-use to regulatory and non-commercial purposes”.</w:t>
      </w:r>
    </w:p>
    <w:p w14:paraId="5EDA1C6D" w14:textId="77777777" w:rsidR="00C83EA0" w:rsidRPr="005A7030" w:rsidRDefault="00C83EA0" w:rsidP="00D0276A">
      <w:pPr>
        <w:spacing w:line="240" w:lineRule="auto"/>
        <w:contextualSpacing/>
        <w:rPr>
          <w:rFonts w:ascii="Calibri" w:hAnsi="Calibri" w:cs="Calibri"/>
          <w:szCs w:val="22"/>
          <w:lang w:val="en-US"/>
        </w:rPr>
      </w:pPr>
    </w:p>
    <w:p w14:paraId="708165D9" w14:textId="77777777" w:rsidR="00C83EA0" w:rsidRDefault="00C83EA0" w:rsidP="00D0276A">
      <w:pPr>
        <w:spacing w:line="240" w:lineRule="auto"/>
        <w:contextualSpacing/>
        <w:rPr>
          <w:rFonts w:ascii="Calibri" w:hAnsi="Calibri" w:cs="Calibri"/>
          <w:lang w:val="en-US"/>
        </w:rPr>
      </w:pPr>
      <w:r w:rsidRPr="527D21C6">
        <w:rPr>
          <w:rFonts w:ascii="Calibri" w:hAnsi="Calibri" w:cs="Calibri"/>
          <w:lang w:val="en-US"/>
        </w:rPr>
        <w:t xml:space="preserve">Paragraph 51 of the Consultation Paper states that the Joint Committee’s mandate to apply an open standard </w:t>
      </w:r>
      <w:proofErr w:type="spellStart"/>
      <w:r w:rsidRPr="527D21C6">
        <w:rPr>
          <w:rFonts w:ascii="Calibri" w:hAnsi="Calibri" w:cs="Calibri"/>
          <w:lang w:val="en-US"/>
        </w:rPr>
        <w:t>licence</w:t>
      </w:r>
      <w:proofErr w:type="spellEnd"/>
      <w:r w:rsidRPr="527D21C6">
        <w:rPr>
          <w:rFonts w:ascii="Calibri" w:hAnsi="Calibri" w:cs="Calibri"/>
          <w:lang w:val="en-US"/>
        </w:rPr>
        <w:t xml:space="preserve"> </w:t>
      </w:r>
      <w:r w:rsidRPr="527D21C6">
        <w:rPr>
          <w:rFonts w:ascii="Calibri" w:hAnsi="Calibri" w:cs="Calibri"/>
          <w:i/>
          <w:iCs/>
          <w:lang w:val="en-US"/>
        </w:rPr>
        <w:t xml:space="preserve">"deals with the </w:t>
      </w:r>
      <w:proofErr w:type="spellStart"/>
      <w:r w:rsidRPr="527D21C6">
        <w:rPr>
          <w:rFonts w:ascii="Calibri" w:hAnsi="Calibri" w:cs="Calibri"/>
          <w:i/>
          <w:iCs/>
          <w:lang w:val="en-US"/>
        </w:rPr>
        <w:t>licences</w:t>
      </w:r>
      <w:proofErr w:type="spellEnd"/>
      <w:r w:rsidRPr="527D21C6">
        <w:rPr>
          <w:rFonts w:ascii="Calibri" w:hAnsi="Calibri" w:cs="Calibri"/>
          <w:i/>
          <w:iCs/>
          <w:lang w:val="en-US"/>
        </w:rPr>
        <w:t xml:space="preserve"> which </w:t>
      </w:r>
      <w:r w:rsidRPr="527D21C6">
        <w:rPr>
          <w:rFonts w:ascii="Calibri" w:hAnsi="Calibri" w:cs="Calibri"/>
          <w:b/>
          <w:bCs/>
          <w:i/>
          <w:iCs/>
          <w:lang w:val="en-US"/>
        </w:rPr>
        <w:t>collection bodies</w:t>
      </w:r>
      <w:r w:rsidRPr="527D21C6">
        <w:rPr>
          <w:rFonts w:ascii="Calibri" w:hAnsi="Calibri" w:cs="Calibri"/>
          <w:i/>
          <w:iCs/>
          <w:lang w:val="en-US"/>
        </w:rPr>
        <w:t xml:space="preserve"> may apply to the datasets they make available to ESAP"</w:t>
      </w:r>
      <w:r w:rsidRPr="527D21C6">
        <w:rPr>
          <w:rFonts w:ascii="Calibri" w:hAnsi="Calibri" w:cs="Calibri"/>
          <w:lang w:val="en-US"/>
        </w:rPr>
        <w:t xml:space="preserve"> (emphasis added). </w:t>
      </w:r>
    </w:p>
    <w:p w14:paraId="2F2D3762" w14:textId="77777777" w:rsidR="00C83EA0" w:rsidRPr="005A7030" w:rsidRDefault="00C83EA0" w:rsidP="00D0276A">
      <w:pPr>
        <w:spacing w:line="240" w:lineRule="auto"/>
        <w:contextualSpacing/>
        <w:rPr>
          <w:rFonts w:ascii="Calibri" w:hAnsi="Calibri" w:cs="Calibri"/>
          <w:szCs w:val="22"/>
          <w:lang w:val="en-US"/>
        </w:rPr>
      </w:pPr>
    </w:p>
    <w:p w14:paraId="74B286AF" w14:textId="77777777" w:rsidR="00C83EA0" w:rsidRDefault="00C83EA0" w:rsidP="00D0276A">
      <w:pPr>
        <w:spacing w:line="240" w:lineRule="auto"/>
        <w:contextualSpacing/>
        <w:rPr>
          <w:rFonts w:ascii="Calibri" w:hAnsi="Calibri" w:cs="Calibri"/>
          <w:lang w:val="en-US"/>
        </w:rPr>
      </w:pPr>
      <w:r w:rsidRPr="01E09235">
        <w:rPr>
          <w:rFonts w:ascii="Calibri" w:hAnsi="Calibri" w:cs="Calibri"/>
          <w:lang w:val="en-US"/>
        </w:rPr>
        <w:t xml:space="preserve">S&amp;P Global welcomes and supports the expectation that collection bodies should waive any copyright and related rights by the collection bodies in relation to ESAP (Paragraphs 56 – 58 Consultation Paper). This reflects the intention not to provide database rights for collection bodies per Article 5(5) ESAP Regulation. The collection bodies act as repositories of this information only by virtue of their role as collection bodies under the ESAP Regulation. </w:t>
      </w:r>
    </w:p>
    <w:p w14:paraId="7FE5F0D7" w14:textId="77777777" w:rsidR="00C83EA0" w:rsidRPr="005A7030" w:rsidRDefault="00C83EA0" w:rsidP="00D0276A">
      <w:pPr>
        <w:spacing w:line="240" w:lineRule="auto"/>
        <w:contextualSpacing/>
        <w:rPr>
          <w:rFonts w:ascii="Calibri" w:hAnsi="Calibri" w:cs="Calibri"/>
          <w:szCs w:val="22"/>
          <w:lang w:val="en-US"/>
        </w:rPr>
      </w:pPr>
    </w:p>
    <w:p w14:paraId="33555F51" w14:textId="77777777" w:rsidR="00C83EA0" w:rsidRDefault="00C83EA0" w:rsidP="00D0276A">
      <w:pPr>
        <w:spacing w:line="240" w:lineRule="auto"/>
        <w:contextualSpacing/>
        <w:rPr>
          <w:rFonts w:ascii="Calibri" w:hAnsi="Calibri" w:cs="Calibri"/>
          <w:lang w:val="en-US"/>
        </w:rPr>
      </w:pPr>
      <w:r w:rsidRPr="72062C99">
        <w:rPr>
          <w:rFonts w:ascii="Calibri" w:hAnsi="Calibri" w:cs="Calibri"/>
          <w:lang w:val="en-US"/>
        </w:rPr>
        <w:t xml:space="preserve">However, certain information reported to the collection bodies responsible for ESAP may have copyright and related rights in the underlying information which makes up the datasets, such as the credit ratings issued by CRAs. The rights held by CRAs are separate and distinct from the waiver undertaken by the collection bodies </w:t>
      </w:r>
      <w:proofErr w:type="gramStart"/>
      <w:r w:rsidRPr="72062C99">
        <w:rPr>
          <w:rFonts w:ascii="Calibri" w:hAnsi="Calibri" w:cs="Calibri"/>
          <w:lang w:val="en-US"/>
        </w:rPr>
        <w:t>with regard to</w:t>
      </w:r>
      <w:proofErr w:type="gramEnd"/>
      <w:r w:rsidRPr="72062C99">
        <w:rPr>
          <w:rFonts w:ascii="Calibri" w:hAnsi="Calibri" w:cs="Calibri"/>
          <w:lang w:val="en-US"/>
        </w:rPr>
        <w:t xml:space="preserve"> intellectual property rights in the datasets.</w:t>
      </w:r>
      <w:r>
        <w:rPr>
          <w:rFonts w:ascii="Calibri" w:hAnsi="Calibri" w:cs="Calibri"/>
          <w:lang w:val="en-US"/>
        </w:rPr>
        <w:t xml:space="preserve"> </w:t>
      </w:r>
      <w:r w:rsidRPr="72062C99">
        <w:rPr>
          <w:rFonts w:ascii="Calibri" w:hAnsi="Calibri" w:cs="Calibri"/>
          <w:lang w:val="en-US"/>
        </w:rPr>
        <w:t>As such, the collection bodies are not entitled to license or waive rights of CRAs.</w:t>
      </w:r>
    </w:p>
    <w:p w14:paraId="6D367FF6" w14:textId="77777777" w:rsidR="00C83EA0" w:rsidRPr="005A7030" w:rsidRDefault="00C83EA0" w:rsidP="00D0276A">
      <w:pPr>
        <w:spacing w:line="240" w:lineRule="auto"/>
        <w:contextualSpacing/>
        <w:rPr>
          <w:rFonts w:ascii="Calibri" w:hAnsi="Calibri" w:cs="Calibri"/>
          <w:szCs w:val="22"/>
          <w:lang w:val="en-US"/>
        </w:rPr>
      </w:pPr>
    </w:p>
    <w:p w14:paraId="5ED802E4" w14:textId="77777777" w:rsidR="00C83EA0" w:rsidRDefault="00C83EA0" w:rsidP="00D0276A">
      <w:pPr>
        <w:spacing w:line="240" w:lineRule="auto"/>
        <w:contextualSpacing/>
        <w:rPr>
          <w:rFonts w:ascii="Calibri" w:hAnsi="Calibri" w:cs="Calibri"/>
          <w:szCs w:val="22"/>
          <w:lang w:val="en-US"/>
        </w:rPr>
      </w:pPr>
      <w:r>
        <w:rPr>
          <w:rFonts w:ascii="Calibri" w:hAnsi="Calibri" w:cs="Calibri"/>
          <w:szCs w:val="22"/>
          <w:lang w:val="en-US"/>
        </w:rPr>
        <w:t>Therefore, an</w:t>
      </w:r>
      <w:r w:rsidRPr="00A4680D">
        <w:rPr>
          <w:rFonts w:ascii="Calibri" w:hAnsi="Calibri" w:cs="Calibri"/>
          <w:szCs w:val="22"/>
          <w:lang w:val="en-US"/>
        </w:rPr>
        <w:t xml:space="preserve"> appropriate </w:t>
      </w:r>
      <w:proofErr w:type="spellStart"/>
      <w:r w:rsidRPr="00A4680D">
        <w:rPr>
          <w:rFonts w:ascii="Calibri" w:hAnsi="Calibri" w:cs="Calibri"/>
          <w:szCs w:val="22"/>
          <w:lang w:val="en-US"/>
        </w:rPr>
        <w:t>licen</w:t>
      </w:r>
      <w:r>
        <w:rPr>
          <w:rFonts w:ascii="Calibri" w:hAnsi="Calibri" w:cs="Calibri"/>
          <w:szCs w:val="22"/>
          <w:lang w:val="en-US"/>
        </w:rPr>
        <w:t>c</w:t>
      </w:r>
      <w:r w:rsidRPr="00A4680D">
        <w:rPr>
          <w:rFonts w:ascii="Calibri" w:hAnsi="Calibri" w:cs="Calibri"/>
          <w:szCs w:val="22"/>
          <w:lang w:val="en-US"/>
        </w:rPr>
        <w:t>e</w:t>
      </w:r>
      <w:proofErr w:type="spellEnd"/>
      <w:r w:rsidRPr="00A4680D">
        <w:rPr>
          <w:rFonts w:ascii="Calibri" w:hAnsi="Calibri" w:cs="Calibri"/>
          <w:szCs w:val="22"/>
          <w:lang w:val="en-US"/>
        </w:rPr>
        <w:t xml:space="preserve"> from the Creative Commons suite must be selected </w:t>
      </w:r>
      <w:proofErr w:type="gramStart"/>
      <w:r w:rsidRPr="00A4680D">
        <w:rPr>
          <w:rFonts w:ascii="Calibri" w:hAnsi="Calibri" w:cs="Calibri"/>
          <w:szCs w:val="22"/>
          <w:lang w:val="en-US"/>
        </w:rPr>
        <w:t>in order to</w:t>
      </w:r>
      <w:proofErr w:type="gramEnd"/>
      <w:r w:rsidRPr="00A4680D">
        <w:rPr>
          <w:rFonts w:ascii="Calibri" w:hAnsi="Calibri" w:cs="Calibri"/>
          <w:szCs w:val="22"/>
          <w:lang w:val="en-US"/>
        </w:rPr>
        <w:t xml:space="preserve"> adequately protect rights in the underlying information. </w:t>
      </w:r>
      <w:r>
        <w:rPr>
          <w:rFonts w:ascii="Calibri" w:hAnsi="Calibri" w:cs="Calibri"/>
          <w:szCs w:val="22"/>
          <w:lang w:val="en-US"/>
        </w:rPr>
        <w:t>T</w:t>
      </w:r>
      <w:r w:rsidRPr="005A7030">
        <w:rPr>
          <w:rFonts w:ascii="Calibri" w:hAnsi="Calibri" w:cs="Calibri"/>
          <w:szCs w:val="22"/>
          <w:lang w:val="en-US"/>
        </w:rPr>
        <w:t>he proposal to apply the "Creative Commons Public Domain Dedication CC0" to the datasets which collection bodies make available to ESAP</w:t>
      </w:r>
      <w:r>
        <w:rPr>
          <w:rFonts w:ascii="Calibri" w:hAnsi="Calibri" w:cs="Calibri"/>
          <w:szCs w:val="22"/>
          <w:lang w:val="en-US"/>
        </w:rPr>
        <w:t xml:space="preserve"> is concerning</w:t>
      </w:r>
      <w:r w:rsidRPr="005A7030">
        <w:rPr>
          <w:rFonts w:ascii="Calibri" w:hAnsi="Calibri" w:cs="Calibri"/>
          <w:szCs w:val="22"/>
          <w:lang w:val="en-US"/>
        </w:rPr>
        <w:t xml:space="preserve">. If CC0 </w:t>
      </w:r>
      <w:r>
        <w:rPr>
          <w:rFonts w:ascii="Calibri" w:hAnsi="Calibri" w:cs="Calibri"/>
          <w:szCs w:val="22"/>
          <w:lang w:val="en-US"/>
        </w:rPr>
        <w:t>were to be</w:t>
      </w:r>
      <w:r w:rsidRPr="005A7030">
        <w:rPr>
          <w:rFonts w:ascii="Calibri" w:hAnsi="Calibri" w:cs="Calibri"/>
          <w:szCs w:val="22"/>
          <w:lang w:val="en-US"/>
        </w:rPr>
        <w:t xml:space="preserve"> applied, then it must be combined with a </w:t>
      </w:r>
      <w:r>
        <w:rPr>
          <w:rFonts w:ascii="Calibri" w:hAnsi="Calibri" w:cs="Calibri"/>
          <w:szCs w:val="22"/>
          <w:lang w:val="en-US"/>
        </w:rPr>
        <w:t xml:space="preserve">clear </w:t>
      </w:r>
      <w:r w:rsidRPr="005A7030">
        <w:rPr>
          <w:rFonts w:ascii="Calibri" w:hAnsi="Calibri" w:cs="Calibri"/>
          <w:szCs w:val="22"/>
          <w:lang w:val="en-US"/>
        </w:rPr>
        <w:t xml:space="preserve">warning to ESAP users about continuing rights of the ultimate authors in the underlying data. </w:t>
      </w:r>
      <w:r>
        <w:rPr>
          <w:rFonts w:ascii="Calibri" w:hAnsi="Calibri" w:cs="Calibri"/>
          <w:szCs w:val="22"/>
          <w:lang w:val="en-US"/>
        </w:rPr>
        <w:t>In this respect, we suggest that</w:t>
      </w:r>
      <w:r w:rsidRPr="005A7030">
        <w:rPr>
          <w:rFonts w:ascii="Calibri" w:hAnsi="Calibri" w:cs="Calibri"/>
          <w:szCs w:val="22"/>
          <w:lang w:val="en-US"/>
        </w:rPr>
        <w:t xml:space="preserve"> Creative Commons </w:t>
      </w:r>
      <w:proofErr w:type="spellStart"/>
      <w:r w:rsidRPr="005A7030">
        <w:rPr>
          <w:rFonts w:ascii="Calibri" w:hAnsi="Calibri" w:cs="Calibri"/>
          <w:szCs w:val="22"/>
          <w:lang w:val="en-US"/>
        </w:rPr>
        <w:t>licence</w:t>
      </w:r>
      <w:proofErr w:type="spellEnd"/>
      <w:r w:rsidRPr="005A7030">
        <w:rPr>
          <w:rFonts w:ascii="Calibri" w:hAnsi="Calibri" w:cs="Calibri"/>
          <w:szCs w:val="22"/>
          <w:lang w:val="en-US"/>
        </w:rPr>
        <w:t xml:space="preserve"> BY-NC-ND should be applied instead of CC0.</w:t>
      </w:r>
    </w:p>
    <w:p w14:paraId="1FF3CEDB" w14:textId="77777777" w:rsidR="00C83EA0" w:rsidRPr="005A7030" w:rsidRDefault="00C83EA0" w:rsidP="00D0276A">
      <w:pPr>
        <w:spacing w:line="240" w:lineRule="auto"/>
        <w:contextualSpacing/>
        <w:rPr>
          <w:rFonts w:ascii="Calibri" w:hAnsi="Calibri" w:cs="Calibri"/>
          <w:szCs w:val="22"/>
          <w:lang w:val="en-US"/>
        </w:rPr>
      </w:pPr>
    </w:p>
    <w:p w14:paraId="67535BDB" w14:textId="77777777" w:rsidR="00C83EA0" w:rsidRDefault="00C83EA0" w:rsidP="00D0276A">
      <w:pPr>
        <w:spacing w:line="240" w:lineRule="auto"/>
        <w:contextualSpacing/>
        <w:rPr>
          <w:rFonts w:ascii="Calibri" w:hAnsi="Calibri" w:cs="Calibri"/>
          <w:szCs w:val="22"/>
          <w:lang w:val="en-US"/>
        </w:rPr>
      </w:pPr>
      <w:r w:rsidRPr="00A4680D">
        <w:rPr>
          <w:rFonts w:ascii="Calibri" w:hAnsi="Calibri" w:cs="Calibri"/>
          <w:szCs w:val="22"/>
          <w:lang w:val="en-US"/>
        </w:rPr>
        <w:lastRenderedPageBreak/>
        <w:t xml:space="preserve">Paragraph 55 of the Consultation Paper considers that it is "appropriate" that data is made available by collection bodies for use and re-use under the conditions of the CC0.  Public Domain Dedication CC0 differs from the six available Creative Commons </w:t>
      </w:r>
      <w:proofErr w:type="spellStart"/>
      <w:r w:rsidRPr="00A4680D">
        <w:rPr>
          <w:rFonts w:ascii="Calibri" w:hAnsi="Calibri" w:cs="Calibri"/>
          <w:szCs w:val="22"/>
          <w:lang w:val="en-US"/>
        </w:rPr>
        <w:t>licences</w:t>
      </w:r>
      <w:proofErr w:type="spellEnd"/>
      <w:r w:rsidRPr="00A4680D">
        <w:rPr>
          <w:rFonts w:ascii="Calibri" w:hAnsi="Calibri" w:cs="Calibri"/>
          <w:szCs w:val="22"/>
          <w:lang w:val="en-US"/>
        </w:rPr>
        <w:t>. CC0 waives all copyright and related rights to the fullest extent permitted by law so third parties may use a work to which CC0 is applied</w:t>
      </w:r>
      <w:r w:rsidRPr="001808F5">
        <w:rPr>
          <w:rFonts w:ascii="Calibri" w:hAnsi="Calibri" w:cs="Calibri"/>
          <w:szCs w:val="22"/>
          <w:lang w:val="en-US"/>
        </w:rPr>
        <w:t xml:space="preserve"> </w:t>
      </w:r>
      <w:r w:rsidRPr="00A4680D">
        <w:rPr>
          <w:rFonts w:ascii="Calibri" w:hAnsi="Calibri" w:cs="Calibri"/>
          <w:szCs w:val="22"/>
          <w:lang w:val="en-US"/>
        </w:rPr>
        <w:t xml:space="preserve">for any purpose. </w:t>
      </w:r>
      <w:r>
        <w:rPr>
          <w:rFonts w:ascii="Calibri" w:hAnsi="Calibri" w:cs="Calibri"/>
          <w:szCs w:val="22"/>
          <w:lang w:val="en-US"/>
        </w:rPr>
        <w:t>However</w:t>
      </w:r>
      <w:r w:rsidRPr="00A4680D">
        <w:rPr>
          <w:rFonts w:ascii="Calibri" w:hAnsi="Calibri" w:cs="Calibri"/>
          <w:szCs w:val="22"/>
          <w:lang w:val="en-US"/>
        </w:rPr>
        <w:t xml:space="preserve">, the six available standardized </w:t>
      </w:r>
      <w:proofErr w:type="spellStart"/>
      <w:r w:rsidRPr="00A4680D">
        <w:rPr>
          <w:rFonts w:ascii="Calibri" w:hAnsi="Calibri" w:cs="Calibri"/>
          <w:szCs w:val="22"/>
          <w:lang w:val="en-US"/>
        </w:rPr>
        <w:t>licences</w:t>
      </w:r>
      <w:proofErr w:type="spellEnd"/>
      <w:r w:rsidRPr="00A4680D">
        <w:rPr>
          <w:rFonts w:ascii="Calibri" w:hAnsi="Calibri" w:cs="Calibri"/>
          <w:szCs w:val="22"/>
          <w:lang w:val="en-US"/>
        </w:rPr>
        <w:t xml:space="preserve"> in the Creative Commons suite place varying degrees of limitations on the </w:t>
      </w:r>
      <w:proofErr w:type="spellStart"/>
      <w:r w:rsidRPr="00A4680D">
        <w:rPr>
          <w:rFonts w:ascii="Calibri" w:hAnsi="Calibri" w:cs="Calibri"/>
          <w:szCs w:val="22"/>
          <w:lang w:val="en-US"/>
        </w:rPr>
        <w:t>licence</w:t>
      </w:r>
      <w:proofErr w:type="spellEnd"/>
      <w:r w:rsidRPr="00A4680D">
        <w:rPr>
          <w:rFonts w:ascii="Calibri" w:hAnsi="Calibri" w:cs="Calibri"/>
          <w:szCs w:val="22"/>
          <w:lang w:val="en-US"/>
        </w:rPr>
        <w:t xml:space="preserve"> granted. </w:t>
      </w:r>
      <w:r w:rsidRPr="005A7030">
        <w:rPr>
          <w:rFonts w:ascii="Calibri" w:hAnsi="Calibri" w:cs="Calibri"/>
          <w:szCs w:val="22"/>
          <w:lang w:val="en-US"/>
        </w:rPr>
        <w:t xml:space="preserve">Of the six </w:t>
      </w:r>
      <w:proofErr w:type="spellStart"/>
      <w:r w:rsidRPr="005A7030">
        <w:rPr>
          <w:rFonts w:ascii="Calibri" w:hAnsi="Calibri" w:cs="Calibri"/>
          <w:szCs w:val="22"/>
          <w:lang w:val="en-US"/>
        </w:rPr>
        <w:t>licences</w:t>
      </w:r>
      <w:proofErr w:type="spellEnd"/>
      <w:r w:rsidRPr="005A7030">
        <w:rPr>
          <w:rFonts w:ascii="Calibri" w:hAnsi="Calibri" w:cs="Calibri"/>
          <w:szCs w:val="22"/>
          <w:lang w:val="en-US"/>
        </w:rPr>
        <w:t xml:space="preserve">, </w:t>
      </w:r>
      <w:proofErr w:type="spellStart"/>
      <w:r w:rsidRPr="005A7030">
        <w:rPr>
          <w:rFonts w:ascii="Calibri" w:hAnsi="Calibri" w:cs="Calibri"/>
          <w:szCs w:val="22"/>
          <w:lang w:val="en-US"/>
        </w:rPr>
        <w:t>licence</w:t>
      </w:r>
      <w:proofErr w:type="spellEnd"/>
      <w:r w:rsidRPr="005A7030">
        <w:rPr>
          <w:rFonts w:ascii="Calibri" w:hAnsi="Calibri" w:cs="Calibri"/>
          <w:szCs w:val="22"/>
          <w:lang w:val="en-US"/>
        </w:rPr>
        <w:t xml:space="preserve"> BY-NC-ND should be applied instead of CC0. </w:t>
      </w:r>
      <w:proofErr w:type="spellStart"/>
      <w:r w:rsidRPr="005A7030">
        <w:rPr>
          <w:rFonts w:ascii="Calibri" w:hAnsi="Calibri" w:cs="Calibri"/>
          <w:szCs w:val="22"/>
          <w:lang w:val="en-US"/>
        </w:rPr>
        <w:t>Licence</w:t>
      </w:r>
      <w:proofErr w:type="spellEnd"/>
      <w:r w:rsidRPr="005A7030">
        <w:rPr>
          <w:rFonts w:ascii="Calibri" w:hAnsi="Calibri" w:cs="Calibri"/>
          <w:szCs w:val="22"/>
          <w:lang w:val="en-US"/>
        </w:rPr>
        <w:t xml:space="preserve"> BY-NC-ND prohibits commercial use and protects the integrity of the underlying data by prohibiting adaptations of the underlying data which is consistent with the ESAP Regulation for the reasons set out below. </w:t>
      </w:r>
    </w:p>
    <w:p w14:paraId="03F7D886" w14:textId="77777777" w:rsidR="00C83EA0" w:rsidRPr="005A7030" w:rsidRDefault="00C83EA0" w:rsidP="00D0276A">
      <w:pPr>
        <w:spacing w:line="240" w:lineRule="auto"/>
        <w:contextualSpacing/>
        <w:rPr>
          <w:rFonts w:ascii="Calibri" w:hAnsi="Calibri" w:cs="Calibri"/>
          <w:szCs w:val="22"/>
          <w:lang w:val="en-US"/>
        </w:rPr>
      </w:pPr>
    </w:p>
    <w:p w14:paraId="563A38BD" w14:textId="77777777" w:rsidR="00C83EA0" w:rsidRDefault="00C83EA0" w:rsidP="00D0276A">
      <w:pPr>
        <w:spacing w:line="240" w:lineRule="auto"/>
        <w:contextualSpacing/>
        <w:rPr>
          <w:rFonts w:ascii="Calibri" w:hAnsi="Calibri" w:cs="Calibri"/>
          <w:szCs w:val="22"/>
          <w:lang w:val="en-US"/>
        </w:rPr>
      </w:pPr>
      <w:r w:rsidRPr="00A4680D">
        <w:rPr>
          <w:rFonts w:ascii="Calibri" w:hAnsi="Calibri" w:cs="Calibri"/>
          <w:szCs w:val="22"/>
          <w:lang w:val="en-US"/>
        </w:rPr>
        <w:t xml:space="preserve">In proposing CC0, paragraph 54 of the Consultation Paper relies on the Commission Guidelines on recommended standard </w:t>
      </w:r>
      <w:proofErr w:type="spellStart"/>
      <w:r w:rsidRPr="00A4680D">
        <w:rPr>
          <w:rFonts w:ascii="Calibri" w:hAnsi="Calibri" w:cs="Calibri"/>
          <w:szCs w:val="22"/>
          <w:lang w:val="en-US"/>
        </w:rPr>
        <w:t>licences</w:t>
      </w:r>
      <w:proofErr w:type="spellEnd"/>
      <w:r w:rsidRPr="00A4680D">
        <w:rPr>
          <w:rFonts w:ascii="Calibri" w:hAnsi="Calibri" w:cs="Calibri"/>
          <w:szCs w:val="22"/>
          <w:lang w:val="en-US"/>
        </w:rPr>
        <w:t xml:space="preserve">, datasets and charging for the re-use of documents. These Guidelines were introduced in relation to Directive 2013/37/EU on the re-use of public sector information. However, the Guidelines specifically note that </w:t>
      </w:r>
      <w:r w:rsidRPr="005A7030">
        <w:rPr>
          <w:rFonts w:ascii="Calibri" w:hAnsi="Calibri" w:cs="Calibri"/>
          <w:i/>
          <w:iCs/>
          <w:szCs w:val="22"/>
          <w:lang w:val="en-US"/>
        </w:rPr>
        <w:t xml:space="preserve">"it should be borne in mind that the Directive </w:t>
      </w:r>
      <w:r w:rsidRPr="005A7030">
        <w:rPr>
          <w:rFonts w:ascii="Calibri" w:hAnsi="Calibri" w:cs="Calibri"/>
          <w:b/>
          <w:bCs/>
          <w:i/>
          <w:iCs/>
          <w:szCs w:val="22"/>
          <w:lang w:val="en-US"/>
        </w:rPr>
        <w:t>does not apply to documents for which third parties hold intellectual property rights</w:t>
      </w:r>
      <w:r w:rsidRPr="005A7030">
        <w:rPr>
          <w:rFonts w:ascii="Calibri" w:hAnsi="Calibri" w:cs="Calibri"/>
          <w:i/>
          <w:iCs/>
          <w:szCs w:val="22"/>
          <w:lang w:val="en-US"/>
        </w:rPr>
        <w:t xml:space="preserve">" </w:t>
      </w:r>
      <w:r w:rsidRPr="00A4680D">
        <w:rPr>
          <w:rFonts w:ascii="Calibri" w:hAnsi="Calibri" w:cs="Calibri"/>
          <w:szCs w:val="22"/>
          <w:lang w:val="en-US"/>
        </w:rPr>
        <w:t xml:space="preserve">(emphasis added). Importantly, information in the datasets made available to ESAP is information authored by third parties and in which third parties hold intellectual property rights. </w:t>
      </w:r>
      <w:r>
        <w:rPr>
          <w:rFonts w:ascii="Calibri" w:hAnsi="Calibri" w:cs="Calibri"/>
          <w:szCs w:val="22"/>
          <w:lang w:val="en-US"/>
        </w:rPr>
        <w:t>C</w:t>
      </w:r>
      <w:r w:rsidRPr="00A4680D">
        <w:rPr>
          <w:rFonts w:ascii="Calibri" w:hAnsi="Calibri" w:cs="Calibri"/>
          <w:szCs w:val="22"/>
          <w:lang w:val="en-US"/>
        </w:rPr>
        <w:t>aution</w:t>
      </w:r>
      <w:r>
        <w:rPr>
          <w:rFonts w:ascii="Calibri" w:hAnsi="Calibri" w:cs="Calibri"/>
          <w:szCs w:val="22"/>
          <w:lang w:val="en-US"/>
        </w:rPr>
        <w:t xml:space="preserve"> should therefore be exercised in any suggestion to </w:t>
      </w:r>
      <w:r w:rsidRPr="00A4680D">
        <w:rPr>
          <w:rFonts w:ascii="Calibri" w:hAnsi="Calibri" w:cs="Calibri"/>
          <w:szCs w:val="22"/>
          <w:lang w:val="en-US"/>
        </w:rPr>
        <w:t xml:space="preserve">adopt CC0s. </w:t>
      </w:r>
    </w:p>
    <w:p w14:paraId="129F7D02" w14:textId="77777777" w:rsidR="00C83EA0" w:rsidRPr="00A4680D" w:rsidRDefault="00C83EA0" w:rsidP="00D0276A">
      <w:pPr>
        <w:spacing w:line="240" w:lineRule="auto"/>
        <w:contextualSpacing/>
        <w:rPr>
          <w:rFonts w:ascii="Calibri" w:hAnsi="Calibri" w:cs="Calibri"/>
          <w:szCs w:val="22"/>
          <w:lang w:val="en-US"/>
        </w:rPr>
      </w:pPr>
    </w:p>
    <w:p w14:paraId="0B8B811C" w14:textId="77777777" w:rsidR="00C83EA0" w:rsidRDefault="00C83EA0" w:rsidP="00D0276A">
      <w:pPr>
        <w:spacing w:line="240" w:lineRule="auto"/>
        <w:contextualSpacing/>
        <w:rPr>
          <w:rFonts w:ascii="Calibri" w:hAnsi="Calibri" w:cs="Calibri"/>
          <w:szCs w:val="22"/>
          <w:lang w:val="en-US"/>
        </w:rPr>
      </w:pPr>
      <w:r w:rsidRPr="00A4680D">
        <w:rPr>
          <w:rFonts w:ascii="Calibri" w:hAnsi="Calibri" w:cs="Calibri"/>
          <w:szCs w:val="22"/>
          <w:lang w:val="en-US"/>
        </w:rPr>
        <w:t xml:space="preserve">Per paragraph 58 of the Consultation Paper, under the CC0 the collection bodies would waive all copyright and related rights to the fullest extent permitted by law. This would allow third parties to use the datasets for any purpose, including for commercial purposes, "subject to other laws and the rights others (most importantly, the preparers of the information) may have in the work or how it is used". As a preparer of the information </w:t>
      </w:r>
      <w:proofErr w:type="gramStart"/>
      <w:r w:rsidRPr="00A4680D">
        <w:rPr>
          <w:rFonts w:ascii="Calibri" w:hAnsi="Calibri" w:cs="Calibri"/>
          <w:szCs w:val="22"/>
          <w:lang w:val="en-US"/>
        </w:rPr>
        <w:t>i.e.</w:t>
      </w:r>
      <w:proofErr w:type="gramEnd"/>
      <w:r w:rsidRPr="00A4680D">
        <w:rPr>
          <w:rFonts w:ascii="Calibri" w:hAnsi="Calibri" w:cs="Calibri"/>
          <w:szCs w:val="22"/>
          <w:lang w:val="en-US"/>
        </w:rPr>
        <w:t xml:space="preserve"> the credit ratings submitted to the collection bodies and made available on ESAP, </w:t>
      </w:r>
      <w:r>
        <w:rPr>
          <w:rFonts w:ascii="Calibri" w:hAnsi="Calibri" w:cs="Calibri"/>
          <w:szCs w:val="22"/>
          <w:lang w:val="en-US"/>
        </w:rPr>
        <w:t>we</w:t>
      </w:r>
      <w:r w:rsidRPr="00A4680D">
        <w:rPr>
          <w:rFonts w:ascii="Calibri" w:hAnsi="Calibri" w:cs="Calibri"/>
          <w:szCs w:val="22"/>
          <w:lang w:val="en-US"/>
        </w:rPr>
        <w:t xml:space="preserve"> welcome</w:t>
      </w:r>
      <w:r>
        <w:rPr>
          <w:rFonts w:ascii="Calibri" w:hAnsi="Calibri" w:cs="Calibri"/>
          <w:szCs w:val="22"/>
          <w:lang w:val="en-US"/>
        </w:rPr>
        <w:t xml:space="preserve"> </w:t>
      </w:r>
      <w:r w:rsidRPr="00A4680D">
        <w:rPr>
          <w:rFonts w:ascii="Calibri" w:hAnsi="Calibri" w:cs="Calibri"/>
          <w:szCs w:val="22"/>
          <w:lang w:val="en-US"/>
        </w:rPr>
        <w:t xml:space="preserve">the acknowledgment </w:t>
      </w:r>
      <w:r>
        <w:rPr>
          <w:rFonts w:ascii="Calibri" w:hAnsi="Calibri" w:cs="Calibri"/>
          <w:szCs w:val="22"/>
          <w:lang w:val="en-US"/>
        </w:rPr>
        <w:t>by</w:t>
      </w:r>
      <w:r w:rsidRPr="00A4680D">
        <w:rPr>
          <w:rFonts w:ascii="Calibri" w:hAnsi="Calibri" w:cs="Calibri"/>
          <w:szCs w:val="22"/>
          <w:lang w:val="en-US"/>
        </w:rPr>
        <w:t xml:space="preserve"> the </w:t>
      </w:r>
      <w:r>
        <w:rPr>
          <w:rFonts w:ascii="Calibri" w:hAnsi="Calibri" w:cs="Calibri"/>
          <w:szCs w:val="22"/>
          <w:lang w:val="en-US"/>
        </w:rPr>
        <w:t>Joint Committee</w:t>
      </w:r>
      <w:r w:rsidRPr="00A4680D">
        <w:rPr>
          <w:rFonts w:ascii="Calibri" w:hAnsi="Calibri" w:cs="Calibri"/>
          <w:szCs w:val="22"/>
          <w:lang w:val="en-US"/>
        </w:rPr>
        <w:t xml:space="preserve"> that any use third parties </w:t>
      </w:r>
      <w:r>
        <w:rPr>
          <w:rFonts w:ascii="Calibri" w:hAnsi="Calibri" w:cs="Calibri"/>
          <w:szCs w:val="22"/>
          <w:lang w:val="en-US"/>
        </w:rPr>
        <w:t>would be</w:t>
      </w:r>
      <w:r w:rsidRPr="00A4680D">
        <w:rPr>
          <w:rFonts w:ascii="Calibri" w:hAnsi="Calibri" w:cs="Calibri"/>
          <w:szCs w:val="22"/>
          <w:lang w:val="en-US"/>
        </w:rPr>
        <w:t xml:space="preserve"> subject to </w:t>
      </w:r>
      <w:r>
        <w:rPr>
          <w:rFonts w:ascii="Calibri" w:hAnsi="Calibri" w:cs="Calibri"/>
          <w:szCs w:val="22"/>
          <w:lang w:val="en-US"/>
        </w:rPr>
        <w:t>the rights of the preparers in the work or how it can be used</w:t>
      </w:r>
      <w:r w:rsidRPr="00A4680D">
        <w:rPr>
          <w:rFonts w:ascii="Calibri" w:hAnsi="Calibri" w:cs="Calibri"/>
          <w:szCs w:val="22"/>
          <w:lang w:val="en-US"/>
        </w:rPr>
        <w:t xml:space="preserve">. </w:t>
      </w:r>
    </w:p>
    <w:p w14:paraId="01E4B850" w14:textId="77777777" w:rsidR="00C83EA0" w:rsidRPr="00A4680D" w:rsidRDefault="00C83EA0" w:rsidP="00D0276A">
      <w:pPr>
        <w:spacing w:line="240" w:lineRule="auto"/>
        <w:contextualSpacing/>
        <w:rPr>
          <w:rFonts w:ascii="Calibri" w:hAnsi="Calibri" w:cs="Calibri"/>
          <w:szCs w:val="22"/>
          <w:lang w:val="en-US"/>
        </w:rPr>
      </w:pPr>
    </w:p>
    <w:p w14:paraId="3E7F7DD3" w14:textId="77777777" w:rsidR="00C83EA0" w:rsidRDefault="00C83EA0" w:rsidP="00D0276A">
      <w:pPr>
        <w:spacing w:line="240" w:lineRule="auto"/>
        <w:contextualSpacing/>
        <w:rPr>
          <w:rFonts w:ascii="Calibri" w:hAnsi="Calibri" w:cs="Calibri"/>
          <w:szCs w:val="22"/>
          <w:lang w:val="en-US"/>
        </w:rPr>
      </w:pPr>
      <w:r w:rsidRPr="00A4680D">
        <w:rPr>
          <w:rFonts w:ascii="Calibri" w:hAnsi="Calibri" w:cs="Calibri"/>
          <w:szCs w:val="22"/>
          <w:lang w:val="en-US"/>
        </w:rPr>
        <w:t>Under CC0 the affirmer (</w:t>
      </w:r>
      <w:proofErr w:type="gramStart"/>
      <w:r w:rsidRPr="00A4680D">
        <w:rPr>
          <w:rFonts w:ascii="Calibri" w:hAnsi="Calibri" w:cs="Calibri"/>
          <w:szCs w:val="22"/>
          <w:lang w:val="en-US"/>
        </w:rPr>
        <w:t>i.e.</w:t>
      </w:r>
      <w:proofErr w:type="gramEnd"/>
      <w:r w:rsidRPr="00A4680D">
        <w:rPr>
          <w:rFonts w:ascii="Calibri" w:hAnsi="Calibri" w:cs="Calibri"/>
          <w:szCs w:val="22"/>
          <w:lang w:val="en-US"/>
        </w:rPr>
        <w:t xml:space="preserve"> the collection body) disclaims responsibility for clearing the intellectual property rights of other persons which may apply to the work(s) covered by the CC0 including any person's copyright or related rights in the work(s) (see, for example Article 4(c) of the CC0 Legal Code). </w:t>
      </w:r>
      <w:r w:rsidRPr="005A7030">
        <w:rPr>
          <w:rFonts w:ascii="Calibri" w:hAnsi="Calibri" w:cs="Calibri"/>
          <w:szCs w:val="22"/>
          <w:lang w:val="en-US"/>
        </w:rPr>
        <w:t xml:space="preserve">In addition, the explanatory notes </w:t>
      </w:r>
      <w:proofErr w:type="spellStart"/>
      <w:r w:rsidRPr="005A7030">
        <w:rPr>
          <w:rFonts w:ascii="Calibri" w:hAnsi="Calibri" w:cs="Calibri"/>
          <w:szCs w:val="22"/>
          <w:lang w:val="en-US"/>
        </w:rPr>
        <w:t>emphasise</w:t>
      </w:r>
      <w:proofErr w:type="spellEnd"/>
      <w:r w:rsidRPr="005A7030">
        <w:rPr>
          <w:rFonts w:ascii="Calibri" w:hAnsi="Calibri" w:cs="Calibri"/>
          <w:szCs w:val="22"/>
          <w:lang w:val="en-US"/>
        </w:rPr>
        <w:t xml:space="preserve"> that "you should only apply CC0 to your own work, unless you have the necessary rights to apply CC0 to another person's work".</w:t>
      </w:r>
    </w:p>
    <w:p w14:paraId="3C0ADA4D" w14:textId="77777777" w:rsidR="00C83EA0" w:rsidRPr="005A7030" w:rsidRDefault="00C83EA0" w:rsidP="00D0276A">
      <w:pPr>
        <w:spacing w:line="240" w:lineRule="auto"/>
        <w:contextualSpacing/>
        <w:rPr>
          <w:rFonts w:ascii="Calibri" w:hAnsi="Calibri" w:cs="Calibri"/>
          <w:szCs w:val="22"/>
          <w:lang w:val="en-US"/>
        </w:rPr>
      </w:pPr>
    </w:p>
    <w:p w14:paraId="076593DE" w14:textId="77777777" w:rsidR="00C83EA0" w:rsidRDefault="00C83EA0" w:rsidP="00D0276A">
      <w:pPr>
        <w:spacing w:line="240" w:lineRule="auto"/>
        <w:contextualSpacing/>
        <w:rPr>
          <w:rFonts w:ascii="Calibri" w:hAnsi="Calibri" w:cs="Calibri"/>
          <w:lang w:val="en-US"/>
        </w:rPr>
      </w:pPr>
      <w:r w:rsidRPr="00A4680D">
        <w:rPr>
          <w:rFonts w:ascii="Calibri" w:hAnsi="Calibri" w:cs="Calibri"/>
          <w:szCs w:val="22"/>
          <w:lang w:val="en-US"/>
        </w:rPr>
        <w:t xml:space="preserve">The collection bodies will not conduct any clearance of rights in the underlying information. </w:t>
      </w:r>
      <w:r w:rsidRPr="01E09235">
        <w:rPr>
          <w:rFonts w:ascii="Calibri" w:hAnsi="Calibri" w:cs="Calibri"/>
          <w:lang w:val="en-US"/>
        </w:rPr>
        <w:t xml:space="preserve">If ESAP applies CC0 to datasets made available by the collection bodies, a clear warning should also be made clear to users in respect of rights in the underlying information. The warning must explain that CC0 only waives rights of the collection bodies and not the rights of the preparers of the underlying information, such that the preparers may have rights entitling them to prevent commercial and other potentially harmful use and re-use of the information made available on ESAP consistent with the ESAP Regulation.  </w:t>
      </w:r>
    </w:p>
    <w:p w14:paraId="5EE66198" w14:textId="77777777" w:rsidR="00C83EA0" w:rsidRPr="00A4680D" w:rsidRDefault="00C83EA0" w:rsidP="00D0276A">
      <w:pPr>
        <w:spacing w:line="240" w:lineRule="auto"/>
        <w:contextualSpacing/>
        <w:rPr>
          <w:rFonts w:ascii="Calibri" w:hAnsi="Calibri" w:cs="Calibri"/>
          <w:szCs w:val="22"/>
          <w:lang w:val="en-US"/>
        </w:rPr>
      </w:pPr>
    </w:p>
    <w:p w14:paraId="63FE1611" w14:textId="77777777" w:rsidR="00610AE9" w:rsidRDefault="00C83EA0" w:rsidP="007A206C">
      <w:pPr>
        <w:rPr>
          <w:rFonts w:ascii="Calibri" w:hAnsi="Calibri" w:cs="Calibri"/>
          <w:szCs w:val="22"/>
          <w:lang w:val="en-US"/>
        </w:rPr>
      </w:pPr>
      <w:r w:rsidRPr="005A7030">
        <w:rPr>
          <w:rFonts w:ascii="Calibri" w:hAnsi="Calibri" w:cs="Calibri"/>
          <w:szCs w:val="22"/>
          <w:lang w:val="en-US"/>
        </w:rPr>
        <w:t xml:space="preserve">For the above reasons, the Creative Commons approach applied by the collection bodies must not purport to provide a waiver or </w:t>
      </w:r>
      <w:proofErr w:type="spellStart"/>
      <w:r w:rsidRPr="005A7030">
        <w:rPr>
          <w:rFonts w:ascii="Calibri" w:hAnsi="Calibri" w:cs="Calibri"/>
          <w:szCs w:val="22"/>
          <w:lang w:val="en-US"/>
        </w:rPr>
        <w:t>licence</w:t>
      </w:r>
      <w:proofErr w:type="spellEnd"/>
      <w:r w:rsidRPr="005A7030">
        <w:rPr>
          <w:rFonts w:ascii="Calibri" w:hAnsi="Calibri" w:cs="Calibri"/>
          <w:szCs w:val="22"/>
          <w:lang w:val="en-US"/>
        </w:rPr>
        <w:t xml:space="preserve"> under the preparers' rights in the information contained within the datasets. Therefore, if CC0 is to be applied by the collection bodies, it should be combined with a </w:t>
      </w:r>
      <w:r w:rsidRPr="005A7030">
        <w:rPr>
          <w:rFonts w:ascii="Calibri" w:hAnsi="Calibri" w:cs="Calibri"/>
          <w:szCs w:val="22"/>
          <w:lang w:val="en-US"/>
        </w:rPr>
        <w:lastRenderedPageBreak/>
        <w:t xml:space="preserve">warning to ESAP users as to the possibility of continuing preparers' rights in the information contained within the datasets. Alternatively, and preferably, Creative Commons </w:t>
      </w:r>
      <w:proofErr w:type="spellStart"/>
      <w:r w:rsidRPr="005A7030">
        <w:rPr>
          <w:rFonts w:ascii="Calibri" w:hAnsi="Calibri" w:cs="Calibri"/>
          <w:szCs w:val="22"/>
          <w:lang w:val="en-US"/>
        </w:rPr>
        <w:t>licence</w:t>
      </w:r>
      <w:proofErr w:type="spellEnd"/>
      <w:r w:rsidRPr="005A7030">
        <w:rPr>
          <w:rFonts w:ascii="Calibri" w:hAnsi="Calibri" w:cs="Calibri"/>
          <w:szCs w:val="22"/>
          <w:lang w:val="en-US"/>
        </w:rPr>
        <w:t xml:space="preserve"> BY-NC-ND should be applied by the collection bodies instead of the CC0 Public Domain Dedication. Creative Commons </w:t>
      </w:r>
      <w:proofErr w:type="spellStart"/>
      <w:r w:rsidRPr="005A7030">
        <w:rPr>
          <w:rFonts w:ascii="Calibri" w:hAnsi="Calibri" w:cs="Calibri"/>
          <w:szCs w:val="22"/>
          <w:lang w:val="en-US"/>
        </w:rPr>
        <w:t>licence</w:t>
      </w:r>
      <w:proofErr w:type="spellEnd"/>
      <w:r w:rsidRPr="005A7030">
        <w:rPr>
          <w:rFonts w:ascii="Calibri" w:hAnsi="Calibri" w:cs="Calibri"/>
          <w:szCs w:val="22"/>
          <w:lang w:val="en-US"/>
        </w:rPr>
        <w:t xml:space="preserve"> BY-NC-ND more adequately protects the preparers' rights in the information whilst also complying with the scope of the permitted limitations of use and re-use under the ESAP Regulation.</w:t>
      </w:r>
    </w:p>
    <w:permEnd w:id="1638944561"/>
    <w:p w14:paraId="54FDDF50" w14:textId="3E47CFDD"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0620CB04" w14:textId="77777777" w:rsidR="007A206C" w:rsidRDefault="007A206C" w:rsidP="007A206C">
      <w:permStart w:id="654211918" w:edGrp="everyone"/>
      <w:r>
        <w:t>TYPE YOUR TEXT HERE</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75DAA8DD" w14:textId="77777777" w:rsidR="007A206C" w:rsidRDefault="007A206C" w:rsidP="007A206C">
      <w:permStart w:id="1396908232" w:edGrp="everyone"/>
      <w:r>
        <w:t>TYPE YOUR TEXT HERE</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77777777" w:rsidR="007A206C" w:rsidRDefault="007A206C" w:rsidP="007A206C">
      <w:permStart w:id="1817079671" w:edGrp="everyone"/>
      <w:r>
        <w:t>TYPE YOUR TEXT HERE</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lastRenderedPageBreak/>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6C8DB9BF" w14:textId="77777777" w:rsidR="007A206C" w:rsidRDefault="007A206C" w:rsidP="007A206C">
      <w:permStart w:id="1031027166" w:edGrp="everyone"/>
      <w:r>
        <w:t>TYPE YOUR TEXT HERE</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t>&lt;ESMA_QUESTION_ESAP_20&gt;</w:t>
      </w:r>
    </w:p>
    <w:p w14:paraId="62200210" w14:textId="77777777" w:rsidR="007A206C" w:rsidRDefault="007A206C" w:rsidP="007A206C">
      <w:permStart w:id="1832207884" w:edGrp="everyone"/>
      <w:r>
        <w:t>TYPE YOUR TEXT HERE</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64441A00" w14:textId="77777777" w:rsidR="007A206C" w:rsidRDefault="007A206C" w:rsidP="007A206C">
      <w:permStart w:id="1123965946" w:edGrp="everyone"/>
      <w:r>
        <w:t>TYPE YOUR TEXT HERE</w:t>
      </w:r>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1DCC5DBD" w14:textId="77777777" w:rsidR="007A206C" w:rsidRDefault="007A206C" w:rsidP="007A206C">
      <w:permStart w:id="1658737231" w:edGrp="everyone"/>
      <w:r>
        <w:t>TYPE YOUR TEXT HERE</w:t>
      </w:r>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12C41A90" w14:textId="77777777" w:rsidR="007A206C" w:rsidRDefault="007A206C" w:rsidP="007A206C">
      <w:permStart w:id="630529236" w:edGrp="everyone"/>
      <w:r>
        <w:t>TYPE YOUR TEXT HERE</w:t>
      </w:r>
    </w:p>
    <w:permEnd w:id="630529236"/>
    <w:p w14:paraId="083BB48C" w14:textId="77777777"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1F1F3EA8" w14:textId="77777777" w:rsidR="007A206C" w:rsidRDefault="007A206C" w:rsidP="007A206C">
      <w:permStart w:id="1947600168" w:edGrp="everyone"/>
      <w:r>
        <w:t>TYPE YOUR TEXT HERE</w:t>
      </w:r>
    </w:p>
    <w:permEnd w:id="1947600168"/>
    <w:p w14:paraId="0CB36B75" w14:textId="77777777"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3C0D330" w14:textId="77777777" w:rsidR="007A206C" w:rsidRDefault="007A206C" w:rsidP="007A206C">
      <w:permStart w:id="412037857" w:edGrp="everyone"/>
      <w:r>
        <w:lastRenderedPageBreak/>
        <w:t>TYPE YOUR TEXT HERE</w:t>
      </w:r>
    </w:p>
    <w:permEnd w:id="412037857"/>
    <w:p w14:paraId="3772932F" w14:textId="77777777"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7777777" w:rsidR="007A206C" w:rsidRDefault="007A206C" w:rsidP="007A206C">
      <w:permStart w:id="1281185188" w:edGrp="everyone"/>
      <w:r>
        <w:t>TYPE YOUR TEXT HERE</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t>&lt;ESMA_QUESTION_ESAP_27&gt;</w:t>
      </w:r>
    </w:p>
    <w:p w14:paraId="66F8EFEB" w14:textId="77777777" w:rsidR="007A206C" w:rsidRDefault="007A206C" w:rsidP="007A206C">
      <w:permStart w:id="1389058679" w:edGrp="everyone"/>
      <w:r>
        <w:t>TYPE YOUR TEXT HERE</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2C1AF2D" w14:textId="77777777" w:rsidR="007A206C" w:rsidRDefault="007A206C" w:rsidP="007A206C">
      <w:permStart w:id="1185285024" w:edGrp="everyone"/>
      <w:r>
        <w:t>TYPE YOUR TEXT HERE</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77777777" w:rsidR="007A206C" w:rsidRDefault="007A206C" w:rsidP="007A206C">
      <w:permStart w:id="268372919" w:edGrp="everyone"/>
      <w:r>
        <w:t>TYPE YOUR TEXT HERE</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0EC7" w14:textId="77777777" w:rsidR="005109A6" w:rsidRDefault="005109A6" w:rsidP="007E7997">
      <w:pPr>
        <w:spacing w:line="240" w:lineRule="auto"/>
      </w:pPr>
      <w:r>
        <w:separator/>
      </w:r>
    </w:p>
  </w:endnote>
  <w:endnote w:type="continuationSeparator" w:id="0">
    <w:p w14:paraId="7BA1852F" w14:textId="77777777" w:rsidR="005109A6" w:rsidRDefault="005109A6" w:rsidP="007E7997">
      <w:pPr>
        <w:spacing w:line="240" w:lineRule="auto"/>
      </w:pPr>
      <w:r>
        <w:continuationSeparator/>
      </w:r>
    </w:p>
  </w:endnote>
  <w:endnote w:type="continuationNotice" w:id="1">
    <w:p w14:paraId="76C1C470" w14:textId="77777777" w:rsidR="005109A6" w:rsidRDefault="00510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BB7C" w14:textId="77777777" w:rsidR="00CE575C" w:rsidRDefault="00CE57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EDD3" w14:textId="77777777" w:rsidR="00CE575C" w:rsidRDefault="00CE57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FD5" w14:textId="77777777" w:rsidR="00CE575C" w:rsidRDefault="00CE57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43C0" w14:textId="77777777" w:rsidR="005109A6" w:rsidRDefault="005109A6" w:rsidP="007E7997">
      <w:pPr>
        <w:spacing w:line="240" w:lineRule="auto"/>
      </w:pPr>
      <w:r>
        <w:separator/>
      </w:r>
    </w:p>
  </w:footnote>
  <w:footnote w:type="continuationSeparator" w:id="0">
    <w:p w14:paraId="529EF9F8" w14:textId="77777777" w:rsidR="005109A6" w:rsidRDefault="005109A6" w:rsidP="007E7997">
      <w:pPr>
        <w:spacing w:line="240" w:lineRule="auto"/>
      </w:pPr>
      <w:r>
        <w:continuationSeparator/>
      </w:r>
    </w:p>
  </w:footnote>
  <w:footnote w:type="continuationNotice" w:id="1">
    <w:p w14:paraId="6B7A25BF" w14:textId="77777777" w:rsidR="005109A6" w:rsidRDefault="005109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26AE" w14:textId="77777777" w:rsidR="00CE575C" w:rsidRDefault="00CE5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11A7" w14:textId="77777777" w:rsidR="00CE575C" w:rsidRDefault="00CE5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22144D6" w:rsidR="00D77369" w:rsidRPr="008858FE" w:rsidRDefault="00D77369" w:rsidP="008858FE">
    <w:pPr>
      <w:pStyle w:val="Header"/>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Header"/>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Paragraph"/>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6"/>
  </w:num>
  <w:num w:numId="7" w16cid:durableId="896626050">
    <w:abstractNumId w:val="16"/>
  </w:num>
  <w:num w:numId="8" w16cid:durableId="806780153">
    <w:abstractNumId w:val="2"/>
  </w:num>
  <w:num w:numId="9" w16cid:durableId="1677002603">
    <w:abstractNumId w:val="14"/>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27319631">
    <w:abstractNumId w:val="13"/>
  </w:num>
  <w:num w:numId="18" w16cid:durableId="1118719538">
    <w:abstractNumId w:val="5"/>
  </w:num>
  <w:num w:numId="19" w16cid:durableId="264074300">
    <w:abstractNumId w:val="10"/>
  </w:num>
  <w:num w:numId="20" w16cid:durableId="19519336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9A6"/>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772"/>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AE9"/>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805"/>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2D3"/>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683"/>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7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EA0"/>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75C"/>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4B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351C45"/>
    <w:rsid w:val="003849B7"/>
    <w:rsid w:val="0044391D"/>
    <w:rsid w:val="004E4CF9"/>
    <w:rsid w:val="004F263F"/>
    <w:rsid w:val="005D66AB"/>
    <w:rsid w:val="00813189"/>
    <w:rsid w:val="008222A0"/>
    <w:rsid w:val="00836D47"/>
    <w:rsid w:val="0099656D"/>
    <w:rsid w:val="009B6B9C"/>
    <w:rsid w:val="00B22006"/>
    <w:rsid w:val="00D0782D"/>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5.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2.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f41da7c7-c537-4365-86d7-f9085682d12a"/>
    <ds:schemaRef ds:uri="http://schemas.microsoft.com/sharepoint/v4"/>
  </ds:schemaRefs>
</ds:datastoreItem>
</file>

<file path=customXml/itemProps5.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2915</Words>
  <Characters>16617</Characters>
  <Application>Microsoft Office Word</Application>
  <DocSecurity>8</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Ostrowski, Daniel</cp:lastModifiedBy>
  <cp:revision>7</cp:revision>
  <cp:lastPrinted>2023-09-09T00:53:00Z</cp:lastPrinted>
  <dcterms:created xsi:type="dcterms:W3CDTF">2024-02-27T11:47:00Z</dcterms:created>
  <dcterms:modified xsi:type="dcterms:W3CDTF">2024-03-06T14:16:00Z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y fmtid="{D5CDD505-2E9C-101B-9397-08002B2CF9AE}" pid="21" name="MSIP_Label_831f0267-8575-4fc2-99cc-f6b7f9934be9_Enabled">
    <vt:lpwstr>true</vt:lpwstr>
  </property>
  <property fmtid="{D5CDD505-2E9C-101B-9397-08002B2CF9AE}" pid="22" name="MSIP_Label_831f0267-8575-4fc2-99cc-f6b7f9934be9_SetDate">
    <vt:lpwstr>2024-02-27T11:45:53Z</vt:lpwstr>
  </property>
  <property fmtid="{D5CDD505-2E9C-101B-9397-08002B2CF9AE}" pid="23" name="MSIP_Label_831f0267-8575-4fc2-99cc-f6b7f9934be9_Method">
    <vt:lpwstr>Standard</vt:lpwstr>
  </property>
  <property fmtid="{D5CDD505-2E9C-101B-9397-08002B2CF9AE}" pid="24" name="MSIP_Label_831f0267-8575-4fc2-99cc-f6b7f9934be9_Name">
    <vt:lpwstr>831f0267-8575-4fc2-99cc-f6b7f9934be9</vt:lpwstr>
  </property>
  <property fmtid="{D5CDD505-2E9C-101B-9397-08002B2CF9AE}" pid="25" name="MSIP_Label_831f0267-8575-4fc2-99cc-f6b7f9934be9_SiteId">
    <vt:lpwstr>8f3e36ea-8039-4b40-81a7-7dc0599e8645</vt:lpwstr>
  </property>
  <property fmtid="{D5CDD505-2E9C-101B-9397-08002B2CF9AE}" pid="26" name="MSIP_Label_831f0267-8575-4fc2-99cc-f6b7f9934be9_ActionId">
    <vt:lpwstr>fd9be77e-b4f7-410f-9236-34d9e6a4c242</vt:lpwstr>
  </property>
  <property fmtid="{D5CDD505-2E9C-101B-9397-08002B2CF9AE}" pid="27" name="MSIP_Label_831f0267-8575-4fc2-99cc-f6b7f9934be9_ContentBits">
    <vt:lpwstr>0</vt:lpwstr>
  </property>
</Properties>
</file>