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5C42D2D2" w14:textId="3805F568" w:rsidR="00D77369" w:rsidRDefault="00D77369" w:rsidP="006B7794">
          <w:pPr>
            <w:pStyle w:val="Subtitle"/>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5787"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5526A731" w:rsidR="00635BCA" w:rsidRPr="00557BD2" w:rsidRDefault="006673E7" w:rsidP="00D21C35">
                <w:r>
                  <w:t>BAWAG P.S.K.</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3252EFD8" w:rsidR="00635BCA" w:rsidRPr="00557BD2" w:rsidRDefault="006673E7" w:rsidP="00D21C35">
                <w:r>
                  <w:t>Banking</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48B505F7" w:rsidR="00635BCA" w:rsidRPr="00557BD2" w:rsidRDefault="009C78E4"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4EA0C5F7" w:rsidR="00635BCA" w:rsidRPr="00557BD2" w:rsidRDefault="006673E7" w:rsidP="00D21C35">
                <w:r>
                  <w:t>Europe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62FC1497" w14:textId="286DEFF4" w:rsidR="005E3A40" w:rsidRDefault="006673E7" w:rsidP="005E3A40">
      <w:permStart w:id="155941532" w:edGrp="everyone"/>
      <w:r>
        <w:t>Yes</w:t>
      </w:r>
    </w:p>
    <w:permEnd w:id="155941532"/>
    <w:p w14:paraId="7BAEBD6B" w14:textId="77777777"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45929882" w14:textId="73A64267" w:rsidR="005E3A40" w:rsidRDefault="006673E7" w:rsidP="005E3A40">
      <w:permStart w:id="2007842265" w:edGrp="everyone"/>
      <w:r>
        <w:t xml:space="preserve">Yes. LLD are essential for accurate monitoring / understanding of a pool’s current performance and for forecasting returns. </w:t>
      </w:r>
      <w:r w:rsidR="004E7F2C">
        <w:t>The full transparency provided by LLD is particularly important during</w:t>
      </w:r>
      <w:r>
        <w:t xml:space="preserve"> times of extreme stress as e.g. in 2008/2009. </w:t>
      </w:r>
      <w:r w:rsidR="00707148">
        <w:t>I</w:t>
      </w:r>
      <w:r>
        <w:t xml:space="preserve"> do not see operational cost</w:t>
      </w:r>
      <w:r w:rsidR="004B243F">
        <w:t xml:space="preserve"> in putting together the data feeds</w:t>
      </w:r>
      <w:r>
        <w:t xml:space="preserve"> as a valid objection. If no LLD were made available, some form of aggregate-level performance information would still need to be disclosed; such information can only be computed correctly </w:t>
      </w:r>
      <w:r w:rsidR="00190F48">
        <w:t xml:space="preserve">by aggregating </w:t>
      </w:r>
      <w:r>
        <w:t xml:space="preserve">loan-level </w:t>
      </w:r>
      <w:r w:rsidR="00190F48">
        <w:t>information, which would still need to be subject to the same quality controls that are required when disclosing loan-level information directly</w:t>
      </w:r>
      <w:r>
        <w:t xml:space="preserve">. In other words, at a fundamental level there should not be </w:t>
      </w:r>
      <w:r w:rsidR="00190F48">
        <w:t>a material difference in overall operational costs.</w:t>
      </w:r>
    </w:p>
    <w:permEnd w:id="2007842265"/>
    <w:p w14:paraId="23F1807B" w14:textId="77777777"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t>&lt;ESMA_QUESTION_SECR_3&gt;</w:t>
      </w:r>
    </w:p>
    <w:p w14:paraId="115D1197" w14:textId="584C372A" w:rsidR="005E3A40" w:rsidRDefault="00190F48" w:rsidP="005E3A40">
      <w:permStart w:id="206374785" w:edGrp="everyone"/>
      <w:r>
        <w:t>Yes</w:t>
      </w:r>
    </w:p>
    <w:permEnd w:id="206374785"/>
    <w:p w14:paraId="3A7899C2" w14:textId="77777777" w:rsidR="005E3A40" w:rsidRDefault="005E3A40" w:rsidP="005E3A40">
      <w:r>
        <w:lastRenderedPageBreak/>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16B15A63" w14:textId="2D676036" w:rsidR="005E3A40" w:rsidRDefault="00190F48" w:rsidP="005E3A40">
      <w:permStart w:id="1263477890" w:edGrp="everyone"/>
      <w:r>
        <w:t xml:space="preserve">I think this is mostly helpful for institutions with a supervisory function, which need to process large amounts of deals on a routine basis. For investors in private deals, bespoke data disclosure </w:t>
      </w:r>
      <w:r w:rsidR="00907B2E">
        <w:t>is a workable solution</w:t>
      </w:r>
      <w:r>
        <w:t xml:space="preserve"> as well. It comes with the disadvantage of extra analysis work on a deal-by-deal basis, but allows for some extra flexibility.</w:t>
      </w:r>
    </w:p>
    <w:permEnd w:id="1263477890"/>
    <w:p w14:paraId="2CE55032" w14:textId="77777777"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6D1315E7" w14:textId="0EA59F85" w:rsidR="005E3A40" w:rsidRDefault="00DB359A" w:rsidP="005E3A40">
      <w:permStart w:id="374692203" w:edGrp="everyone"/>
      <w:r>
        <w:t>Option A will allow us to continue to use the data as we are doing at present. It is the least disruptive along with option B.</w:t>
      </w:r>
    </w:p>
    <w:permEnd w:id="374692203"/>
    <w:p w14:paraId="103C317D" w14:textId="77777777"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t>&lt;ESMA_QUESTION_SECR_6&gt;</w:t>
      </w:r>
    </w:p>
    <w:p w14:paraId="58E705F6" w14:textId="0202AA84" w:rsidR="004B243F" w:rsidRDefault="00EA28D0" w:rsidP="005E3A40">
      <w:permStart w:id="1671851027" w:edGrp="everyone"/>
      <w:r>
        <w:t xml:space="preserve">I can see how the use of just 2 ND options (one “not applicable” and one “applicable but data not available”) could simplify matters. From my own experience, I’m not sure to what extent the current full range of ND options are generally applied correctly. </w:t>
      </w:r>
      <w:r w:rsidR="004B243F">
        <w:t>Restricting the use of ND values, i.e. forcing data suppliers to include actual values, would be useful</w:t>
      </w:r>
      <w:r w:rsidR="0047109C">
        <w:t>.</w:t>
      </w:r>
    </w:p>
    <w:p w14:paraId="473C830D" w14:textId="393F9FEC" w:rsidR="005E3A40" w:rsidRDefault="00EA28D0" w:rsidP="005E3A40">
      <w:r>
        <w:lastRenderedPageBreak/>
        <w:t>As far as further ESG related fields are concerned, this would certainly not be detrimental, but perhaps not strictly necessary at this stage.</w:t>
      </w:r>
    </w:p>
    <w:permEnd w:id="1671851027"/>
    <w:p w14:paraId="777C6F19" w14:textId="77777777"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t>&lt;ESMA_QUESTION_SECR_7&gt;</w:t>
      </w:r>
    </w:p>
    <w:p w14:paraId="6FB4F607" w14:textId="599914D6" w:rsidR="005E3A40" w:rsidRDefault="00EA28D0" w:rsidP="005E3A40">
      <w:permStart w:id="1039538305" w:edGrp="everyone"/>
      <w:r>
        <w:t xml:space="preserve">It is hard to answer this in general. It would certainly make sense to give securitization data repositories the power to reject data submissions in cases where the data supplier consistently populates fields with ND values where </w:t>
      </w:r>
      <w:r w:rsidR="00907B2E">
        <w:t>actual non-missing data</w:t>
      </w:r>
      <w:r>
        <w:t xml:space="preserve"> should obviously be available.</w:t>
      </w:r>
    </w:p>
    <w:permEnd w:id="1039538305"/>
    <w:p w14:paraId="0C4F6AAD" w14:textId="77777777"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407516AB" w14:textId="2DCE9741" w:rsidR="005E3A40" w:rsidRDefault="00EA28D0" w:rsidP="005E3A40">
      <w:permStart w:id="79181450" w:edGrp="everyone"/>
      <w:r>
        <w:t xml:space="preserve">This is again case-specific. However, I think poor data governance by reporting entities should not be an excuse for failing to populate </w:t>
      </w:r>
      <w:r w:rsidR="007515A8">
        <w:t xml:space="preserve">required fields. </w:t>
      </w:r>
    </w:p>
    <w:permEnd w:id="79181450"/>
    <w:p w14:paraId="66F377A9" w14:textId="77777777" w:rsidR="005E3A40" w:rsidRDefault="005E3A40" w:rsidP="005E3A40">
      <w:r>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1199DB10" w14:textId="2B86E961" w:rsidR="005E3A40" w:rsidRDefault="007515A8" w:rsidP="005E3A40">
      <w:permStart w:id="253442058" w:edGrp="everyone"/>
      <w:r>
        <w:t>I have not had a particular need for this myself.</w:t>
      </w:r>
    </w:p>
    <w:permEnd w:id="253442058"/>
    <w:p w14:paraId="5675A01F" w14:textId="77777777" w:rsidR="005E3A40" w:rsidRDefault="005E3A40" w:rsidP="005E3A40">
      <w:r>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58DCC5E4" w14:textId="715635C0" w:rsidR="005E3A40" w:rsidRDefault="007515A8" w:rsidP="005E3A40">
      <w:permStart w:id="2094014528" w:edGrp="everyone"/>
      <w:r>
        <w:t>Not for those liste</w:t>
      </w:r>
      <w:r w:rsidR="00907B2E">
        <w:t>d</w:t>
      </w:r>
      <w:r>
        <w:t xml:space="preserve"> in item 107 of section </w:t>
      </w:r>
      <w:r w:rsidR="003C7493">
        <w:t>5.3. That said, quantities such as “Probability of Default” appear to be opinion-based and hence of limited value.</w:t>
      </w:r>
    </w:p>
    <w:permEnd w:id="2094014528"/>
    <w:p w14:paraId="28A09CB6" w14:textId="77777777"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climate risk indicators (presented in Section 5.4) is warranted?</w:t>
      </w:r>
    </w:p>
    <w:p w14:paraId="2C343300" w14:textId="77777777" w:rsidR="005E3A40" w:rsidRDefault="005E3A40" w:rsidP="005E3A40">
      <w:r>
        <w:t>&lt;ESMA_QUESTION_SECR_11&gt;</w:t>
      </w:r>
    </w:p>
    <w:p w14:paraId="699560FD" w14:textId="23CA6C5C" w:rsidR="005E3A40" w:rsidRDefault="003C7493" w:rsidP="005E3A40">
      <w:permStart w:id="1963065723" w:edGrp="everyone"/>
      <w:r>
        <w:t>This would only be useful if these are fully objective hard data.</w:t>
      </w:r>
    </w:p>
    <w:permEnd w:id="1963065723"/>
    <w:p w14:paraId="22B6A985" w14:textId="77777777"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49B305DC" w14:textId="01D39461" w:rsidR="005E3A40" w:rsidRDefault="003C7493" w:rsidP="005E3A40">
      <w:permStart w:id="1464738179" w:edGrp="everyone"/>
      <w:r>
        <w:t>No opinion.</w:t>
      </w:r>
    </w:p>
    <w:permEnd w:id="1464738179"/>
    <w:p w14:paraId="73F4AD8C" w14:textId="77777777" w:rsidR="005E3A40" w:rsidRDefault="005E3A40" w:rsidP="005E3A40">
      <w:r>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516F9DD0" w14:textId="72A54A31" w:rsidR="005E3A40" w:rsidRDefault="003C7493" w:rsidP="005E3A40">
      <w:permStart w:id="1870467145" w:edGrp="everyone"/>
      <w:r>
        <w:t>I think that a programme to reduce the use of “ND” values would be the most useful feature of  this proposal.</w:t>
      </w:r>
    </w:p>
    <w:permEnd w:id="1870467145"/>
    <w:p w14:paraId="42061A77" w14:textId="77777777" w:rsidR="005E3A40" w:rsidRDefault="005E3A40" w:rsidP="005E3A40">
      <w:r>
        <w:lastRenderedPageBreak/>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4A9EB3F0" w14:textId="3EDF41B9" w:rsidR="005E3A40" w:rsidRDefault="003C7493" w:rsidP="005E3A40">
      <w:permStart w:id="713186287" w:edGrp="everyone"/>
      <w:r>
        <w:t>No.</w:t>
      </w:r>
    </w:p>
    <w:permEnd w:id="713186287"/>
    <w:p w14:paraId="4569D614" w14:textId="77777777"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61B29DD1" w14:textId="082CE7B8" w:rsidR="005E3A40" w:rsidRDefault="003C7493" w:rsidP="005E3A40">
      <w:permStart w:id="1560873109" w:edGrp="everyone"/>
      <w:r>
        <w:t>I have no strong opinion on this aspect of the proposal.</w:t>
      </w:r>
    </w:p>
    <w:permEnd w:id="1560873109"/>
    <w:p w14:paraId="1C5D4BFF" w14:textId="77777777" w:rsidR="005E3A40" w:rsidRDefault="005E3A40" w:rsidP="005E3A40">
      <w:r>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t>&lt;ESMA_QUESTION_SECR_16&gt;</w:t>
      </w:r>
    </w:p>
    <w:p w14:paraId="29EC0B1B" w14:textId="394A7370" w:rsidR="005E3A40" w:rsidRDefault="003C7493" w:rsidP="005E3A40">
      <w:permStart w:id="1427332257" w:edGrp="everyone"/>
      <w:r>
        <w:t>No.</w:t>
      </w:r>
    </w:p>
    <w:permEnd w:id="1427332257"/>
    <w:p w14:paraId="5F72C374" w14:textId="77777777"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lastRenderedPageBreak/>
        <w:t>&lt;ESMA_QUESTION_SECR_17&gt;</w:t>
      </w:r>
    </w:p>
    <w:p w14:paraId="468B13C2" w14:textId="4BEF14B6" w:rsidR="005E3A40" w:rsidRDefault="003C7493" w:rsidP="005E3A40">
      <w:permStart w:id="401805776" w:edGrp="everyone"/>
      <w:r>
        <w:t>If this route were taken, investors in private transactions would most likely still insist on receiving the necessary loan-level information on a bilateral basis.</w:t>
      </w:r>
    </w:p>
    <w:permEnd w:id="401805776"/>
    <w:p w14:paraId="6081C321" w14:textId="77777777" w:rsidR="005E3A40" w:rsidRDefault="005E3A40" w:rsidP="005E3A40">
      <w:r>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394492FF" w14:textId="5D1F8260" w:rsidR="005E3A40" w:rsidRDefault="003C7493" w:rsidP="005E3A40">
      <w:permStart w:id="850229040" w:edGrp="everyone"/>
      <w:r>
        <w:t xml:space="preserve">No. Whether an asset pool has </w:t>
      </w:r>
      <w:r w:rsidR="00B34D05">
        <w:t>500</w:t>
      </w:r>
      <w:r>
        <w:t xml:space="preserve"> or 50000 underlying exposures should not make any difference in the way it is </w:t>
      </w:r>
      <w:r w:rsidR="00E833DF">
        <w:t xml:space="preserve">treated. In </w:t>
      </w:r>
      <w:r w:rsidR="00B34D05">
        <w:t>both</w:t>
      </w:r>
      <w:r w:rsidR="00E833DF">
        <w:t xml:space="preserve"> cases the monthly datasets to be delivered are very small by today’s standards. A loan servicer with good data governance practices should not have any problems handling loan data at this scale.</w:t>
      </w:r>
    </w:p>
    <w:permEnd w:id="850229040"/>
    <w:p w14:paraId="16C80918" w14:textId="7777777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t>&lt;ESMA_QUESTION_SECR_19&gt;</w:t>
      </w:r>
    </w:p>
    <w:p w14:paraId="36D5D4B1" w14:textId="05CE7B21" w:rsidR="005E3A40" w:rsidRDefault="00E833DF" w:rsidP="005E3A40">
      <w:permStart w:id="1857045978" w:edGrp="everyone"/>
      <w:r>
        <w:t>No</w:t>
      </w:r>
    </w:p>
    <w:permEnd w:id="1857045978"/>
    <w:p w14:paraId="444D6DA8" w14:textId="77777777" w:rsidR="005E3A40" w:rsidRDefault="005E3A40" w:rsidP="005E3A40">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471863F3" w14:textId="77C12DAE" w:rsidR="005E3A40" w:rsidRDefault="00E833DF" w:rsidP="005E3A40">
      <w:permStart w:id="2062491142" w:edGrp="everyone"/>
      <w:r>
        <w:lastRenderedPageBreak/>
        <w:t>No</w:t>
      </w:r>
    </w:p>
    <w:permEnd w:id="2062491142"/>
    <w:p w14:paraId="0DBF4B9B" w14:textId="77777777"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3F38993D" w14:textId="6876F1D6" w:rsidR="005E3A40" w:rsidRDefault="00E833DF" w:rsidP="005E3A40">
      <w:permStart w:id="1344239235" w:edGrp="everyone"/>
      <w:r>
        <w:t>No.</w:t>
      </w:r>
    </w:p>
    <w:permEnd w:id="1344239235"/>
    <w:p w14:paraId="795BA115" w14:textId="77777777"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t>Do you consider that a new template for non-ABCP trade receivables should be included and why? Please provide reasons for your answer.</w:t>
      </w:r>
    </w:p>
    <w:p w14:paraId="54DFC076" w14:textId="77777777" w:rsidR="005E3A40" w:rsidRDefault="005E3A40" w:rsidP="005E3A40">
      <w:r>
        <w:t>&lt;ESMA_QUESTION_SECR_22&gt;</w:t>
      </w:r>
    </w:p>
    <w:p w14:paraId="26E74EDA" w14:textId="173F19C5" w:rsidR="005E3A40" w:rsidRDefault="00E833DF" w:rsidP="005E3A40">
      <w:permStart w:id="852128229" w:edGrp="everyone"/>
      <w:r>
        <w:t>No strong opinion.</w:t>
      </w:r>
    </w:p>
    <w:permEnd w:id="852128229"/>
    <w:p w14:paraId="12C8CED3" w14:textId="77777777"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7BD74B40" w14:textId="77777777" w:rsidR="00E833DF" w:rsidRDefault="00E833DF" w:rsidP="00E833DF">
      <w:permStart w:id="1824142908" w:edGrp="everyone"/>
      <w:r>
        <w:t>No strong opinion.</w:t>
      </w:r>
    </w:p>
    <w:permEnd w:id="1824142908"/>
    <w:p w14:paraId="522ABE96" w14:textId="77777777" w:rsidR="005E3A40" w:rsidRDefault="005E3A40" w:rsidP="005E3A40">
      <w:r>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lastRenderedPageBreak/>
        <w:t>&lt;ESMA_QUESTION_SECR_24&gt;</w:t>
      </w:r>
    </w:p>
    <w:p w14:paraId="786E6E93" w14:textId="77777777" w:rsidR="005E3A40" w:rsidRDefault="005E3A40" w:rsidP="005E3A40">
      <w:permStart w:id="1565488157" w:edGrp="everyone"/>
      <w:r>
        <w:t>TYPE YOUR TEXT HERE</w:t>
      </w:r>
    </w:p>
    <w:permEnd w:id="1565488157"/>
    <w:p w14:paraId="3F95009A" w14:textId="77777777"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t>&lt;ESMA_QUESTION_SECR_25&gt;</w:t>
      </w:r>
    </w:p>
    <w:p w14:paraId="104EAE35" w14:textId="45519CE6" w:rsidR="005E3A40" w:rsidRDefault="00E833DF" w:rsidP="005E3A40">
      <w:permStart w:id="658536556" w:edGrp="everyone"/>
      <w:r>
        <w:t>No</w:t>
      </w:r>
    </w:p>
    <w:permEnd w:id="658536556"/>
    <w:p w14:paraId="357DDD21" w14:textId="77777777"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Do you think that it would be possible to achieve a level of simplification and standardisation 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00100A2E" w14:textId="5D0A3648" w:rsidR="005E3A40" w:rsidRDefault="00F67C9C" w:rsidP="005E3A40">
      <w:permStart w:id="2075921688" w:edGrp="everyone"/>
      <w:r>
        <w:t xml:space="preserve">This is hard to answer in general and would need to be evaluated on a case-by-case basis. One area where I have found the current templates somewhat arbitrary is in some of the categorical fields such as “Collateral Type” and similar, where one of a list of possible values must be selected. These lists often contain many different </w:t>
      </w:r>
      <w:r w:rsidR="004A42B4">
        <w:t>very specific but otherwise undocumented</w:t>
      </w:r>
      <w:r>
        <w:t xml:space="preserve"> options, yet are – understandably - not fully exhaustive and have more than one variant of the “OTHER” option. </w:t>
      </w:r>
      <w:r w:rsidR="004A42B4">
        <w:t xml:space="preserve">This leads to </w:t>
      </w:r>
      <w:r>
        <w:t>an increased chance that data suppliers are unsure which option to select, select the wrong one, or just use one of the “OTHER” values. This then makes it harder to compare across deals. Reducing the list of options to a few broader categories might be a useful simplification in such cases.</w:t>
      </w:r>
    </w:p>
    <w:permEnd w:id="2075921688"/>
    <w:p w14:paraId="02632523" w14:textId="77777777" w:rsidR="005E3A40" w:rsidRDefault="005E3A40" w:rsidP="005E3A40">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t>Do you think that the overall usability would improve with simplified and standardised templates? Please explain the rationale behind your answer.</w:t>
      </w:r>
    </w:p>
    <w:p w14:paraId="006AB5FA" w14:textId="77777777" w:rsidR="005E3A40" w:rsidRDefault="005E3A40" w:rsidP="005E3A40">
      <w:r>
        <w:lastRenderedPageBreak/>
        <w:t>&lt;ESMA_QUESTION_SECR_27&gt;</w:t>
      </w:r>
    </w:p>
    <w:p w14:paraId="18D3E3CE" w14:textId="6D9CFEB8" w:rsidR="005E3A40" w:rsidRDefault="004A42B4" w:rsidP="005E3A40">
      <w:permStart w:id="1638809272" w:edGrp="everyone"/>
      <w:r>
        <w:t>No.</w:t>
      </w:r>
    </w:p>
    <w:permEnd w:id="1638809272"/>
    <w:p w14:paraId="13D72138" w14:textId="77777777" w:rsidR="005E3A40" w:rsidRDefault="005E3A40" w:rsidP="005E3A40">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264F1EE9" w14:textId="003E4967" w:rsidR="005E3A40" w:rsidRDefault="004A42B4" w:rsidP="005E3A40">
      <w:permStart w:id="1569332394" w:edGrp="everyone"/>
      <w:r>
        <w:t>I do not agree with option D as an approach in general. But I do agree that any templates should be tailored to the nature of the underlying assets (as the current templates are).</w:t>
      </w:r>
    </w:p>
    <w:permEnd w:id="1569332394"/>
    <w:p w14:paraId="4461A16B" w14:textId="77777777"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4B229649" w14:textId="60D7A2E9" w:rsidR="005E3A40" w:rsidRDefault="004A42B4" w:rsidP="005E3A40">
      <w:permStart w:id="124991945" w:edGrp="everyone"/>
      <w:r>
        <w:t>No. There is no benefit to doing so. Aggregate</w:t>
      </w:r>
      <w:r w:rsidR="00913932">
        <w:t>d</w:t>
      </w:r>
      <w:r>
        <w:t xml:space="preserve"> data are far harder to analyse and interpret and compare across transactions.</w:t>
      </w:r>
    </w:p>
    <w:permEnd w:id="124991945"/>
    <w:p w14:paraId="08EC3A20" w14:textId="77777777"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68788DB2" w14:textId="102BBD71" w:rsidR="005E3A40" w:rsidRDefault="007A2C0C" w:rsidP="005E3A40">
      <w:permStart w:id="721122566" w:edGrp="everyone"/>
      <w:r>
        <w:t>No.</w:t>
      </w:r>
    </w:p>
    <w:permEnd w:id="721122566"/>
    <w:p w14:paraId="73E0D9F3" w14:textId="77777777" w:rsidR="005E3A40" w:rsidRDefault="005E3A40" w:rsidP="005E3A40">
      <w:r>
        <w:lastRenderedPageBreak/>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t>&lt;ESMA_QUESTION_SECR_31&gt;</w:t>
      </w:r>
    </w:p>
    <w:p w14:paraId="028CF12A" w14:textId="15E68AA8" w:rsidR="005E3A40" w:rsidRDefault="007A2C0C" w:rsidP="005E3A40">
      <w:permStart w:id="1998464241" w:edGrp="everyone"/>
      <w:r>
        <w:t>I think this could be a useful way to try to force data suppliers to improve the completeness of the data provided.</w:t>
      </w:r>
    </w:p>
    <w:permEnd w:id="1998464241"/>
    <w:p w14:paraId="740C8D9B" w14:textId="77777777"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44710BD7" w14:textId="07AD67F1" w:rsidR="005E3A40" w:rsidRDefault="007A2C0C" w:rsidP="005E3A40">
      <w:permStart w:id="2063932817" w:edGrp="everyone"/>
      <w:r>
        <w:t>There is a risk that it will be hard to agree on fields that should be truly “mandatory” for every single deal within a given asset class. Given that this change would require a change in legal text, perhaps an alternative whereby securitization repositories have more power to enforce improvements in data quality over time is a more effective and less costly approach.</w:t>
      </w:r>
    </w:p>
    <w:permEnd w:id="2063932817"/>
    <w:p w14:paraId="3FE018F6" w14:textId="77777777"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798D86BF" w14:textId="39A3FED8" w:rsidR="005E3A40" w:rsidRDefault="007A2C0C" w:rsidP="005E3A40">
      <w:permStart w:id="45038889" w:edGrp="everyone"/>
      <w:r>
        <w:t>Any de</w:t>
      </w:r>
      <w:r w:rsidR="009C78E4">
        <w:t>parture</w:t>
      </w:r>
      <w:r>
        <w:t xml:space="preserve"> from full loan-level data reporting is in my view a big step back in time and in the wrong direction. </w:t>
      </w:r>
      <w:r w:rsidR="009C78E4">
        <w:t>Certainly from the viewpoint of a data consumer, more granular is always better – aggregation of loan-level data can always be done by the data consumer, but disaggregation of aggregate-level reports cannot.</w:t>
      </w:r>
    </w:p>
    <w:permEnd w:id="45038889"/>
    <w:p w14:paraId="45775408" w14:textId="77777777" w:rsidR="005E3A40" w:rsidRPr="006059EA" w:rsidRDefault="005E3A40" w:rsidP="005E3A40">
      <w:r w:rsidRPr="006059EA">
        <w:lastRenderedPageBreak/>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D0AE" w14:textId="77777777" w:rsidR="00FD3E7D" w:rsidRDefault="00FD3E7D" w:rsidP="007E7997">
      <w:pPr>
        <w:spacing w:line="240" w:lineRule="auto"/>
      </w:pPr>
      <w:r>
        <w:separator/>
      </w:r>
    </w:p>
  </w:endnote>
  <w:endnote w:type="continuationSeparator" w:id="0">
    <w:p w14:paraId="219ED75B" w14:textId="77777777" w:rsidR="00FD3E7D" w:rsidRDefault="00FD3E7D" w:rsidP="007E7997">
      <w:pPr>
        <w:spacing w:line="240" w:lineRule="auto"/>
      </w:pPr>
      <w:r>
        <w:continuationSeparator/>
      </w:r>
    </w:p>
  </w:endnote>
  <w:endnote w:type="continuationNotice" w:id="1">
    <w:p w14:paraId="7166B53D" w14:textId="77777777" w:rsidR="00FD3E7D" w:rsidRDefault="00FD3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441" w14:textId="77777777" w:rsidR="009D20F3" w:rsidRDefault="009D2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779" w14:textId="77777777" w:rsidR="009D20F3" w:rsidRDefault="009D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ED91" w14:textId="77777777" w:rsidR="009D20F3" w:rsidRDefault="009D2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A021" w14:textId="77777777" w:rsidR="00FD3E7D" w:rsidRDefault="00FD3E7D" w:rsidP="007E7997">
      <w:pPr>
        <w:spacing w:line="240" w:lineRule="auto"/>
      </w:pPr>
      <w:r>
        <w:separator/>
      </w:r>
    </w:p>
  </w:footnote>
  <w:footnote w:type="continuationSeparator" w:id="0">
    <w:p w14:paraId="0974FF2C" w14:textId="77777777" w:rsidR="00FD3E7D" w:rsidRDefault="00FD3E7D" w:rsidP="007E7997">
      <w:pPr>
        <w:spacing w:line="240" w:lineRule="auto"/>
      </w:pPr>
      <w:r>
        <w:continuationSeparator/>
      </w:r>
    </w:p>
  </w:footnote>
  <w:footnote w:type="continuationNotice" w:id="1">
    <w:p w14:paraId="5D170E64" w14:textId="77777777" w:rsidR="00FD3E7D" w:rsidRDefault="00FD3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54E" w14:textId="77777777" w:rsidR="009D20F3" w:rsidRDefault="009D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D0" w14:textId="77777777" w:rsidR="009D20F3" w:rsidRDefault="009D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Header"/>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4"/>
  </w:num>
  <w:num w:numId="3" w16cid:durableId="1675497260">
    <w:abstractNumId w:val="11"/>
  </w:num>
  <w:num w:numId="4" w16cid:durableId="1146706333">
    <w:abstractNumId w:val="3"/>
  </w:num>
  <w:num w:numId="5" w16cid:durableId="1502348752">
    <w:abstractNumId w:val="0"/>
  </w:num>
  <w:num w:numId="6" w16cid:durableId="1544101585">
    <w:abstractNumId w:val="6"/>
  </w:num>
  <w:num w:numId="7" w16cid:durableId="896626050">
    <w:abstractNumId w:val="15"/>
  </w:num>
  <w:num w:numId="8" w16cid:durableId="806780153">
    <w:abstractNumId w:val="2"/>
  </w:num>
  <w:num w:numId="9" w16cid:durableId="1677002603">
    <w:abstractNumId w:val="13"/>
  </w:num>
  <w:num w:numId="10" w16cid:durableId="22487393">
    <w:abstractNumId w:val="10"/>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027319631">
    <w:abstractNumId w:val="12"/>
  </w:num>
  <w:num w:numId="18" w16cid:durableId="1118719538">
    <w:abstractNumId w:val="5"/>
  </w:num>
  <w:num w:numId="19" w16cid:durableId="26407430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48"/>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1FD"/>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493"/>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09C"/>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2B4"/>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43F"/>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2C"/>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52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3E7"/>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148"/>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15A8"/>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2C0C"/>
    <w:rsid w:val="007A37AE"/>
    <w:rsid w:val="007A3A27"/>
    <w:rsid w:val="007A3E0A"/>
    <w:rsid w:val="007A415F"/>
    <w:rsid w:val="007A4668"/>
    <w:rsid w:val="007A4EF9"/>
    <w:rsid w:val="007A51AC"/>
    <w:rsid w:val="007A51C5"/>
    <w:rsid w:val="007A5AB6"/>
    <w:rsid w:val="007A5D93"/>
    <w:rsid w:val="007A6114"/>
    <w:rsid w:val="007A6940"/>
    <w:rsid w:val="007A6EEF"/>
    <w:rsid w:val="007A705E"/>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B2E"/>
    <w:rsid w:val="00907F26"/>
    <w:rsid w:val="009109D2"/>
    <w:rsid w:val="009112EF"/>
    <w:rsid w:val="00911732"/>
    <w:rsid w:val="00911828"/>
    <w:rsid w:val="00911AC6"/>
    <w:rsid w:val="00911F2E"/>
    <w:rsid w:val="0091204F"/>
    <w:rsid w:val="009121C2"/>
    <w:rsid w:val="00912A82"/>
    <w:rsid w:val="00913079"/>
    <w:rsid w:val="009134CE"/>
    <w:rsid w:val="00913932"/>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8E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4D05"/>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2E"/>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59A"/>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3DF"/>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28D0"/>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9B9"/>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C9C"/>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3E7D"/>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A20CC"/>
    <w:rsid w:val="000B5175"/>
    <w:rsid w:val="0015768C"/>
    <w:rsid w:val="0044391D"/>
    <w:rsid w:val="004E4CF9"/>
    <w:rsid w:val="004F263F"/>
    <w:rsid w:val="005D66AB"/>
    <w:rsid w:val="007158DF"/>
    <w:rsid w:val="00813189"/>
    <w:rsid w:val="008222A0"/>
    <w:rsid w:val="00836D47"/>
    <w:rsid w:val="009B6B9C"/>
    <w:rsid w:val="00B22006"/>
    <w:rsid w:val="00D358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2565</Words>
  <Characters>14622</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Stefan De Wachter</cp:lastModifiedBy>
  <cp:revision>6</cp:revision>
  <cp:lastPrinted>2023-09-09T00:53:00Z</cp:lastPrinted>
  <dcterms:created xsi:type="dcterms:W3CDTF">2024-03-15T15:19:00Z</dcterms:created>
  <dcterms:modified xsi:type="dcterms:W3CDTF">2024-03-15T16:12:00Z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ies>
</file>