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C6BF" w14:textId="420758A7" w:rsidR="00830D07" w:rsidRPr="0066443B" w:rsidRDefault="00830D07" w:rsidP="00B92CF9">
      <w:pPr>
        <w:pStyle w:val="ListParagraph"/>
        <w:spacing w:before="120" w:after="240"/>
        <w:ind w:left="0"/>
        <w:rPr>
          <w:rFonts w:eastAsia="Credit Suisse Type Light" w:cstheme="minorHAnsi"/>
          <w:b/>
          <w:bCs/>
          <w:i/>
          <w:iCs/>
          <w:color w:val="002060"/>
          <w:sz w:val="32"/>
          <w:szCs w:val="32"/>
          <w:u w:val="single"/>
          <w:lang w:eastAsia="de-CH"/>
          <w14:ligatures w14:val="none"/>
        </w:rPr>
      </w:pPr>
      <w:bookmarkStart w:id="0" w:name="_Hlk117162658"/>
      <w:r w:rsidRPr="0066443B">
        <w:rPr>
          <w:b/>
          <w:bCs/>
          <w:color w:val="2E5395"/>
          <w:sz w:val="28"/>
          <w:szCs w:val="28"/>
          <w14:ligatures w14:val="none"/>
        </w:rPr>
        <w:t>SFC</w:t>
      </w:r>
      <w:r w:rsidR="00384CF6" w:rsidRPr="0066443B">
        <w:rPr>
          <w:b/>
          <w:bCs/>
          <w:color w:val="2E5395"/>
          <w:sz w:val="28"/>
          <w:szCs w:val="28"/>
          <w14:ligatures w14:val="none"/>
        </w:rPr>
        <w:t xml:space="preserve"> response to the ESMA consultation on </w:t>
      </w:r>
      <w:r w:rsidR="00F66F78" w:rsidRPr="0066443B">
        <w:rPr>
          <w:b/>
          <w:bCs/>
          <w:color w:val="2E5395"/>
          <w:sz w:val="28"/>
          <w:szCs w:val="28"/>
          <w14:ligatures w14:val="none"/>
        </w:rPr>
        <w:t>securitisation disclosure templates</w:t>
      </w:r>
      <w:bookmarkEnd w:id="0"/>
    </w:p>
    <w:p w14:paraId="2818253D" w14:textId="77777777" w:rsidR="009F16A1" w:rsidRDefault="009F16A1" w:rsidP="006E0B92">
      <w:pPr>
        <w:spacing w:before="120" w:line="240" w:lineRule="auto"/>
        <w:jc w:val="both"/>
        <w:rPr>
          <w:rFonts w:cstheme="minorHAnsi"/>
        </w:rPr>
      </w:pPr>
    </w:p>
    <w:p w14:paraId="2849463B" w14:textId="77777777" w:rsidR="0066443B" w:rsidRPr="00F00052" w:rsidRDefault="0066443B" w:rsidP="006E0B92">
      <w:pPr>
        <w:spacing w:before="120" w:line="240" w:lineRule="auto"/>
        <w:jc w:val="both"/>
        <w:rPr>
          <w:rFonts w:ascii="Calibri" w:hAnsi="Calibri" w:cs="Calibri"/>
          <w:b/>
          <w:bCs/>
          <w:color w:val="2E5395"/>
          <w:sz w:val="23"/>
          <w:szCs w:val="23"/>
        </w:rPr>
      </w:pPr>
      <w:r w:rsidRPr="00F00052">
        <w:rPr>
          <w:rFonts w:ascii="Calibri" w:hAnsi="Calibri" w:cs="Calibri"/>
          <w:b/>
          <w:bCs/>
          <w:color w:val="2E5395"/>
          <w:sz w:val="23"/>
          <w:szCs w:val="23"/>
        </w:rPr>
        <w:t>Introduction</w:t>
      </w:r>
    </w:p>
    <w:p w14:paraId="5BA439AB" w14:textId="0314C415" w:rsidR="00830D07" w:rsidRPr="0066443B" w:rsidRDefault="00830D07" w:rsidP="006E0B92">
      <w:pPr>
        <w:spacing w:before="120" w:line="240" w:lineRule="auto"/>
        <w:jc w:val="both"/>
        <w:rPr>
          <w:rFonts w:cstheme="minorHAnsi"/>
        </w:rPr>
      </w:pPr>
      <w:r w:rsidRPr="0066443B">
        <w:rPr>
          <w:rFonts w:cstheme="minorHAnsi"/>
        </w:rPr>
        <w:t>The Swiss Finance Council (SFC) engages in dialogue around policy developments in finance at a European level. Our members</w:t>
      </w:r>
      <w:r w:rsidR="00A270A4" w:rsidRPr="0066443B">
        <w:rPr>
          <w:rFonts w:cstheme="minorHAnsi"/>
        </w:rPr>
        <w:t xml:space="preserve"> </w:t>
      </w:r>
      <w:r w:rsidR="000562BE" w:rsidRPr="0066443B">
        <w:rPr>
          <w:rFonts w:cstheme="minorHAnsi"/>
        </w:rPr>
        <w:t>include the l</w:t>
      </w:r>
      <w:r w:rsidRPr="0066443B">
        <w:rPr>
          <w:rFonts w:cstheme="minorHAnsi"/>
        </w:rPr>
        <w:t>argest global asset and wealth management firms</w:t>
      </w:r>
      <w:r w:rsidR="00556F41" w:rsidRPr="0066443B">
        <w:rPr>
          <w:rFonts w:cstheme="minorHAnsi"/>
        </w:rPr>
        <w:t xml:space="preserve"> and</w:t>
      </w:r>
      <w:r w:rsidRPr="0066443B">
        <w:rPr>
          <w:rFonts w:cstheme="minorHAnsi"/>
        </w:rPr>
        <w:t xml:space="preserve"> have substantial activities within the EU</w:t>
      </w:r>
      <w:r w:rsidR="00A270A4" w:rsidRPr="0066443B">
        <w:rPr>
          <w:rFonts w:cstheme="minorHAnsi"/>
        </w:rPr>
        <w:t>.</w:t>
      </w:r>
    </w:p>
    <w:p w14:paraId="7A6C6212" w14:textId="4D20B8EE" w:rsidR="00001D74" w:rsidRPr="0066443B" w:rsidRDefault="00CC088A" w:rsidP="006E0B92">
      <w:pPr>
        <w:spacing w:before="120" w:line="240" w:lineRule="auto"/>
        <w:jc w:val="both"/>
        <w:rPr>
          <w:rFonts w:ascii="Calibri" w:hAnsi="Calibri" w:cs="Calibri"/>
          <w:b/>
          <w:bCs/>
          <w:color w:val="2E5395"/>
          <w:sz w:val="23"/>
          <w:szCs w:val="23"/>
        </w:rPr>
      </w:pPr>
      <w:r w:rsidRPr="0066443B">
        <w:rPr>
          <w:rFonts w:ascii="Calibri" w:hAnsi="Calibri" w:cs="Calibri"/>
          <w:b/>
          <w:bCs/>
          <w:color w:val="2E5395"/>
          <w:sz w:val="23"/>
          <w:szCs w:val="23"/>
        </w:rPr>
        <w:t>General Remarks</w:t>
      </w:r>
    </w:p>
    <w:p w14:paraId="56D7424B" w14:textId="546F392D" w:rsidR="00746EFA" w:rsidRPr="0066443B" w:rsidRDefault="006B0291" w:rsidP="006E0B92">
      <w:pPr>
        <w:spacing w:before="120" w:line="240" w:lineRule="auto"/>
        <w:jc w:val="both"/>
      </w:pPr>
      <w:r w:rsidRPr="0066443B">
        <w:t>Being geographically</w:t>
      </w:r>
      <w:r w:rsidR="00E91032" w:rsidRPr="0066443B">
        <w:t xml:space="preserve"> situated</w:t>
      </w:r>
      <w:r w:rsidRPr="0066443B">
        <w:t xml:space="preserve"> in the heart of the EU’s capital markets, the Swiss financial industry attaches </w:t>
      </w:r>
      <w:r w:rsidR="00E205F4" w:rsidRPr="0066443B">
        <w:t>great importance to the creation of a</w:t>
      </w:r>
      <w:r w:rsidR="00A64EFE" w:rsidRPr="0066443B">
        <w:t>n</w:t>
      </w:r>
      <w:r w:rsidR="00E205F4" w:rsidRPr="0066443B">
        <w:t xml:space="preserve"> efficient, liquid and competitive </w:t>
      </w:r>
      <w:r w:rsidR="001E0CC0" w:rsidRPr="0066443B">
        <w:t xml:space="preserve">European capital market as envisaged by the CMU. </w:t>
      </w:r>
      <w:r w:rsidR="00781C60" w:rsidRPr="0066443B">
        <w:t>The SFC</w:t>
      </w:r>
      <w:r w:rsidR="00296AF3" w:rsidRPr="0066443B">
        <w:t>’</w:t>
      </w:r>
      <w:r w:rsidR="00781C60" w:rsidRPr="0066443B">
        <w:t xml:space="preserve">s </w:t>
      </w:r>
      <w:r w:rsidR="003D188C" w:rsidRPr="0066443B">
        <w:t xml:space="preserve">reflections on the design of the next stage of CMU are set out </w:t>
      </w:r>
      <w:r w:rsidR="00B23AC3" w:rsidRPr="0066443B">
        <w:t>in the relat</w:t>
      </w:r>
      <w:r w:rsidR="00A012A3" w:rsidRPr="0066443B">
        <w:t>ed</w:t>
      </w:r>
      <w:r w:rsidR="00B23AC3" w:rsidRPr="0066443B">
        <w:t xml:space="preserve"> </w:t>
      </w:r>
      <w:hyperlink r:id="rId11" w:history="1">
        <w:r w:rsidR="00FE4AFC" w:rsidRPr="0066443B">
          <w:rPr>
            <w:color w:val="0000FF"/>
            <w:u w:val="single"/>
          </w:rPr>
          <w:t>SFC Position Paper</w:t>
        </w:r>
      </w:hyperlink>
      <w:r w:rsidR="00F82CE1" w:rsidRPr="0066443B">
        <w:t xml:space="preserve">, including suggestions for </w:t>
      </w:r>
      <w:r w:rsidR="00D85061" w:rsidRPr="0066443B">
        <w:t>reviving the EU’s securitisation market.</w:t>
      </w:r>
    </w:p>
    <w:p w14:paraId="61AEEB5E" w14:textId="5679F9D7" w:rsidR="00746EFA" w:rsidRPr="0066443B" w:rsidRDefault="00E742BA" w:rsidP="006E0B92">
      <w:pPr>
        <w:spacing w:before="120" w:line="240" w:lineRule="auto"/>
        <w:jc w:val="both"/>
      </w:pPr>
      <w:r w:rsidRPr="0066443B">
        <w:t xml:space="preserve">In this regard we welcome the commitment of </w:t>
      </w:r>
      <w:r w:rsidR="00740CC5" w:rsidRPr="0066443B">
        <w:t xml:space="preserve">the Commission </w:t>
      </w:r>
      <w:r w:rsidR="005F327A" w:rsidRPr="0066443B">
        <w:t xml:space="preserve">to </w:t>
      </w:r>
      <w:r w:rsidR="002229D6" w:rsidRPr="0066443B">
        <w:t xml:space="preserve">start </w:t>
      </w:r>
      <w:r w:rsidRPr="0066443B">
        <w:t>review</w:t>
      </w:r>
      <w:r w:rsidR="002229D6" w:rsidRPr="0066443B">
        <w:t>ing</w:t>
      </w:r>
      <w:r w:rsidRPr="0066443B">
        <w:t xml:space="preserve"> </w:t>
      </w:r>
      <w:r w:rsidR="00B263D9" w:rsidRPr="0066443B">
        <w:t>the current</w:t>
      </w:r>
      <w:r w:rsidR="006A1A43" w:rsidRPr="0066443B">
        <w:t xml:space="preserve"> </w:t>
      </w:r>
      <w:r w:rsidR="005F327A" w:rsidRPr="0066443B">
        <w:t xml:space="preserve">Level 1 </w:t>
      </w:r>
      <w:r w:rsidR="00B263D9" w:rsidRPr="0066443B">
        <w:t xml:space="preserve">regulatory </w:t>
      </w:r>
      <w:r w:rsidR="006A1A43" w:rsidRPr="0066443B">
        <w:t xml:space="preserve">securitisation </w:t>
      </w:r>
      <w:r w:rsidR="00B263D9" w:rsidRPr="0066443B">
        <w:t>framework as an important element o</w:t>
      </w:r>
      <w:r w:rsidR="00012D96" w:rsidRPr="0066443B">
        <w:t>f the path towards better performing</w:t>
      </w:r>
      <w:r w:rsidR="006A1A43" w:rsidRPr="0066443B">
        <w:t xml:space="preserve"> EU capital marke</w:t>
      </w:r>
      <w:r w:rsidR="003E56C4" w:rsidRPr="0066443B">
        <w:t>ts</w:t>
      </w:r>
      <w:r w:rsidR="006A1A43" w:rsidRPr="0066443B">
        <w:t xml:space="preserve">. </w:t>
      </w:r>
    </w:p>
    <w:p w14:paraId="4FFA05D9" w14:textId="03817654" w:rsidR="00A462D5" w:rsidRPr="0066443B" w:rsidRDefault="00A462D5" w:rsidP="006E0B92">
      <w:pPr>
        <w:spacing w:before="120" w:line="240" w:lineRule="auto"/>
        <w:jc w:val="both"/>
      </w:pPr>
      <w:r w:rsidRPr="0066443B">
        <w:t xml:space="preserve">The SFC </w:t>
      </w:r>
      <w:r w:rsidR="001D5DFB" w:rsidRPr="0066443B">
        <w:t xml:space="preserve">appreciates </w:t>
      </w:r>
      <w:r w:rsidR="00870001" w:rsidRPr="0066443B">
        <w:t xml:space="preserve">the </w:t>
      </w:r>
      <w:r w:rsidR="004C5747" w:rsidRPr="0066443B">
        <w:t>Commission</w:t>
      </w:r>
      <w:r w:rsidR="00870001" w:rsidRPr="0066443B">
        <w:t>’</w:t>
      </w:r>
      <w:r w:rsidR="00122B06" w:rsidRPr="0066443B">
        <w:t>s</w:t>
      </w:r>
      <w:r w:rsidR="004C5747" w:rsidRPr="0066443B">
        <w:t xml:space="preserve"> </w:t>
      </w:r>
      <w:r w:rsidR="001D5DFB" w:rsidRPr="0066443B">
        <w:t xml:space="preserve">commitment </w:t>
      </w:r>
      <w:r w:rsidR="00490489" w:rsidRPr="0066443B">
        <w:t xml:space="preserve">in its </w:t>
      </w:r>
      <w:hyperlink r:id="rId12" w:history="1">
        <w:r w:rsidR="00846215" w:rsidRPr="0066443B">
          <w:rPr>
            <w:color w:val="0000FF"/>
            <w:u w:val="single"/>
          </w:rPr>
          <w:t>2024 Work Programme</w:t>
        </w:r>
      </w:hyperlink>
      <w:r w:rsidR="00846215" w:rsidRPr="0066443B">
        <w:t xml:space="preserve"> </w:t>
      </w:r>
      <w:r w:rsidR="00490489" w:rsidRPr="0066443B">
        <w:t xml:space="preserve">to </w:t>
      </w:r>
      <w:r w:rsidR="003D1F66" w:rsidRPr="0066443B">
        <w:t>r</w:t>
      </w:r>
      <w:r w:rsidR="00490489" w:rsidRPr="0066443B">
        <w:t>educ</w:t>
      </w:r>
      <w:r w:rsidR="003D1F66" w:rsidRPr="0066443B">
        <w:t>e</w:t>
      </w:r>
      <w:r w:rsidR="00490489" w:rsidRPr="0066443B">
        <w:t xml:space="preserve"> administrative burdens</w:t>
      </w:r>
      <w:r w:rsidR="003D1F66" w:rsidRPr="0066443B">
        <w:t xml:space="preserve"> and to maintain</w:t>
      </w:r>
      <w:r w:rsidR="00490489" w:rsidRPr="0066443B">
        <w:t xml:space="preserve"> the competitiveness of European businesses. </w:t>
      </w:r>
      <w:r w:rsidR="001A383C" w:rsidRPr="001A383C">
        <w:t>The Commission's Communication on long-term competitiveness aimed to decrease reporting burdens by 25% while maintaining policy objectives intact.</w:t>
      </w:r>
    </w:p>
    <w:p w14:paraId="4C8F779B" w14:textId="77777777" w:rsidR="00B92CF9" w:rsidRDefault="00B92CF9" w:rsidP="006E0B92">
      <w:pPr>
        <w:spacing w:before="120" w:line="240" w:lineRule="auto"/>
        <w:jc w:val="both"/>
        <w:rPr>
          <w:rFonts w:ascii="Calibri" w:hAnsi="Calibri" w:cs="Calibri"/>
          <w:b/>
          <w:bCs/>
          <w:color w:val="2E5395"/>
          <w:sz w:val="23"/>
          <w:szCs w:val="23"/>
        </w:rPr>
      </w:pPr>
    </w:p>
    <w:p w14:paraId="73C364D2" w14:textId="68BD987A" w:rsidR="00A462D5" w:rsidRPr="006E0B92" w:rsidRDefault="00A462D5" w:rsidP="006E0B92">
      <w:pPr>
        <w:spacing w:before="120" w:line="240" w:lineRule="auto"/>
        <w:jc w:val="both"/>
        <w:rPr>
          <w:rFonts w:ascii="Calibri" w:hAnsi="Calibri" w:cs="Calibri"/>
          <w:b/>
          <w:bCs/>
          <w:color w:val="2E5395"/>
          <w:sz w:val="23"/>
          <w:szCs w:val="23"/>
        </w:rPr>
      </w:pPr>
      <w:r w:rsidRPr="006E0B92">
        <w:rPr>
          <w:rFonts w:ascii="Calibri" w:hAnsi="Calibri" w:cs="Calibri"/>
          <w:b/>
          <w:bCs/>
          <w:color w:val="2E5395"/>
          <w:sz w:val="23"/>
          <w:szCs w:val="23"/>
        </w:rPr>
        <w:t>The ESMA consultation</w:t>
      </w:r>
    </w:p>
    <w:p w14:paraId="32965B3C" w14:textId="58AFBBB7" w:rsidR="00805703" w:rsidRPr="006E0B92" w:rsidRDefault="00805703" w:rsidP="006E0B92">
      <w:pPr>
        <w:pStyle w:val="Heading4"/>
        <w:spacing w:before="120" w:line="240" w:lineRule="auto"/>
      </w:pPr>
      <w:r w:rsidRPr="006E0B92">
        <w:t xml:space="preserve">General Remarks and </w:t>
      </w:r>
      <w:r w:rsidR="001E3408" w:rsidRPr="006E0B92">
        <w:t>suggestions for improvements</w:t>
      </w:r>
    </w:p>
    <w:p w14:paraId="5DF6B9D7" w14:textId="0EAEDC0D" w:rsidR="00A462D5" w:rsidRPr="0066443B" w:rsidRDefault="0037026F" w:rsidP="006E0B92">
      <w:pPr>
        <w:spacing w:before="120" w:line="240" w:lineRule="auto"/>
        <w:jc w:val="both"/>
        <w:rPr>
          <w:b/>
          <w:bCs/>
          <w:u w:val="single"/>
        </w:rPr>
      </w:pPr>
      <w:r w:rsidRPr="0066443B">
        <w:rPr>
          <w:b/>
          <w:bCs/>
          <w:u w:val="single"/>
        </w:rPr>
        <w:t>Applying</w:t>
      </w:r>
      <w:r w:rsidR="007342F9" w:rsidRPr="0066443B">
        <w:rPr>
          <w:b/>
          <w:bCs/>
          <w:u w:val="single"/>
        </w:rPr>
        <w:t xml:space="preserve"> </w:t>
      </w:r>
      <w:r w:rsidR="00C938A0" w:rsidRPr="0066443B">
        <w:rPr>
          <w:b/>
          <w:bCs/>
          <w:u w:val="single"/>
        </w:rPr>
        <w:t xml:space="preserve">these </w:t>
      </w:r>
      <w:r w:rsidR="004C4A20" w:rsidRPr="0066443B">
        <w:rPr>
          <w:b/>
          <w:bCs/>
          <w:u w:val="single"/>
        </w:rPr>
        <w:t>general</w:t>
      </w:r>
      <w:r w:rsidR="007342F9" w:rsidRPr="0066443B">
        <w:rPr>
          <w:b/>
          <w:bCs/>
          <w:u w:val="single"/>
        </w:rPr>
        <w:t xml:space="preserve"> remarks </w:t>
      </w:r>
      <w:r w:rsidRPr="0066443B">
        <w:rPr>
          <w:b/>
          <w:bCs/>
          <w:u w:val="single"/>
        </w:rPr>
        <w:t>to</w:t>
      </w:r>
      <w:r w:rsidR="007342F9" w:rsidRPr="0066443B">
        <w:rPr>
          <w:b/>
          <w:bCs/>
          <w:u w:val="single"/>
        </w:rPr>
        <w:t xml:space="preserve"> this consultation, the SFC suggests th</w:t>
      </w:r>
      <w:r w:rsidR="00A947F8" w:rsidRPr="0066443B">
        <w:rPr>
          <w:b/>
          <w:bCs/>
          <w:u w:val="single"/>
        </w:rPr>
        <w:t>e work on securitisation disclosure to</w:t>
      </w:r>
      <w:r w:rsidR="00C938A0" w:rsidRPr="0066443B">
        <w:rPr>
          <w:b/>
          <w:bCs/>
          <w:u w:val="single"/>
        </w:rPr>
        <w:t xml:space="preserve"> </w:t>
      </w:r>
      <w:r w:rsidR="004C4A20" w:rsidRPr="0066443B">
        <w:rPr>
          <w:b/>
          <w:bCs/>
          <w:u w:val="single"/>
        </w:rPr>
        <w:t xml:space="preserve">be </w:t>
      </w:r>
      <w:r w:rsidR="00C938A0" w:rsidRPr="0066443B">
        <w:rPr>
          <w:b/>
          <w:bCs/>
          <w:u w:val="single"/>
        </w:rPr>
        <w:t>guided by the following principles</w:t>
      </w:r>
      <w:r w:rsidR="002023E4" w:rsidRPr="0066443B">
        <w:rPr>
          <w:b/>
          <w:bCs/>
          <w:u w:val="single"/>
        </w:rPr>
        <w:t>:</w:t>
      </w:r>
    </w:p>
    <w:p w14:paraId="555D67E5" w14:textId="15B66834" w:rsidR="006F6008" w:rsidRPr="0066443B" w:rsidRDefault="006F6008" w:rsidP="006E0B92">
      <w:pPr>
        <w:pStyle w:val="ListParagraph"/>
        <w:numPr>
          <w:ilvl w:val="0"/>
          <w:numId w:val="3"/>
        </w:numPr>
        <w:spacing w:before="120"/>
        <w:jc w:val="both"/>
      </w:pPr>
      <w:r w:rsidRPr="0066443B">
        <w:t>Adjustments should be targeted to strengthen CMU</w:t>
      </w:r>
      <w:r w:rsidR="00DE4D59" w:rsidRPr="0066443B">
        <w:t>.</w:t>
      </w:r>
    </w:p>
    <w:p w14:paraId="5CEF2D0A" w14:textId="2B4DDC53" w:rsidR="00540FA8" w:rsidRPr="0066443B" w:rsidRDefault="002023E4" w:rsidP="006E0B92">
      <w:pPr>
        <w:pStyle w:val="ListParagraph"/>
        <w:numPr>
          <w:ilvl w:val="0"/>
          <w:numId w:val="3"/>
        </w:numPr>
        <w:spacing w:before="120"/>
        <w:jc w:val="both"/>
      </w:pPr>
      <w:r w:rsidRPr="0066443B">
        <w:t xml:space="preserve">Removing obstacles </w:t>
      </w:r>
      <w:r w:rsidR="009F3BAA" w:rsidRPr="0066443B">
        <w:t>that prevent a global reach of the EU securitisation busines</w:t>
      </w:r>
      <w:r w:rsidR="002229D6" w:rsidRPr="0066443B">
        <w:t>s.</w:t>
      </w:r>
      <w:r w:rsidR="008A1CDC" w:rsidRPr="0066443B">
        <w:t xml:space="preserve"> </w:t>
      </w:r>
      <w:r w:rsidR="00683EB9" w:rsidRPr="0066443B">
        <w:t>Aiming for a reduction in reporting / disclosure burden</w:t>
      </w:r>
      <w:r w:rsidR="00E42443" w:rsidRPr="0066443B">
        <w:t xml:space="preserve"> without </w:t>
      </w:r>
      <w:r w:rsidR="002B278B" w:rsidRPr="0066443B">
        <w:t>losing</w:t>
      </w:r>
      <w:r w:rsidR="00E42443" w:rsidRPr="0066443B">
        <w:t xml:space="preserve"> </w:t>
      </w:r>
      <w:r w:rsidR="00540FA8" w:rsidRPr="0066443B">
        <w:t xml:space="preserve">materially useful information, and without changes that mean yet more IT and system changes (and therefore costs) that outweigh benefits. </w:t>
      </w:r>
    </w:p>
    <w:p w14:paraId="61197627" w14:textId="20728FF0" w:rsidR="007E097E" w:rsidRPr="0066443B" w:rsidRDefault="007E097E" w:rsidP="006E0B92">
      <w:pPr>
        <w:pStyle w:val="ListParagraph"/>
        <w:numPr>
          <w:ilvl w:val="0"/>
          <w:numId w:val="3"/>
        </w:numPr>
        <w:spacing w:before="120"/>
        <w:jc w:val="both"/>
      </w:pPr>
      <w:r w:rsidRPr="0066443B">
        <w:t xml:space="preserve">Introducing new / additional disclosure provisions only if </w:t>
      </w:r>
      <w:r w:rsidR="00D56FF1" w:rsidRPr="0066443B">
        <w:t xml:space="preserve">they are of a true </w:t>
      </w:r>
      <w:r w:rsidR="00C2686D" w:rsidRPr="0066443B">
        <w:t xml:space="preserve">technical </w:t>
      </w:r>
      <w:r w:rsidR="00547996" w:rsidRPr="0066443B">
        <w:t xml:space="preserve">nature and </w:t>
      </w:r>
      <w:r w:rsidR="00304E95" w:rsidRPr="0066443B">
        <w:t xml:space="preserve">whose impact is clearly reducing costs for market participants.  </w:t>
      </w:r>
    </w:p>
    <w:p w14:paraId="121B2F06" w14:textId="3F0A8208" w:rsidR="008F5C72" w:rsidRPr="0066443B" w:rsidRDefault="00E50B88" w:rsidP="006E0B92">
      <w:pPr>
        <w:pStyle w:val="ListParagraph"/>
        <w:numPr>
          <w:ilvl w:val="0"/>
          <w:numId w:val="3"/>
        </w:numPr>
        <w:spacing w:before="120"/>
        <w:jc w:val="both"/>
      </w:pPr>
      <w:r w:rsidRPr="0066443B">
        <w:t>Addressing more substantial matters together with the Level 1 text review</w:t>
      </w:r>
      <w:r w:rsidR="006C3437" w:rsidRPr="0066443B">
        <w:t xml:space="preserve">, </w:t>
      </w:r>
      <w:r w:rsidRPr="0066443B">
        <w:t xml:space="preserve">based on a sound </w:t>
      </w:r>
      <w:r w:rsidR="005474B7" w:rsidRPr="0066443B">
        <w:t>impact assessment</w:t>
      </w:r>
      <w:r w:rsidR="006C3437" w:rsidRPr="0066443B">
        <w:t xml:space="preserve"> and, if possible</w:t>
      </w:r>
      <w:r w:rsidR="00424F12">
        <w:t>,</w:t>
      </w:r>
      <w:r w:rsidR="006C3437" w:rsidRPr="0066443B">
        <w:t xml:space="preserve"> on practical experience</w:t>
      </w:r>
      <w:r w:rsidR="004E497C" w:rsidRPr="0066443B">
        <w:t xml:space="preserve"> in the market.</w:t>
      </w:r>
    </w:p>
    <w:p w14:paraId="2D970E16" w14:textId="77777777" w:rsidR="005474B7" w:rsidRPr="0066443B" w:rsidRDefault="005474B7" w:rsidP="006E0B92">
      <w:pPr>
        <w:spacing w:before="120" w:line="240" w:lineRule="auto"/>
        <w:jc w:val="both"/>
      </w:pPr>
    </w:p>
    <w:p w14:paraId="210CB5A3" w14:textId="30A0129D" w:rsidR="00034F9E" w:rsidRPr="0066443B" w:rsidRDefault="00214A3E" w:rsidP="006E0B92">
      <w:pPr>
        <w:spacing w:before="120" w:line="240" w:lineRule="auto"/>
        <w:jc w:val="both"/>
        <w:rPr>
          <w:b/>
          <w:bCs/>
          <w:u w:val="single"/>
        </w:rPr>
      </w:pPr>
      <w:r w:rsidRPr="0066443B">
        <w:rPr>
          <w:b/>
          <w:bCs/>
          <w:u w:val="single"/>
        </w:rPr>
        <w:t>In the</w:t>
      </w:r>
      <w:r w:rsidR="00122B06" w:rsidRPr="0066443B">
        <w:rPr>
          <w:b/>
          <w:bCs/>
          <w:u w:val="single"/>
        </w:rPr>
        <w:t xml:space="preserve"> SFC’s</w:t>
      </w:r>
      <w:r w:rsidRPr="0066443B">
        <w:rPr>
          <w:b/>
          <w:bCs/>
          <w:u w:val="single"/>
        </w:rPr>
        <w:t xml:space="preserve"> view, </w:t>
      </w:r>
      <w:r w:rsidR="00034F9E" w:rsidRPr="0066443B">
        <w:rPr>
          <w:b/>
          <w:bCs/>
          <w:u w:val="single"/>
        </w:rPr>
        <w:t>none of</w:t>
      </w:r>
      <w:r w:rsidR="007D0C45" w:rsidRPr="0066443B">
        <w:rPr>
          <w:b/>
          <w:bCs/>
          <w:u w:val="single"/>
        </w:rPr>
        <w:t xml:space="preserve"> the </w:t>
      </w:r>
      <w:r w:rsidR="006E0B92">
        <w:rPr>
          <w:b/>
          <w:bCs/>
          <w:u w:val="single"/>
        </w:rPr>
        <w:t xml:space="preserve">4 </w:t>
      </w:r>
      <w:r w:rsidR="007D0C45" w:rsidRPr="0066443B">
        <w:rPr>
          <w:b/>
          <w:bCs/>
          <w:u w:val="single"/>
        </w:rPr>
        <w:t>proposed options in the consultation paper matches</w:t>
      </w:r>
      <w:r w:rsidR="00E33F4A" w:rsidRPr="0066443B">
        <w:rPr>
          <w:b/>
          <w:bCs/>
          <w:u w:val="single"/>
        </w:rPr>
        <w:t xml:space="preserve"> these principles on a stand-alone basis</w:t>
      </w:r>
      <w:r w:rsidR="00034F9E" w:rsidRPr="0066443B">
        <w:rPr>
          <w:b/>
          <w:bCs/>
          <w:u w:val="single"/>
        </w:rPr>
        <w:t xml:space="preserve"> for the following reasons:</w:t>
      </w:r>
    </w:p>
    <w:p w14:paraId="69058149" w14:textId="1CE7F7D2" w:rsidR="00034F9E" w:rsidRPr="0066443B" w:rsidRDefault="00034F9E" w:rsidP="006E0B92">
      <w:pPr>
        <w:pStyle w:val="ListParagraph"/>
        <w:numPr>
          <w:ilvl w:val="0"/>
          <w:numId w:val="4"/>
        </w:numPr>
        <w:spacing w:before="120"/>
        <w:jc w:val="both"/>
      </w:pPr>
      <w:r w:rsidRPr="0066443B">
        <w:rPr>
          <w:b/>
          <w:bCs/>
        </w:rPr>
        <w:t>Option A</w:t>
      </w:r>
      <w:r w:rsidR="00122B06" w:rsidRPr="0066443B">
        <w:t> – </w:t>
      </w:r>
      <w:r w:rsidR="003B1345" w:rsidRPr="0066443B">
        <w:t xml:space="preserve">doing nothing </w:t>
      </w:r>
      <w:r w:rsidR="00A95A32" w:rsidRPr="0066443B">
        <w:t xml:space="preserve">would be a missed </w:t>
      </w:r>
      <w:r w:rsidR="008A7185" w:rsidRPr="0066443B">
        <w:t xml:space="preserve">opportunity </w:t>
      </w:r>
      <w:r w:rsidR="00A95A32" w:rsidRPr="0066443B">
        <w:t xml:space="preserve">to introduce </w:t>
      </w:r>
      <w:r w:rsidR="008E4FD1" w:rsidRPr="0066443B">
        <w:t xml:space="preserve">useful </w:t>
      </w:r>
      <w:r w:rsidR="00C43362" w:rsidRPr="0066443B">
        <w:t xml:space="preserve">technical adjustments </w:t>
      </w:r>
      <w:r w:rsidR="003B1345" w:rsidRPr="0066443B">
        <w:t>without adding additional costs</w:t>
      </w:r>
      <w:r w:rsidR="0022421A" w:rsidRPr="0066443B">
        <w:t>.</w:t>
      </w:r>
    </w:p>
    <w:p w14:paraId="4BCE8E66" w14:textId="18A53435" w:rsidR="000C0936" w:rsidRPr="0066443B" w:rsidRDefault="00034F9E" w:rsidP="006E0B92">
      <w:pPr>
        <w:pStyle w:val="ListParagraph"/>
        <w:numPr>
          <w:ilvl w:val="0"/>
          <w:numId w:val="4"/>
        </w:numPr>
        <w:spacing w:before="120"/>
        <w:jc w:val="both"/>
        <w:rPr>
          <w:rFonts w:asciiTheme="minorHAnsi" w:hAnsiTheme="minorHAnsi" w:cstheme="minorBidi"/>
        </w:rPr>
      </w:pPr>
      <w:r w:rsidRPr="0066443B">
        <w:rPr>
          <w:rFonts w:asciiTheme="minorHAnsi" w:hAnsiTheme="minorHAnsi" w:cstheme="minorBidi"/>
          <w:b/>
          <w:bCs/>
        </w:rPr>
        <w:t>Option B</w:t>
      </w:r>
      <w:r w:rsidRPr="0066443B">
        <w:rPr>
          <w:rFonts w:asciiTheme="minorHAnsi" w:hAnsiTheme="minorHAnsi" w:cstheme="minorBidi"/>
        </w:rPr>
        <w:t xml:space="preserve"> </w:t>
      </w:r>
      <w:r w:rsidR="004E564D" w:rsidRPr="0066443B">
        <w:rPr>
          <w:rFonts w:asciiTheme="minorHAnsi" w:hAnsiTheme="minorHAnsi" w:cstheme="minorBidi"/>
        </w:rPr>
        <w:t xml:space="preserve">is adding </w:t>
      </w:r>
      <w:r w:rsidR="001A383C">
        <w:rPr>
          <w:rFonts w:asciiTheme="minorHAnsi" w:hAnsiTheme="minorHAnsi" w:cstheme="minorBidi"/>
        </w:rPr>
        <w:t xml:space="preserve">further </w:t>
      </w:r>
      <w:r w:rsidR="004E564D" w:rsidRPr="0066443B">
        <w:rPr>
          <w:rFonts w:asciiTheme="minorHAnsi" w:hAnsiTheme="minorHAnsi" w:cstheme="minorBidi"/>
        </w:rPr>
        <w:t xml:space="preserve">disclosure requirements, but </w:t>
      </w:r>
      <w:r w:rsidR="00C65D55" w:rsidRPr="0066443B">
        <w:rPr>
          <w:rFonts w:asciiTheme="minorHAnsi" w:hAnsiTheme="minorHAnsi" w:cstheme="minorBidi"/>
        </w:rPr>
        <w:t>not</w:t>
      </w:r>
      <w:r w:rsidR="000C0936" w:rsidRPr="0066443B">
        <w:rPr>
          <w:rFonts w:asciiTheme="minorHAnsi" w:hAnsiTheme="minorHAnsi" w:cstheme="minorBidi"/>
        </w:rPr>
        <w:t xml:space="preserve"> addressing the efficiency problem</w:t>
      </w:r>
      <w:r w:rsidR="0022421A" w:rsidRPr="0066443B">
        <w:rPr>
          <w:rFonts w:asciiTheme="minorHAnsi" w:hAnsiTheme="minorHAnsi" w:cstheme="minorBidi"/>
        </w:rPr>
        <w:t>.</w:t>
      </w:r>
    </w:p>
    <w:p w14:paraId="12DEBF6B" w14:textId="03E0C564" w:rsidR="001A7A7E" w:rsidRPr="0066443B" w:rsidRDefault="00034F9E" w:rsidP="006E0B92">
      <w:pPr>
        <w:pStyle w:val="ListParagraph"/>
        <w:numPr>
          <w:ilvl w:val="0"/>
          <w:numId w:val="4"/>
        </w:numPr>
        <w:spacing w:before="120"/>
        <w:jc w:val="both"/>
        <w:rPr>
          <w:rFonts w:asciiTheme="minorHAnsi" w:hAnsiTheme="minorHAnsi" w:cstheme="minorBidi"/>
        </w:rPr>
      </w:pPr>
      <w:r w:rsidRPr="0066443B">
        <w:rPr>
          <w:b/>
          <w:bCs/>
        </w:rPr>
        <w:lastRenderedPageBreak/>
        <w:t>Option C</w:t>
      </w:r>
      <w:r w:rsidR="008152B3" w:rsidRPr="0066443B">
        <w:t xml:space="preserve"> </w:t>
      </w:r>
      <w:r w:rsidRPr="0066443B">
        <w:t>includes a new mandatory template for private securitisations</w:t>
      </w:r>
      <w:r w:rsidR="001D6323" w:rsidRPr="0066443B">
        <w:t xml:space="preserve"> and for climate </w:t>
      </w:r>
      <w:r w:rsidR="00AC4416" w:rsidRPr="0066443B">
        <w:t>change disclosures</w:t>
      </w:r>
      <w:r w:rsidRPr="0066443B">
        <w:t>, adding more compliance requirements</w:t>
      </w:r>
      <w:r w:rsidR="00FA379A" w:rsidRPr="0066443B">
        <w:t xml:space="preserve"> and relat</w:t>
      </w:r>
      <w:r w:rsidR="00775D50" w:rsidRPr="0066443B">
        <w:t>ed</w:t>
      </w:r>
      <w:r w:rsidR="00FA379A" w:rsidRPr="0066443B">
        <w:t xml:space="preserve"> </w:t>
      </w:r>
      <w:r w:rsidR="001A7A7E" w:rsidRPr="0066443B">
        <w:t xml:space="preserve">administrative costs. </w:t>
      </w:r>
    </w:p>
    <w:p w14:paraId="73CFE776" w14:textId="3350A5E9" w:rsidR="0022421A" w:rsidRPr="0066443B" w:rsidRDefault="0022421A" w:rsidP="006E0B92">
      <w:pPr>
        <w:pStyle w:val="ListParagraph"/>
        <w:numPr>
          <w:ilvl w:val="0"/>
          <w:numId w:val="4"/>
        </w:numPr>
        <w:spacing w:before="120"/>
        <w:jc w:val="both"/>
      </w:pPr>
      <w:r w:rsidRPr="0066443B">
        <w:rPr>
          <w:b/>
          <w:bCs/>
        </w:rPr>
        <w:t>Option D</w:t>
      </w:r>
      <w:r w:rsidRPr="0066443B">
        <w:t xml:space="preserve"> risks being too comprehensive to be adopted quickly enough to serve as an interim solution (until further Level 1 changes are made) and too important to be carried out without an impact assessment.  </w:t>
      </w:r>
    </w:p>
    <w:p w14:paraId="75CA4C41" w14:textId="77777777" w:rsidR="00B219FB" w:rsidRPr="0066443B" w:rsidRDefault="00B219FB" w:rsidP="006E0B92">
      <w:pPr>
        <w:pStyle w:val="ListParagraph"/>
        <w:spacing w:before="120"/>
        <w:jc w:val="both"/>
        <w:rPr>
          <w:rFonts w:asciiTheme="minorHAnsi" w:hAnsiTheme="minorHAnsi" w:cstheme="minorBidi"/>
        </w:rPr>
      </w:pPr>
    </w:p>
    <w:p w14:paraId="7D9FF17C" w14:textId="14D097DE" w:rsidR="001E13AA" w:rsidRPr="0066443B" w:rsidRDefault="00E33F4A" w:rsidP="006E0B92">
      <w:pPr>
        <w:spacing w:before="120" w:line="240" w:lineRule="auto"/>
        <w:jc w:val="both"/>
        <w:rPr>
          <w:b/>
          <w:bCs/>
          <w:u w:val="single"/>
        </w:rPr>
      </w:pPr>
      <w:r w:rsidRPr="0066443B">
        <w:rPr>
          <w:b/>
          <w:bCs/>
          <w:u w:val="single"/>
        </w:rPr>
        <w:t xml:space="preserve">However, the ESMA analysis </w:t>
      </w:r>
      <w:r w:rsidR="003C3F91" w:rsidRPr="0066443B">
        <w:rPr>
          <w:b/>
          <w:bCs/>
          <w:u w:val="single"/>
        </w:rPr>
        <w:t>points to some elements that can be improved</w:t>
      </w:r>
      <w:r w:rsidR="00984F83" w:rsidRPr="0066443B">
        <w:rPr>
          <w:b/>
          <w:bCs/>
          <w:u w:val="single"/>
        </w:rPr>
        <w:t xml:space="preserve"> </w:t>
      </w:r>
      <w:r w:rsidR="003714DE" w:rsidRPr="0066443B">
        <w:rPr>
          <w:b/>
          <w:bCs/>
          <w:u w:val="single"/>
        </w:rPr>
        <w:t>without</w:t>
      </w:r>
      <w:r w:rsidR="00984F83" w:rsidRPr="0066443B">
        <w:rPr>
          <w:b/>
          <w:bCs/>
          <w:u w:val="single"/>
        </w:rPr>
        <w:t xml:space="preserve"> adding </w:t>
      </w:r>
      <w:r w:rsidR="001A383C">
        <w:rPr>
          <w:b/>
          <w:bCs/>
          <w:u w:val="single"/>
        </w:rPr>
        <w:t>further</w:t>
      </w:r>
      <w:r w:rsidR="001A383C" w:rsidRPr="0066443B">
        <w:rPr>
          <w:b/>
          <w:bCs/>
          <w:u w:val="single"/>
        </w:rPr>
        <w:t xml:space="preserve"> </w:t>
      </w:r>
      <w:r w:rsidR="00963783" w:rsidRPr="0066443B">
        <w:rPr>
          <w:b/>
          <w:bCs/>
          <w:u w:val="single"/>
        </w:rPr>
        <w:t>(disproportionate) administrative costs</w:t>
      </w:r>
      <w:r w:rsidR="006E0B92">
        <w:rPr>
          <w:b/>
          <w:bCs/>
          <w:u w:val="single"/>
        </w:rPr>
        <w:t>. T</w:t>
      </w:r>
      <w:r w:rsidR="00071E6E" w:rsidRPr="0066443B">
        <w:rPr>
          <w:b/>
          <w:bCs/>
          <w:u w:val="single"/>
        </w:rPr>
        <w:t>he SFC sees possibilities for improvements in the following areas:</w:t>
      </w:r>
    </w:p>
    <w:p w14:paraId="4058A6F7" w14:textId="2FAE28A6" w:rsidR="009F4699" w:rsidRPr="0066443B" w:rsidRDefault="00B5759D" w:rsidP="006E0B92">
      <w:pPr>
        <w:pStyle w:val="ListParagraph"/>
        <w:numPr>
          <w:ilvl w:val="0"/>
          <w:numId w:val="4"/>
        </w:numPr>
        <w:spacing w:before="120"/>
        <w:jc w:val="both"/>
        <w:rPr>
          <w:rStyle w:val="cf01"/>
          <w:rFonts w:ascii="Calibri" w:hAnsi="Calibri" w:cs="Calibri"/>
          <w:sz w:val="22"/>
          <w:szCs w:val="22"/>
        </w:rPr>
      </w:pPr>
      <w:r w:rsidRPr="0066443B">
        <w:rPr>
          <w:b/>
          <w:bCs/>
        </w:rPr>
        <w:t>Third</w:t>
      </w:r>
      <w:r w:rsidR="00274E88">
        <w:rPr>
          <w:b/>
          <w:bCs/>
        </w:rPr>
        <w:t>-</w:t>
      </w:r>
      <w:r w:rsidR="00BE1F60" w:rsidRPr="0066443B">
        <w:rPr>
          <w:b/>
          <w:bCs/>
        </w:rPr>
        <w:t>countr</w:t>
      </w:r>
      <w:r w:rsidR="007B34E0" w:rsidRPr="0066443B">
        <w:rPr>
          <w:b/>
          <w:bCs/>
        </w:rPr>
        <w:t>y securitisation:</w:t>
      </w:r>
      <w:r w:rsidR="007B34E0" w:rsidRPr="0066443B">
        <w:t xml:space="preserve"> as identified in the</w:t>
      </w:r>
      <w:r w:rsidR="00A93566" w:rsidRPr="0066443B">
        <w:rPr>
          <w:rFonts w:asciiTheme="minorHAnsi" w:hAnsiTheme="minorHAnsi" w:cstheme="minorBidi"/>
          <w:kern w:val="2"/>
        </w:rPr>
        <w:t xml:space="preserve"> </w:t>
      </w:r>
      <w:hyperlink r:id="rId13" w:history="1">
        <w:r w:rsidR="00A93566" w:rsidRPr="0066443B">
          <w:rPr>
            <w:rFonts w:asciiTheme="minorHAnsi" w:hAnsiTheme="minorHAnsi" w:cstheme="minorBidi"/>
            <w:color w:val="0000FF"/>
            <w:kern w:val="2"/>
            <w:u w:val="single"/>
          </w:rPr>
          <w:t>Commission Report</w:t>
        </w:r>
      </w:hyperlink>
      <w:r w:rsidR="00AC319F" w:rsidRPr="0066443B">
        <w:rPr>
          <w:rFonts w:asciiTheme="minorHAnsi" w:hAnsiTheme="minorHAnsi" w:cstheme="minorBidi"/>
          <w:kern w:val="2"/>
        </w:rPr>
        <w:t xml:space="preserve"> on the functioning of the securitisation regulation</w:t>
      </w:r>
      <w:r w:rsidR="007B34E0" w:rsidRPr="0066443B">
        <w:t xml:space="preserve">, </w:t>
      </w:r>
      <w:r w:rsidR="00BD5548" w:rsidRPr="0066443B">
        <w:t>the strict interpretation of</w:t>
      </w:r>
      <w:r w:rsidRPr="0066443B">
        <w:t xml:space="preserve"> the EU disclosure provisions to securitisation</w:t>
      </w:r>
      <w:r w:rsidR="00D51F85" w:rsidRPr="0066443B">
        <w:t>, including the ones entirely issued in third countries</w:t>
      </w:r>
      <w:r w:rsidR="0024346A" w:rsidRPr="0066443B">
        <w:t xml:space="preserve">, constitutes an obstacle for EU investors. </w:t>
      </w:r>
      <w:r w:rsidR="00724515" w:rsidRPr="0066443B">
        <w:t>Easing</w:t>
      </w:r>
      <w:r w:rsidR="00ED239F" w:rsidRPr="0066443B">
        <w:t xml:space="preserve"> / simplifying</w:t>
      </w:r>
      <w:r w:rsidR="00724515" w:rsidRPr="0066443B">
        <w:t xml:space="preserve"> the relevant EU disclosure </w:t>
      </w:r>
      <w:r w:rsidR="004D1D52" w:rsidRPr="0066443B">
        <w:t>provisions</w:t>
      </w:r>
      <w:r w:rsidR="00724515" w:rsidRPr="0066443B">
        <w:t xml:space="preserve">, especially if </w:t>
      </w:r>
      <w:r w:rsidR="004D1D52" w:rsidRPr="0066443B">
        <w:t>the relevant third</w:t>
      </w:r>
      <w:r w:rsidR="00274E88">
        <w:t>-</w:t>
      </w:r>
      <w:r w:rsidR="004D1D52" w:rsidRPr="0066443B">
        <w:t>country jurisdiction applies disclosure provisions similar to the ones of the EU would be a first step</w:t>
      </w:r>
      <w:r w:rsidR="00464671" w:rsidRPr="0066443B">
        <w:t xml:space="preserve"> to reduce some </w:t>
      </w:r>
      <w:r w:rsidR="00ED239F" w:rsidRPr="0066443B">
        <w:t>administrative</w:t>
      </w:r>
      <w:r w:rsidR="00464671" w:rsidRPr="0066443B">
        <w:t xml:space="preserve"> burden</w:t>
      </w:r>
      <w:r w:rsidR="000B1A00" w:rsidRPr="0066443B">
        <w:t xml:space="preserve"> and </w:t>
      </w:r>
      <w:r w:rsidR="008646B9" w:rsidRPr="0066443B">
        <w:rPr>
          <w:rStyle w:val="cf01"/>
          <w:rFonts w:ascii="Calibri" w:hAnsi="Calibri" w:cs="Calibri"/>
          <w:i w:val="0"/>
          <w:iCs w:val="0"/>
          <w:sz w:val="22"/>
          <w:szCs w:val="22"/>
        </w:rPr>
        <w:t>widen EU investor choice</w:t>
      </w:r>
      <w:r w:rsidR="00FD135D" w:rsidRPr="0066443B">
        <w:rPr>
          <w:rStyle w:val="cf01"/>
          <w:rFonts w:ascii="Calibri" w:hAnsi="Calibri" w:cs="Calibri"/>
          <w:i w:val="0"/>
          <w:iCs w:val="0"/>
          <w:sz w:val="22"/>
          <w:szCs w:val="22"/>
        </w:rPr>
        <w:t>.</w:t>
      </w:r>
      <w:r w:rsidR="00FD135D" w:rsidRPr="0066443B">
        <w:rPr>
          <w:rStyle w:val="FootnoteReference"/>
          <w:i/>
          <w:iCs/>
        </w:rPr>
        <w:footnoteReference w:id="1"/>
      </w:r>
      <w:r w:rsidR="002217DC" w:rsidRPr="0066443B">
        <w:rPr>
          <w:rStyle w:val="cf01"/>
        </w:rPr>
        <w:t xml:space="preserve"> </w:t>
      </w:r>
    </w:p>
    <w:p w14:paraId="42FF7F17" w14:textId="570FEECC" w:rsidR="007F2626" w:rsidRPr="0066443B" w:rsidRDefault="00FD135D" w:rsidP="006E0B92">
      <w:pPr>
        <w:pStyle w:val="ListParagraph"/>
        <w:spacing w:before="120"/>
        <w:ind w:left="360"/>
        <w:jc w:val="both"/>
        <w:rPr>
          <w:i/>
          <w:iCs/>
        </w:rPr>
      </w:pPr>
      <w:r w:rsidRPr="0066443B">
        <w:t>T</w:t>
      </w:r>
      <w:r w:rsidR="009C49D7" w:rsidRPr="0066443B">
        <w:t xml:space="preserve">his would be in line with the </w:t>
      </w:r>
      <w:r w:rsidR="00AA10AB" w:rsidRPr="0066443B">
        <w:t xml:space="preserve">Commission Report, which writes that: </w:t>
      </w:r>
      <w:r w:rsidR="00122B06" w:rsidRPr="003A770F">
        <w:rPr>
          <w:i/>
          <w:iCs/>
        </w:rPr>
        <w:t>‘</w:t>
      </w:r>
      <w:r w:rsidR="00AA10AB" w:rsidRPr="003A770F">
        <w:rPr>
          <w:i/>
          <w:iCs/>
        </w:rPr>
        <w:t>The Joint Committee</w:t>
      </w:r>
      <w:r w:rsidR="00AA10AB" w:rsidRPr="0066443B">
        <w:rPr>
          <w:i/>
          <w:iCs/>
        </w:rPr>
        <w:t xml:space="preserve"> opinion argued for more flexibility, so that the verification can be presumed to be completed in the case of a third-country securitisation, even if not all EU transparency requirements are fulfilled in every detail. To this end, the Joint Committee suggested setting up a </w:t>
      </w:r>
      <w:r w:rsidR="00122B06" w:rsidRPr="0066443B">
        <w:rPr>
          <w:i/>
          <w:iCs/>
        </w:rPr>
        <w:t>“</w:t>
      </w:r>
      <w:r w:rsidR="00AA10AB" w:rsidRPr="0066443B">
        <w:rPr>
          <w:i/>
          <w:iCs/>
        </w:rPr>
        <w:t>third-country equivalence regime for transparency requirements</w:t>
      </w:r>
      <w:r w:rsidR="00122B06" w:rsidRPr="0066443B">
        <w:rPr>
          <w:i/>
          <w:iCs/>
        </w:rPr>
        <w:t>”</w:t>
      </w:r>
      <w:r w:rsidR="00AA10AB" w:rsidRPr="0066443B">
        <w:rPr>
          <w:i/>
          <w:iCs/>
        </w:rPr>
        <w:t xml:space="preserve"> in relation to third-country securitisations.</w:t>
      </w:r>
      <w:r w:rsidR="00122B06" w:rsidRPr="0066443B">
        <w:rPr>
          <w:i/>
          <w:iCs/>
        </w:rPr>
        <w:t>’</w:t>
      </w:r>
    </w:p>
    <w:p w14:paraId="0AC25A70" w14:textId="47D4AF6B" w:rsidR="004F277C" w:rsidRPr="0066443B" w:rsidRDefault="00AB4A73" w:rsidP="006E0B92">
      <w:pPr>
        <w:spacing w:before="120" w:line="240" w:lineRule="auto"/>
        <w:ind w:left="360"/>
        <w:jc w:val="both"/>
      </w:pPr>
      <w:r w:rsidRPr="0066443B">
        <w:t>In respect to the opinion of the Joint Committee</w:t>
      </w:r>
      <w:r w:rsidR="007E479D" w:rsidRPr="0066443B">
        <w:t xml:space="preserve"> and the current discussion on boosting the EU capital markets,</w:t>
      </w:r>
      <w:r w:rsidRPr="0066443B">
        <w:t xml:space="preserve"> we would like to</w:t>
      </w:r>
      <w:r w:rsidR="00EB7720" w:rsidRPr="0066443B">
        <w:t xml:space="preserve"> provide the view from a third</w:t>
      </w:r>
      <w:r w:rsidR="00274E88">
        <w:t>-</w:t>
      </w:r>
      <w:r w:rsidR="00EB7720" w:rsidRPr="0066443B">
        <w:t>country issuer angle.</w:t>
      </w:r>
      <w:r w:rsidR="00D73703" w:rsidRPr="0066443B">
        <w:t xml:space="preserve"> </w:t>
      </w:r>
      <w:r w:rsidR="00EF444F" w:rsidRPr="0066443B">
        <w:t>G</w:t>
      </w:r>
      <w:r w:rsidR="0055751D" w:rsidRPr="0066443B">
        <w:t>ener</w:t>
      </w:r>
      <w:r w:rsidR="002876FC" w:rsidRPr="0066443B">
        <w:t>ally</w:t>
      </w:r>
      <w:r w:rsidR="00EF444F" w:rsidRPr="0066443B">
        <w:t>, a</w:t>
      </w:r>
      <w:r w:rsidR="0055751D" w:rsidRPr="0066443B">
        <w:t xml:space="preserve"> more principle</w:t>
      </w:r>
      <w:r w:rsidR="00122B06" w:rsidRPr="0066443B">
        <w:t>-</w:t>
      </w:r>
      <w:r w:rsidR="0055751D" w:rsidRPr="0066443B">
        <w:t xml:space="preserve">based regime is </w:t>
      </w:r>
      <w:r w:rsidR="002876FC" w:rsidRPr="0066443B">
        <w:t xml:space="preserve">attractive to global </w:t>
      </w:r>
      <w:r w:rsidR="00EF444F" w:rsidRPr="0066443B">
        <w:t>investors and issuers</w:t>
      </w:r>
      <w:r w:rsidR="0031186A" w:rsidRPr="0066443B">
        <w:t xml:space="preserve"> </w:t>
      </w:r>
      <w:r w:rsidR="009F127A" w:rsidRPr="0066443B">
        <w:t>and</w:t>
      </w:r>
      <w:r w:rsidR="00274E88">
        <w:t>,</w:t>
      </w:r>
      <w:r w:rsidR="00EC3891">
        <w:t xml:space="preserve"> </w:t>
      </w:r>
      <w:r w:rsidR="009F127A" w:rsidRPr="0066443B">
        <w:t>in our view</w:t>
      </w:r>
      <w:r w:rsidR="00274E88">
        <w:t>,</w:t>
      </w:r>
      <w:r w:rsidR="009F127A" w:rsidRPr="0066443B">
        <w:t xml:space="preserve"> </w:t>
      </w:r>
      <w:r w:rsidR="00BE78FD" w:rsidRPr="0066443B">
        <w:t xml:space="preserve">consistent with achieving the CMU objectives. </w:t>
      </w:r>
      <w:r w:rsidR="00354349" w:rsidRPr="0066443B">
        <w:t>We see</w:t>
      </w:r>
      <w:r w:rsidR="00836D29" w:rsidRPr="0066443B">
        <w:t xml:space="preserve"> </w:t>
      </w:r>
      <w:r w:rsidR="00160ACE" w:rsidRPr="0066443B">
        <w:t xml:space="preserve">little prospect of </w:t>
      </w:r>
      <w:r w:rsidR="008D13BB" w:rsidRPr="0066443B">
        <w:t>third-country securitisation issue</w:t>
      </w:r>
      <w:r w:rsidR="00160ACE" w:rsidRPr="0066443B">
        <w:t>r</w:t>
      </w:r>
      <w:r w:rsidR="008D13BB" w:rsidRPr="0066443B">
        <w:t xml:space="preserve">s </w:t>
      </w:r>
      <w:r w:rsidR="00160ACE" w:rsidRPr="0066443B">
        <w:t xml:space="preserve">choosing </w:t>
      </w:r>
      <w:r w:rsidR="006D428B" w:rsidRPr="0066443B">
        <w:t>to comply with additional</w:t>
      </w:r>
      <w:r w:rsidR="00160ACE" w:rsidRPr="0066443B">
        <w:t xml:space="preserve"> </w:t>
      </w:r>
      <w:r w:rsidR="006D428B" w:rsidRPr="0066443B">
        <w:t>EU disclosure requirements and templates</w:t>
      </w:r>
      <w:r w:rsidR="00B43AF0" w:rsidRPr="0066443B">
        <w:t xml:space="preserve">. </w:t>
      </w:r>
      <w:r w:rsidR="00231115" w:rsidRPr="0066443B">
        <w:t xml:space="preserve">On the contrary, </w:t>
      </w:r>
      <w:r w:rsidR="00943F78" w:rsidRPr="0066443B">
        <w:t xml:space="preserve">the establishment of a </w:t>
      </w:r>
      <w:r w:rsidR="00077C5D" w:rsidRPr="0066443B">
        <w:t>principle-based approach</w:t>
      </w:r>
      <w:r w:rsidR="008C689B" w:rsidRPr="0066443B">
        <w:t xml:space="preserve">, also in </w:t>
      </w:r>
      <w:r w:rsidR="00B90413" w:rsidRPr="0066443B">
        <w:t>Level 1 legislation</w:t>
      </w:r>
      <w:r w:rsidR="00274E88">
        <w:t>,</w:t>
      </w:r>
      <w:r w:rsidR="002A59F2" w:rsidRPr="0066443B">
        <w:t xml:space="preserve"> reduces </w:t>
      </w:r>
      <w:r w:rsidR="00E74761" w:rsidRPr="0066443B">
        <w:t>unnecessary compliance costs</w:t>
      </w:r>
      <w:r w:rsidR="004F277C" w:rsidRPr="0066443B">
        <w:t xml:space="preserve">. </w:t>
      </w:r>
      <w:r w:rsidR="00B90413" w:rsidRPr="0066443B">
        <w:t xml:space="preserve"> </w:t>
      </w:r>
      <w:r w:rsidR="002E6077" w:rsidRPr="0066443B">
        <w:t xml:space="preserve"> </w:t>
      </w:r>
      <w:r w:rsidR="00077C5D" w:rsidRPr="0066443B">
        <w:t xml:space="preserve"> </w:t>
      </w:r>
    </w:p>
    <w:p w14:paraId="10600352" w14:textId="2DD876DA" w:rsidR="002D19BC" w:rsidRPr="0066443B" w:rsidRDefault="00F5187E" w:rsidP="006E0B92">
      <w:pPr>
        <w:pStyle w:val="ListParagraph"/>
        <w:numPr>
          <w:ilvl w:val="0"/>
          <w:numId w:val="4"/>
        </w:numPr>
        <w:spacing w:before="120"/>
        <w:jc w:val="both"/>
        <w:rPr>
          <w:i/>
          <w:iCs/>
        </w:rPr>
      </w:pPr>
      <w:r w:rsidRPr="0066443B">
        <w:rPr>
          <w:b/>
          <w:bCs/>
        </w:rPr>
        <w:t>Private placements</w:t>
      </w:r>
      <w:r w:rsidR="00EC784E" w:rsidRPr="0066443B">
        <w:rPr>
          <w:b/>
          <w:bCs/>
        </w:rPr>
        <w:t>:</w:t>
      </w:r>
      <w:r w:rsidR="00B96FBA" w:rsidRPr="0066443B">
        <w:t xml:space="preserve"> </w:t>
      </w:r>
      <w:r w:rsidR="00517F31" w:rsidRPr="0066443B">
        <w:t>Private transactions should</w:t>
      </w:r>
      <w:r w:rsidR="005A20B9" w:rsidRPr="0066443B">
        <w:t xml:space="preserve"> be exempted from </w:t>
      </w:r>
      <w:r w:rsidR="0031205D" w:rsidRPr="0066443B">
        <w:t>mandatory disclosure</w:t>
      </w:r>
      <w:r w:rsidR="00974A8E" w:rsidRPr="0066443B">
        <w:t xml:space="preserve"> requirements. </w:t>
      </w:r>
      <w:r w:rsidR="002960A4" w:rsidRPr="0066443B">
        <w:t>P</w:t>
      </w:r>
      <w:r w:rsidR="002D19BC" w:rsidRPr="0066443B">
        <w:t xml:space="preserve">rivate securitisation market participants (issuer/sponsor and investor) should have the freedom to determine the optimum way to report and meet transparency requirements. </w:t>
      </w:r>
      <w:r w:rsidR="00184326" w:rsidRPr="0066443B">
        <w:t xml:space="preserve">The very close relationship between </w:t>
      </w:r>
      <w:r w:rsidR="00061A49" w:rsidRPr="0066443B">
        <w:t xml:space="preserve">manufacturer and investor should </w:t>
      </w:r>
      <w:r w:rsidR="004B3029" w:rsidRPr="0066443B">
        <w:t xml:space="preserve">be reflected by allowing both parties to agree </w:t>
      </w:r>
      <w:r w:rsidR="0076282D" w:rsidRPr="0066443B">
        <w:t xml:space="preserve">the form in which reports and information are provided. </w:t>
      </w:r>
      <w:r w:rsidR="006729E8" w:rsidRPr="0066443B">
        <w:t>The Commission report acknowledges that,</w:t>
      </w:r>
      <w:r w:rsidR="00122B06" w:rsidRPr="0066443B">
        <w:t>’</w:t>
      </w:r>
      <w:r w:rsidR="006729E8" w:rsidRPr="0066443B">
        <w:t xml:space="preserve"> </w:t>
      </w:r>
      <w:r w:rsidR="00406639" w:rsidRPr="0066443B">
        <w:t>…</w:t>
      </w:r>
      <w:r w:rsidR="00122B06" w:rsidRPr="0066443B">
        <w:t xml:space="preserve"> </w:t>
      </w:r>
      <w:r w:rsidR="006729E8" w:rsidRPr="0066443B">
        <w:rPr>
          <w:i/>
          <w:iCs/>
        </w:rPr>
        <w:t>because of the bespoke nature of private securitisation, investors in such transactions need more tailor-made information than the ESMA templates might be able to provide.</w:t>
      </w:r>
      <w:r w:rsidR="00122B06" w:rsidRPr="0066443B">
        <w:rPr>
          <w:i/>
          <w:iCs/>
        </w:rPr>
        <w:t>’</w:t>
      </w:r>
    </w:p>
    <w:p w14:paraId="277CDF11" w14:textId="7E33E5E8" w:rsidR="00085572" w:rsidRPr="0066443B" w:rsidRDefault="00085572" w:rsidP="006E0B92">
      <w:pPr>
        <w:pStyle w:val="ListParagraph"/>
        <w:numPr>
          <w:ilvl w:val="0"/>
          <w:numId w:val="4"/>
        </w:numPr>
        <w:spacing w:before="120"/>
        <w:jc w:val="both"/>
      </w:pPr>
      <w:r w:rsidRPr="0066443B">
        <w:rPr>
          <w:b/>
          <w:bCs/>
        </w:rPr>
        <w:t xml:space="preserve">Voluntary </w:t>
      </w:r>
      <w:r w:rsidR="00A16EF3" w:rsidRPr="0066443B">
        <w:rPr>
          <w:b/>
          <w:bCs/>
        </w:rPr>
        <w:t>ESG disclosure</w:t>
      </w:r>
      <w:r w:rsidRPr="0066443B">
        <w:rPr>
          <w:b/>
          <w:bCs/>
        </w:rPr>
        <w:t>:</w:t>
      </w:r>
      <w:r w:rsidRPr="0066443B">
        <w:t xml:space="preserve"> </w:t>
      </w:r>
      <w:r w:rsidR="00CD5021" w:rsidRPr="0066443B">
        <w:t>Any introduction of h</w:t>
      </w:r>
      <w:r w:rsidR="00E11EBB" w:rsidRPr="0066443B">
        <w:t xml:space="preserve">armonised and mandatory ESG disclosure should be based on sufficient </w:t>
      </w:r>
      <w:r w:rsidR="0074426F" w:rsidRPr="0066443B">
        <w:t>experience</w:t>
      </w:r>
      <w:r w:rsidR="00E11EBB" w:rsidRPr="0066443B">
        <w:t xml:space="preserve"> (testing in the market</w:t>
      </w:r>
      <w:r w:rsidR="004514E2" w:rsidRPr="0066443B">
        <w:t>)</w:t>
      </w:r>
      <w:r w:rsidR="00E11EBB" w:rsidRPr="0066443B">
        <w:t xml:space="preserve"> and </w:t>
      </w:r>
      <w:r w:rsidR="009438A1" w:rsidRPr="0066443B">
        <w:t>based on (revised) Level 1 provisions. However,</w:t>
      </w:r>
      <w:r w:rsidRPr="0066443B">
        <w:t xml:space="preserve"> there may be merit in an optional climate risks template which issuers and investors could use if they found it useful. Experimenting with this template could yield useful lessons on whether to adopt more widely in the future and inform </w:t>
      </w:r>
      <w:r w:rsidR="00B27EEB" w:rsidRPr="0066443B">
        <w:t xml:space="preserve">any </w:t>
      </w:r>
      <w:r w:rsidRPr="0066443B">
        <w:t xml:space="preserve">upcoming changes in the Level 1 legislation. </w:t>
      </w:r>
    </w:p>
    <w:p w14:paraId="43B0F11A" w14:textId="1D6D4AE3" w:rsidR="0032536B" w:rsidRPr="0066443B" w:rsidRDefault="009430C2" w:rsidP="006E0B92">
      <w:pPr>
        <w:pStyle w:val="ListParagraph"/>
        <w:numPr>
          <w:ilvl w:val="0"/>
          <w:numId w:val="4"/>
        </w:numPr>
        <w:spacing w:before="120"/>
        <w:jc w:val="both"/>
      </w:pPr>
      <w:r w:rsidRPr="0066443B">
        <w:rPr>
          <w:b/>
          <w:bCs/>
        </w:rPr>
        <w:t xml:space="preserve">Loan-by-loan information: </w:t>
      </w:r>
      <w:r w:rsidRPr="0066443B">
        <w:t xml:space="preserve">Regarding the disclosure for those asset classes which are considered to be (a) revolving in nature, (b) highly granular or (c) of short-term maturity, such as auto loans, </w:t>
      </w:r>
      <w:r w:rsidRPr="0066443B">
        <w:lastRenderedPageBreak/>
        <w:t>credit card loans and trade receivables, loan-level information may be of less relevance.</w:t>
      </w:r>
      <w:r w:rsidR="000969B2" w:rsidRPr="0066443B">
        <w:t xml:space="preserve"> </w:t>
      </w:r>
      <w:r w:rsidR="005F0922" w:rsidRPr="0066443B">
        <w:t xml:space="preserve">We support </w:t>
      </w:r>
      <w:r w:rsidR="000969B2" w:rsidRPr="0066443B">
        <w:t>ESMA</w:t>
      </w:r>
      <w:r w:rsidR="005F0922" w:rsidRPr="0066443B">
        <w:t xml:space="preserve">’s suggestion of a </w:t>
      </w:r>
      <w:r w:rsidR="000969B2" w:rsidRPr="0066443B">
        <w:t>potential transition from loan-level disclosure towards a more aggregated</w:t>
      </w:r>
      <w:r w:rsidR="00274E88">
        <w:t xml:space="preserve"> </w:t>
      </w:r>
      <w:r w:rsidR="000969B2" w:rsidRPr="0066443B">
        <w:t>level of information for</w:t>
      </w:r>
      <w:r w:rsidR="00170BBB" w:rsidRPr="0066443B">
        <w:t xml:space="preserve"> these</w:t>
      </w:r>
      <w:r w:rsidR="000969B2" w:rsidRPr="0066443B">
        <w:t xml:space="preserve"> asset classes</w:t>
      </w:r>
      <w:r w:rsidR="005E4CD1" w:rsidRPr="0066443B">
        <w:t xml:space="preserve">, </w:t>
      </w:r>
      <w:r w:rsidR="00700D7B" w:rsidRPr="0066443B">
        <w:t xml:space="preserve">and think that ESMA </w:t>
      </w:r>
      <w:r w:rsidR="005E4CD1" w:rsidRPr="0066443B">
        <w:t xml:space="preserve">rightly points out </w:t>
      </w:r>
      <w:r w:rsidR="000969B2" w:rsidRPr="0066443B">
        <w:t xml:space="preserve">that </w:t>
      </w:r>
      <w:r w:rsidR="007E10D3" w:rsidRPr="0066443B">
        <w:t xml:space="preserve">loan-level </w:t>
      </w:r>
      <w:r w:rsidR="000969B2" w:rsidRPr="0066443B">
        <w:t xml:space="preserve">disclosure, </w:t>
      </w:r>
      <w:r w:rsidR="0089775F" w:rsidRPr="0066443B">
        <w:t xml:space="preserve">while intended to reinforce </w:t>
      </w:r>
      <w:r w:rsidR="000969B2" w:rsidRPr="0066443B">
        <w:t xml:space="preserve">transparency, </w:t>
      </w:r>
      <w:r w:rsidR="0089775F" w:rsidRPr="0066443B">
        <w:t xml:space="preserve">is probably more than most investors require, and therefore </w:t>
      </w:r>
      <w:r w:rsidR="00CC70AF" w:rsidRPr="0066443B">
        <w:t xml:space="preserve">does </w:t>
      </w:r>
      <w:r w:rsidR="000969B2" w:rsidRPr="0066443B">
        <w:t>not justif</w:t>
      </w:r>
      <w:r w:rsidR="00CC70AF" w:rsidRPr="0066443B">
        <w:t>y</w:t>
      </w:r>
      <w:r w:rsidR="000969B2" w:rsidRPr="0066443B">
        <w:t xml:space="preserve"> the associated compliance costs</w:t>
      </w:r>
      <w:r w:rsidR="00CC4380" w:rsidRPr="0066443B">
        <w:t xml:space="preserve">. </w:t>
      </w:r>
      <w:r w:rsidR="00654175" w:rsidRPr="0066443B">
        <w:t>T</w:t>
      </w:r>
      <w:r w:rsidR="00CC4380" w:rsidRPr="0066443B">
        <w:t xml:space="preserve">he </w:t>
      </w:r>
      <w:r w:rsidR="008E2FE3" w:rsidRPr="0066443B">
        <w:t xml:space="preserve">proposal </w:t>
      </w:r>
      <w:r w:rsidR="00654175" w:rsidRPr="0066443B">
        <w:t xml:space="preserve">to relax the loan-level disclosure requirement is therefore </w:t>
      </w:r>
      <w:r w:rsidR="008E2FE3" w:rsidRPr="0066443B">
        <w:t>a very valid one</w:t>
      </w:r>
      <w:r w:rsidR="00305AD1" w:rsidRPr="0066443B">
        <w:t>. M</w:t>
      </w:r>
      <w:r w:rsidR="008E2FE3" w:rsidRPr="0066443B">
        <w:t xml:space="preserve">aking </w:t>
      </w:r>
      <w:r w:rsidR="00A93091" w:rsidRPr="0066443B">
        <w:t xml:space="preserve">a revised </w:t>
      </w:r>
      <w:r w:rsidR="00654175" w:rsidRPr="0066443B">
        <w:t xml:space="preserve">aggregate </w:t>
      </w:r>
      <w:r w:rsidR="00A93091" w:rsidRPr="0066443B">
        <w:t xml:space="preserve">disclosure regime </w:t>
      </w:r>
      <w:r w:rsidR="001F2179" w:rsidRPr="0066443B">
        <w:t xml:space="preserve">for these asset classes </w:t>
      </w:r>
      <w:r w:rsidR="008E2FE3" w:rsidRPr="0066443B">
        <w:t>optional for the use by market participants</w:t>
      </w:r>
      <w:r w:rsidR="00850279" w:rsidRPr="0066443B">
        <w:t xml:space="preserve"> is our preferred approach</w:t>
      </w:r>
      <w:r w:rsidR="007105A4" w:rsidRPr="0066443B">
        <w:t xml:space="preserve"> as it</w:t>
      </w:r>
      <w:r w:rsidR="000969B2" w:rsidRPr="0066443B">
        <w:t xml:space="preserve"> </w:t>
      </w:r>
      <w:r w:rsidR="0032536B" w:rsidRPr="0066443B">
        <w:rPr>
          <w:rFonts w:asciiTheme="minorHAnsi" w:hAnsiTheme="minorHAnsi" w:cstheme="minorBidi"/>
        </w:rPr>
        <w:t xml:space="preserve">would avoid </w:t>
      </w:r>
      <w:r w:rsidR="001F2179" w:rsidRPr="0066443B">
        <w:rPr>
          <w:rFonts w:asciiTheme="minorHAnsi" w:hAnsiTheme="minorHAnsi" w:cstheme="minorBidi"/>
        </w:rPr>
        <w:t xml:space="preserve">mandatory </w:t>
      </w:r>
      <w:r w:rsidR="00357705" w:rsidRPr="0066443B">
        <w:rPr>
          <w:rFonts w:asciiTheme="minorHAnsi" w:hAnsiTheme="minorHAnsi" w:cstheme="minorBidi"/>
        </w:rPr>
        <w:t xml:space="preserve">change, </w:t>
      </w:r>
      <w:r w:rsidR="0032536B" w:rsidRPr="0066443B">
        <w:rPr>
          <w:rFonts w:asciiTheme="minorHAnsi" w:hAnsiTheme="minorHAnsi" w:cstheme="minorBidi"/>
        </w:rPr>
        <w:t xml:space="preserve">implementation and compliance costs </w:t>
      </w:r>
      <w:r w:rsidR="006B6E07" w:rsidRPr="0066443B">
        <w:rPr>
          <w:rFonts w:asciiTheme="minorHAnsi" w:hAnsiTheme="minorHAnsi" w:cstheme="minorBidi"/>
        </w:rPr>
        <w:t xml:space="preserve">for </w:t>
      </w:r>
      <w:r w:rsidR="0032536B" w:rsidRPr="0066443B">
        <w:rPr>
          <w:rFonts w:asciiTheme="minorHAnsi" w:hAnsiTheme="minorHAnsi" w:cstheme="minorBidi"/>
        </w:rPr>
        <w:t>reporting entities</w:t>
      </w:r>
      <w:r w:rsidR="0032536B" w:rsidRPr="0066443B">
        <w:t xml:space="preserve">. </w:t>
      </w:r>
      <w:r w:rsidR="007105A4" w:rsidRPr="0066443B">
        <w:t>In addition, a</w:t>
      </w:r>
      <w:r w:rsidR="0032536B" w:rsidRPr="0066443B">
        <w:t>n optional app</w:t>
      </w:r>
      <w:r w:rsidR="001A519F" w:rsidRPr="0066443B">
        <w:t xml:space="preserve">roach is a good test case for market </w:t>
      </w:r>
      <w:r w:rsidR="00643E82" w:rsidRPr="0066443B">
        <w:t>acceptance</w:t>
      </w:r>
      <w:r w:rsidR="001A519F" w:rsidRPr="0066443B">
        <w:t xml:space="preserve"> and may provide </w:t>
      </w:r>
      <w:r w:rsidR="00643E82" w:rsidRPr="0066443B">
        <w:t xml:space="preserve">good </w:t>
      </w:r>
      <w:r w:rsidR="007105A4" w:rsidRPr="0066443B">
        <w:t>guidance</w:t>
      </w:r>
      <w:r w:rsidR="00643E82" w:rsidRPr="0066443B">
        <w:t xml:space="preserve"> for any </w:t>
      </w:r>
      <w:r w:rsidR="000137AE" w:rsidRPr="0066443B">
        <w:t>upcoming</w:t>
      </w:r>
      <w:r w:rsidR="00643E82" w:rsidRPr="0066443B">
        <w:t xml:space="preserve"> Level 1 changes.</w:t>
      </w:r>
    </w:p>
    <w:p w14:paraId="645FE443" w14:textId="761E40AB" w:rsidR="00ED239F" w:rsidRPr="0066443B" w:rsidRDefault="00ED239F" w:rsidP="006E0B92">
      <w:pPr>
        <w:spacing w:before="120" w:line="240" w:lineRule="auto"/>
        <w:jc w:val="both"/>
      </w:pPr>
    </w:p>
    <w:p w14:paraId="44CD6033" w14:textId="35DAFF79" w:rsidR="00525EFB" w:rsidRPr="0066443B" w:rsidRDefault="00525EFB" w:rsidP="006E0B92">
      <w:pPr>
        <w:pStyle w:val="Heading4"/>
        <w:spacing w:before="120" w:line="240" w:lineRule="auto"/>
      </w:pPr>
      <w:r w:rsidRPr="0066443B">
        <w:t>Response</w:t>
      </w:r>
      <w:r w:rsidR="007E7DFF" w:rsidRPr="0066443B">
        <w:t>s</w:t>
      </w:r>
      <w:r w:rsidRPr="0066443B">
        <w:t xml:space="preserve"> to selected questions</w:t>
      </w:r>
    </w:p>
    <w:p w14:paraId="453BD1B8" w14:textId="3599E7E9" w:rsidR="00AC46C4" w:rsidRPr="0066443B" w:rsidRDefault="00AC46C4" w:rsidP="006E0B92">
      <w:pPr>
        <w:spacing w:before="120" w:line="240" w:lineRule="auto"/>
        <w:jc w:val="both"/>
        <w:rPr>
          <w:b/>
          <w:bCs/>
          <w:u w:val="single"/>
        </w:rPr>
      </w:pPr>
      <w:r w:rsidRPr="0066443B">
        <w:rPr>
          <w:b/>
          <w:bCs/>
          <w:u w:val="single"/>
        </w:rPr>
        <w:t>Option A</w:t>
      </w:r>
    </w:p>
    <w:p w14:paraId="384C59B2" w14:textId="68E680F3" w:rsidR="006D3205" w:rsidRPr="006E0B92" w:rsidRDefault="003B7D37" w:rsidP="006E0B92">
      <w:pPr>
        <w:pStyle w:val="ListParagraph"/>
        <w:numPr>
          <w:ilvl w:val="0"/>
          <w:numId w:val="4"/>
        </w:numPr>
        <w:spacing w:before="120"/>
        <w:jc w:val="both"/>
        <w:rPr>
          <w:b/>
          <w:bCs/>
        </w:rPr>
      </w:pPr>
      <w:r w:rsidRPr="006E0B92">
        <w:rPr>
          <w:b/>
          <w:bCs/>
        </w:rPr>
        <w:t>Question 1</w:t>
      </w:r>
      <w:r w:rsidR="006E0B92" w:rsidRPr="006E0B92">
        <w:rPr>
          <w:b/>
          <w:bCs/>
        </w:rPr>
        <w:t xml:space="preserve"> - </w:t>
      </w:r>
      <w:r w:rsidRPr="006E0B92">
        <w:rPr>
          <w:b/>
          <w:bCs/>
        </w:rPr>
        <w:t xml:space="preserve"> Do you agree with maintaining the current disclosure framework unchanged?</w:t>
      </w:r>
    </w:p>
    <w:p w14:paraId="0E97ECB3" w14:textId="51A397CC" w:rsidR="003B7D37" w:rsidRPr="0066443B" w:rsidRDefault="003B7D37" w:rsidP="006E0B92">
      <w:pPr>
        <w:spacing w:before="120" w:line="240" w:lineRule="auto"/>
        <w:ind w:firstLine="360"/>
        <w:jc w:val="both"/>
      </w:pPr>
      <w:r w:rsidRPr="0066443B">
        <w:t>No</w:t>
      </w:r>
      <w:r w:rsidR="00E002A7" w:rsidRPr="0066443B">
        <w:t xml:space="preserve">. </w:t>
      </w:r>
      <w:r w:rsidRPr="0066443B">
        <w:t>This does not appear to address the identified issues with excessive regulatory burden.</w:t>
      </w:r>
    </w:p>
    <w:p w14:paraId="61800586" w14:textId="7E878F9A" w:rsidR="00384E46" w:rsidRPr="0066443B" w:rsidRDefault="003B7D37" w:rsidP="006E0B92">
      <w:pPr>
        <w:pStyle w:val="ListParagraph"/>
        <w:numPr>
          <w:ilvl w:val="0"/>
          <w:numId w:val="4"/>
        </w:numPr>
        <w:spacing w:before="120"/>
        <w:jc w:val="both"/>
      </w:pPr>
      <w:r w:rsidRPr="0066443B">
        <w:rPr>
          <w:b/>
          <w:bCs/>
        </w:rPr>
        <w:t>Question 2</w:t>
      </w:r>
      <w:r w:rsidRPr="0066443B">
        <w:t xml:space="preserve"> </w:t>
      </w:r>
      <w:r w:rsidR="006E0B92">
        <w:t xml:space="preserve">- </w:t>
      </w:r>
      <w:r w:rsidRPr="006E0B92">
        <w:rPr>
          <w:b/>
          <w:bCs/>
        </w:rPr>
        <w:t>Do you agree that LLD granularity is essential for performing proper risk evaluation, including due-diligence analysis or supervisory monitoring? Please explain your answer considering the costs and benefits of keeping the current level of granularity in terms of operational costs, compliance burden and any other possible implications.</w:t>
      </w:r>
      <w:r w:rsidRPr="0066443B">
        <w:t xml:space="preserve"> </w:t>
      </w:r>
    </w:p>
    <w:p w14:paraId="09629AD9" w14:textId="4FBD4866" w:rsidR="003B7D37" w:rsidRPr="0066443B" w:rsidRDefault="003B7D37" w:rsidP="006E0B92">
      <w:pPr>
        <w:spacing w:before="120" w:line="240" w:lineRule="auto"/>
        <w:ind w:left="426"/>
        <w:jc w:val="both"/>
      </w:pPr>
      <w:r w:rsidRPr="0066443B">
        <w:t>LLD granularity is essential for some underlying assets</w:t>
      </w:r>
      <w:r w:rsidR="00122B06" w:rsidRPr="0066443B">
        <w:t> – </w:t>
      </w:r>
      <w:r w:rsidRPr="0066443B">
        <w:t>such as mortgages</w:t>
      </w:r>
      <w:r w:rsidR="00122B06" w:rsidRPr="0066443B">
        <w:t> – </w:t>
      </w:r>
      <w:r w:rsidRPr="0066443B">
        <w:t xml:space="preserve">but less so for very granular, rapidly revolving, short maturity assets such as credit card loans, as evidenced by the different practice in ABCP markets. </w:t>
      </w:r>
    </w:p>
    <w:p w14:paraId="25792CEC" w14:textId="1E03593B" w:rsidR="00B04274" w:rsidRPr="006E0B92" w:rsidRDefault="003B7D37" w:rsidP="006E0B92">
      <w:pPr>
        <w:pStyle w:val="ListParagraph"/>
        <w:numPr>
          <w:ilvl w:val="0"/>
          <w:numId w:val="4"/>
        </w:numPr>
        <w:spacing w:before="120"/>
        <w:jc w:val="both"/>
        <w:rPr>
          <w:b/>
          <w:bCs/>
        </w:rPr>
      </w:pPr>
      <w:r w:rsidRPr="0066443B">
        <w:rPr>
          <w:b/>
          <w:bCs/>
        </w:rPr>
        <w:t xml:space="preserve">Question </w:t>
      </w:r>
      <w:r w:rsidRPr="006E0B92">
        <w:rPr>
          <w:b/>
          <w:bCs/>
        </w:rPr>
        <w:t xml:space="preserve">4 </w:t>
      </w:r>
      <w:r w:rsidR="006E0B92">
        <w:rPr>
          <w:b/>
          <w:bCs/>
        </w:rPr>
        <w:t xml:space="preserve">- </w:t>
      </w:r>
      <w:r w:rsidRPr="006E0B92">
        <w:rPr>
          <w:b/>
          <w:bCs/>
        </w:rPr>
        <w:t xml:space="preserve">Do you agree that disclosure and reporting requirements should be maintained consistent between private and public securitisation? </w:t>
      </w:r>
    </w:p>
    <w:p w14:paraId="4279D8C8" w14:textId="6DD71A9A" w:rsidR="003B7D37" w:rsidRPr="0066443B" w:rsidRDefault="00B04274" w:rsidP="006E0B92">
      <w:pPr>
        <w:spacing w:before="120" w:line="240" w:lineRule="auto"/>
        <w:ind w:left="360"/>
        <w:jc w:val="both"/>
      </w:pPr>
      <w:r w:rsidRPr="0066443B">
        <w:t>I</w:t>
      </w:r>
      <w:r w:rsidR="003B7D37" w:rsidRPr="0066443B">
        <w:t xml:space="preserve">n private securitisations market participants (issuer/sponsor and investor) should retain current freedoms to determine the optimum way to report and meet transparency requirements. </w:t>
      </w:r>
      <w:r w:rsidR="003328F4" w:rsidRPr="0066443B">
        <w:t xml:space="preserve">Generally, </w:t>
      </w:r>
      <w:r w:rsidR="004E3D62" w:rsidRPr="0066443B">
        <w:t xml:space="preserve">reducing and streamlining securitisation reporting requirements would be beneficial to stimulate </w:t>
      </w:r>
      <w:r w:rsidR="005D6D17" w:rsidRPr="0066443B">
        <w:t>securitisation activities.</w:t>
      </w:r>
    </w:p>
    <w:p w14:paraId="0602D459" w14:textId="77777777" w:rsidR="005135FE" w:rsidRPr="0066443B" w:rsidRDefault="005135FE" w:rsidP="006E0B92">
      <w:pPr>
        <w:pStyle w:val="ListParagraph"/>
        <w:spacing w:before="120"/>
        <w:jc w:val="both"/>
      </w:pPr>
    </w:p>
    <w:p w14:paraId="38E5BCEE" w14:textId="20838E42" w:rsidR="00AC46C4" w:rsidRPr="0066443B" w:rsidRDefault="00544544" w:rsidP="006E0B92">
      <w:pPr>
        <w:spacing w:before="120" w:line="240" w:lineRule="auto"/>
        <w:jc w:val="both"/>
        <w:rPr>
          <w:b/>
          <w:bCs/>
          <w:u w:val="single"/>
        </w:rPr>
      </w:pPr>
      <w:r w:rsidRPr="0066443B">
        <w:rPr>
          <w:b/>
          <w:bCs/>
          <w:u w:val="single"/>
        </w:rPr>
        <w:t>Option B</w:t>
      </w:r>
    </w:p>
    <w:p w14:paraId="03D1869A" w14:textId="2E9BA635" w:rsidR="002778B4" w:rsidRPr="0066443B" w:rsidRDefault="003B7D37" w:rsidP="006E0B92">
      <w:pPr>
        <w:pStyle w:val="ListParagraph"/>
        <w:numPr>
          <w:ilvl w:val="0"/>
          <w:numId w:val="4"/>
        </w:numPr>
        <w:spacing w:before="120"/>
        <w:jc w:val="both"/>
      </w:pPr>
      <w:r w:rsidRPr="0066443B">
        <w:rPr>
          <w:b/>
          <w:bCs/>
        </w:rPr>
        <w:t>Question 6</w:t>
      </w:r>
      <w:r w:rsidRPr="0066443B">
        <w:t xml:space="preserve"> </w:t>
      </w:r>
      <w:r w:rsidR="006E0B92">
        <w:t xml:space="preserve">- </w:t>
      </w:r>
      <w:r w:rsidRPr="006E0B92">
        <w:rPr>
          <w:b/>
          <w:bCs/>
        </w:rPr>
        <w:t>Do you believe that the additional adjustments to the current framework proposed by Option B, such as restricting the use of ND options and including additional risk indicators (including climate-related indicators) are necessary? Do you support a revision of the technical standards accordingly? Please explain your answer, indicating whether you support these proposed adjustments and any reasons for your agreement and disagreement.</w:t>
      </w:r>
    </w:p>
    <w:p w14:paraId="252A62B9" w14:textId="24440458" w:rsidR="003B7D37" w:rsidRPr="0066443B" w:rsidRDefault="003B7D37" w:rsidP="006E0B92">
      <w:pPr>
        <w:spacing w:before="120"/>
        <w:ind w:left="360"/>
        <w:jc w:val="both"/>
      </w:pPr>
      <w:r w:rsidRPr="0066443B">
        <w:t>A further ramping up of regulatory requirements, with associated costs, seems to run counter to the findings of the EC work and the identified problem that the intensity of the regulatory burden is constraining the securitisation market from playing a role in supporting capital markets funding and economic growth.</w:t>
      </w:r>
    </w:p>
    <w:p w14:paraId="0E1AF4C9" w14:textId="07EC34A7" w:rsidR="0032240B" w:rsidRPr="0066443B" w:rsidRDefault="003B7D37" w:rsidP="006E0B92">
      <w:pPr>
        <w:pStyle w:val="ListParagraph"/>
        <w:numPr>
          <w:ilvl w:val="0"/>
          <w:numId w:val="4"/>
        </w:numPr>
        <w:spacing w:before="120"/>
        <w:jc w:val="both"/>
      </w:pPr>
      <w:r w:rsidRPr="0066443B">
        <w:rPr>
          <w:b/>
          <w:bCs/>
        </w:rPr>
        <w:t>Question 7</w:t>
      </w:r>
      <w:r w:rsidRPr="0066443B">
        <w:t xml:space="preserve"> </w:t>
      </w:r>
      <w:r w:rsidR="006E0B92">
        <w:t xml:space="preserve">- </w:t>
      </w:r>
      <w:r w:rsidRPr="006E0B92">
        <w:rPr>
          <w:b/>
          <w:bCs/>
        </w:rPr>
        <w:t xml:space="preserve">Do you believe that a reduction of ND thresholds would materially improve the representation of data of securitisation reports? Please explain your answer. </w:t>
      </w:r>
    </w:p>
    <w:p w14:paraId="1059AF6C" w14:textId="04DEB4C5" w:rsidR="003B7D37" w:rsidRPr="0066443B" w:rsidRDefault="003B7D37" w:rsidP="006E0B92">
      <w:pPr>
        <w:spacing w:before="120"/>
        <w:ind w:left="360"/>
        <w:jc w:val="both"/>
      </w:pPr>
      <w:r w:rsidRPr="0066443B">
        <w:t xml:space="preserve">Probably </w:t>
      </w:r>
      <w:r w:rsidR="0032240B" w:rsidRPr="0066443B">
        <w:t>n</w:t>
      </w:r>
      <w:r w:rsidRPr="0066443B">
        <w:t>o</w:t>
      </w:r>
      <w:r w:rsidR="00122B06" w:rsidRPr="0066443B">
        <w:t> – </w:t>
      </w:r>
      <w:r w:rsidR="00F2049D" w:rsidRPr="0066443B">
        <w:t xml:space="preserve">see </w:t>
      </w:r>
      <w:r w:rsidR="00B04C47" w:rsidRPr="0066443B">
        <w:t>our response to Q6</w:t>
      </w:r>
      <w:r w:rsidR="00274E88">
        <w:t>.</w:t>
      </w:r>
    </w:p>
    <w:p w14:paraId="5D7166AA" w14:textId="2B186E76" w:rsidR="00B04C47" w:rsidRPr="0066443B" w:rsidRDefault="003B7D37" w:rsidP="006E0B92">
      <w:pPr>
        <w:pStyle w:val="ListParagraph"/>
        <w:numPr>
          <w:ilvl w:val="0"/>
          <w:numId w:val="4"/>
        </w:numPr>
        <w:spacing w:before="120"/>
        <w:jc w:val="both"/>
      </w:pPr>
      <w:r w:rsidRPr="0066443B">
        <w:rPr>
          <w:b/>
          <w:bCs/>
        </w:rPr>
        <w:lastRenderedPageBreak/>
        <w:t>Question 8</w:t>
      </w:r>
      <w:r w:rsidRPr="0066443B">
        <w:t xml:space="preserve"> </w:t>
      </w:r>
      <w:r w:rsidR="006E0B92">
        <w:t xml:space="preserve">- </w:t>
      </w:r>
      <w:r w:rsidRPr="006E0B92">
        <w:rPr>
          <w:b/>
          <w:bCs/>
        </w:rPr>
        <w:t>(Do you think that the advantages stemming from restricting the consistency thresholds and/or removal of ND options for specific fields, resulting in more accurate representation of data, would justify the heightened compliance costs for reporting entities?)</w:t>
      </w:r>
    </w:p>
    <w:p w14:paraId="5ACCE46D" w14:textId="6EC995EC" w:rsidR="003B7D37" w:rsidRPr="0066443B" w:rsidRDefault="003B7D37" w:rsidP="006E0B92">
      <w:pPr>
        <w:spacing w:before="120"/>
        <w:ind w:firstLine="360"/>
        <w:jc w:val="both"/>
      </w:pPr>
      <w:r w:rsidRPr="0066443B">
        <w:t>Probably</w:t>
      </w:r>
      <w:r w:rsidR="00B04C47" w:rsidRPr="0066443B">
        <w:t xml:space="preserve"> no</w:t>
      </w:r>
      <w:r w:rsidR="00122B06" w:rsidRPr="0066443B">
        <w:t> – </w:t>
      </w:r>
      <w:r w:rsidR="00F2049D" w:rsidRPr="0066443B">
        <w:t xml:space="preserve">see </w:t>
      </w:r>
      <w:r w:rsidR="00B04C47" w:rsidRPr="0066443B">
        <w:t>our response to Q6</w:t>
      </w:r>
      <w:r w:rsidR="00274E88">
        <w:t>.</w:t>
      </w:r>
    </w:p>
    <w:p w14:paraId="7DF84D64" w14:textId="1E6B12C2" w:rsidR="00B04C47" w:rsidRPr="0066443B" w:rsidRDefault="003B7D37" w:rsidP="006E0B92">
      <w:pPr>
        <w:pStyle w:val="ListParagraph"/>
        <w:numPr>
          <w:ilvl w:val="0"/>
          <w:numId w:val="4"/>
        </w:numPr>
        <w:spacing w:before="120"/>
        <w:jc w:val="both"/>
      </w:pPr>
      <w:r w:rsidRPr="0066443B">
        <w:rPr>
          <w:b/>
          <w:bCs/>
        </w:rPr>
        <w:t>Question 9</w:t>
      </w:r>
      <w:r w:rsidRPr="0066443B">
        <w:t xml:space="preserve"> </w:t>
      </w:r>
      <w:r w:rsidR="006E0B92">
        <w:t xml:space="preserve">- </w:t>
      </w:r>
      <w:r w:rsidRPr="006E0B92">
        <w:rPr>
          <w:b/>
          <w:bCs/>
        </w:rPr>
        <w:t>Do you believe that the proposal of enriching the Annexes with additional risk-sensitive indicators (presented in Section 5.3) is necessary?</w:t>
      </w:r>
      <w:r w:rsidRPr="0066443B">
        <w:t xml:space="preserve"> </w:t>
      </w:r>
    </w:p>
    <w:p w14:paraId="78AA85E7" w14:textId="4D64F6A9" w:rsidR="003B7D37" w:rsidRPr="0066443B" w:rsidRDefault="003B7D37" w:rsidP="006E0B92">
      <w:pPr>
        <w:spacing w:before="120"/>
        <w:ind w:firstLine="360"/>
        <w:jc w:val="both"/>
      </w:pPr>
      <w:r w:rsidRPr="0066443B">
        <w:t xml:space="preserve">Probably </w:t>
      </w:r>
      <w:r w:rsidR="008306B7" w:rsidRPr="0066443B">
        <w:t>no</w:t>
      </w:r>
      <w:r w:rsidR="00122B06" w:rsidRPr="0066443B">
        <w:t> – </w:t>
      </w:r>
      <w:r w:rsidR="00F2049D" w:rsidRPr="0066443B">
        <w:t xml:space="preserve">see </w:t>
      </w:r>
      <w:r w:rsidR="008306B7" w:rsidRPr="0066443B">
        <w:t>our response to Q6</w:t>
      </w:r>
      <w:r w:rsidRPr="0066443B">
        <w:t>.</w:t>
      </w:r>
    </w:p>
    <w:p w14:paraId="05084557" w14:textId="79F18038" w:rsidR="005345C4" w:rsidRPr="006E0B92" w:rsidRDefault="003B7D37" w:rsidP="006E0B92">
      <w:pPr>
        <w:pStyle w:val="ListParagraph"/>
        <w:numPr>
          <w:ilvl w:val="0"/>
          <w:numId w:val="4"/>
        </w:numPr>
        <w:spacing w:before="120"/>
        <w:jc w:val="both"/>
        <w:rPr>
          <w:b/>
          <w:bCs/>
        </w:rPr>
      </w:pPr>
      <w:r w:rsidRPr="0066443B">
        <w:rPr>
          <w:b/>
          <w:bCs/>
        </w:rPr>
        <w:t>Question 10</w:t>
      </w:r>
      <w:r w:rsidRPr="0066443B">
        <w:t xml:space="preserve"> </w:t>
      </w:r>
      <w:r w:rsidR="006E0B92">
        <w:t xml:space="preserve">- </w:t>
      </w:r>
      <w:r w:rsidRPr="006E0B92">
        <w:rPr>
          <w:b/>
          <w:bCs/>
        </w:rPr>
        <w:t>Do you believe that reporting entities would face challenges and/or significant costs if requested to report those additional indicators? If yes, please elaborate your answer.</w:t>
      </w:r>
    </w:p>
    <w:p w14:paraId="694A1C87" w14:textId="40D0DF27" w:rsidR="003B7D37" w:rsidRPr="0066443B" w:rsidRDefault="003B7D37" w:rsidP="006E0B92">
      <w:pPr>
        <w:spacing w:before="120"/>
        <w:ind w:firstLine="360"/>
        <w:jc w:val="both"/>
      </w:pPr>
      <w:r w:rsidRPr="0066443B">
        <w:t>Probably yes</w:t>
      </w:r>
      <w:r w:rsidR="00122B06" w:rsidRPr="0066443B">
        <w:t> – </w:t>
      </w:r>
      <w:r w:rsidR="005345C4" w:rsidRPr="0066443B">
        <w:t xml:space="preserve">because of </w:t>
      </w:r>
      <w:r w:rsidRPr="0066443B">
        <w:t>additional compliance costs</w:t>
      </w:r>
      <w:r w:rsidR="005345C4" w:rsidRPr="0066443B">
        <w:t>.</w:t>
      </w:r>
      <w:r w:rsidRPr="0066443B">
        <w:t xml:space="preserve"> </w:t>
      </w:r>
    </w:p>
    <w:p w14:paraId="3F10AA38" w14:textId="4BDBABF3" w:rsidR="00A5040B" w:rsidRPr="0066443B" w:rsidRDefault="003B7D37" w:rsidP="006E0B92">
      <w:pPr>
        <w:pStyle w:val="ListParagraph"/>
        <w:numPr>
          <w:ilvl w:val="0"/>
          <w:numId w:val="4"/>
        </w:numPr>
        <w:spacing w:before="120"/>
        <w:jc w:val="both"/>
      </w:pPr>
      <w:r w:rsidRPr="0066443B">
        <w:rPr>
          <w:b/>
          <w:bCs/>
        </w:rPr>
        <w:t>Question 11</w:t>
      </w:r>
      <w:r w:rsidRPr="0066443B">
        <w:t xml:space="preserve"> </w:t>
      </w:r>
      <w:r w:rsidR="006E0B92">
        <w:t xml:space="preserve">- </w:t>
      </w:r>
      <w:r w:rsidRPr="006E0B92">
        <w:rPr>
          <w:b/>
          <w:bCs/>
        </w:rPr>
        <w:t>Do you believe that the proposal of enriching the Annexes with climate risk indicators (presented in Section 5.4) is warranted?</w:t>
      </w:r>
    </w:p>
    <w:p w14:paraId="384E7F7D" w14:textId="7A553CD0" w:rsidR="00F37C37" w:rsidRPr="0066443B" w:rsidRDefault="003B7D37" w:rsidP="006E0B92">
      <w:pPr>
        <w:spacing w:before="120"/>
        <w:ind w:left="360"/>
        <w:jc w:val="both"/>
      </w:pPr>
      <w:r w:rsidRPr="0066443B">
        <w:t>No</w:t>
      </w:r>
      <w:r w:rsidR="00F37C37" w:rsidRPr="0066443B">
        <w:t xml:space="preserve">. </w:t>
      </w:r>
      <w:r w:rsidR="00972DA7" w:rsidRPr="0066443B">
        <w:t>Any h</w:t>
      </w:r>
      <w:r w:rsidR="00F37C37" w:rsidRPr="0066443B">
        <w:t xml:space="preserve">armonised and mandatory ESG disclosure should be based on sufficient experience (testing) in the market and based on (revised) Level 1 provisions. However, there may be merit in an optional climate risks template which issuers and investors could use if they found it useful. Experimenting with this template could yield useful lessons on whether to adopt more widely in the future and inform the upcoming changes in the Level 1 legislation. </w:t>
      </w:r>
    </w:p>
    <w:p w14:paraId="53B6893D" w14:textId="77777777" w:rsidR="005135FE" w:rsidRPr="0066443B" w:rsidRDefault="005135FE" w:rsidP="006E0B92">
      <w:pPr>
        <w:pStyle w:val="ListParagraph"/>
        <w:spacing w:before="120"/>
        <w:jc w:val="both"/>
      </w:pPr>
    </w:p>
    <w:p w14:paraId="6A559957" w14:textId="1376389F" w:rsidR="00544544" w:rsidRPr="0066443B" w:rsidRDefault="00544544" w:rsidP="006E0B92">
      <w:pPr>
        <w:spacing w:before="120" w:line="240" w:lineRule="auto"/>
        <w:jc w:val="both"/>
        <w:rPr>
          <w:b/>
          <w:bCs/>
          <w:u w:val="single"/>
        </w:rPr>
      </w:pPr>
      <w:r w:rsidRPr="0066443B">
        <w:rPr>
          <w:b/>
          <w:bCs/>
          <w:u w:val="single"/>
        </w:rPr>
        <w:t>Option C</w:t>
      </w:r>
    </w:p>
    <w:p w14:paraId="3C8FB729" w14:textId="6D79E6C4" w:rsidR="003B0C2A" w:rsidRPr="006E0B92" w:rsidRDefault="003B7D37" w:rsidP="006E0B92">
      <w:pPr>
        <w:pStyle w:val="ListParagraph"/>
        <w:numPr>
          <w:ilvl w:val="0"/>
          <w:numId w:val="4"/>
        </w:numPr>
        <w:spacing w:before="120"/>
        <w:jc w:val="both"/>
        <w:rPr>
          <w:b/>
          <w:bCs/>
        </w:rPr>
      </w:pPr>
      <w:r w:rsidRPr="006E0B92">
        <w:rPr>
          <w:b/>
          <w:bCs/>
        </w:rPr>
        <w:t xml:space="preserve">Question 14 </w:t>
      </w:r>
      <w:r w:rsidR="006E0B92">
        <w:rPr>
          <w:b/>
          <w:bCs/>
        </w:rPr>
        <w:t xml:space="preserve">- </w:t>
      </w:r>
      <w:r w:rsidRPr="006E0B92">
        <w:rPr>
          <w:b/>
          <w:bCs/>
        </w:rPr>
        <w:t xml:space="preserve">Do you agree with Option C as the preferred way forward (simplified template for private transactions, removal/streamlining of loan-level data for some asset classes, new template for trade receivables) for the revision of the disclosure templates? </w:t>
      </w:r>
    </w:p>
    <w:p w14:paraId="640E7A18" w14:textId="1FCD7DBA" w:rsidR="00AA64D5" w:rsidRPr="0066443B" w:rsidRDefault="00EA25A0" w:rsidP="006E0B92">
      <w:pPr>
        <w:spacing w:before="120"/>
        <w:ind w:left="360"/>
        <w:jc w:val="both"/>
      </w:pPr>
      <w:r w:rsidRPr="0066443B">
        <w:t xml:space="preserve">We think that a number of the constituent parts of Option C </w:t>
      </w:r>
      <w:r w:rsidR="00EC116C" w:rsidRPr="0066443B">
        <w:t>could have merit provid</w:t>
      </w:r>
      <w:r w:rsidR="006002D2">
        <w:t>ed</w:t>
      </w:r>
      <w:r w:rsidR="00EC116C" w:rsidRPr="0066443B">
        <w:t xml:space="preserve"> they are established </w:t>
      </w:r>
      <w:r w:rsidR="00833997" w:rsidRPr="0066443B">
        <w:t>as</w:t>
      </w:r>
      <w:r w:rsidR="00B31406" w:rsidRPr="0066443B">
        <w:t xml:space="preserve"> </w:t>
      </w:r>
      <w:r w:rsidR="00833997" w:rsidRPr="0066443B">
        <w:t>option</w:t>
      </w:r>
      <w:r w:rsidR="00EC116C" w:rsidRPr="0066443B">
        <w:t>s</w:t>
      </w:r>
      <w:r w:rsidR="00833997" w:rsidRPr="0066443B">
        <w:t xml:space="preserve"> for market participants</w:t>
      </w:r>
      <w:r w:rsidR="00EC116C" w:rsidRPr="0066443B">
        <w:t xml:space="preserve"> rather than new mandatory requirements</w:t>
      </w:r>
      <w:r w:rsidR="00833997" w:rsidRPr="0066443B">
        <w:t xml:space="preserve">. </w:t>
      </w:r>
      <w:r w:rsidR="00AA64D5" w:rsidRPr="0066443B">
        <w:t xml:space="preserve">Making a revised disclosure regime optional for the use by market participants </w:t>
      </w:r>
      <w:r w:rsidR="00AA64D5" w:rsidRPr="006E0B92">
        <w:t>would avoid complex implementation and compliance issues, new mandatory costs and operational implications on reporting entities</w:t>
      </w:r>
      <w:r w:rsidR="00AA64D5" w:rsidRPr="0066443B">
        <w:t>. An optional approach is a good test case for market acceptance and may provide good insight for any upcoming Level 1 changes.</w:t>
      </w:r>
    </w:p>
    <w:p w14:paraId="1B7E39A5" w14:textId="7467D473" w:rsidR="006116A8" w:rsidRPr="0066443B" w:rsidRDefault="003B7D37" w:rsidP="006E0B92">
      <w:pPr>
        <w:pStyle w:val="ListParagraph"/>
        <w:numPr>
          <w:ilvl w:val="0"/>
          <w:numId w:val="4"/>
        </w:numPr>
        <w:spacing w:before="120"/>
        <w:jc w:val="both"/>
      </w:pPr>
      <w:r w:rsidRPr="0066443B">
        <w:rPr>
          <w:b/>
          <w:bCs/>
        </w:rPr>
        <w:t>Question 15</w:t>
      </w:r>
      <w:r w:rsidRPr="0066443B">
        <w:t xml:space="preserve"> </w:t>
      </w:r>
      <w:r w:rsidR="006E0B92">
        <w:t xml:space="preserve">- </w:t>
      </w:r>
      <w:r w:rsidRPr="006E0B92">
        <w:rPr>
          <w:b/>
          <w:bCs/>
        </w:rPr>
        <w:t>Do you agree with the analysis and the inclusion of a new simplified template for private transactions that focuses mostly on supervisory needs?</w:t>
      </w:r>
      <w:r w:rsidRPr="0066443B">
        <w:t xml:space="preserve"> </w:t>
      </w:r>
    </w:p>
    <w:p w14:paraId="4D9B1640" w14:textId="77777777" w:rsidR="000D0458" w:rsidRPr="006E0B92" w:rsidRDefault="000D0458" w:rsidP="006E0B92">
      <w:pPr>
        <w:spacing w:before="120"/>
        <w:ind w:left="360"/>
        <w:jc w:val="both"/>
      </w:pPr>
      <w:r w:rsidRPr="006E0B92">
        <w:t>While we do not think that there is the need for the introduction of new additional templates, we support the simplification of the current supervisory reporting requirements also in consideration, as noted by the ESMA’s CP, of the limited use of SR data by supervisors.</w:t>
      </w:r>
    </w:p>
    <w:p w14:paraId="4146E904" w14:textId="675FD7D6" w:rsidR="006116A8" w:rsidRPr="0066443B" w:rsidRDefault="003B7D37" w:rsidP="006E0B92">
      <w:pPr>
        <w:pStyle w:val="ListParagraph"/>
        <w:numPr>
          <w:ilvl w:val="0"/>
          <w:numId w:val="4"/>
        </w:numPr>
        <w:spacing w:before="120"/>
        <w:jc w:val="both"/>
      </w:pPr>
      <w:r w:rsidRPr="0066443B">
        <w:rPr>
          <w:b/>
          <w:bCs/>
        </w:rPr>
        <w:t>Question 18</w:t>
      </w:r>
      <w:r w:rsidRPr="0066443B">
        <w:t xml:space="preserve"> </w:t>
      </w:r>
      <w:r w:rsidR="006E0B92">
        <w:t xml:space="preserve">- </w:t>
      </w:r>
      <w:r w:rsidRPr="006E0B92">
        <w:rPr>
          <w:b/>
          <w:bCs/>
        </w:rPr>
        <w:t>Do you believe that ESMA should proceed with the review of the RTS based on the proposal to deviate from loan-level data reporting for those asset classes which are highly granular, of</w:t>
      </w:r>
      <w:r w:rsidR="001E3408" w:rsidRPr="006E0B92">
        <w:rPr>
          <w:b/>
          <w:bCs/>
        </w:rPr>
        <w:t xml:space="preserve"> </w:t>
      </w:r>
      <w:r w:rsidRPr="006E0B92">
        <w:rPr>
          <w:b/>
          <w:bCs/>
        </w:rPr>
        <w:t>short-term maturity or revolving pools? What are the potential benefits, challenges, or considerations that ESMA should consider if adopting this approach?</w:t>
      </w:r>
    </w:p>
    <w:p w14:paraId="07415BB0" w14:textId="62E828D2" w:rsidR="005135FE" w:rsidRPr="0066443B" w:rsidRDefault="003B7D37" w:rsidP="006E0B92">
      <w:pPr>
        <w:spacing w:before="120"/>
        <w:ind w:left="360"/>
        <w:jc w:val="both"/>
      </w:pPr>
      <w:r w:rsidRPr="0066443B">
        <w:t>Yes, but</w:t>
      </w:r>
      <w:r w:rsidR="00C10628" w:rsidRPr="0066443B">
        <w:t xml:space="preserve"> </w:t>
      </w:r>
      <w:r w:rsidRPr="0066443B">
        <w:t xml:space="preserve">implementation </w:t>
      </w:r>
      <w:r w:rsidR="00C10628" w:rsidRPr="0066443B">
        <w:t xml:space="preserve">/application should be </w:t>
      </w:r>
      <w:r w:rsidRPr="0066443B">
        <w:t>optional</w:t>
      </w:r>
      <w:r w:rsidR="00D0635B" w:rsidRPr="0066443B">
        <w:t>, ensuring that g</w:t>
      </w:r>
      <w:r w:rsidRPr="0066443B">
        <w:t>ranular disclosures c</w:t>
      </w:r>
      <w:r w:rsidR="00D802C6" w:rsidRPr="0066443B">
        <w:t>an</w:t>
      </w:r>
      <w:r w:rsidRPr="0066443B">
        <w:t xml:space="preserve"> be retained if e.g. necessary for the security to be eligible as collateral for central bank repo. </w:t>
      </w:r>
    </w:p>
    <w:sectPr w:rsidR="005135FE" w:rsidRPr="0066443B" w:rsidSect="004306C3">
      <w:headerReference w:type="default" r:id="rId14"/>
      <w:footerReference w:type="default" r:id="rId15"/>
      <w:pgSz w:w="11906" w:h="16838"/>
      <w:pgMar w:top="1440" w:right="1440" w:bottom="1276" w:left="1440"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515B4" w14:textId="77777777" w:rsidR="004306C3" w:rsidRDefault="004306C3" w:rsidP="00DF2984">
      <w:pPr>
        <w:spacing w:after="0" w:line="240" w:lineRule="auto"/>
      </w:pPr>
      <w:r>
        <w:separator/>
      </w:r>
    </w:p>
  </w:endnote>
  <w:endnote w:type="continuationSeparator" w:id="0">
    <w:p w14:paraId="03666692" w14:textId="77777777" w:rsidR="004306C3" w:rsidRDefault="004306C3" w:rsidP="00DF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dit Suisse Type Light">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360697"/>
      <w:docPartObj>
        <w:docPartGallery w:val="Page Numbers (Bottom of Page)"/>
        <w:docPartUnique/>
      </w:docPartObj>
    </w:sdtPr>
    <w:sdtEndPr>
      <w:rPr>
        <w:sz w:val="18"/>
        <w:szCs w:val="18"/>
      </w:rPr>
    </w:sdtEndPr>
    <w:sdtContent>
      <w:p w14:paraId="5B2A76BA" w14:textId="0FD3A9C8" w:rsidR="00F35BF1" w:rsidRPr="00F35BF1" w:rsidRDefault="00F35BF1">
        <w:pPr>
          <w:pStyle w:val="Footer"/>
          <w:jc w:val="right"/>
          <w:rPr>
            <w:sz w:val="18"/>
            <w:szCs w:val="18"/>
          </w:rPr>
        </w:pPr>
        <w:r w:rsidRPr="00F35BF1">
          <w:rPr>
            <w:sz w:val="18"/>
            <w:szCs w:val="18"/>
          </w:rPr>
          <w:fldChar w:fldCharType="begin"/>
        </w:r>
        <w:r w:rsidRPr="00F35BF1">
          <w:rPr>
            <w:sz w:val="18"/>
            <w:szCs w:val="18"/>
          </w:rPr>
          <w:instrText>PAGE   \* MERGEFORMAT</w:instrText>
        </w:r>
        <w:r w:rsidRPr="00F35BF1">
          <w:rPr>
            <w:sz w:val="18"/>
            <w:szCs w:val="18"/>
          </w:rPr>
          <w:fldChar w:fldCharType="separate"/>
        </w:r>
        <w:r w:rsidRPr="00F35BF1">
          <w:rPr>
            <w:sz w:val="18"/>
            <w:szCs w:val="18"/>
          </w:rPr>
          <w:t>2</w:t>
        </w:r>
        <w:r w:rsidRPr="00F35BF1">
          <w:rPr>
            <w:sz w:val="18"/>
            <w:szCs w:val="18"/>
          </w:rPr>
          <w:fldChar w:fldCharType="end"/>
        </w:r>
      </w:p>
    </w:sdtContent>
  </w:sdt>
  <w:p w14:paraId="6A5C15F7" w14:textId="77777777" w:rsidR="00F35BF1" w:rsidRDefault="00F35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50949" w14:textId="77777777" w:rsidR="004306C3" w:rsidRDefault="004306C3" w:rsidP="00DF2984">
      <w:pPr>
        <w:spacing w:after="0" w:line="240" w:lineRule="auto"/>
      </w:pPr>
      <w:r>
        <w:separator/>
      </w:r>
    </w:p>
  </w:footnote>
  <w:footnote w:type="continuationSeparator" w:id="0">
    <w:p w14:paraId="28756E6D" w14:textId="77777777" w:rsidR="004306C3" w:rsidRDefault="004306C3" w:rsidP="00DF2984">
      <w:pPr>
        <w:spacing w:after="0" w:line="240" w:lineRule="auto"/>
      </w:pPr>
      <w:r>
        <w:continuationSeparator/>
      </w:r>
    </w:p>
  </w:footnote>
  <w:footnote w:id="1">
    <w:p w14:paraId="78F29BBB" w14:textId="289425C7" w:rsidR="00FD135D" w:rsidRDefault="00FD135D">
      <w:pPr>
        <w:pStyle w:val="FootnoteText"/>
      </w:pPr>
      <w:r>
        <w:rPr>
          <w:rStyle w:val="FootnoteReference"/>
        </w:rPr>
        <w:footnoteRef/>
      </w:r>
      <w:r>
        <w:t xml:space="preserve"> </w:t>
      </w:r>
      <w:r>
        <w:rPr>
          <w:rStyle w:val="cf01"/>
        </w:rPr>
        <w:t>We also think that the EU securitisation market would benefit rather than lose out from making it easier for EU investors to access third-country securitisations. It would make it more economic to maintain investor teams with securitisation expertise, and to offer intermediation services in these markets, with positive feedback for EU securitisation issuance too</w:t>
      </w:r>
      <w:r w:rsidR="00122B06">
        <w:rPr>
          <w:rStyle w:val="cf0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B617" w14:textId="12A5B690" w:rsidR="00DF2984" w:rsidRDefault="00DF2984">
    <w:pPr>
      <w:pStyle w:val="Header"/>
    </w:pPr>
    <w:r>
      <w:rPr>
        <w:noProof/>
        <w:lang w:eastAsia="en-GB"/>
      </w:rPr>
      <w:drawing>
        <wp:anchor distT="0" distB="0" distL="114300" distR="114300" simplePos="0" relativeHeight="251659264" behindDoc="1" locked="0" layoutInCell="1" allowOverlap="1" wp14:anchorId="7A5977D8" wp14:editId="4A42780B">
          <wp:simplePos x="0" y="0"/>
          <wp:positionH relativeFrom="margin">
            <wp:align>left</wp:align>
          </wp:positionH>
          <wp:positionV relativeFrom="paragraph">
            <wp:posOffset>-235585</wp:posOffset>
          </wp:positionV>
          <wp:extent cx="2214880" cy="541020"/>
          <wp:effectExtent l="0" t="0" r="0" b="0"/>
          <wp:wrapTight wrapText="bothSides">
            <wp:wrapPolygon edited="0">
              <wp:start x="1486" y="0"/>
              <wp:lineTo x="557" y="4563"/>
              <wp:lineTo x="0" y="9127"/>
              <wp:lineTo x="186" y="13690"/>
              <wp:lineTo x="1486" y="19014"/>
              <wp:lineTo x="2044" y="20535"/>
              <wp:lineTo x="2972" y="20535"/>
              <wp:lineTo x="20993" y="19014"/>
              <wp:lineTo x="20993" y="6085"/>
              <wp:lineTo x="3530" y="0"/>
              <wp:lineTo x="1486" y="0"/>
            </wp:wrapPolygon>
          </wp:wrapTight>
          <wp:docPr id="622309308" name="Picture 6223093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880" cy="5410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459"/>
    <w:multiLevelType w:val="multilevel"/>
    <w:tmpl w:val="02DA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56F7"/>
    <w:multiLevelType w:val="hybridMultilevel"/>
    <w:tmpl w:val="598E3214"/>
    <w:lvl w:ilvl="0" w:tplc="FCA4CB4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41CA1677"/>
    <w:multiLevelType w:val="hybridMultilevel"/>
    <w:tmpl w:val="1B527B2E"/>
    <w:lvl w:ilvl="0" w:tplc="EC10BEEC">
      <w:start w:val="1"/>
      <w:numFmt w:val="decimal"/>
      <w:lvlText w:val="%1."/>
      <w:lvlJc w:val="left"/>
      <w:pPr>
        <w:ind w:left="360" w:hanging="360"/>
      </w:pPr>
      <w:rPr>
        <w:rFonts w:eastAsia="Credit Suisse Type Light" w:hint="default"/>
        <w:b/>
        <w:color w:val="00206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63AF0921"/>
    <w:multiLevelType w:val="hybridMultilevel"/>
    <w:tmpl w:val="DA6C1256"/>
    <w:lvl w:ilvl="0" w:tplc="AF42045E">
      <w:start w:val="1"/>
      <w:numFmt w:val="bullet"/>
      <w:lvlText w:val=""/>
      <w:lvlJc w:val="left"/>
      <w:pPr>
        <w:ind w:left="360" w:hanging="360"/>
      </w:pPr>
      <w:rPr>
        <w:rFonts w:ascii="Symbol" w:eastAsiaTheme="minorHAnsi" w:hAnsi="Symbol"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973633037">
    <w:abstractNumId w:val="2"/>
  </w:num>
  <w:num w:numId="2" w16cid:durableId="2023361496">
    <w:abstractNumId w:val="0"/>
  </w:num>
  <w:num w:numId="3" w16cid:durableId="834303116">
    <w:abstractNumId w:val="1"/>
  </w:num>
  <w:num w:numId="4" w16cid:durableId="67450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07"/>
    <w:rsid w:val="00001D74"/>
    <w:rsid w:val="00012D96"/>
    <w:rsid w:val="000137AE"/>
    <w:rsid w:val="00027D31"/>
    <w:rsid w:val="00034F9E"/>
    <w:rsid w:val="00035E98"/>
    <w:rsid w:val="000562BE"/>
    <w:rsid w:val="00061327"/>
    <w:rsid w:val="00061A49"/>
    <w:rsid w:val="000650D5"/>
    <w:rsid w:val="00071E6E"/>
    <w:rsid w:val="00075A7B"/>
    <w:rsid w:val="00076996"/>
    <w:rsid w:val="00077C5D"/>
    <w:rsid w:val="00085572"/>
    <w:rsid w:val="00090776"/>
    <w:rsid w:val="000969B2"/>
    <w:rsid w:val="000B163C"/>
    <w:rsid w:val="000B1A00"/>
    <w:rsid w:val="000B2F11"/>
    <w:rsid w:val="000B445A"/>
    <w:rsid w:val="000C0936"/>
    <w:rsid w:val="000D0458"/>
    <w:rsid w:val="000D18D7"/>
    <w:rsid w:val="000D39CC"/>
    <w:rsid w:val="000D50AD"/>
    <w:rsid w:val="000D562A"/>
    <w:rsid w:val="000E13A7"/>
    <w:rsid w:val="000E62F9"/>
    <w:rsid w:val="000F17BD"/>
    <w:rsid w:val="000F75AB"/>
    <w:rsid w:val="00100763"/>
    <w:rsid w:val="00101612"/>
    <w:rsid w:val="00107E1E"/>
    <w:rsid w:val="001101A2"/>
    <w:rsid w:val="00111524"/>
    <w:rsid w:val="0011287C"/>
    <w:rsid w:val="00114A00"/>
    <w:rsid w:val="00115C53"/>
    <w:rsid w:val="00122B06"/>
    <w:rsid w:val="00122B5A"/>
    <w:rsid w:val="001305C1"/>
    <w:rsid w:val="001529BA"/>
    <w:rsid w:val="00160ACE"/>
    <w:rsid w:val="00161A02"/>
    <w:rsid w:val="00170BBB"/>
    <w:rsid w:val="00173E90"/>
    <w:rsid w:val="00182C13"/>
    <w:rsid w:val="00184326"/>
    <w:rsid w:val="00184B19"/>
    <w:rsid w:val="001A383C"/>
    <w:rsid w:val="001A519F"/>
    <w:rsid w:val="001A59EF"/>
    <w:rsid w:val="001A7A7E"/>
    <w:rsid w:val="001B09F0"/>
    <w:rsid w:val="001B4B71"/>
    <w:rsid w:val="001D00BD"/>
    <w:rsid w:val="001D5DFB"/>
    <w:rsid w:val="001D6323"/>
    <w:rsid w:val="001E0CC0"/>
    <w:rsid w:val="001E13AA"/>
    <w:rsid w:val="001E3408"/>
    <w:rsid w:val="001E3C46"/>
    <w:rsid w:val="001E4393"/>
    <w:rsid w:val="001F2179"/>
    <w:rsid w:val="001F4DC6"/>
    <w:rsid w:val="001F6C70"/>
    <w:rsid w:val="00201964"/>
    <w:rsid w:val="00201E46"/>
    <w:rsid w:val="002023E4"/>
    <w:rsid w:val="002036B2"/>
    <w:rsid w:val="00203F4E"/>
    <w:rsid w:val="00214540"/>
    <w:rsid w:val="00214A3E"/>
    <w:rsid w:val="00216E34"/>
    <w:rsid w:val="002217DC"/>
    <w:rsid w:val="002229D6"/>
    <w:rsid w:val="00223DB1"/>
    <w:rsid w:val="0022421A"/>
    <w:rsid w:val="00231115"/>
    <w:rsid w:val="0024346A"/>
    <w:rsid w:val="002559EC"/>
    <w:rsid w:val="002618A6"/>
    <w:rsid w:val="00266616"/>
    <w:rsid w:val="00270283"/>
    <w:rsid w:val="00274E88"/>
    <w:rsid w:val="002778B4"/>
    <w:rsid w:val="00285BF9"/>
    <w:rsid w:val="002876FC"/>
    <w:rsid w:val="002960A4"/>
    <w:rsid w:val="00296AF3"/>
    <w:rsid w:val="002A34B0"/>
    <w:rsid w:val="002A4675"/>
    <w:rsid w:val="002A472D"/>
    <w:rsid w:val="002A59F2"/>
    <w:rsid w:val="002A6E9C"/>
    <w:rsid w:val="002B278B"/>
    <w:rsid w:val="002D19BC"/>
    <w:rsid w:val="002D28E4"/>
    <w:rsid w:val="002D2CCC"/>
    <w:rsid w:val="002D4668"/>
    <w:rsid w:val="002D697B"/>
    <w:rsid w:val="002E6077"/>
    <w:rsid w:val="002F288C"/>
    <w:rsid w:val="00302E2B"/>
    <w:rsid w:val="003033F5"/>
    <w:rsid w:val="00304E95"/>
    <w:rsid w:val="00305AD1"/>
    <w:rsid w:val="0031186A"/>
    <w:rsid w:val="0031205D"/>
    <w:rsid w:val="0032240B"/>
    <w:rsid w:val="003224AC"/>
    <w:rsid w:val="0032380A"/>
    <w:rsid w:val="0032536B"/>
    <w:rsid w:val="00326102"/>
    <w:rsid w:val="00326C88"/>
    <w:rsid w:val="00332311"/>
    <w:rsid w:val="003328F4"/>
    <w:rsid w:val="003362B7"/>
    <w:rsid w:val="00354349"/>
    <w:rsid w:val="00355B8A"/>
    <w:rsid w:val="00356D0E"/>
    <w:rsid w:val="0035734F"/>
    <w:rsid w:val="00357705"/>
    <w:rsid w:val="00362085"/>
    <w:rsid w:val="0037026F"/>
    <w:rsid w:val="003714DE"/>
    <w:rsid w:val="00375E98"/>
    <w:rsid w:val="00382FF4"/>
    <w:rsid w:val="00384CF6"/>
    <w:rsid w:val="00384E46"/>
    <w:rsid w:val="003951E0"/>
    <w:rsid w:val="00395AEE"/>
    <w:rsid w:val="00395D18"/>
    <w:rsid w:val="00396AF3"/>
    <w:rsid w:val="003A770F"/>
    <w:rsid w:val="003B0C2A"/>
    <w:rsid w:val="003B1345"/>
    <w:rsid w:val="003B45FB"/>
    <w:rsid w:val="003B64B4"/>
    <w:rsid w:val="003B7D37"/>
    <w:rsid w:val="003C3F91"/>
    <w:rsid w:val="003D188C"/>
    <w:rsid w:val="003D1F66"/>
    <w:rsid w:val="003E5426"/>
    <w:rsid w:val="003E56C4"/>
    <w:rsid w:val="003F157A"/>
    <w:rsid w:val="004035E4"/>
    <w:rsid w:val="00406639"/>
    <w:rsid w:val="00424A25"/>
    <w:rsid w:val="00424F12"/>
    <w:rsid w:val="00425B71"/>
    <w:rsid w:val="004306C3"/>
    <w:rsid w:val="0043367B"/>
    <w:rsid w:val="004440B1"/>
    <w:rsid w:val="00447BF5"/>
    <w:rsid w:val="004514E2"/>
    <w:rsid w:val="004570B2"/>
    <w:rsid w:val="00461FC1"/>
    <w:rsid w:val="00464671"/>
    <w:rsid w:val="00466648"/>
    <w:rsid w:val="00470EC4"/>
    <w:rsid w:val="004839F4"/>
    <w:rsid w:val="00490489"/>
    <w:rsid w:val="00493992"/>
    <w:rsid w:val="004A1801"/>
    <w:rsid w:val="004A269A"/>
    <w:rsid w:val="004B3029"/>
    <w:rsid w:val="004B5013"/>
    <w:rsid w:val="004B7FF7"/>
    <w:rsid w:val="004C1B36"/>
    <w:rsid w:val="004C4A20"/>
    <w:rsid w:val="004C51E5"/>
    <w:rsid w:val="004C5747"/>
    <w:rsid w:val="004C7348"/>
    <w:rsid w:val="004D1D52"/>
    <w:rsid w:val="004D73D9"/>
    <w:rsid w:val="004D77E1"/>
    <w:rsid w:val="004E1325"/>
    <w:rsid w:val="004E3D62"/>
    <w:rsid w:val="004E497C"/>
    <w:rsid w:val="004E564D"/>
    <w:rsid w:val="004F277C"/>
    <w:rsid w:val="004F472E"/>
    <w:rsid w:val="005135FE"/>
    <w:rsid w:val="00517F31"/>
    <w:rsid w:val="00525EFB"/>
    <w:rsid w:val="005303CF"/>
    <w:rsid w:val="00531E58"/>
    <w:rsid w:val="005345C4"/>
    <w:rsid w:val="00536A6D"/>
    <w:rsid w:val="00540FA8"/>
    <w:rsid w:val="00544544"/>
    <w:rsid w:val="005474B7"/>
    <w:rsid w:val="00547996"/>
    <w:rsid w:val="0055223C"/>
    <w:rsid w:val="00555D1C"/>
    <w:rsid w:val="00556F41"/>
    <w:rsid w:val="0055751D"/>
    <w:rsid w:val="005633F4"/>
    <w:rsid w:val="00567283"/>
    <w:rsid w:val="00595A7F"/>
    <w:rsid w:val="005A20B9"/>
    <w:rsid w:val="005D24B4"/>
    <w:rsid w:val="005D4049"/>
    <w:rsid w:val="005D6D17"/>
    <w:rsid w:val="005E4CD1"/>
    <w:rsid w:val="005E500B"/>
    <w:rsid w:val="005F0922"/>
    <w:rsid w:val="005F327A"/>
    <w:rsid w:val="006002D2"/>
    <w:rsid w:val="00601B1C"/>
    <w:rsid w:val="0060519E"/>
    <w:rsid w:val="00605EA9"/>
    <w:rsid w:val="006116A8"/>
    <w:rsid w:val="006152B2"/>
    <w:rsid w:val="00631F98"/>
    <w:rsid w:val="00643E82"/>
    <w:rsid w:val="00645795"/>
    <w:rsid w:val="00654175"/>
    <w:rsid w:val="0066443B"/>
    <w:rsid w:val="00667175"/>
    <w:rsid w:val="006729E8"/>
    <w:rsid w:val="006754A9"/>
    <w:rsid w:val="00683CA0"/>
    <w:rsid w:val="00683EB9"/>
    <w:rsid w:val="00683F71"/>
    <w:rsid w:val="00685369"/>
    <w:rsid w:val="00685B6F"/>
    <w:rsid w:val="00686079"/>
    <w:rsid w:val="00690A3A"/>
    <w:rsid w:val="006A1A43"/>
    <w:rsid w:val="006A26E5"/>
    <w:rsid w:val="006A6825"/>
    <w:rsid w:val="006B0291"/>
    <w:rsid w:val="006B2F3B"/>
    <w:rsid w:val="006B6E07"/>
    <w:rsid w:val="006C0179"/>
    <w:rsid w:val="006C3437"/>
    <w:rsid w:val="006C41DD"/>
    <w:rsid w:val="006C47CB"/>
    <w:rsid w:val="006D0991"/>
    <w:rsid w:val="006D3205"/>
    <w:rsid w:val="006D428B"/>
    <w:rsid w:val="006E0B92"/>
    <w:rsid w:val="006E7950"/>
    <w:rsid w:val="006F3C57"/>
    <w:rsid w:val="006F6008"/>
    <w:rsid w:val="00700D7B"/>
    <w:rsid w:val="0070183F"/>
    <w:rsid w:val="007105A4"/>
    <w:rsid w:val="0071695B"/>
    <w:rsid w:val="00723063"/>
    <w:rsid w:val="00724515"/>
    <w:rsid w:val="00724AB6"/>
    <w:rsid w:val="00730304"/>
    <w:rsid w:val="007312A4"/>
    <w:rsid w:val="007342F9"/>
    <w:rsid w:val="00737B6E"/>
    <w:rsid w:val="00740248"/>
    <w:rsid w:val="00740CC5"/>
    <w:rsid w:val="00740DE8"/>
    <w:rsid w:val="0074426F"/>
    <w:rsid w:val="007444E4"/>
    <w:rsid w:val="00746EFA"/>
    <w:rsid w:val="00753DFD"/>
    <w:rsid w:val="00753ED1"/>
    <w:rsid w:val="0075438A"/>
    <w:rsid w:val="0076282D"/>
    <w:rsid w:val="00765996"/>
    <w:rsid w:val="00771698"/>
    <w:rsid w:val="00775D50"/>
    <w:rsid w:val="00781C60"/>
    <w:rsid w:val="00783786"/>
    <w:rsid w:val="00790C37"/>
    <w:rsid w:val="00792720"/>
    <w:rsid w:val="007A4A1D"/>
    <w:rsid w:val="007A5F7D"/>
    <w:rsid w:val="007B10E9"/>
    <w:rsid w:val="007B25EE"/>
    <w:rsid w:val="007B34E0"/>
    <w:rsid w:val="007D0C45"/>
    <w:rsid w:val="007D2E6E"/>
    <w:rsid w:val="007E097E"/>
    <w:rsid w:val="007E0A79"/>
    <w:rsid w:val="007E10D3"/>
    <w:rsid w:val="007E398C"/>
    <w:rsid w:val="007E479D"/>
    <w:rsid w:val="007E7665"/>
    <w:rsid w:val="007E7DFF"/>
    <w:rsid w:val="007F18AA"/>
    <w:rsid w:val="007F2626"/>
    <w:rsid w:val="007F4E04"/>
    <w:rsid w:val="0080472E"/>
    <w:rsid w:val="00805703"/>
    <w:rsid w:val="008152B3"/>
    <w:rsid w:val="00821F2B"/>
    <w:rsid w:val="00826085"/>
    <w:rsid w:val="008306B7"/>
    <w:rsid w:val="00830D07"/>
    <w:rsid w:val="00833997"/>
    <w:rsid w:val="00836D29"/>
    <w:rsid w:val="00846215"/>
    <w:rsid w:val="0084740E"/>
    <w:rsid w:val="00850279"/>
    <w:rsid w:val="00850936"/>
    <w:rsid w:val="00853AF6"/>
    <w:rsid w:val="008646B9"/>
    <w:rsid w:val="00870001"/>
    <w:rsid w:val="008908BD"/>
    <w:rsid w:val="0089775F"/>
    <w:rsid w:val="008A1CDC"/>
    <w:rsid w:val="008A2C25"/>
    <w:rsid w:val="008A7185"/>
    <w:rsid w:val="008C47CA"/>
    <w:rsid w:val="008C689B"/>
    <w:rsid w:val="008D13BB"/>
    <w:rsid w:val="008E1B0B"/>
    <w:rsid w:val="008E2FE3"/>
    <w:rsid w:val="008E44BC"/>
    <w:rsid w:val="008E4FD1"/>
    <w:rsid w:val="008F5C72"/>
    <w:rsid w:val="008F7BCF"/>
    <w:rsid w:val="009008A2"/>
    <w:rsid w:val="00912DEE"/>
    <w:rsid w:val="00912E3C"/>
    <w:rsid w:val="009265F5"/>
    <w:rsid w:val="00930EB0"/>
    <w:rsid w:val="0093336D"/>
    <w:rsid w:val="00935FE8"/>
    <w:rsid w:val="009430C2"/>
    <w:rsid w:val="009438A1"/>
    <w:rsid w:val="00943F78"/>
    <w:rsid w:val="009470C8"/>
    <w:rsid w:val="00947AB2"/>
    <w:rsid w:val="00963783"/>
    <w:rsid w:val="00972DA7"/>
    <w:rsid w:val="00974A8E"/>
    <w:rsid w:val="009757FE"/>
    <w:rsid w:val="00983103"/>
    <w:rsid w:val="00984F83"/>
    <w:rsid w:val="009C49D7"/>
    <w:rsid w:val="009D488F"/>
    <w:rsid w:val="009E3C56"/>
    <w:rsid w:val="009F0A69"/>
    <w:rsid w:val="009F127A"/>
    <w:rsid w:val="009F16A1"/>
    <w:rsid w:val="009F1DF4"/>
    <w:rsid w:val="009F2937"/>
    <w:rsid w:val="009F3BAA"/>
    <w:rsid w:val="009F4699"/>
    <w:rsid w:val="009F4974"/>
    <w:rsid w:val="00A012A3"/>
    <w:rsid w:val="00A051E8"/>
    <w:rsid w:val="00A10363"/>
    <w:rsid w:val="00A16EF3"/>
    <w:rsid w:val="00A24884"/>
    <w:rsid w:val="00A25B16"/>
    <w:rsid w:val="00A270A4"/>
    <w:rsid w:val="00A33AD1"/>
    <w:rsid w:val="00A36F85"/>
    <w:rsid w:val="00A462D5"/>
    <w:rsid w:val="00A5040B"/>
    <w:rsid w:val="00A5075E"/>
    <w:rsid w:val="00A53172"/>
    <w:rsid w:val="00A57305"/>
    <w:rsid w:val="00A63795"/>
    <w:rsid w:val="00A64EFE"/>
    <w:rsid w:val="00A65333"/>
    <w:rsid w:val="00A85481"/>
    <w:rsid w:val="00A93091"/>
    <w:rsid w:val="00A93566"/>
    <w:rsid w:val="00A947F8"/>
    <w:rsid w:val="00A95A32"/>
    <w:rsid w:val="00AA10AB"/>
    <w:rsid w:val="00AA64D5"/>
    <w:rsid w:val="00AB4A73"/>
    <w:rsid w:val="00AC319F"/>
    <w:rsid w:val="00AC4416"/>
    <w:rsid w:val="00AC46C4"/>
    <w:rsid w:val="00AE4847"/>
    <w:rsid w:val="00AF5C0F"/>
    <w:rsid w:val="00B04274"/>
    <w:rsid w:val="00B04633"/>
    <w:rsid w:val="00B04C47"/>
    <w:rsid w:val="00B079BD"/>
    <w:rsid w:val="00B219FB"/>
    <w:rsid w:val="00B23AC3"/>
    <w:rsid w:val="00B263D9"/>
    <w:rsid w:val="00B27EEB"/>
    <w:rsid w:val="00B30648"/>
    <w:rsid w:val="00B31406"/>
    <w:rsid w:val="00B35BA1"/>
    <w:rsid w:val="00B43AF0"/>
    <w:rsid w:val="00B468D8"/>
    <w:rsid w:val="00B5759D"/>
    <w:rsid w:val="00B60E40"/>
    <w:rsid w:val="00B63FE4"/>
    <w:rsid w:val="00B804B0"/>
    <w:rsid w:val="00B90413"/>
    <w:rsid w:val="00B92CF9"/>
    <w:rsid w:val="00B96FBA"/>
    <w:rsid w:val="00BA0DC3"/>
    <w:rsid w:val="00BA263F"/>
    <w:rsid w:val="00BA711F"/>
    <w:rsid w:val="00BC37D4"/>
    <w:rsid w:val="00BD5548"/>
    <w:rsid w:val="00BD6718"/>
    <w:rsid w:val="00BE1F60"/>
    <w:rsid w:val="00BE4EAF"/>
    <w:rsid w:val="00BE6E41"/>
    <w:rsid w:val="00BE78FD"/>
    <w:rsid w:val="00BF124B"/>
    <w:rsid w:val="00C10628"/>
    <w:rsid w:val="00C1111C"/>
    <w:rsid w:val="00C219A9"/>
    <w:rsid w:val="00C26424"/>
    <w:rsid w:val="00C2686D"/>
    <w:rsid w:val="00C31CF8"/>
    <w:rsid w:val="00C43362"/>
    <w:rsid w:val="00C520F7"/>
    <w:rsid w:val="00C57148"/>
    <w:rsid w:val="00C65D55"/>
    <w:rsid w:val="00C81F83"/>
    <w:rsid w:val="00C83EA5"/>
    <w:rsid w:val="00C85406"/>
    <w:rsid w:val="00C86B37"/>
    <w:rsid w:val="00C938A0"/>
    <w:rsid w:val="00CA0CCD"/>
    <w:rsid w:val="00CA4804"/>
    <w:rsid w:val="00CA5F4C"/>
    <w:rsid w:val="00CC088A"/>
    <w:rsid w:val="00CC4380"/>
    <w:rsid w:val="00CC70AF"/>
    <w:rsid w:val="00CD4114"/>
    <w:rsid w:val="00CD5021"/>
    <w:rsid w:val="00CE087E"/>
    <w:rsid w:val="00CE10AA"/>
    <w:rsid w:val="00CE667F"/>
    <w:rsid w:val="00D0635B"/>
    <w:rsid w:val="00D46BCE"/>
    <w:rsid w:val="00D51F85"/>
    <w:rsid w:val="00D56FF1"/>
    <w:rsid w:val="00D70F70"/>
    <w:rsid w:val="00D73703"/>
    <w:rsid w:val="00D77707"/>
    <w:rsid w:val="00D802C6"/>
    <w:rsid w:val="00D818FC"/>
    <w:rsid w:val="00D82D4C"/>
    <w:rsid w:val="00D85061"/>
    <w:rsid w:val="00D905EA"/>
    <w:rsid w:val="00DA2E97"/>
    <w:rsid w:val="00DA4D55"/>
    <w:rsid w:val="00DB18C2"/>
    <w:rsid w:val="00DC2506"/>
    <w:rsid w:val="00DE4D59"/>
    <w:rsid w:val="00DF095C"/>
    <w:rsid w:val="00DF2984"/>
    <w:rsid w:val="00E002A7"/>
    <w:rsid w:val="00E0088D"/>
    <w:rsid w:val="00E11EBB"/>
    <w:rsid w:val="00E1402B"/>
    <w:rsid w:val="00E205F4"/>
    <w:rsid w:val="00E24F28"/>
    <w:rsid w:val="00E339E8"/>
    <w:rsid w:val="00E33F4A"/>
    <w:rsid w:val="00E37914"/>
    <w:rsid w:val="00E42443"/>
    <w:rsid w:val="00E47BC1"/>
    <w:rsid w:val="00E50B88"/>
    <w:rsid w:val="00E6090C"/>
    <w:rsid w:val="00E619C1"/>
    <w:rsid w:val="00E62CDE"/>
    <w:rsid w:val="00E742BA"/>
    <w:rsid w:val="00E74761"/>
    <w:rsid w:val="00E76C22"/>
    <w:rsid w:val="00E85362"/>
    <w:rsid w:val="00E91032"/>
    <w:rsid w:val="00EA18B4"/>
    <w:rsid w:val="00EA1EDE"/>
    <w:rsid w:val="00EA25A0"/>
    <w:rsid w:val="00EA6B76"/>
    <w:rsid w:val="00EB2B0E"/>
    <w:rsid w:val="00EB7720"/>
    <w:rsid w:val="00EC1136"/>
    <w:rsid w:val="00EC116C"/>
    <w:rsid w:val="00EC1828"/>
    <w:rsid w:val="00EC3891"/>
    <w:rsid w:val="00EC784E"/>
    <w:rsid w:val="00ED09DB"/>
    <w:rsid w:val="00ED239F"/>
    <w:rsid w:val="00EE0B00"/>
    <w:rsid w:val="00EF444F"/>
    <w:rsid w:val="00F01B3D"/>
    <w:rsid w:val="00F027A6"/>
    <w:rsid w:val="00F06477"/>
    <w:rsid w:val="00F07D2E"/>
    <w:rsid w:val="00F07EC3"/>
    <w:rsid w:val="00F13602"/>
    <w:rsid w:val="00F16342"/>
    <w:rsid w:val="00F16BA6"/>
    <w:rsid w:val="00F2049D"/>
    <w:rsid w:val="00F22E0A"/>
    <w:rsid w:val="00F2751F"/>
    <w:rsid w:val="00F35BF1"/>
    <w:rsid w:val="00F37C37"/>
    <w:rsid w:val="00F5187E"/>
    <w:rsid w:val="00F55F88"/>
    <w:rsid w:val="00F57B3D"/>
    <w:rsid w:val="00F60DF2"/>
    <w:rsid w:val="00F61881"/>
    <w:rsid w:val="00F66F78"/>
    <w:rsid w:val="00F75997"/>
    <w:rsid w:val="00F81A3F"/>
    <w:rsid w:val="00F82CE1"/>
    <w:rsid w:val="00F84A54"/>
    <w:rsid w:val="00F924C0"/>
    <w:rsid w:val="00FA0E65"/>
    <w:rsid w:val="00FA379A"/>
    <w:rsid w:val="00FC3568"/>
    <w:rsid w:val="00FC4CC6"/>
    <w:rsid w:val="00FD129C"/>
    <w:rsid w:val="00FD135D"/>
    <w:rsid w:val="00FE4AFC"/>
    <w:rsid w:val="00FF2733"/>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CD31"/>
  <w15:chartTrackingRefBased/>
  <w15:docId w15:val="{F841FE92-5987-498D-80B9-5C568B3F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07"/>
    <w:rPr>
      <w:lang w:val="en-GB"/>
    </w:rPr>
  </w:style>
  <w:style w:type="paragraph" w:styleId="Heading3">
    <w:name w:val="heading 3"/>
    <w:basedOn w:val="Normal"/>
    <w:link w:val="Heading3Char"/>
    <w:uiPriority w:val="9"/>
    <w:qFormat/>
    <w:rsid w:val="00027D3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6E0B92"/>
    <w:pPr>
      <w:keepNext/>
      <w:keepLines/>
      <w:spacing w:before="40" w:after="240"/>
      <w:outlineLvl w:val="3"/>
    </w:pPr>
    <w:rPr>
      <w:rFonts w:asciiTheme="majorHAnsi" w:eastAsia="Credit Suisse Type Light" w:hAnsiTheme="majorHAnsi" w:cstheme="majorBidi"/>
      <w:i/>
      <w:iCs/>
      <w:color w:val="2F5496" w:themeColor="accent1" w:themeShade="BF"/>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Paragrafo elenco,List Paragraph1,1st level - Bullet List Paragraph,Issue Action POC,3,POCG Table Text,Dot pt,F5 List Paragraph,List Paragraph Char Char Char,Indicator Text,Colorful List - Accent 11,Numbered Para 1"/>
    <w:basedOn w:val="Normal"/>
    <w:link w:val="ListParagraphChar"/>
    <w:uiPriority w:val="34"/>
    <w:qFormat/>
    <w:rsid w:val="00830D07"/>
    <w:pPr>
      <w:spacing w:after="0" w:line="240" w:lineRule="auto"/>
      <w:ind w:left="720"/>
    </w:pPr>
    <w:rPr>
      <w:rFonts w:ascii="Calibri" w:hAnsi="Calibri" w:cs="Calibri"/>
      <w:kern w:val="0"/>
    </w:rPr>
  </w:style>
  <w:style w:type="character" w:customStyle="1" w:styleId="ListParagraphChar">
    <w:name w:val="List Paragraph Char"/>
    <w:aliases w:val="Lettre d'introduction Char,Paragrafo elenco Char,List Paragraph1 Char,1st level - Bullet List Paragraph Char,Issue Action POC Char,3 Char,POCG Table Text Char,Dot pt Char,F5 List Paragraph Char,List Paragraph Char Char Char Char"/>
    <w:basedOn w:val="DefaultParagraphFont"/>
    <w:link w:val="ListParagraph"/>
    <w:uiPriority w:val="34"/>
    <w:locked/>
    <w:rsid w:val="00830D07"/>
    <w:rPr>
      <w:rFonts w:ascii="Calibri" w:hAnsi="Calibri" w:cs="Calibri"/>
      <w:kern w:val="0"/>
      <w:lang w:val="en-GB"/>
    </w:rPr>
  </w:style>
  <w:style w:type="character" w:customStyle="1" w:styleId="Heading3Char">
    <w:name w:val="Heading 3 Char"/>
    <w:basedOn w:val="DefaultParagraphFont"/>
    <w:link w:val="Heading3"/>
    <w:uiPriority w:val="9"/>
    <w:rsid w:val="00027D3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27D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27D31"/>
    <w:rPr>
      <w:b/>
      <w:bCs/>
    </w:rPr>
  </w:style>
  <w:style w:type="character" w:styleId="Hyperlink">
    <w:name w:val="Hyperlink"/>
    <w:basedOn w:val="DefaultParagraphFont"/>
    <w:uiPriority w:val="99"/>
    <w:unhideWhenUsed/>
    <w:rsid w:val="00027D31"/>
    <w:rPr>
      <w:color w:val="0000FF"/>
      <w:u w:val="single"/>
    </w:rPr>
  </w:style>
  <w:style w:type="paragraph" w:styleId="Header">
    <w:name w:val="header"/>
    <w:basedOn w:val="Normal"/>
    <w:link w:val="HeaderChar"/>
    <w:uiPriority w:val="99"/>
    <w:unhideWhenUsed/>
    <w:rsid w:val="00DF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984"/>
    <w:rPr>
      <w:lang w:val="en-GB"/>
    </w:rPr>
  </w:style>
  <w:style w:type="paragraph" w:styleId="Footer">
    <w:name w:val="footer"/>
    <w:basedOn w:val="Normal"/>
    <w:link w:val="FooterChar"/>
    <w:uiPriority w:val="99"/>
    <w:unhideWhenUsed/>
    <w:rsid w:val="00DF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984"/>
    <w:rPr>
      <w:lang w:val="en-GB"/>
    </w:rPr>
  </w:style>
  <w:style w:type="paragraph" w:styleId="FootnoteText">
    <w:name w:val="footnote text"/>
    <w:basedOn w:val="Normal"/>
    <w:link w:val="FootnoteTextChar"/>
    <w:uiPriority w:val="99"/>
    <w:semiHidden/>
    <w:unhideWhenUsed/>
    <w:rsid w:val="00130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5C1"/>
    <w:rPr>
      <w:sz w:val="20"/>
      <w:szCs w:val="20"/>
      <w:lang w:val="en-GB"/>
    </w:rPr>
  </w:style>
  <w:style w:type="character" w:styleId="FootnoteReference">
    <w:name w:val="footnote reference"/>
    <w:basedOn w:val="DefaultParagraphFont"/>
    <w:uiPriority w:val="99"/>
    <w:semiHidden/>
    <w:unhideWhenUsed/>
    <w:rsid w:val="001305C1"/>
    <w:rPr>
      <w:vertAlign w:val="superscript"/>
    </w:rPr>
  </w:style>
  <w:style w:type="character" w:styleId="CommentReference">
    <w:name w:val="annotation reference"/>
    <w:basedOn w:val="DefaultParagraphFont"/>
    <w:uiPriority w:val="99"/>
    <w:semiHidden/>
    <w:unhideWhenUsed/>
    <w:rsid w:val="0070183F"/>
    <w:rPr>
      <w:sz w:val="16"/>
      <w:szCs w:val="16"/>
    </w:rPr>
  </w:style>
  <w:style w:type="paragraph" w:styleId="CommentText">
    <w:name w:val="annotation text"/>
    <w:basedOn w:val="Normal"/>
    <w:link w:val="CommentTextChar"/>
    <w:uiPriority w:val="99"/>
    <w:unhideWhenUsed/>
    <w:rsid w:val="0070183F"/>
    <w:pPr>
      <w:spacing w:line="240" w:lineRule="auto"/>
    </w:pPr>
    <w:rPr>
      <w:sz w:val="20"/>
      <w:szCs w:val="20"/>
    </w:rPr>
  </w:style>
  <w:style w:type="character" w:customStyle="1" w:styleId="CommentTextChar">
    <w:name w:val="Comment Text Char"/>
    <w:basedOn w:val="DefaultParagraphFont"/>
    <w:link w:val="CommentText"/>
    <w:uiPriority w:val="99"/>
    <w:rsid w:val="0070183F"/>
    <w:rPr>
      <w:sz w:val="20"/>
      <w:szCs w:val="20"/>
      <w:lang w:val="en-GB"/>
    </w:rPr>
  </w:style>
  <w:style w:type="paragraph" w:styleId="CommentSubject">
    <w:name w:val="annotation subject"/>
    <w:basedOn w:val="CommentText"/>
    <w:next w:val="CommentText"/>
    <w:link w:val="CommentSubjectChar"/>
    <w:uiPriority w:val="99"/>
    <w:semiHidden/>
    <w:unhideWhenUsed/>
    <w:rsid w:val="0070183F"/>
    <w:rPr>
      <w:b/>
      <w:bCs/>
    </w:rPr>
  </w:style>
  <w:style w:type="character" w:customStyle="1" w:styleId="CommentSubjectChar">
    <w:name w:val="Comment Subject Char"/>
    <w:basedOn w:val="CommentTextChar"/>
    <w:link w:val="CommentSubject"/>
    <w:uiPriority w:val="99"/>
    <w:semiHidden/>
    <w:rsid w:val="0070183F"/>
    <w:rPr>
      <w:b/>
      <w:bCs/>
      <w:sz w:val="20"/>
      <w:szCs w:val="20"/>
      <w:lang w:val="en-GB"/>
    </w:rPr>
  </w:style>
  <w:style w:type="paragraph" w:styleId="Revision">
    <w:name w:val="Revision"/>
    <w:hidden/>
    <w:uiPriority w:val="99"/>
    <w:semiHidden/>
    <w:rsid w:val="00296AF3"/>
    <w:pPr>
      <w:spacing w:after="0" w:line="240" w:lineRule="auto"/>
    </w:pPr>
    <w:rPr>
      <w:lang w:val="en-GB"/>
    </w:rPr>
  </w:style>
  <w:style w:type="character" w:customStyle="1" w:styleId="cf01">
    <w:name w:val="cf01"/>
    <w:basedOn w:val="DefaultParagraphFont"/>
    <w:rsid w:val="00F57B3D"/>
    <w:rPr>
      <w:rFonts w:ascii="Segoe UI" w:hAnsi="Segoe UI" w:cs="Segoe UI" w:hint="default"/>
      <w:i/>
      <w:iCs/>
      <w:sz w:val="18"/>
      <w:szCs w:val="18"/>
    </w:rPr>
  </w:style>
  <w:style w:type="character" w:customStyle="1" w:styleId="Heading4Char">
    <w:name w:val="Heading 4 Char"/>
    <w:basedOn w:val="DefaultParagraphFont"/>
    <w:link w:val="Heading4"/>
    <w:uiPriority w:val="9"/>
    <w:rsid w:val="006E0B92"/>
    <w:rPr>
      <w:rFonts w:asciiTheme="majorHAnsi" w:eastAsia="Credit Suisse Type Light" w:hAnsiTheme="majorHAnsi" w:cstheme="majorBidi"/>
      <w:i/>
      <w:iCs/>
      <w:color w:val="2F5496" w:themeColor="accent1" w:themeShade="BF"/>
      <w:lang w:val="en-GB" w:eastAsia="de-CH"/>
    </w:rPr>
  </w:style>
  <w:style w:type="character" w:styleId="UnresolvedMention">
    <w:name w:val="Unresolved Mention"/>
    <w:basedOn w:val="DefaultParagraphFont"/>
    <w:uiPriority w:val="99"/>
    <w:semiHidden/>
    <w:unhideWhenUsed/>
    <w:rsid w:val="0042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68597">
      <w:bodyDiv w:val="1"/>
      <w:marLeft w:val="0"/>
      <w:marRight w:val="0"/>
      <w:marTop w:val="0"/>
      <w:marBottom w:val="0"/>
      <w:divBdr>
        <w:top w:val="none" w:sz="0" w:space="0" w:color="auto"/>
        <w:left w:val="none" w:sz="0" w:space="0" w:color="auto"/>
        <w:bottom w:val="none" w:sz="0" w:space="0" w:color="auto"/>
        <w:right w:val="none" w:sz="0" w:space="0" w:color="auto"/>
      </w:divBdr>
    </w:div>
    <w:div w:id="308478895">
      <w:bodyDiv w:val="1"/>
      <w:marLeft w:val="0"/>
      <w:marRight w:val="0"/>
      <w:marTop w:val="0"/>
      <w:marBottom w:val="0"/>
      <w:divBdr>
        <w:top w:val="none" w:sz="0" w:space="0" w:color="auto"/>
        <w:left w:val="none" w:sz="0" w:space="0" w:color="auto"/>
        <w:bottom w:val="none" w:sz="0" w:space="0" w:color="auto"/>
        <w:right w:val="none" w:sz="0" w:space="0" w:color="auto"/>
      </w:divBdr>
    </w:div>
    <w:div w:id="1237864271">
      <w:bodyDiv w:val="1"/>
      <w:marLeft w:val="0"/>
      <w:marRight w:val="0"/>
      <w:marTop w:val="0"/>
      <w:marBottom w:val="0"/>
      <w:divBdr>
        <w:top w:val="none" w:sz="0" w:space="0" w:color="auto"/>
        <w:left w:val="none" w:sz="0" w:space="0" w:color="auto"/>
        <w:bottom w:val="none" w:sz="0" w:space="0" w:color="auto"/>
        <w:right w:val="none" w:sz="0" w:space="0" w:color="auto"/>
      </w:divBdr>
    </w:div>
    <w:div w:id="1290436024">
      <w:bodyDiv w:val="1"/>
      <w:marLeft w:val="0"/>
      <w:marRight w:val="0"/>
      <w:marTop w:val="0"/>
      <w:marBottom w:val="0"/>
      <w:divBdr>
        <w:top w:val="none" w:sz="0" w:space="0" w:color="auto"/>
        <w:left w:val="none" w:sz="0" w:space="0" w:color="auto"/>
        <w:bottom w:val="none" w:sz="0" w:space="0" w:color="auto"/>
        <w:right w:val="none" w:sz="0" w:space="0" w:color="auto"/>
      </w:divBdr>
    </w:div>
    <w:div w:id="1504589329">
      <w:bodyDiv w:val="1"/>
      <w:marLeft w:val="0"/>
      <w:marRight w:val="0"/>
      <w:marTop w:val="0"/>
      <w:marBottom w:val="0"/>
      <w:divBdr>
        <w:top w:val="none" w:sz="0" w:space="0" w:color="auto"/>
        <w:left w:val="none" w:sz="0" w:space="0" w:color="auto"/>
        <w:bottom w:val="none" w:sz="0" w:space="0" w:color="auto"/>
        <w:right w:val="none" w:sz="0" w:space="0" w:color="auto"/>
      </w:divBdr>
    </w:div>
    <w:div w:id="1513648288">
      <w:bodyDiv w:val="1"/>
      <w:marLeft w:val="0"/>
      <w:marRight w:val="0"/>
      <w:marTop w:val="0"/>
      <w:marBottom w:val="0"/>
      <w:divBdr>
        <w:top w:val="none" w:sz="0" w:space="0" w:color="auto"/>
        <w:left w:val="none" w:sz="0" w:space="0" w:color="auto"/>
        <w:bottom w:val="none" w:sz="0" w:space="0" w:color="auto"/>
        <w:right w:val="none" w:sz="0" w:space="0" w:color="auto"/>
      </w:divBdr>
    </w:div>
    <w:div w:id="2049598090">
      <w:bodyDiv w:val="1"/>
      <w:marLeft w:val="0"/>
      <w:marRight w:val="0"/>
      <w:marTop w:val="0"/>
      <w:marBottom w:val="0"/>
      <w:divBdr>
        <w:top w:val="none" w:sz="0" w:space="0" w:color="auto"/>
        <w:left w:val="none" w:sz="0" w:space="0" w:color="auto"/>
        <w:bottom w:val="none" w:sz="0" w:space="0" w:color="auto"/>
        <w:right w:val="none" w:sz="0" w:space="0" w:color="auto"/>
      </w:divBdr>
    </w:div>
    <w:div w:id="2135437104">
      <w:bodyDiv w:val="1"/>
      <w:marLeft w:val="0"/>
      <w:marRight w:val="0"/>
      <w:marTop w:val="0"/>
      <w:marBottom w:val="0"/>
      <w:divBdr>
        <w:top w:val="none" w:sz="0" w:space="0" w:color="auto"/>
        <w:left w:val="none" w:sz="0" w:space="0" w:color="auto"/>
        <w:bottom w:val="none" w:sz="0" w:space="0" w:color="auto"/>
        <w:right w:val="none" w:sz="0" w:space="0" w:color="auto"/>
      </w:divBdr>
    </w:div>
    <w:div w:id="2145392992">
      <w:bodyDiv w:val="1"/>
      <w:marLeft w:val="0"/>
      <w:marRight w:val="0"/>
      <w:marTop w:val="0"/>
      <w:marBottom w:val="0"/>
      <w:divBdr>
        <w:top w:val="none" w:sz="0" w:space="0" w:color="auto"/>
        <w:left w:val="none" w:sz="0" w:space="0" w:color="auto"/>
        <w:bottom w:val="none" w:sz="0" w:space="0" w:color="auto"/>
        <w:right w:val="none" w:sz="0" w:space="0" w:color="auto"/>
      </w:divBdr>
      <w:divsChild>
        <w:div w:id="750272185">
          <w:blockQuote w:val="1"/>
          <w:marLeft w:val="0"/>
          <w:marRight w:val="0"/>
          <w:marTop w:val="0"/>
          <w:marBottom w:val="900"/>
          <w:divBdr>
            <w:top w:val="none" w:sz="0" w:space="0" w:color="auto"/>
            <w:left w:val="none" w:sz="0" w:space="0" w:color="auto"/>
            <w:bottom w:val="none" w:sz="0" w:space="0" w:color="auto"/>
            <w:right w:val="none" w:sz="0" w:space="0" w:color="auto"/>
          </w:divBdr>
        </w:div>
        <w:div w:id="1434664210">
          <w:blockQuote w:val="1"/>
          <w:marLeft w:val="0"/>
          <w:marRight w:val="0"/>
          <w:marTop w:val="0"/>
          <w:marBottom w:val="900"/>
          <w:divBdr>
            <w:top w:val="none" w:sz="0" w:space="0" w:color="auto"/>
            <w:left w:val="none" w:sz="0" w:space="0" w:color="auto"/>
            <w:bottom w:val="none" w:sz="0" w:space="0" w:color="auto"/>
            <w:right w:val="none" w:sz="0" w:space="0" w:color="auto"/>
          </w:divBdr>
        </w:div>
        <w:div w:id="1930458235">
          <w:blockQuote w:val="1"/>
          <w:marLeft w:val="0"/>
          <w:marRight w:val="0"/>
          <w:marTop w:val="0"/>
          <w:marBottom w:val="900"/>
          <w:divBdr>
            <w:top w:val="none" w:sz="0" w:space="0" w:color="auto"/>
            <w:left w:val="none" w:sz="0" w:space="0" w:color="auto"/>
            <w:bottom w:val="none" w:sz="0" w:space="0" w:color="auto"/>
            <w:right w:val="none" w:sz="0" w:space="0" w:color="auto"/>
          </w:divBdr>
        </w:div>
        <w:div w:id="1123960186">
          <w:blockQuote w:val="1"/>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PDF/?uri=CELEX:52022DC05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ission.europa.eu/system/files/2023-10/COM_2023_638_1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issfinancecouncil.org/images/Positions/SFC%20position%20on%20future%20of%20CMU_.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681e09-43a4-495d-9986-1aac5bf3f424">
      <Terms xmlns="http://schemas.microsoft.com/office/infopath/2007/PartnerControls"/>
    </lcf76f155ced4ddcb4097134ff3c332f>
    <TaxCatchAll xmlns="292d3eda-c7f8-4e71-bad9-999592a536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8E0180CA9564F848FD8F5BF52CC53" ma:contentTypeVersion="20" ma:contentTypeDescription="Create a new document." ma:contentTypeScope="" ma:versionID="d02aca100c295a4aa67173e752e4fda1">
  <xsd:schema xmlns:xsd="http://www.w3.org/2001/XMLSchema" xmlns:xs="http://www.w3.org/2001/XMLSchema" xmlns:p="http://schemas.microsoft.com/office/2006/metadata/properties" xmlns:ns2="292d3eda-c7f8-4e71-bad9-999592a536d9" xmlns:ns3="7e681e09-43a4-495d-9986-1aac5bf3f424" targetNamespace="http://schemas.microsoft.com/office/2006/metadata/properties" ma:root="true" ma:fieldsID="d4be7b1d9da4f368679ae6208306c39d" ns2:_="" ns3:_="">
    <xsd:import namespace="292d3eda-c7f8-4e71-bad9-999592a536d9"/>
    <xsd:import namespace="7e681e09-43a4-495d-9986-1aac5bf3f42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3eda-c7f8-4e71-bad9-999592a536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0d757d-6653-48c4-b5eb-1f1c97877437}" ma:internalName="TaxCatchAll" ma:showField="CatchAllData" ma:web="292d3eda-c7f8-4e71-bad9-999592a536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81e09-43a4-495d-9986-1aac5bf3f42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f3a078-7f6c-47a3-85c9-39d61d050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87AA-B3FA-437C-B684-2CEEBE255248}">
  <ds:schemaRefs>
    <ds:schemaRef ds:uri="http://schemas.microsoft.com/office/2006/metadata/properties"/>
    <ds:schemaRef ds:uri="http://schemas.microsoft.com/office/infopath/2007/PartnerControls"/>
    <ds:schemaRef ds:uri="7e681e09-43a4-495d-9986-1aac5bf3f424"/>
    <ds:schemaRef ds:uri="292d3eda-c7f8-4e71-bad9-999592a536d9"/>
  </ds:schemaRefs>
</ds:datastoreItem>
</file>

<file path=customXml/itemProps2.xml><?xml version="1.0" encoding="utf-8"?>
<ds:datastoreItem xmlns:ds="http://schemas.openxmlformats.org/officeDocument/2006/customXml" ds:itemID="{C11E7A10-7B47-4C87-940F-D6F7681DB604}">
  <ds:schemaRefs>
    <ds:schemaRef ds:uri="http://schemas.microsoft.com/sharepoint/v3/contenttype/forms"/>
  </ds:schemaRefs>
</ds:datastoreItem>
</file>

<file path=customXml/itemProps3.xml><?xml version="1.0" encoding="utf-8"?>
<ds:datastoreItem xmlns:ds="http://schemas.openxmlformats.org/officeDocument/2006/customXml" ds:itemID="{711E03A6-BB57-4E48-BDD7-3019164F2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3eda-c7f8-4e71-bad9-999592a536d9"/>
    <ds:schemaRef ds:uri="7e681e09-43a4-495d-9986-1aac5bf3f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31E78-E3F7-4A44-9980-B5AC22EF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Van der Stappen</dc:creator>
  <cp:keywords/>
  <dc:description/>
  <cp:lastModifiedBy>Peter Rieger</cp:lastModifiedBy>
  <cp:revision>4</cp:revision>
  <cp:lastPrinted>2024-02-20T09:50:00Z</cp:lastPrinted>
  <dcterms:created xsi:type="dcterms:W3CDTF">2024-02-20T09:47:00Z</dcterms:created>
  <dcterms:modified xsi:type="dcterms:W3CDTF">2024-02-20T09:59:00Z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0x0101000AC8E0180CA9564F848FD8F5BF52CC53</vt:lpwstr>
  </property>
  <property fmtid="{D5CDD505-2E9C-101B-9397-08002B2CF9AE}" pid="3" name="MSIP_Label_dd3979fe-e8b4-4460-a1ce-38c18d103215_Enabled">
    <vt:lpwstr>true</vt:lpwstr>
  </property>
  <property fmtid="{D5CDD505-2E9C-101B-9397-08002B2CF9AE}" pid="4" name="MSIP_Label_dd3979fe-e8b4-4460-a1ce-38c18d103215_SetDate">
    <vt:lpwstr>2024-02-01T16:04:18Z</vt:lpwstr>
  </property>
  <property fmtid="{D5CDD505-2E9C-101B-9397-08002B2CF9AE}" pid="5" name="MSIP_Label_dd3979fe-e8b4-4460-a1ce-38c18d103215_Method">
    <vt:lpwstr>Privileged</vt:lpwstr>
  </property>
  <property fmtid="{D5CDD505-2E9C-101B-9397-08002B2CF9AE}" pid="6" name="MSIP_Label_dd3979fe-e8b4-4460-a1ce-38c18d103215_Name">
    <vt:lpwstr>dd3979fe-e8b4-4460-a1ce-38c18d103215</vt:lpwstr>
  </property>
  <property fmtid="{D5CDD505-2E9C-101B-9397-08002B2CF9AE}" pid="7" name="MSIP_Label_dd3979fe-e8b4-4460-a1ce-38c18d103215_SiteId">
    <vt:lpwstr>d0df3d96-c065-41c3-8c0b-5dcaa460ec33</vt:lpwstr>
  </property>
  <property fmtid="{D5CDD505-2E9C-101B-9397-08002B2CF9AE}" pid="8" name="MSIP_Label_dd3979fe-e8b4-4460-a1ce-38c18d103215_ActionId">
    <vt:lpwstr>7d350e3d-1e30-4536-bffa-89ad336c57b0</vt:lpwstr>
  </property>
  <property fmtid="{D5CDD505-2E9C-101B-9397-08002B2CF9AE}" pid="9" name="MSIP_Label_dd3979fe-e8b4-4460-a1ce-38c18d103215_ContentBits">
    <vt:lpwstr>0</vt:lpwstr>
  </property>
  <property fmtid="{D5CDD505-2E9C-101B-9397-08002B2CF9AE}" pid="10" name="MediaServiceImageTags">
    <vt:lpwstr/>
  </property>
</Properties>
</file>