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516CC453" w:rsidR="00635BCA" w:rsidRPr="00557BD2" w:rsidRDefault="00D53E75" w:rsidP="00D21C35">
                <w:r w:rsidRPr="00D53E75">
                  <w:t>European Venues and Intermediaries Association</w:t>
                </w:r>
                <w:r>
                  <w:t xml:space="preserve"> [EVIA]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2DFB8C4C" w:rsidR="00635BCA" w:rsidRPr="00557BD2" w:rsidRDefault="00D53E75"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4E22619E" w:rsidR="00635BCA" w:rsidRPr="00557BD2" w:rsidRDefault="00D53E75"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7C4B11FA" w:rsidR="00635BCA" w:rsidRPr="00557BD2" w:rsidRDefault="00D53E75" w:rsidP="00D21C35">
                <w:r>
                  <w:t>Europe</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379FFF0F" w14:textId="77777777" w:rsidR="00DD26CC" w:rsidRPr="00CC7D2C" w:rsidRDefault="00DD26CC" w:rsidP="00DD26CC">
      <w:pPr>
        <w:spacing w:before="100" w:beforeAutospacing="1" w:after="100" w:afterAutospacing="1" w:line="240" w:lineRule="auto"/>
        <w:rPr>
          <w:rFonts w:ascii="Roboto Light" w:hAnsi="Roboto Light"/>
          <w:b/>
          <w:bCs/>
          <w:szCs w:val="22"/>
        </w:rPr>
      </w:pPr>
      <w:permStart w:id="750397953" w:edGrp="everyone"/>
      <w:r w:rsidRPr="00CC7D2C">
        <w:rPr>
          <w:rFonts w:ascii="Roboto Light" w:hAnsi="Roboto Light"/>
          <w:b/>
          <w:bCs/>
          <w:szCs w:val="22"/>
        </w:rPr>
        <w:t>Summary Comments</w:t>
      </w:r>
    </w:p>
    <w:p w14:paraId="1008A344" w14:textId="77777777" w:rsidR="00DD26CC" w:rsidRDefault="00DD26CC" w:rsidP="00DD26CC">
      <w:pPr>
        <w:spacing w:before="100" w:beforeAutospacing="1" w:after="100" w:afterAutospacing="1" w:line="240" w:lineRule="auto"/>
        <w:rPr>
          <w:rFonts w:ascii="Roboto Light" w:hAnsi="Roboto Light"/>
        </w:rPr>
      </w:pPr>
      <w:r w:rsidRPr="00CC7D2C">
        <w:rPr>
          <w:rFonts w:ascii="Roboto Light" w:hAnsi="Roboto Light"/>
          <w:szCs w:val="22"/>
        </w:rPr>
        <w:t xml:space="preserve">Settlement discipline penalties should not apply to entities outside those dealing counterparties properly in the </w:t>
      </w:r>
      <w:r>
        <w:rPr>
          <w:rFonts w:ascii="Roboto Light" w:hAnsi="Roboto Light"/>
        </w:rPr>
        <w:t xml:space="preserve">‘horizontal’ </w:t>
      </w:r>
      <w:r w:rsidRPr="00CC7D2C">
        <w:rPr>
          <w:rFonts w:ascii="Roboto Light" w:hAnsi="Roboto Light"/>
          <w:szCs w:val="22"/>
        </w:rPr>
        <w:t xml:space="preserve">settlement chain </w:t>
      </w:r>
      <w:r>
        <w:rPr>
          <w:rFonts w:ascii="Roboto Light" w:hAnsi="Roboto Light"/>
        </w:rPr>
        <w:t xml:space="preserve">as discretionary principals. Other actors who are facilitating the marketplace via back-to-back deal entry </w:t>
      </w:r>
      <w:r w:rsidRPr="00CC7D2C">
        <w:rPr>
          <w:rFonts w:ascii="Roboto Light" w:hAnsi="Roboto Light"/>
          <w:szCs w:val="22"/>
        </w:rPr>
        <w:t>such as trading venues operating Matched Principal models</w:t>
      </w:r>
      <w:r>
        <w:rPr>
          <w:rFonts w:ascii="Roboto Light" w:hAnsi="Roboto Light"/>
        </w:rPr>
        <w:t xml:space="preserve">, </w:t>
      </w:r>
      <w:r w:rsidRPr="00CC7D2C">
        <w:rPr>
          <w:rFonts w:ascii="Roboto Light" w:hAnsi="Roboto Light"/>
          <w:szCs w:val="22"/>
        </w:rPr>
        <w:t>arranging intermediaries</w:t>
      </w:r>
      <w:r>
        <w:rPr>
          <w:rFonts w:ascii="Roboto Light" w:hAnsi="Roboto Light"/>
        </w:rPr>
        <w:t xml:space="preserve"> or firms acting only in the role of agent cannot control fails into them and have always been treated as pass-through entities</w:t>
      </w:r>
      <w:r w:rsidRPr="00CC7D2C">
        <w:rPr>
          <w:rFonts w:ascii="Roboto Light" w:hAnsi="Roboto Light"/>
          <w:szCs w:val="22"/>
        </w:rPr>
        <w:t xml:space="preserve">. </w:t>
      </w:r>
    </w:p>
    <w:p w14:paraId="366C1FC0" w14:textId="77777777" w:rsidR="00DD26CC" w:rsidRDefault="00DD26CC" w:rsidP="00DD26CC">
      <w:pPr>
        <w:spacing w:before="100" w:beforeAutospacing="1" w:after="100" w:afterAutospacing="1" w:line="240" w:lineRule="auto"/>
        <w:rPr>
          <w:rFonts w:ascii="Roboto Light" w:hAnsi="Roboto Light"/>
        </w:rPr>
      </w:pPr>
      <w:r w:rsidRPr="00CC7D2C">
        <w:rPr>
          <w:rFonts w:ascii="Roboto Light" w:hAnsi="Roboto Light"/>
          <w:szCs w:val="22"/>
        </w:rPr>
        <w:t>In this regard we welcome the concept of ‘actionably avoidable’ settlement fails [Paras 59, 60] as mitigation for adequate exemptions in Level 1 text because deterrent isn’t a tool for arranging and processing parts of the market infrastructure. For the avoidance of doubt, ESMA introduces the principle that, “</w:t>
      </w:r>
      <w:r w:rsidRPr="00CC7D2C">
        <w:rPr>
          <w:rFonts w:ascii="Roboto Light" w:hAnsi="Roboto Light"/>
          <w:i/>
          <w:iCs/>
          <w:szCs w:val="22"/>
        </w:rPr>
        <w:t>the setting of penalty levels for that failing on a transaction should never be an economically viable option</w:t>
      </w:r>
      <w:r w:rsidRPr="00CC7D2C">
        <w:rPr>
          <w:rFonts w:ascii="Roboto Light" w:hAnsi="Roboto Light"/>
          <w:szCs w:val="22"/>
        </w:rPr>
        <w:t>”. This is entirely inappropriate and the wrong lens for our member firms who are arrangers, and not a part of the ”horizontal” settlement chain.</w:t>
      </w:r>
      <w:r>
        <w:rPr>
          <w:rFonts w:ascii="Roboto Light" w:hAnsi="Roboto Light"/>
        </w:rPr>
        <w:t xml:space="preserve"> Clearly these intermediaries cannot effect buy-ins and so are solely reliant on the counterparties to make settlement.</w:t>
      </w:r>
    </w:p>
    <w:p w14:paraId="6D0ADD7E" w14:textId="77777777" w:rsidR="00DD26CC" w:rsidRPr="00CC7D2C" w:rsidRDefault="00DD26CC" w:rsidP="00DD26CC">
      <w:pPr>
        <w:spacing w:before="100" w:beforeAutospacing="1" w:after="100" w:afterAutospacing="1" w:line="240" w:lineRule="auto"/>
        <w:rPr>
          <w:rFonts w:ascii="Roboto Light" w:hAnsi="Roboto Light"/>
          <w:b/>
          <w:bCs/>
          <w:szCs w:val="22"/>
        </w:rPr>
      </w:pPr>
      <w:r>
        <w:rPr>
          <w:rFonts w:ascii="Roboto Light" w:hAnsi="Roboto Light"/>
        </w:rPr>
        <w:t xml:space="preserve">However, we would like to raise the scope and diversity of the various use-cases for such </w:t>
      </w:r>
      <w:r w:rsidRPr="00CC7D2C">
        <w:rPr>
          <w:rFonts w:ascii="Roboto Light" w:hAnsi="Roboto Light"/>
        </w:rPr>
        <w:t>trading venues operating Matched Principal models</w:t>
      </w:r>
      <w:r>
        <w:rPr>
          <w:rFonts w:ascii="Roboto Light" w:hAnsi="Roboto Light"/>
        </w:rPr>
        <w:t xml:space="preserve"> and </w:t>
      </w:r>
      <w:r w:rsidRPr="00CC7D2C">
        <w:rPr>
          <w:rFonts w:ascii="Roboto Light" w:hAnsi="Roboto Light"/>
        </w:rPr>
        <w:t>arranging intermediaries</w:t>
      </w:r>
      <w:r>
        <w:rPr>
          <w:rFonts w:ascii="Roboto Light" w:hAnsi="Roboto Light"/>
        </w:rPr>
        <w:t xml:space="preserve"> in relation to the </w:t>
      </w:r>
      <w:r>
        <w:rPr>
          <w:rFonts w:ascii="Roboto Light" w:hAnsi="Roboto Light"/>
        </w:rPr>
        <w:lastRenderedPageBreak/>
        <w:t xml:space="preserve">penalty regime from which they should be excluded. </w:t>
      </w:r>
      <w:r w:rsidRPr="00CC7D2C">
        <w:rPr>
          <w:rFonts w:ascii="Roboto Light" w:hAnsi="Roboto Light"/>
          <w:b/>
          <w:bCs/>
        </w:rPr>
        <w:t xml:space="preserve">Specifically it may be the case that trade legs under Matched Principal models may be allocated to different CSDs, in which case the CSDR mechanism needs to inform or accommodate the CSD that the failure which they witness as singular is in fact a pass-through as a part of a chain. </w:t>
      </w:r>
    </w:p>
    <w:p w14:paraId="6D207763"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No we do not agree with the proposal to move to option 4.</w:t>
      </w:r>
    </w:p>
    <w:p w14:paraId="1190F0F3"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Given the overarching requirement for the process to be simple and straightforward, whilst being mindful of the substantial process and system changes that T+1 will trigger, we would not suppose any change is appropriate at this stage. </w:t>
      </w:r>
    </w:p>
    <w:p w14:paraId="007867FB"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Notwithstanding the preference to reassess this after settlement cycles have been shortened, as set out, Option 2 appears to present the closest option to BAU.</w:t>
      </w:r>
    </w:p>
    <w:p w14:paraId="66D8A3A4" w14:textId="7FF50DC7" w:rsidR="00DD26CC" w:rsidRPr="00DD26C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We would underscore that no parties seek to fail in deliveries and therefore any regime such as that proposed under Option 4 will fail due to the inability of most parties in transaction chains to effect a remedy. </w:t>
      </w:r>
    </w:p>
    <w:p w14:paraId="20333000" w14:textId="4C8008A6" w:rsidR="005171FF" w:rsidRDefault="005171FF" w:rsidP="005171FF">
      <w:r>
        <w:t>TYPE YOUR TEXT HERE</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992596A" w14:textId="77777777" w:rsidR="00DD26CC" w:rsidRPr="00CC7D2C" w:rsidRDefault="00DD26CC" w:rsidP="00DD26CC">
      <w:pPr>
        <w:spacing w:before="100" w:beforeAutospacing="1" w:after="100" w:afterAutospacing="1" w:line="240" w:lineRule="auto"/>
        <w:rPr>
          <w:rFonts w:ascii="Roboto Light" w:hAnsi="Roboto Light"/>
          <w:szCs w:val="22"/>
        </w:rPr>
      </w:pPr>
      <w:permStart w:id="1747127182" w:edGrp="everyone"/>
      <w:r w:rsidRPr="00CC7D2C">
        <w:rPr>
          <w:rFonts w:ascii="Roboto Light" w:hAnsi="Roboto Light"/>
          <w:szCs w:val="22"/>
        </w:rPr>
        <w:t xml:space="preserve">Given the overarching requirement for the process to be simple and straightforward, whilst being mindful of the substantial process and system changes that T+1 will trigger, we would not suppose any change is appropriate at this stage. </w:t>
      </w:r>
    </w:p>
    <w:p w14:paraId="6E7D0F3F"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We would underscore that no parties seek to fail in deliveries and therefore any regime such as that proposed under Option 4 will fail due to the inability of most parties in transaction chains to effect a remedy.</w:t>
      </w:r>
    </w:p>
    <w:p w14:paraId="235633E7" w14:textId="77777777" w:rsidR="005171FF" w:rsidRDefault="005171FF" w:rsidP="005171FF">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 xml:space="preserve">Do you agree with the approach followed for the Option you support to incorporate proportionality in the Technical Advice? If not, please provide an </w:t>
      </w:r>
      <w:r w:rsidRPr="009733AB">
        <w:lastRenderedPageBreak/>
        <w:t>indication of further proportionality considerations, detailed justifications and alternative wording as needed.</w:t>
      </w:r>
    </w:p>
    <w:bookmarkEnd w:id="2"/>
    <w:p w14:paraId="140AAC45" w14:textId="77777777" w:rsidR="005171FF" w:rsidRDefault="005171FF" w:rsidP="005171FF">
      <w:r>
        <w:t>&lt;ESMA_QUESTION_CSDR_3&gt;</w:t>
      </w:r>
    </w:p>
    <w:p w14:paraId="586EF3B0" w14:textId="77777777" w:rsidR="00DD26CC" w:rsidRPr="00CC7D2C" w:rsidRDefault="00DD26CC" w:rsidP="00DD26CC">
      <w:pPr>
        <w:spacing w:before="100" w:beforeAutospacing="1" w:after="100" w:afterAutospacing="1" w:line="240" w:lineRule="auto"/>
        <w:rPr>
          <w:rFonts w:ascii="Roboto Light" w:hAnsi="Roboto Light"/>
          <w:szCs w:val="22"/>
        </w:rPr>
      </w:pPr>
      <w:permStart w:id="510220754" w:edGrp="everyone"/>
      <w:r w:rsidRPr="00CC7D2C">
        <w:rPr>
          <w:rFonts w:ascii="Roboto Light" w:hAnsi="Roboto Light"/>
          <w:szCs w:val="22"/>
        </w:rPr>
        <w:t xml:space="preserve">Yes, as Matched Principal TVs we concur with the incorporation of proportionality in the Technical Advice. </w:t>
      </w:r>
    </w:p>
    <w:p w14:paraId="338786FF"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In the case of trading venues and intermediaries without any position taking permissions, all fails should be passed through between the matched counterparties, however it is inevitable that exceptional circumstances will occur. These will require proportionality in the settlement discipline process and to the penalties arrangements because no such trading venue or intermediary could ever effect a buying-in due to lack of permissions and balance-sheet.</w:t>
      </w:r>
    </w:p>
    <w:p w14:paraId="787F7D79" w14:textId="77777777" w:rsidR="005171FF" w:rsidRDefault="005171FF" w:rsidP="005171FF">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21E35FF5" w14:textId="77777777" w:rsidR="00DD26CC" w:rsidRPr="00CC7D2C" w:rsidRDefault="00DD26CC" w:rsidP="00DD26CC">
      <w:pPr>
        <w:spacing w:before="100" w:beforeAutospacing="1" w:after="100" w:afterAutospacing="1" w:line="240" w:lineRule="auto"/>
        <w:rPr>
          <w:rFonts w:ascii="Roboto Light" w:hAnsi="Roboto Light"/>
          <w:szCs w:val="22"/>
        </w:rPr>
      </w:pPr>
      <w:permStart w:id="357630705" w:edGrp="everyone"/>
      <w:r w:rsidRPr="00CC7D2C">
        <w:rPr>
          <w:rFonts w:ascii="Roboto Light" w:hAnsi="Roboto Light"/>
          <w:szCs w:val="22"/>
        </w:rPr>
        <w:t>Options 1,2,3 would all present smaller changes to participants in the EUR zone.</w:t>
      </w:r>
    </w:p>
    <w:p w14:paraId="2AE4F712"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As wholesale venues, we note that DKK and HUF transactions are relatively small in proportion to the totals. </w:t>
      </w:r>
    </w:p>
    <w:p w14:paraId="2CE748CE"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Option 4 would mean a greater deal of changes and higher process costs, in addition to the higher penalties. </w:t>
      </w:r>
    </w:p>
    <w:p w14:paraId="0AAA5FDC" w14:textId="77777777" w:rsidR="00FB6C65" w:rsidRDefault="00FB6C65" w:rsidP="00FB6C65">
      <w:r>
        <w:t>TYPE YOUR TEXT HERE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378D4B89" w14:textId="77777777" w:rsidR="00DD26CC" w:rsidRPr="00CC7D2C" w:rsidRDefault="00DD26CC" w:rsidP="00DD26CC">
      <w:pPr>
        <w:spacing w:before="100" w:beforeAutospacing="1" w:after="100" w:afterAutospacing="1" w:line="240" w:lineRule="auto"/>
        <w:rPr>
          <w:rFonts w:ascii="Roboto Light" w:hAnsi="Roboto Light"/>
          <w:szCs w:val="22"/>
        </w:rPr>
      </w:pPr>
      <w:permStart w:id="1746417266" w:edGrp="everyone"/>
      <w:r w:rsidRPr="00CC7D2C">
        <w:rPr>
          <w:rFonts w:ascii="Roboto Light" w:hAnsi="Roboto Light"/>
          <w:szCs w:val="22"/>
        </w:rPr>
        <w:t>Our members do not operate CSDs. Defer to ECSDA comments.</w:t>
      </w:r>
    </w:p>
    <w:p w14:paraId="29289F48" w14:textId="77777777" w:rsidR="00EA0D0D" w:rsidRDefault="00EA0D0D">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lastRenderedPageBreak/>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6E44E45F" w14:textId="3B8A9289" w:rsidR="00DD26CC" w:rsidRPr="00CC7D2C" w:rsidRDefault="00DD26CC" w:rsidP="00DD26CC">
      <w:pPr>
        <w:spacing w:before="100" w:beforeAutospacing="1" w:after="100" w:afterAutospacing="1" w:line="240" w:lineRule="auto"/>
        <w:rPr>
          <w:rFonts w:ascii="Roboto Light" w:hAnsi="Roboto Light"/>
          <w:szCs w:val="22"/>
        </w:rPr>
      </w:pPr>
      <w:permStart w:id="1425227802" w:edGrp="everyone"/>
      <w:r w:rsidRPr="00CC7D2C">
        <w:rPr>
          <w:rFonts w:ascii="Roboto Light" w:hAnsi="Roboto Light"/>
          <w:szCs w:val="22"/>
        </w:rPr>
        <w:t xml:space="preserve">As trading venues holding client standing settlement instructions, </w:t>
      </w:r>
      <w:r w:rsidRPr="00CC7D2C">
        <w:rPr>
          <w:rFonts w:ascii="Roboto Light" w:hAnsi="Roboto Light"/>
          <w:szCs w:val="22"/>
        </w:rPr>
        <w:t>it’s</w:t>
      </w:r>
      <w:r w:rsidRPr="00CC7D2C">
        <w:rPr>
          <w:rFonts w:ascii="Roboto Light" w:hAnsi="Roboto Light"/>
          <w:szCs w:val="22"/>
        </w:rPr>
        <w:t xml:space="preserve"> more likely that the causes of late matching are in end user trades with dealers.</w:t>
      </w:r>
    </w:p>
    <w:p w14:paraId="63FA034D"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Recalling last year’s AFME report ‘</w:t>
      </w:r>
      <w:hyperlink r:id="rId18" w:history="1">
        <w:r w:rsidRPr="00CC7D2C">
          <w:rPr>
            <w:rStyle w:val="Hyperlink"/>
            <w:rFonts w:ascii="Roboto Light" w:hAnsi="Roboto Light"/>
            <w:szCs w:val="22"/>
          </w:rPr>
          <w:t>Improving the Settlement Efficiency Landscape in Europe</w:t>
        </w:r>
      </w:hyperlink>
      <w:r w:rsidRPr="00CC7D2C">
        <w:rPr>
          <w:rFonts w:ascii="Roboto Light" w:hAnsi="Roboto Light"/>
          <w:szCs w:val="22"/>
        </w:rPr>
        <w:t>,’ clearly the solutions lie in pre-population of the relevant data and settlement details as consistent with CSD-level settlement matching criteria. Again we underscore that this report advocated for market participants to use centralised industry trading platforms such as OTFs and MTFs.</w:t>
      </w:r>
    </w:p>
    <w:p w14:paraId="0412353D" w14:textId="77777777" w:rsidR="00EA0D0D" w:rsidRDefault="00EA0D0D">
      <w:r>
        <w:t>TYPE YOUR TEXT HERE</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73CB5A" w14:textId="77777777" w:rsidR="00DD26CC" w:rsidRPr="00CC7D2C" w:rsidRDefault="00DD26CC" w:rsidP="00DD26CC">
      <w:pPr>
        <w:spacing w:before="100" w:beforeAutospacing="1" w:after="100" w:afterAutospacing="1" w:line="240" w:lineRule="auto"/>
        <w:rPr>
          <w:rFonts w:ascii="Roboto Light" w:hAnsi="Roboto Light"/>
          <w:szCs w:val="22"/>
        </w:rPr>
      </w:pPr>
      <w:permStart w:id="165553507" w:edGrp="everyone"/>
      <w:r w:rsidRPr="00CC7D2C">
        <w:rPr>
          <w:rFonts w:ascii="Roboto Light" w:hAnsi="Roboto Light"/>
          <w:szCs w:val="22"/>
        </w:rPr>
        <w:t>Yes, this seems reasonable.</w:t>
      </w:r>
    </w:p>
    <w:p w14:paraId="594D0EB7"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The alternative would be for a central common database for CSD access.</w:t>
      </w:r>
    </w:p>
    <w:p w14:paraId="3442ECD4" w14:textId="77777777" w:rsidR="00EA0D0D" w:rsidRDefault="00EA0D0D">
      <w:r>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lastRenderedPageBreak/>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4F1A4603" w14:textId="74C86665" w:rsidR="00DD26CC" w:rsidRPr="00CC7D2C" w:rsidRDefault="00DD26CC" w:rsidP="00DD26CC">
      <w:pPr>
        <w:spacing w:before="100" w:beforeAutospacing="1" w:after="100" w:afterAutospacing="1" w:line="240" w:lineRule="auto"/>
        <w:rPr>
          <w:rFonts w:ascii="Roboto Light" w:hAnsi="Roboto Light"/>
          <w:szCs w:val="22"/>
        </w:rPr>
      </w:pPr>
      <w:permStart w:id="804142208" w:edGrp="everyone"/>
      <w:r w:rsidRPr="00CC7D2C">
        <w:rPr>
          <w:rFonts w:ascii="Roboto Light" w:hAnsi="Roboto Light"/>
          <w:szCs w:val="22"/>
        </w:rPr>
        <w:t xml:space="preserve">We would defer to ECSDA </w:t>
      </w:r>
      <w:r>
        <w:rPr>
          <w:rFonts w:ascii="Roboto Light" w:hAnsi="Roboto Light"/>
          <w:szCs w:val="22"/>
        </w:rPr>
        <w:t xml:space="preserve">or individual CSDs </w:t>
      </w:r>
      <w:r w:rsidRPr="00CC7D2C">
        <w:rPr>
          <w:rFonts w:ascii="Roboto Light" w:hAnsi="Roboto Light"/>
          <w:szCs w:val="22"/>
        </w:rPr>
        <w:t>on this matter as it is a decision for each CSD.</w:t>
      </w:r>
    </w:p>
    <w:p w14:paraId="636A0594" w14:textId="77777777" w:rsidR="00EA0D0D" w:rsidRDefault="00EA0D0D">
      <w:r>
        <w:t>TYPE YOUR TEXT HERE</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5E2E08FA" w14:textId="77777777" w:rsidR="00DD26CC" w:rsidRPr="00CC7D2C" w:rsidRDefault="00DD26CC" w:rsidP="00DD26CC">
      <w:pPr>
        <w:spacing w:before="100" w:beforeAutospacing="1" w:after="100" w:afterAutospacing="1" w:line="240" w:lineRule="auto"/>
        <w:rPr>
          <w:rFonts w:ascii="Roboto Light" w:hAnsi="Roboto Light"/>
          <w:szCs w:val="22"/>
        </w:rPr>
      </w:pPr>
      <w:permStart w:id="1025510098" w:edGrp="everyone"/>
      <w:r w:rsidRPr="00CC7D2C">
        <w:rPr>
          <w:rFonts w:ascii="Roboto Light" w:hAnsi="Roboto Light"/>
          <w:szCs w:val="22"/>
        </w:rPr>
        <w:t>Yes. We agree that issuer CSDs should be responsible for confirming the relevant data to be used for the calculation of cash penalties and for the information to be shared in a timely manner with the other CSDs. Again we would defer to ECSDA on this matter.</w:t>
      </w:r>
    </w:p>
    <w:p w14:paraId="7953C470" w14:textId="77777777" w:rsidR="00EA0D0D" w:rsidRDefault="00EA0D0D">
      <w:r>
        <w:t>TYPE YOUR TEXT HERE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lastRenderedPageBreak/>
        <w:t>&lt;ESMA_QUESTION_CSDR_10&gt;</w:t>
      </w:r>
    </w:p>
    <w:p w14:paraId="28250B7E" w14:textId="77777777" w:rsidR="00DD26CC" w:rsidRPr="00CC7D2C" w:rsidRDefault="00DD26CC" w:rsidP="00DD26CC">
      <w:pPr>
        <w:spacing w:before="100" w:beforeAutospacing="1" w:after="100" w:afterAutospacing="1" w:line="240" w:lineRule="auto"/>
        <w:rPr>
          <w:rFonts w:ascii="Roboto Light" w:hAnsi="Roboto Light"/>
          <w:szCs w:val="22"/>
        </w:rPr>
      </w:pPr>
      <w:permStart w:id="68043086" w:edGrp="everyone"/>
      <w:r w:rsidRPr="00CC7D2C">
        <w:rPr>
          <w:rFonts w:ascii="Roboto Light" w:hAnsi="Roboto Light"/>
          <w:szCs w:val="22"/>
        </w:rPr>
        <w:t>It follows from our advocacy for proportionality that the calculation of the related cash penalties should be optional depending on the matters specific to the case. CSDs need to be afforded flexibility and agility to respond appropriately.</w:t>
      </w:r>
    </w:p>
    <w:p w14:paraId="30369C0B"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This could  the case where trading venues may have matched and contingent trade legs under the matched principal model settling into different CSDs. Here the absent or incomplete settlement instructions or matching details could be consequent to issues transmitted down the settlement chains, but would appear to any CSD as a discrete issue because of the different directions of trade settlement, and possible complexities and contingent trades within a single transaction set.  </w:t>
      </w:r>
    </w:p>
    <w:p w14:paraId="738C3FC7" w14:textId="77777777" w:rsidR="00EA0D0D" w:rsidRDefault="00EA0D0D">
      <w:r>
        <w:t>TYPE YOUR TEXT HERE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2C7EA1D8" w14:textId="77777777" w:rsidR="00DD26CC" w:rsidRPr="00CC7D2C" w:rsidRDefault="00DD26CC" w:rsidP="00DD26CC">
      <w:pPr>
        <w:spacing w:before="100" w:beforeAutospacing="1" w:after="100" w:afterAutospacing="1" w:line="240" w:lineRule="auto"/>
        <w:rPr>
          <w:rFonts w:ascii="Roboto Light" w:hAnsi="Roboto Light"/>
          <w:szCs w:val="22"/>
        </w:rPr>
      </w:pPr>
      <w:permStart w:id="1297758787" w:edGrp="everyone"/>
      <w:r w:rsidRPr="00CC7D2C">
        <w:rPr>
          <w:rFonts w:ascii="Roboto Light" w:hAnsi="Roboto Light"/>
          <w:szCs w:val="22"/>
        </w:rPr>
        <w:t>Per answers above, a standardised approach across CSDs should entail not only the pass-through exemption to enable trading venues and intermediaries to carry out their market effectiveness, but also consider where such arrangers may have more complex transactions and multiple CSDs such that penalties would be inappropriate and ineffectual.</w:t>
      </w:r>
    </w:p>
    <w:p w14:paraId="4AFEB6FA" w14:textId="77777777" w:rsidR="00EA0D0D" w:rsidRDefault="00EA0D0D">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5F351956" w14:textId="77777777" w:rsidR="00DD26CC" w:rsidRPr="00CC7D2C" w:rsidRDefault="00DD26CC" w:rsidP="00DD26CC">
      <w:pPr>
        <w:spacing w:before="100" w:beforeAutospacing="1" w:after="100" w:afterAutospacing="1" w:line="240" w:lineRule="auto"/>
        <w:rPr>
          <w:rFonts w:ascii="Roboto Light" w:hAnsi="Roboto Light"/>
          <w:szCs w:val="22"/>
        </w:rPr>
      </w:pPr>
      <w:permStart w:id="1762339064" w:edGrp="everyone"/>
      <w:r w:rsidRPr="00CC7D2C">
        <w:rPr>
          <w:rFonts w:ascii="Roboto Light" w:hAnsi="Roboto Light"/>
          <w:szCs w:val="22"/>
        </w:rPr>
        <w:t xml:space="preserve">We understand that the specific proportionality under question here refers to the quantum of data storage by the CSD such as reference prices and exchange rates, shall be used for the calculation of the related cash penalties. We therefore agree with the approach. </w:t>
      </w:r>
    </w:p>
    <w:p w14:paraId="53D77A39" w14:textId="77777777" w:rsidR="00DD26CC" w:rsidRDefault="00DD26CC" w:rsidP="00DD26CC">
      <w:pPr>
        <w:rPr>
          <w:rFonts w:ascii="Roboto Light" w:hAnsi="Roboto Light"/>
          <w:szCs w:val="22"/>
        </w:rPr>
      </w:pPr>
      <w:r w:rsidRPr="00CC7D2C">
        <w:rPr>
          <w:rFonts w:ascii="Roboto Light" w:hAnsi="Roboto Light"/>
          <w:szCs w:val="22"/>
        </w:rPr>
        <w:lastRenderedPageBreak/>
        <w:t xml:space="preserve">In respect of wider proportionality, penalties should only accrue from principle counterparties in the settlement chain and not from any arrangers or trading venues who may be acting in a matched principal capacity but whom </w:t>
      </w:r>
      <w:r w:rsidRPr="00CC7D2C">
        <w:rPr>
          <w:rFonts w:ascii="Roboto Light" w:hAnsi="Roboto Light"/>
          <w:szCs w:val="22"/>
          <w:u w:val="single"/>
        </w:rPr>
        <w:t>would not</w:t>
      </w:r>
      <w:r w:rsidRPr="00CC7D2C">
        <w:rPr>
          <w:rFonts w:ascii="Roboto Light" w:hAnsi="Roboto Light"/>
          <w:szCs w:val="22"/>
        </w:rPr>
        <w:t xml:space="preserve"> transaction report as “DEAL”.</w:t>
      </w:r>
    </w:p>
    <w:p w14:paraId="1635F331" w14:textId="56D8BD00" w:rsidR="00EA0D0D" w:rsidRDefault="00EA0D0D" w:rsidP="00DD26CC">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4787BA7B" w14:textId="1F252842" w:rsidR="00DD26CC" w:rsidRPr="00CC7D2C" w:rsidRDefault="00DD26CC" w:rsidP="00DD26CC">
      <w:pPr>
        <w:spacing w:before="100" w:beforeAutospacing="1" w:after="100" w:afterAutospacing="1" w:line="240" w:lineRule="auto"/>
        <w:rPr>
          <w:rFonts w:ascii="Roboto Light" w:hAnsi="Roboto Light"/>
          <w:szCs w:val="22"/>
        </w:rPr>
      </w:pPr>
      <w:permStart w:id="707362631" w:edGrp="everyone"/>
      <w:r w:rsidRPr="00CC7D2C">
        <w:rPr>
          <w:rFonts w:ascii="Roboto Light" w:hAnsi="Roboto Light"/>
          <w:szCs w:val="22"/>
        </w:rPr>
        <w:t>We would defer to ECSDA</w:t>
      </w:r>
      <w:r>
        <w:rPr>
          <w:rFonts w:ascii="Roboto Light" w:hAnsi="Roboto Light"/>
          <w:szCs w:val="22"/>
        </w:rPr>
        <w:t xml:space="preserve">, the AGC and to individual CSDs </w:t>
      </w:r>
      <w:r w:rsidRPr="00CC7D2C">
        <w:rPr>
          <w:rFonts w:ascii="Roboto Light" w:hAnsi="Roboto Light"/>
          <w:szCs w:val="22"/>
        </w:rPr>
        <w:t>on these costs and benefits details.</w:t>
      </w:r>
    </w:p>
    <w:p w14:paraId="10C59849" w14:textId="77777777" w:rsidR="00A2376B" w:rsidRDefault="00A2376B" w:rsidP="00A2376B">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w:t>
      </w:r>
      <w:r w:rsidRPr="00C045DA">
        <w:lastRenderedPageBreak/>
        <w:t xml:space="preserve">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073AD946" w14:textId="77777777" w:rsidR="00DD26CC" w:rsidRPr="00CC7D2C" w:rsidRDefault="00DD26CC" w:rsidP="00DD26CC">
      <w:pPr>
        <w:spacing w:before="100" w:beforeAutospacing="1" w:after="100" w:afterAutospacing="1" w:line="240" w:lineRule="auto"/>
        <w:rPr>
          <w:rFonts w:ascii="Roboto Light" w:hAnsi="Roboto Light"/>
          <w:szCs w:val="22"/>
        </w:rPr>
      </w:pPr>
      <w:permStart w:id="677079778" w:edGrp="everyone"/>
      <w:r w:rsidRPr="00CC7D2C">
        <w:rPr>
          <w:rFonts w:ascii="Roboto Light" w:hAnsi="Roboto Light"/>
          <w:szCs w:val="22"/>
        </w:rPr>
        <w:t xml:space="preserve">No response. </w:t>
      </w:r>
    </w:p>
    <w:p w14:paraId="6A1FC66A" w14:textId="77777777" w:rsidR="007144DA" w:rsidRDefault="007144DA" w:rsidP="007144DA">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0B7F8B14" w14:textId="77777777" w:rsidR="00DD26CC" w:rsidRPr="00CC7D2C" w:rsidRDefault="00DD26CC" w:rsidP="00DD26CC">
      <w:pPr>
        <w:spacing w:before="100" w:beforeAutospacing="1" w:after="100" w:afterAutospacing="1" w:line="240" w:lineRule="auto"/>
        <w:rPr>
          <w:rFonts w:ascii="Roboto Light" w:hAnsi="Roboto Light"/>
          <w:szCs w:val="22"/>
        </w:rPr>
      </w:pPr>
      <w:permStart w:id="1522626052" w:edGrp="everyone"/>
      <w:r w:rsidRPr="00CC7D2C">
        <w:rPr>
          <w:rFonts w:ascii="Roboto Light" w:hAnsi="Roboto Light"/>
          <w:szCs w:val="22"/>
        </w:rPr>
        <w:t xml:space="preserve">Whilst anecdotally we can report improved settlement efficiency under the recent penalty regime, on an empirical basis we can only refer to the data in the cited </w:t>
      </w:r>
      <w:hyperlink r:id="rId19" w:history="1">
        <w:r w:rsidRPr="00CC7D2C">
          <w:rPr>
            <w:rStyle w:val="Hyperlink"/>
            <w:rFonts w:ascii="Roboto Light" w:hAnsi="Roboto Light"/>
            <w:szCs w:val="22"/>
          </w:rPr>
          <w:t>ESMA TRV reports</w:t>
        </w:r>
      </w:hyperlink>
      <w:r w:rsidRPr="00CC7D2C">
        <w:rPr>
          <w:rFonts w:ascii="Roboto Light" w:hAnsi="Roboto Light"/>
          <w:szCs w:val="22"/>
        </w:rPr>
        <w:t>, the cited AFME report ‘</w:t>
      </w:r>
      <w:hyperlink r:id="rId20" w:history="1">
        <w:r w:rsidRPr="00CC7D2C">
          <w:rPr>
            <w:rStyle w:val="Hyperlink"/>
            <w:rFonts w:ascii="Roboto Light" w:hAnsi="Roboto Light"/>
            <w:szCs w:val="22"/>
          </w:rPr>
          <w:t>Improving the Settlement Efficiency Landscape in Europe</w:t>
        </w:r>
      </w:hyperlink>
      <w:r w:rsidRPr="00CC7D2C">
        <w:rPr>
          <w:rFonts w:ascii="Roboto Light" w:hAnsi="Roboto Light"/>
          <w:szCs w:val="22"/>
        </w:rPr>
        <w:t xml:space="preserve">,’ and data from the CSDs themselves. These do point towards improvements with both CSD industry data and </w:t>
      </w:r>
      <w:hyperlink r:id="rId21" w:history="1">
        <w:r w:rsidRPr="00CC7D2C">
          <w:rPr>
            <w:rStyle w:val="Hyperlink"/>
            <w:rFonts w:ascii="Roboto Light" w:hAnsi="Roboto Light"/>
            <w:szCs w:val="22"/>
          </w:rPr>
          <w:t xml:space="preserve">T2S </w:t>
        </w:r>
        <w:r w:rsidRPr="00CC7D2C">
          <w:rPr>
            <w:rStyle w:val="Hyperlink"/>
            <w:rFonts w:ascii="Roboto Light" w:hAnsi="Roboto Light"/>
            <w:szCs w:val="22"/>
          </w:rPr>
          <w:lastRenderedPageBreak/>
          <w:t>reports</w:t>
        </w:r>
      </w:hyperlink>
      <w:r w:rsidRPr="00CC7D2C">
        <w:rPr>
          <w:rFonts w:ascii="Roboto Light" w:hAnsi="Roboto Light"/>
          <w:szCs w:val="22"/>
        </w:rPr>
        <w:t xml:space="preserve"> observing that settlement efficiency has generally increased between 2022 and 2023 by c. 4%.</w:t>
      </w:r>
    </w:p>
    <w:p w14:paraId="37072827"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Its notable that settlement efficiency for bonds ought to be correlated to the amount and proportion of bonds that are trading ‘Special’ or ‘Specific’ on repo as well as the ambient level of nominal rates. We would also like to cite more effective application and use of UTIs as a relevant factor.</w:t>
      </w:r>
    </w:p>
    <w:p w14:paraId="289C2840"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Also extraneous matters such as market volatility [</w:t>
      </w:r>
      <w:r w:rsidRPr="00CC7D2C">
        <w:rPr>
          <w:rFonts w:ascii="Roboto Light" w:hAnsi="Roboto Light"/>
          <w:i/>
          <w:iCs/>
          <w:szCs w:val="22"/>
        </w:rPr>
        <w:t>“</w:t>
      </w:r>
      <w:hyperlink r:id="rId22" w:history="1">
        <w:r w:rsidRPr="00CC7D2C">
          <w:rPr>
            <w:rStyle w:val="Hyperlink"/>
            <w:rFonts w:ascii="Roboto Light" w:hAnsi="Roboto Light"/>
            <w:i/>
            <w:iCs/>
            <w:szCs w:val="22"/>
          </w:rPr>
          <w:t>Settlement fail rates typically increase when there are unstable market conditions</w:t>
        </w:r>
      </w:hyperlink>
      <w:r w:rsidRPr="00CC7D2C">
        <w:rPr>
          <w:rFonts w:ascii="Roboto Light" w:hAnsi="Roboto Light"/>
          <w:i/>
          <w:iCs/>
          <w:szCs w:val="22"/>
        </w:rPr>
        <w:t xml:space="preserve">”], </w:t>
      </w:r>
      <w:r w:rsidRPr="00CC7D2C">
        <w:rPr>
          <w:rFonts w:ascii="Roboto Light" w:hAnsi="Roboto Light"/>
          <w:szCs w:val="22"/>
        </w:rPr>
        <w:t>Covid#19 and the sanctions imposed on Russian assets and access make a significant impact. Therefore signals within data would need a longer and more stable period than that which the penalty regime currently affords. It then follows that a move to T+1 will continue to disturb the sequential value of the penalties and settlement efficiency data going forwards.</w:t>
      </w:r>
    </w:p>
    <w:p w14:paraId="39FBC67B" w14:textId="77777777" w:rsidR="00480F3D" w:rsidRDefault="00480F3D">
      <w:r>
        <w:t>TYPE YOUR TEXT HERE</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07694540" w14:textId="77777777" w:rsidR="00DD26CC" w:rsidRPr="00CC7D2C" w:rsidRDefault="00DD26CC" w:rsidP="00DD26CC">
      <w:pPr>
        <w:spacing w:before="100" w:beforeAutospacing="1" w:after="100" w:afterAutospacing="1" w:line="240" w:lineRule="auto"/>
        <w:rPr>
          <w:rFonts w:ascii="Roboto Light" w:hAnsi="Roboto Light"/>
          <w:szCs w:val="22"/>
        </w:rPr>
      </w:pPr>
      <w:permStart w:id="1340627845" w:edGrp="everyone"/>
      <w:r w:rsidRPr="00CC7D2C">
        <w:rPr>
          <w:rFonts w:ascii="Roboto Light" w:hAnsi="Roboto Light"/>
          <w:szCs w:val="22"/>
        </w:rPr>
        <w:t xml:space="preserve">Premia facie the answer is Yes. Referencing the available public data on settlement fails cited in the answer to Question 15 above, there has been a marked improvement in settlement efficiency in the EU. Reiterating as well that correlation is not causality and the recent timeframe has witnessed declining numbers and proportions of bonds trading “Special” [rare] as well as a period of higher primary issuance, declining Quantitative Easing and higher interest rates, all of which act as an additional cost for, or a hurdle to settlement fails. </w:t>
      </w:r>
    </w:p>
    <w:p w14:paraId="6C926DC8"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In addition, and mindful of the conjoined global interest from both market participants and authorities to shorten the settlement cycle (starting this year with the US SEC approach), we note the continuous focus and ongoing industry efforts to apply both common standards together with innovations and technology in order improve settlement efficiency. </w:t>
      </w:r>
    </w:p>
    <w:p w14:paraId="488A8113"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Therefore, many of the empirical improvements would have likely eventuated regardless of the current EU CSDR penalty mechanism deterrent. That said its entirely coherent to suppose that these current penalty rates are indeed working towards the desired objectives which are commonly held across all stakeholders. </w:t>
      </w:r>
    </w:p>
    <w:p w14:paraId="048693A4"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lastRenderedPageBreak/>
        <w:t xml:space="preserve">Where the CSDR cash penalties regime actually creates the opposite effect would be to penalise firms not acting as discretionary Principal in the direct settlement chain, and who therefore cannot act to mitigate the passing on of any settlement failures. This is in accordance with our 2020 letter to ESMA regarding a Q&amp;A explanation; </w:t>
      </w:r>
      <w:hyperlink r:id="rId23" w:history="1">
        <w:r w:rsidRPr="00CC7D2C">
          <w:rPr>
            <w:rStyle w:val="Hyperlink"/>
            <w:rFonts w:ascii="Roboto Light" w:hAnsi="Roboto Light"/>
            <w:szCs w:val="22"/>
          </w:rPr>
          <w:t>EVIA draft letter to the ESMA concerning submitted CSDR Q&amp;A on the settlement chain.pdf</w:t>
        </w:r>
      </w:hyperlink>
      <w:r w:rsidRPr="00CC7D2C">
        <w:rPr>
          <w:rFonts w:ascii="Roboto Light" w:hAnsi="Roboto Light"/>
          <w:szCs w:val="22"/>
        </w:rPr>
        <w:t xml:space="preserve">. </w:t>
      </w:r>
    </w:p>
    <w:p w14:paraId="39DAB6F9"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Rather the penalty itself needs to be agile and capable of being passed through the chain to reach the failing counterparty. This is in accordance with current and prior market practice but needs to be considered across the more complex use cases such as multiple CSDs, contingent trade legs, complex products and cross-border transactions. Of these we identify transactions for settlement into multiple CSD as the most prevalent.</w:t>
      </w:r>
    </w:p>
    <w:p w14:paraId="16AA315F" w14:textId="07E49214" w:rsidR="00DD26C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Most pertinently, trading venues and intermediaries</w:t>
      </w:r>
      <w:r w:rsidRPr="00CC7D2C">
        <w:rPr>
          <w:rStyle w:val="FootnoteReference"/>
          <w:rFonts w:ascii="Roboto Light" w:hAnsi="Roboto Light"/>
          <w:sz w:val="22"/>
          <w:szCs w:val="22"/>
        </w:rPr>
        <w:footnoteReference w:id="2"/>
      </w:r>
      <w:r>
        <w:rPr>
          <w:rFonts w:ascii="Roboto Light" w:hAnsi="Roboto Light"/>
          <w:szCs w:val="22"/>
        </w:rPr>
        <w:t xml:space="preserve"> </w:t>
      </w:r>
      <w:r w:rsidRPr="00CC7D2C">
        <w:rPr>
          <w:rFonts w:ascii="Roboto Light" w:hAnsi="Roboto Light"/>
          <w:szCs w:val="22"/>
        </w:rPr>
        <w:t>who act to increase liquidity by arranging trading interests and bringing together contingent or non-latent liquidity should not be disincentivised by the CSDR penalty regime as the direct consequence would be either or both less addressable liquidity or wider bid-offer spreads.</w:t>
      </w:r>
    </w:p>
    <w:p w14:paraId="5265B91B" w14:textId="23FCD407" w:rsidR="00DD26CC" w:rsidRDefault="00DD26CC" w:rsidP="00DD26CC">
      <w:pPr>
        <w:pStyle w:val="FootnoteText"/>
      </w:pPr>
      <w:r>
        <w:t>*</w:t>
      </w:r>
      <w:r>
        <w:rPr>
          <w:rStyle w:val="FootnoteReference"/>
        </w:rPr>
        <w:footnoteRef/>
      </w:r>
      <w:r>
        <w:t xml:space="preserve"> We note that the term “broker” as used by most of the buy-side and sell-side refers to a dealer who trades inventory on their balance sheet. Rather our firms act under limited permissions as Matched Principal venues or intermediaries and do not hold positions. They </w:t>
      </w:r>
      <w:r>
        <w:t>cannot</w:t>
      </w:r>
      <w:r>
        <w:t xml:space="preserve"> undertake buy-ins. See; </w:t>
      </w:r>
      <w:hyperlink r:id="rId24" w:history="1">
        <w:r w:rsidRPr="000B20B4">
          <w:rPr>
            <w:rStyle w:val="Hyperlink"/>
          </w:rPr>
          <w:t>Benefits of Matched Principal over Name Give Up for the Fixed Income Markets.pdf</w:t>
        </w:r>
      </w:hyperlink>
    </w:p>
    <w:p w14:paraId="5E287D8F" w14:textId="77777777" w:rsidR="00DD26CC" w:rsidRPr="00CC7D2C" w:rsidRDefault="00DD26CC" w:rsidP="00DD26CC">
      <w:pPr>
        <w:spacing w:before="100" w:beforeAutospacing="1" w:after="100" w:afterAutospacing="1" w:line="240" w:lineRule="auto"/>
        <w:rPr>
          <w:rFonts w:ascii="Roboto Light" w:hAnsi="Roboto Light"/>
          <w:szCs w:val="22"/>
        </w:rPr>
      </w:pPr>
    </w:p>
    <w:p w14:paraId="744A0C9D" w14:textId="77777777" w:rsidR="00480F3D" w:rsidRDefault="00480F3D">
      <w:r>
        <w:t>TYPE YOUR TEXT HERE</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2B99DB40" w14:textId="77777777" w:rsidR="00DD26CC" w:rsidRPr="00CC7D2C" w:rsidRDefault="00DD26CC" w:rsidP="00DD26CC">
      <w:pPr>
        <w:spacing w:before="100" w:beforeAutospacing="1" w:after="100" w:afterAutospacing="1" w:line="240" w:lineRule="auto"/>
        <w:rPr>
          <w:rFonts w:ascii="Roboto Light" w:hAnsi="Roboto Light"/>
          <w:szCs w:val="22"/>
        </w:rPr>
      </w:pPr>
      <w:permStart w:id="1267808287" w:edGrp="everyone"/>
      <w:r w:rsidRPr="00CC7D2C">
        <w:rPr>
          <w:rFonts w:ascii="Roboto Light" w:hAnsi="Roboto Light"/>
          <w:szCs w:val="22"/>
        </w:rPr>
        <w:t>We would refer to the relevant industry research and reports including the cited AFME report ‘</w:t>
      </w:r>
      <w:hyperlink r:id="rId25" w:history="1">
        <w:r w:rsidRPr="00CC7D2C">
          <w:rPr>
            <w:rStyle w:val="Hyperlink"/>
            <w:rFonts w:ascii="Roboto Light" w:hAnsi="Roboto Light"/>
            <w:szCs w:val="22"/>
          </w:rPr>
          <w:t>Improving the Settlement Efficiency Landscape in Europe</w:t>
        </w:r>
      </w:hyperlink>
      <w:r w:rsidRPr="00CC7D2C">
        <w:rPr>
          <w:rFonts w:ascii="Roboto Light" w:hAnsi="Roboto Light"/>
          <w:szCs w:val="22"/>
        </w:rPr>
        <w:t>,’ and the </w:t>
      </w:r>
      <w:hyperlink r:id="rId26" w:tgtFrame="_blank" w:history="1">
        <w:r w:rsidRPr="00CC7D2C">
          <w:rPr>
            <w:rStyle w:val="Hyperlink"/>
            <w:rFonts w:ascii="Roboto Light" w:hAnsi="Roboto Light"/>
            <w:szCs w:val="22"/>
          </w:rPr>
          <w:t xml:space="preserve">ICMA Secondary Market </w:t>
        </w:r>
        <w:r w:rsidRPr="00CC7D2C">
          <w:rPr>
            <w:rStyle w:val="Hyperlink"/>
            <w:rFonts w:ascii="Roboto Light" w:hAnsi="Roboto Light"/>
            <w:szCs w:val="22"/>
          </w:rPr>
          <w:lastRenderedPageBreak/>
          <w:t>Rules &amp; Recommendations</w:t>
        </w:r>
      </w:hyperlink>
      <w:r w:rsidRPr="00CC7D2C">
        <w:rPr>
          <w:rFonts w:ascii="Roboto Light" w:hAnsi="Roboto Light"/>
          <w:szCs w:val="22"/>
        </w:rPr>
        <w:t>, as an effective contractual remedy for settlement fails. These illustrate the breadth of relevant causes, and we will not repeat these here.</w:t>
      </w:r>
    </w:p>
    <w:p w14:paraId="487CF7C6"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As market operators we would add that all fails are intrinsically related along the settlement chain and in being contingent on other matters they do not tend to be isolated at a single market participant. In effect this means that the solution is not simple and discrete, but structurally applies to the eco-system or via its “natural capital”.</w:t>
      </w:r>
    </w:p>
    <w:p w14:paraId="6F3B4581" w14:textId="77777777" w:rsidR="00480F3D" w:rsidRDefault="00480F3D">
      <w:r>
        <w:t>TYPE YOUR TEXT HERE</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5603AB6F" w14:textId="77777777" w:rsidR="00DD26CC" w:rsidRPr="00CC7D2C" w:rsidRDefault="00DD26CC" w:rsidP="00DD26CC">
      <w:pPr>
        <w:spacing w:before="100" w:beforeAutospacing="1" w:after="100" w:afterAutospacing="1" w:line="240" w:lineRule="auto"/>
        <w:rPr>
          <w:rFonts w:ascii="Roboto Light" w:hAnsi="Roboto Light"/>
          <w:szCs w:val="22"/>
        </w:rPr>
      </w:pPr>
      <w:permStart w:id="1836331667" w:edGrp="everyone"/>
      <w:r w:rsidRPr="00CC7D2C">
        <w:rPr>
          <w:rFonts w:ascii="Roboto Light" w:hAnsi="Roboto Light"/>
          <w:szCs w:val="22"/>
        </w:rPr>
        <w:t>Clearly the application of cash penalties is a “last resort” rather than a tool. Rather, “tools” are devices that should be used every day.</w:t>
      </w:r>
    </w:p>
    <w:p w14:paraId="65D4A1E8"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Therefore relevant tools may be out of the scope of this consultation, but would include: the greater use of matched principal trading venues; standardisation and automation of settlement details [SSI] in trading venues; the application of proper UTI and UPI trade details; cross-border market access, especially for fund trades; data sharing; DVB transparency and segregation; and the wider use of partial settlement.</w:t>
      </w:r>
    </w:p>
    <w:p w14:paraId="68A45E9B" w14:textId="77777777" w:rsidR="00480F3D" w:rsidRDefault="00480F3D">
      <w:r>
        <w:t>TYPE YOUR TEXT HERE</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0F811260" w14:textId="77777777" w:rsidR="00DD26CC" w:rsidRPr="00CC7D2C" w:rsidRDefault="00DD26CC" w:rsidP="00DD26CC">
      <w:pPr>
        <w:spacing w:before="100" w:beforeAutospacing="1" w:after="100" w:afterAutospacing="1" w:line="240" w:lineRule="auto"/>
        <w:rPr>
          <w:rFonts w:ascii="Roboto Light" w:hAnsi="Roboto Light"/>
          <w:szCs w:val="22"/>
        </w:rPr>
      </w:pPr>
      <w:permStart w:id="1744390137" w:edGrp="everyone"/>
      <w:r w:rsidRPr="00CC7D2C">
        <w:rPr>
          <w:rFonts w:ascii="Roboto Light" w:hAnsi="Roboto Light"/>
          <w:szCs w:val="22"/>
        </w:rPr>
        <w:t xml:space="preserve">We would suppose that the appropriate levels of settlement efficiency at CSD/SSS level, are reflective to the observed outcomes over time rather than theoretical. There is no appropriate answer to this question. </w:t>
      </w:r>
    </w:p>
    <w:p w14:paraId="65AA9E7A" w14:textId="77777777" w:rsidR="00DD26CC" w:rsidRPr="008704EE"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lastRenderedPageBreak/>
        <w:t>This is because the number of external variables are large and vary over time, including the application of technology. Variations will also naturally occur both between and also within each asset type, as well as both between and also within each transaction type or market model or complexity. Transactions that are cross-border, or have international components are also idiosyncratic. Clearly wholesale counterparties matching trades on trading venues, as in the case of our members, is a very different case to dealer-to-client markets.</w:t>
      </w:r>
    </w:p>
    <w:p w14:paraId="75F12042" w14:textId="77777777" w:rsidR="00480F3D" w:rsidRDefault="00480F3D">
      <w:r>
        <w:t>TYPE YOUR TEXT HERE</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4A6E90B2" w14:textId="77777777" w:rsidR="00DD26CC" w:rsidRPr="00CC7D2C" w:rsidRDefault="00DD26CC" w:rsidP="00DD26CC">
      <w:pPr>
        <w:spacing w:before="100" w:beforeAutospacing="1" w:after="100" w:afterAutospacing="1" w:line="240" w:lineRule="auto"/>
        <w:rPr>
          <w:rFonts w:ascii="Roboto Light" w:hAnsi="Roboto Light"/>
          <w:szCs w:val="22"/>
        </w:rPr>
      </w:pPr>
      <w:permStart w:id="652349975" w:edGrp="everyone"/>
      <w:r w:rsidRPr="00CC7D2C">
        <w:rPr>
          <w:rFonts w:ascii="Roboto Light" w:hAnsi="Roboto Light"/>
          <w:szCs w:val="22"/>
        </w:rPr>
        <w:t>We refer to our comments above in the answers to questions 19 and 16 such that proportionality is important both in its own right and also because the penalty rules are new and novel. We understand that this is well understood by both the European Commission and by ESMA consequent to the extensive analysis and revisions made to the settlement disciple aspects of the CSDR text.</w:t>
      </w:r>
    </w:p>
    <w:p w14:paraId="0EB1DF33"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Whilst Matched Principal trading venues and intermediaries should be excluded across all their market models; it’s also recommended that further proportionality and discretion should be afforded to CSDs until both the CSDR regulation has been reviewed &amp; revised, and T+1 settlement has been fully implemented.</w:t>
      </w:r>
    </w:p>
    <w:p w14:paraId="24700A0A" w14:textId="77777777" w:rsidR="00480F3D" w:rsidRDefault="00480F3D">
      <w:r>
        <w:t>TYPE YOUR TEXT HERE</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D6E833E" w14:textId="77777777" w:rsidR="00DD26CC" w:rsidRPr="00CC7D2C" w:rsidRDefault="00DD26CC" w:rsidP="00DD26CC">
      <w:pPr>
        <w:spacing w:before="100" w:beforeAutospacing="1" w:after="100" w:afterAutospacing="1" w:line="240" w:lineRule="auto"/>
        <w:rPr>
          <w:rFonts w:ascii="Roboto Light" w:hAnsi="Roboto Light"/>
          <w:szCs w:val="22"/>
        </w:rPr>
      </w:pPr>
      <w:permStart w:id="1111646572" w:edGrp="everyone"/>
      <w:r w:rsidRPr="00CC7D2C">
        <w:rPr>
          <w:rFonts w:ascii="Roboto Light" w:hAnsi="Roboto Light"/>
          <w:szCs w:val="22"/>
        </w:rPr>
        <w:lastRenderedPageBreak/>
        <w:t>We would defer to ECSDA</w:t>
      </w:r>
      <w:r>
        <w:rPr>
          <w:rFonts w:ascii="Roboto Light" w:hAnsi="Roboto Light"/>
        </w:rPr>
        <w:t xml:space="preserve"> and the AGC</w:t>
      </w:r>
      <w:r w:rsidRPr="00CC7D2C">
        <w:rPr>
          <w:rFonts w:ascii="Roboto Light" w:hAnsi="Roboto Light"/>
          <w:szCs w:val="22"/>
        </w:rPr>
        <w:t xml:space="preserve"> on this matter.</w:t>
      </w:r>
    </w:p>
    <w:p w14:paraId="18621DD5" w14:textId="77777777" w:rsidR="00480F3D" w:rsidRDefault="00480F3D">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0F9F52EB" w14:textId="77777777" w:rsidR="00DD26CC" w:rsidRPr="00CC7D2C" w:rsidRDefault="00DD26CC" w:rsidP="00DD26CC">
      <w:pPr>
        <w:spacing w:before="100" w:beforeAutospacing="1" w:after="100" w:afterAutospacing="1" w:line="240" w:lineRule="auto"/>
        <w:rPr>
          <w:rFonts w:ascii="Roboto Light" w:hAnsi="Roboto Light"/>
          <w:szCs w:val="22"/>
        </w:rPr>
      </w:pPr>
      <w:permStart w:id="47388266" w:edGrp="everyone"/>
      <w:r w:rsidRPr="00CC7D2C">
        <w:rPr>
          <w:rFonts w:ascii="Roboto Light" w:hAnsi="Roboto Light"/>
          <w:szCs w:val="22"/>
        </w:rPr>
        <w:t xml:space="preserve">We do not consider that progressive penalty rates would comply with the objective of the CSDR regime to be a simple and straightforward as possible. </w:t>
      </w:r>
    </w:p>
    <w:p w14:paraId="6E3CC5EE"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 xml:space="preserve">Concisely, as market operators we do not witness any wholesale counterparties willingly failing to make settlement or considering it a commercial choice. Therefore progressive penalty rates could not act as a tool as suggested in the consultation. Most likely they would solely create costs and risks which would increase the charges passed on to end users and decrease the effectiveness of European capital markets, most especially their wholesale infrastructures. </w:t>
      </w:r>
    </w:p>
    <w:p w14:paraId="2C821D05"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Should progressive penalty rates be relevant and useful, that could only be assessed once both the CSDR regulation has been reviewed &amp; revised, and T+1 settlement has been fully implemented.</w:t>
      </w:r>
    </w:p>
    <w:p w14:paraId="1AD606AF" w14:textId="77777777" w:rsidR="00480F3D" w:rsidRDefault="00480F3D">
      <w:r>
        <w:t>TYPE YOUR TEXT HERE</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00DB0749" w14:textId="77777777" w:rsidR="00DD26CC" w:rsidRPr="00CC7D2C" w:rsidRDefault="00DD26CC" w:rsidP="00DD26CC">
      <w:pPr>
        <w:spacing w:before="100" w:beforeAutospacing="1" w:after="100" w:afterAutospacing="1" w:line="240" w:lineRule="auto"/>
        <w:rPr>
          <w:rFonts w:ascii="Roboto Light" w:hAnsi="Roboto Light"/>
          <w:szCs w:val="22"/>
        </w:rPr>
      </w:pPr>
      <w:permStart w:id="67503824" w:edGrp="everyone"/>
      <w:r w:rsidRPr="00CC7D2C">
        <w:rPr>
          <w:rFonts w:ascii="Roboto Light" w:hAnsi="Roboto Light"/>
          <w:szCs w:val="22"/>
        </w:rPr>
        <w:t>We do not consider that the introduction of convexity into penalty rates would comply with the objective of the CSDR regime to be a simple and straightforward as possible. It follows from our answer to Question 22 above this proposal would also introduce irrelevant and unnecessary complexities and costs. A “bigger hammer” is rarely the preferred outcome.</w:t>
      </w:r>
    </w:p>
    <w:p w14:paraId="745FE67B" w14:textId="77777777" w:rsidR="00480F3D" w:rsidRDefault="00480F3D">
      <w:r>
        <w:lastRenderedPageBreak/>
        <w:t>TYPE YOUR TEXT HERE</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297B73B6" w14:textId="77777777" w:rsidR="00DD26CC" w:rsidRPr="00CC7D2C" w:rsidRDefault="00DD26CC" w:rsidP="00DD26CC">
      <w:pPr>
        <w:spacing w:before="100" w:beforeAutospacing="1" w:after="100" w:afterAutospacing="1" w:line="240" w:lineRule="auto"/>
        <w:rPr>
          <w:rFonts w:ascii="Roboto Light" w:hAnsi="Roboto Light"/>
          <w:szCs w:val="22"/>
        </w:rPr>
      </w:pPr>
      <w:permStart w:id="1652955813" w:edGrp="everyone"/>
      <w:r w:rsidRPr="00CC7D2C">
        <w:rPr>
          <w:rFonts w:ascii="Roboto Light" w:hAnsi="Roboto Light"/>
          <w:szCs w:val="22"/>
        </w:rPr>
        <w:t>No.</w:t>
      </w:r>
    </w:p>
    <w:p w14:paraId="33D95FC4" w14:textId="77777777" w:rsidR="00480F3D" w:rsidRDefault="00480F3D">
      <w:r>
        <w:t>TYPE YOUR TEXT HERE</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027594BC" w14:textId="77777777" w:rsidR="00DD26CC" w:rsidRPr="00CC7D2C" w:rsidRDefault="00DD26CC" w:rsidP="00DD26CC">
      <w:pPr>
        <w:spacing w:before="100" w:beforeAutospacing="1" w:after="100" w:afterAutospacing="1" w:line="240" w:lineRule="auto"/>
        <w:rPr>
          <w:rFonts w:ascii="Roboto Light" w:hAnsi="Roboto Light"/>
          <w:szCs w:val="22"/>
        </w:rPr>
      </w:pPr>
      <w:permStart w:id="1767178405" w:edGrp="everyone"/>
      <w:r w:rsidRPr="00CC7D2C">
        <w:rPr>
          <w:rFonts w:ascii="Roboto Light" w:hAnsi="Roboto Light"/>
          <w:szCs w:val="22"/>
        </w:rPr>
        <w:t>It follows from our answer to Question 22 that whilst penalties should not anyway apply to entities outside those dealing counterparties properly in the settlement chain; we do not support the levels of penalty rate proposed under either Option 1 or Option 2 for those who are. This would diminish the effectiveness of European liquidity pools rather than enhance settlement discipline.</w:t>
      </w:r>
    </w:p>
    <w:p w14:paraId="5A67EBAC" w14:textId="77777777" w:rsidR="00480F3D" w:rsidRDefault="00480F3D">
      <w:r>
        <w:t>TYPE YOUR TEXT HERE</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 xml:space="preserve">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w:t>
      </w:r>
      <w:r w:rsidRPr="00782578">
        <w:lastRenderedPageBreak/>
        <w:t>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127EFB6B" w14:textId="77777777" w:rsidR="00DD26CC" w:rsidRPr="00CC7D2C" w:rsidRDefault="00DD26CC" w:rsidP="00DD26CC">
      <w:pPr>
        <w:spacing w:before="100" w:beforeAutospacing="1" w:after="100" w:afterAutospacing="1" w:line="240" w:lineRule="auto"/>
        <w:rPr>
          <w:rFonts w:ascii="Roboto Light" w:hAnsi="Roboto Light"/>
          <w:szCs w:val="22"/>
        </w:rPr>
      </w:pPr>
      <w:permStart w:id="514209699" w:edGrp="everyone"/>
      <w:r w:rsidRPr="00CC7D2C">
        <w:rPr>
          <w:rFonts w:ascii="Roboto Light" w:hAnsi="Roboto Light"/>
          <w:szCs w:val="22"/>
        </w:rPr>
        <w:t>Settlement discipline penalties should not apply to entities outside those dealing counterparties properly in the settlement chain such as trading venues operating Matched Principal models and arranging intermediaries. In this regard we welcome the concept of ‘actionably avoidable’ settlement fails [Paras 59, 60] as mitigation for adequate exemptions in Level 1 text because deterrent isn’t a tool for arranging and processing parts of the market infrastructure. For the avoidance of doubt, ESMA introduces the principle that, “</w:t>
      </w:r>
      <w:r w:rsidRPr="00CC7D2C">
        <w:rPr>
          <w:rFonts w:ascii="Roboto Light" w:hAnsi="Roboto Light"/>
          <w:i/>
          <w:iCs/>
          <w:szCs w:val="22"/>
        </w:rPr>
        <w:t>the setting of penalty levels for that failing on a transaction should never be an economically viable option</w:t>
      </w:r>
      <w:r w:rsidRPr="00CC7D2C">
        <w:rPr>
          <w:rFonts w:ascii="Roboto Light" w:hAnsi="Roboto Light"/>
          <w:szCs w:val="22"/>
        </w:rPr>
        <w:t>”. This is entirely inappropriate and the wrong lens for our member firms who are arrangers, and not a part of the ”horizontal” settlement chain.</w:t>
      </w:r>
    </w:p>
    <w:p w14:paraId="2C7FECC6"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For the relevant participants in the settlement chain, we would suppose that the calibration and the recalibration penalty rates should be simple and arithmetic. It should be done on a periodic basis by reference to repo market participant access and instrument availability to remediate any fail as a singular measure with notification along the settlement chain.</w:t>
      </w:r>
    </w:p>
    <w:p w14:paraId="77C7C5FA" w14:textId="77777777" w:rsidR="00480F3D" w:rsidRDefault="00480F3D">
      <w:r>
        <w:t>TYPE YOUR TEXT HERE</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593B9BA8" w14:textId="77777777" w:rsidR="00DD26CC" w:rsidRPr="00CC7D2C" w:rsidRDefault="00DD26CC" w:rsidP="00DD26CC">
      <w:pPr>
        <w:spacing w:before="100" w:beforeAutospacing="1" w:after="100" w:afterAutospacing="1" w:line="240" w:lineRule="auto"/>
        <w:rPr>
          <w:rFonts w:ascii="Roboto Light" w:hAnsi="Roboto Light"/>
          <w:szCs w:val="22"/>
        </w:rPr>
      </w:pPr>
      <w:permStart w:id="873400905" w:edGrp="everyone"/>
      <w:r w:rsidRPr="00CC7D2C">
        <w:rPr>
          <w:rFonts w:ascii="Roboto Light" w:hAnsi="Roboto Light"/>
          <w:szCs w:val="22"/>
        </w:rPr>
        <w:t>We understand that Question 27 refers to proposals to introduce an addition and new category for ETFs. Currently members of EVIA are not active in arranging this asset class.</w:t>
      </w:r>
    </w:p>
    <w:p w14:paraId="17757935" w14:textId="77777777" w:rsidR="00480F3D" w:rsidRDefault="00480F3D">
      <w:r>
        <w:t>TYPE YOUR TEXT HERE</w:t>
      </w:r>
    </w:p>
    <w:permEnd w:id="873400905"/>
    <w:p w14:paraId="10B79B75" w14:textId="77777777" w:rsidR="00480F3D" w:rsidRDefault="00480F3D">
      <w:r>
        <w:lastRenderedPageBreak/>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4B033573" w14:textId="77777777" w:rsidR="00DD26CC" w:rsidRPr="00F43198" w:rsidRDefault="00DD26CC" w:rsidP="00DD26CC">
      <w:pPr>
        <w:spacing w:before="100" w:beforeAutospacing="1" w:after="100" w:afterAutospacing="1" w:line="240" w:lineRule="auto"/>
        <w:rPr>
          <w:rFonts w:ascii="Roboto Light" w:hAnsi="Roboto Light"/>
          <w:szCs w:val="22"/>
        </w:rPr>
      </w:pPr>
      <w:permStart w:id="1752653492" w:edGrp="everyone"/>
      <w:r w:rsidRPr="00F43198">
        <w:rPr>
          <w:rFonts w:ascii="Roboto Light" w:hAnsi="Roboto Light"/>
          <w:szCs w:val="22"/>
        </w:rPr>
        <w:t xml:space="preserve">We do not consider that progressive penalty rates would </w:t>
      </w:r>
      <w:r w:rsidRPr="00CC7D2C">
        <w:rPr>
          <w:rFonts w:ascii="Roboto Light" w:hAnsi="Roboto Light"/>
          <w:szCs w:val="22"/>
        </w:rPr>
        <w:t xml:space="preserve">confer benefits as they would not </w:t>
      </w:r>
      <w:r w:rsidRPr="00F43198">
        <w:rPr>
          <w:rFonts w:ascii="Roboto Light" w:hAnsi="Roboto Light"/>
          <w:szCs w:val="22"/>
        </w:rPr>
        <w:t xml:space="preserve">comply with the objective of the CSDR regime to be a simple and straightforward as possible. </w:t>
      </w:r>
      <w:r w:rsidRPr="00CC7D2C">
        <w:rPr>
          <w:rFonts w:ascii="Roboto Light" w:hAnsi="Roboto Light"/>
          <w:szCs w:val="22"/>
        </w:rPr>
        <w:t>This therefore applies to both option 1 and to option 2.</w:t>
      </w:r>
    </w:p>
    <w:p w14:paraId="552669A6"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Settlement discipline penalties should not apply to entities outside those dealing counterparties properly in the settlement chain such as trading venues operating Matched Principal models and arranging intermediaries.</w:t>
      </w:r>
    </w:p>
    <w:p w14:paraId="3DAFDC39" w14:textId="77777777" w:rsidR="00DD26CC" w:rsidRPr="00F43198"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Progressive penalty rates would likely increase the incentives not to settle in a timely manner if there is scope to contest, but moreover, not to participate in European Capital Markets in the first place.</w:t>
      </w:r>
    </w:p>
    <w:p w14:paraId="177E2DF1" w14:textId="5DAF49E2" w:rsidR="008D18FF" w:rsidRDefault="008D18FF" w:rsidP="00413D4F">
      <w:r>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lastRenderedPageBreak/>
        <w:t>&lt;ESMA_QUESTION_CSDR_29&gt;</w:t>
      </w:r>
    </w:p>
    <w:p w14:paraId="1C1A3C4A" w14:textId="77777777" w:rsidR="00DD26CC" w:rsidRPr="00F43198" w:rsidRDefault="00DD26CC" w:rsidP="00DD26CC">
      <w:pPr>
        <w:spacing w:before="100" w:beforeAutospacing="1" w:after="100" w:afterAutospacing="1" w:line="240" w:lineRule="auto"/>
        <w:rPr>
          <w:rFonts w:ascii="Roboto Light" w:hAnsi="Roboto Light"/>
          <w:szCs w:val="22"/>
        </w:rPr>
      </w:pPr>
      <w:permStart w:id="503064745" w:edGrp="everyone"/>
      <w:r w:rsidRPr="00F43198">
        <w:rPr>
          <w:rFonts w:ascii="Roboto Light" w:hAnsi="Roboto Light"/>
          <w:szCs w:val="22"/>
        </w:rPr>
        <w:t xml:space="preserve">We do not consider that </w:t>
      </w:r>
      <w:bookmarkStart w:id="28" w:name="_Hlk160216627"/>
      <w:r w:rsidRPr="00F43198">
        <w:rPr>
          <w:rFonts w:ascii="Roboto Light" w:hAnsi="Roboto Light"/>
          <w:szCs w:val="22"/>
        </w:rPr>
        <w:t xml:space="preserve">progressive penalty rates </w:t>
      </w:r>
      <w:bookmarkEnd w:id="28"/>
      <w:r w:rsidRPr="00F43198">
        <w:rPr>
          <w:rFonts w:ascii="Roboto Light" w:hAnsi="Roboto Light"/>
          <w:szCs w:val="22"/>
        </w:rPr>
        <w:t xml:space="preserve">would </w:t>
      </w:r>
      <w:r w:rsidRPr="00CC7D2C">
        <w:rPr>
          <w:rFonts w:ascii="Roboto Light" w:hAnsi="Roboto Light"/>
          <w:szCs w:val="22"/>
        </w:rPr>
        <w:t xml:space="preserve">confer benefits as they would not </w:t>
      </w:r>
      <w:r w:rsidRPr="00F43198">
        <w:rPr>
          <w:rFonts w:ascii="Roboto Light" w:hAnsi="Roboto Light"/>
          <w:szCs w:val="22"/>
        </w:rPr>
        <w:t xml:space="preserve">comply with the objective of the CSDR regime to be a simple and straightforward as possible. </w:t>
      </w:r>
      <w:r w:rsidRPr="00CC7D2C">
        <w:rPr>
          <w:rFonts w:ascii="Roboto Light" w:hAnsi="Roboto Light"/>
          <w:szCs w:val="22"/>
        </w:rPr>
        <w:t>This therefore applies to both option 1 and to option 2.</w:t>
      </w:r>
    </w:p>
    <w:p w14:paraId="358797DC"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Progressive penalty rates would likely increase the incentives not to settle in a timely manner if there is scope to contest, but moreover, not to participate in European Capital Markets in the first place.</w:t>
      </w:r>
    </w:p>
    <w:p w14:paraId="7F70CB81" w14:textId="1F1F54E1" w:rsidR="007D7BB4" w:rsidRPr="00BD3B92" w:rsidRDefault="007D7BB4" w:rsidP="00413D4F">
      <w:r>
        <w:t>TYPE YOUR TEXT HERE</w:t>
      </w:r>
      <w:permEnd w:id="503064745"/>
    </w:p>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9"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w:t>
      </w:r>
      <w:r w:rsidRPr="00A403E0">
        <w:lastRenderedPageBreak/>
        <w:t xml:space="preserve">implementation of this approach? Please use the table below. Where relevant, additional tables, graphs and information may be included in order to support some of the arguments or calculations presented in the table below.  </w:t>
      </w:r>
    </w:p>
    <w:bookmarkEnd w:id="29"/>
    <w:p w14:paraId="3871DAF1" w14:textId="14B23D80" w:rsidR="00BD3B92" w:rsidRDefault="00BD3B92" w:rsidP="00413D4F">
      <w:r>
        <w:t>&lt;ESMA_QUESTION_CSDR_30&gt;</w:t>
      </w:r>
    </w:p>
    <w:p w14:paraId="47E3F1FC" w14:textId="77777777" w:rsidR="00DD26CC" w:rsidRPr="00CC7D2C" w:rsidRDefault="00DD26CC" w:rsidP="00DD26CC">
      <w:pPr>
        <w:spacing w:before="100" w:beforeAutospacing="1" w:after="100" w:afterAutospacing="1" w:line="240" w:lineRule="auto"/>
        <w:rPr>
          <w:rFonts w:ascii="Roboto Light" w:hAnsi="Roboto Light"/>
          <w:szCs w:val="22"/>
        </w:rPr>
      </w:pPr>
      <w:permStart w:id="1764259019" w:edGrp="everyone"/>
      <w:r w:rsidRPr="00CC7D2C">
        <w:rPr>
          <w:rFonts w:ascii="Roboto Light" w:hAnsi="Roboto Light"/>
          <w:szCs w:val="22"/>
        </w:rPr>
        <w:t xml:space="preserve">The proposal to differentiate penalty rates based on the value of the instruction adds complexity where the objective for the rules to remain simple and straightforward should be paramount. Specifically this appears to create perverse incentives and may lead to unintended consequences. </w:t>
      </w:r>
    </w:p>
    <w:p w14:paraId="0EC72E6F"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Progressive penalty rates would likely increase the incentives not to settle in a timely manner if there is scope to contest, but moreover, not to participate in European Capital Markets in the first place.</w:t>
      </w:r>
    </w:p>
    <w:p w14:paraId="7853B9D9" w14:textId="77777777" w:rsidR="00720942" w:rsidRDefault="00720942" w:rsidP="00720942">
      <w:r>
        <w:t>TYPE YOUR TEXT HERE</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lastRenderedPageBreak/>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30"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30"/>
    <w:p w14:paraId="076895A2" w14:textId="77777777" w:rsidR="00EC303D" w:rsidRDefault="00EC303D" w:rsidP="00EC303D">
      <w:r>
        <w:t>&lt;ESMA_QUESTION_CSDR_31&gt;</w:t>
      </w:r>
    </w:p>
    <w:p w14:paraId="3A498F25" w14:textId="77777777" w:rsidR="00DD26CC" w:rsidRPr="00CC7D2C" w:rsidRDefault="00DD26CC" w:rsidP="00DD26CC">
      <w:pPr>
        <w:spacing w:before="100" w:beforeAutospacing="1" w:after="100" w:afterAutospacing="1" w:line="240" w:lineRule="auto"/>
        <w:rPr>
          <w:rFonts w:ascii="Roboto Light" w:hAnsi="Roboto Light"/>
          <w:szCs w:val="22"/>
        </w:rPr>
      </w:pPr>
      <w:permStart w:id="892430093" w:edGrp="everyone"/>
      <w:r w:rsidRPr="00CC7D2C">
        <w:rPr>
          <w:rFonts w:ascii="Roboto Light" w:hAnsi="Roboto Light"/>
          <w:szCs w:val="22"/>
        </w:rPr>
        <w:t>The CSDR penalty regime should be as simple and straightforward as possible, and therefore additional criteria should be minimised and aligned with incentives to settle as soon as possible and in any partial manner. What may be also required is the functional identity of the participants in order to differentiate dealing counterparties from arrangers and agents.</w:t>
      </w:r>
    </w:p>
    <w:p w14:paraId="330557AF"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Whilst we consider the Repo market as the most relevant bellwether criteria (</w:t>
      </w:r>
      <w:r w:rsidRPr="00CC7D2C">
        <w:rPr>
          <w:rFonts w:ascii="Roboto Light" w:hAnsi="Roboto Light"/>
          <w:i/>
          <w:iCs/>
          <w:szCs w:val="22"/>
        </w:rPr>
        <w:t>to flag and quantify scarcity and market conditions, and therefore penalty quantum</w:t>
      </w:r>
      <w:r w:rsidRPr="00CC7D2C">
        <w:rPr>
          <w:rFonts w:ascii="Roboto Light" w:hAnsi="Roboto Light"/>
          <w:szCs w:val="22"/>
        </w:rPr>
        <w:t>); the most effective tool for this application would be a transparent pass-through model that is agnostic to multiple and separate CSDs such that any penalty is directed along a connected and contingent set of trades within a transaction. This requires a transparent and effective disclosure to the CSD of the nature and identity along the horizontal chain of settlement counterparties.</w:t>
      </w:r>
    </w:p>
    <w:p w14:paraId="524122E5" w14:textId="77777777" w:rsidR="00EC303D" w:rsidRDefault="00EC303D" w:rsidP="00EC303D">
      <w:r>
        <w:t>TYPE YOUR TEXT HERE</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1"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w:t>
      </w:r>
      <w:r w:rsidRPr="00844827">
        <w:lastRenderedPageBreak/>
        <w:t xml:space="preserve">stakeholders’ views on the costs and benefits of such a measure. Please use the table below. Where relevant, additional tables, graphs and information may be included in order to support some of the arguments or calculations presented in the table below.  </w:t>
      </w:r>
    </w:p>
    <w:bookmarkEnd w:id="31"/>
    <w:p w14:paraId="7F7BB40C" w14:textId="77777777" w:rsidR="008E5525" w:rsidRDefault="008E5525" w:rsidP="008E5525">
      <w:r>
        <w:t>&lt;ESMA_QUESTION_CSDR_32&gt;</w:t>
      </w:r>
    </w:p>
    <w:p w14:paraId="7693FA34" w14:textId="77777777" w:rsidR="00DD26CC" w:rsidRPr="002E3D49" w:rsidRDefault="00DD26CC" w:rsidP="00DD26CC">
      <w:pPr>
        <w:spacing w:before="100" w:beforeAutospacing="1" w:after="100" w:afterAutospacing="1" w:line="240" w:lineRule="auto"/>
        <w:rPr>
          <w:rFonts w:ascii="Roboto Light" w:hAnsi="Roboto Light"/>
          <w:szCs w:val="22"/>
        </w:rPr>
      </w:pPr>
      <w:permStart w:id="2059342461" w:edGrp="everyone"/>
      <w:r w:rsidRPr="002E3D49">
        <w:rPr>
          <w:rFonts w:ascii="Roboto Light" w:hAnsi="Roboto Light"/>
          <w:szCs w:val="22"/>
        </w:rPr>
        <w:t xml:space="preserve">We would defer to ECSDA </w:t>
      </w:r>
      <w:r w:rsidRPr="00CC7D2C">
        <w:rPr>
          <w:rFonts w:ascii="Roboto Light" w:hAnsi="Roboto Light"/>
          <w:szCs w:val="22"/>
        </w:rPr>
        <w:t xml:space="preserve">and individual CSDs </w:t>
      </w:r>
      <w:r w:rsidRPr="002E3D49">
        <w:rPr>
          <w:rFonts w:ascii="Roboto Light" w:hAnsi="Roboto Light"/>
          <w:szCs w:val="22"/>
        </w:rPr>
        <w:t>on this matter.</w:t>
      </w:r>
    </w:p>
    <w:p w14:paraId="25F28EC9"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We are unclear if solely using the market value of the financial instruments on the first day of the settlement fail would simplify the cash penalty mechanism, but if that consensus is arrived at by the CSDs, we would support the proposal.</w:t>
      </w:r>
    </w:p>
    <w:p w14:paraId="343819C2" w14:textId="77777777" w:rsidR="00707682" w:rsidRDefault="00707682" w:rsidP="00707682">
      <w:r>
        <w:t>TYPE YOUR TEXT HERE</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7"/>
      <w:r w:rsidRPr="00884554">
        <w:lastRenderedPageBreak/>
        <w:t>How should free of payment (FoP) instructions be valued for the purpose of the application of cash penalties? Please justify your answer and provide examples and data where available.</w:t>
      </w:r>
    </w:p>
    <w:bookmarkEnd w:id="32"/>
    <w:p w14:paraId="5DAB0ADA" w14:textId="77777777" w:rsidR="00683F26" w:rsidRDefault="00683F26">
      <w:r>
        <w:t>&lt;ESMA_QUESTION_CSDR_33&gt;</w:t>
      </w:r>
    </w:p>
    <w:p w14:paraId="7E022D24" w14:textId="77777777" w:rsidR="00DD26CC" w:rsidRPr="002E3D49" w:rsidRDefault="00DD26CC" w:rsidP="00DD26CC">
      <w:pPr>
        <w:spacing w:before="100" w:beforeAutospacing="1" w:after="100" w:afterAutospacing="1" w:line="240" w:lineRule="auto"/>
        <w:rPr>
          <w:rFonts w:ascii="Roboto Light" w:hAnsi="Roboto Light"/>
          <w:szCs w:val="22"/>
        </w:rPr>
      </w:pPr>
      <w:permStart w:id="9921138" w:edGrp="everyone"/>
      <w:r w:rsidRPr="002E3D49">
        <w:rPr>
          <w:rFonts w:ascii="Roboto Light" w:hAnsi="Roboto Light"/>
          <w:szCs w:val="22"/>
        </w:rPr>
        <w:t>We would defer to ECSDA</w:t>
      </w:r>
      <w:r>
        <w:rPr>
          <w:rFonts w:ascii="Roboto Light" w:hAnsi="Roboto Light"/>
        </w:rPr>
        <w:t>, the AGC</w:t>
      </w:r>
      <w:r w:rsidRPr="002E3D49">
        <w:rPr>
          <w:rFonts w:ascii="Roboto Light" w:hAnsi="Roboto Light"/>
          <w:szCs w:val="22"/>
        </w:rPr>
        <w:t xml:space="preserve"> </w:t>
      </w:r>
      <w:r w:rsidRPr="00CC7D2C">
        <w:rPr>
          <w:rFonts w:ascii="Roboto Light" w:hAnsi="Roboto Light"/>
          <w:szCs w:val="22"/>
        </w:rPr>
        <w:t xml:space="preserve">and individual CSDs </w:t>
      </w:r>
      <w:r w:rsidRPr="002E3D49">
        <w:rPr>
          <w:rFonts w:ascii="Roboto Light" w:hAnsi="Roboto Light"/>
          <w:szCs w:val="22"/>
        </w:rPr>
        <w:t>on this matter.</w:t>
      </w:r>
    </w:p>
    <w:p w14:paraId="05CC3F04" w14:textId="77777777" w:rsidR="00683F26" w:rsidRDefault="00683F26">
      <w:r>
        <w:t>TYPE YOUR TEXT HERE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8"/>
      <w:r w:rsidRPr="00127028">
        <w:t>Do you think there is a risk that higher penalty rates may lead to participants using less DvP and more FoP settlement instructions? Please justify your answer and provide examples and data where available.</w:t>
      </w:r>
    </w:p>
    <w:bookmarkEnd w:id="33"/>
    <w:p w14:paraId="06620221" w14:textId="77777777" w:rsidR="00683F26" w:rsidRDefault="00683F26">
      <w:r>
        <w:t>&lt;ESMA_QUESTION_CSDR_34&gt;</w:t>
      </w:r>
    </w:p>
    <w:p w14:paraId="6DE79199" w14:textId="77777777" w:rsidR="00DD26CC" w:rsidRPr="002E3D49" w:rsidRDefault="00DD26CC" w:rsidP="00DD26CC">
      <w:pPr>
        <w:spacing w:before="100" w:beforeAutospacing="1" w:after="100" w:afterAutospacing="1" w:line="240" w:lineRule="auto"/>
        <w:rPr>
          <w:rFonts w:ascii="Roboto Light" w:hAnsi="Roboto Light"/>
          <w:szCs w:val="22"/>
        </w:rPr>
      </w:pPr>
      <w:permStart w:id="1386107427" w:edGrp="everyone"/>
      <w:r w:rsidRPr="002E3D49">
        <w:rPr>
          <w:rFonts w:ascii="Roboto Light" w:hAnsi="Roboto Light"/>
          <w:szCs w:val="22"/>
        </w:rPr>
        <w:t>We would defer to ECSDA</w:t>
      </w:r>
      <w:r>
        <w:rPr>
          <w:rFonts w:ascii="Roboto Light" w:hAnsi="Roboto Light"/>
        </w:rPr>
        <w:t>, the AGC</w:t>
      </w:r>
      <w:r w:rsidRPr="002E3D49">
        <w:rPr>
          <w:rFonts w:ascii="Roboto Light" w:hAnsi="Roboto Light"/>
          <w:szCs w:val="22"/>
        </w:rPr>
        <w:t xml:space="preserve"> </w:t>
      </w:r>
      <w:r w:rsidRPr="00CC7D2C">
        <w:rPr>
          <w:rFonts w:ascii="Roboto Light" w:hAnsi="Roboto Light"/>
          <w:szCs w:val="22"/>
        </w:rPr>
        <w:t xml:space="preserve">and individual CSDs </w:t>
      </w:r>
      <w:r w:rsidRPr="002E3D49">
        <w:rPr>
          <w:rFonts w:ascii="Roboto Light" w:hAnsi="Roboto Light"/>
          <w:szCs w:val="22"/>
        </w:rPr>
        <w:t>on this matter.</w:t>
      </w:r>
    </w:p>
    <w:p w14:paraId="78F85665" w14:textId="77777777" w:rsidR="00683F26" w:rsidRDefault="00683F26">
      <w:r>
        <w:t>TYPE YOUR TEXT HERE</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4"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4"/>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lastRenderedPageBreak/>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39085F67" w14:textId="77777777" w:rsidR="00DD26CC" w:rsidRPr="00CC7D2C" w:rsidRDefault="00DD26CC" w:rsidP="00DD26CC">
      <w:pPr>
        <w:spacing w:before="100" w:beforeAutospacing="1" w:after="100" w:afterAutospacing="1" w:line="240" w:lineRule="auto"/>
        <w:rPr>
          <w:rFonts w:ascii="Roboto Light" w:hAnsi="Roboto Light"/>
          <w:szCs w:val="22"/>
        </w:rPr>
      </w:pPr>
      <w:permStart w:id="2042054973" w:edGrp="everyone"/>
      <w:r w:rsidRPr="00CC7D2C">
        <w:rPr>
          <w:rFonts w:ascii="Roboto Light" w:hAnsi="Roboto Light"/>
          <w:szCs w:val="22"/>
        </w:rPr>
        <w:t>In view of the build cost, we would defer to ECSDA and individual CSDs on this matter.</w:t>
      </w:r>
    </w:p>
    <w:p w14:paraId="244C9DAA" w14:textId="77777777" w:rsidR="00D57C74" w:rsidRDefault="00D57C74" w:rsidP="00D57C74">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5"/>
    <w:p w14:paraId="075BF910" w14:textId="77777777" w:rsidR="00DD5F58" w:rsidRDefault="00DD5F58">
      <w:r>
        <w:t>&lt;ESMA_QUESTION_CSDR_36&gt;</w:t>
      </w:r>
    </w:p>
    <w:p w14:paraId="632E9CA4" w14:textId="77777777" w:rsidR="00DD26CC" w:rsidRPr="00CC7D2C" w:rsidRDefault="00DD26CC" w:rsidP="00DD26CC">
      <w:pPr>
        <w:spacing w:before="100" w:beforeAutospacing="1" w:after="100" w:afterAutospacing="1" w:line="240" w:lineRule="auto"/>
        <w:rPr>
          <w:rFonts w:ascii="Roboto Light" w:hAnsi="Roboto Light"/>
          <w:szCs w:val="22"/>
        </w:rPr>
      </w:pPr>
      <w:permStart w:id="193803223" w:edGrp="everyone"/>
      <w:r w:rsidRPr="00CC7D2C">
        <w:rPr>
          <w:rFonts w:ascii="Roboto Light" w:hAnsi="Roboto Light"/>
          <w:szCs w:val="22"/>
        </w:rPr>
        <w:t xml:space="preserve">We note that illiquid financial instruments are more commonly arranged in contingent packages and as complex trades made away from or only assisted by wholly electronic platforms. Such trades will entail a greater role by intermediaries. Recalling that settlement discipline penalties should not apply to entities outside those dealing counterparties properly in the ‘horizontal’ settlement chain such as trading venues operating Matched Principal models, arranging intermediaries or other agents. </w:t>
      </w:r>
    </w:p>
    <w:p w14:paraId="6E6E93D5" w14:textId="77777777" w:rsidR="00DD5F58" w:rsidRDefault="00DD5F58">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1"/>
      <w:r w:rsidRPr="000F1358">
        <w:lastRenderedPageBreak/>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6"/>
    <w:p w14:paraId="0C94806C" w14:textId="77777777" w:rsidR="00DD5F58" w:rsidRDefault="00DD5F58">
      <w:r>
        <w:t>&lt;ESMA_QUESTION_CSDR_37&gt;</w:t>
      </w:r>
    </w:p>
    <w:p w14:paraId="61F988F0" w14:textId="77777777" w:rsidR="00DD26CC" w:rsidRPr="00CC7D2C" w:rsidRDefault="00DD26CC" w:rsidP="00DD26CC">
      <w:pPr>
        <w:spacing w:before="100" w:beforeAutospacing="1" w:after="100" w:afterAutospacing="1" w:line="240" w:lineRule="auto"/>
        <w:rPr>
          <w:rFonts w:ascii="Roboto Light" w:hAnsi="Roboto Light"/>
          <w:szCs w:val="22"/>
        </w:rPr>
      </w:pPr>
      <w:permStart w:id="497239485" w:edGrp="everyone"/>
      <w:r w:rsidRPr="00CC7D2C">
        <w:rPr>
          <w:rFonts w:ascii="Roboto Light" w:hAnsi="Roboto Light"/>
          <w:szCs w:val="22"/>
        </w:rPr>
        <w:t>This may be a risk to trading venues operating Matched Principal models, arranging intermediaries or other agents if there are not adequate exemptions in the level 2 technical standards of CSDR because there is no prescriptive exemption in the level 1 regulation. It would be necessary therefore for the penalty regime to reference and identify dealing counterparties in the settlement chain from others.</w:t>
      </w:r>
    </w:p>
    <w:p w14:paraId="380F5E97" w14:textId="77777777" w:rsidR="00DD5F58" w:rsidRDefault="00DD5F58">
      <w:r>
        <w:t>TYPE YOUR TEXT HERE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7"/>
    <w:p w14:paraId="6ACCD9FD" w14:textId="77777777" w:rsidR="00DD5F58" w:rsidRDefault="00DD5F58">
      <w:r>
        <w:t>&lt;ESMA_QUESTION_CSDR_38&gt;</w:t>
      </w:r>
    </w:p>
    <w:p w14:paraId="7A242A84" w14:textId="77777777" w:rsidR="00DD26CC" w:rsidRPr="00CC7D2C" w:rsidRDefault="00DD26CC" w:rsidP="00DD26CC">
      <w:pPr>
        <w:spacing w:before="100" w:beforeAutospacing="1" w:after="100" w:afterAutospacing="1" w:line="240" w:lineRule="auto"/>
        <w:rPr>
          <w:rFonts w:ascii="Roboto Light" w:hAnsi="Roboto Light"/>
          <w:szCs w:val="22"/>
        </w:rPr>
      </w:pPr>
      <w:permStart w:id="363731969" w:edGrp="everyone"/>
      <w:r w:rsidRPr="00CC7D2C">
        <w:rPr>
          <w:rFonts w:ascii="Roboto Light" w:hAnsi="Roboto Light"/>
          <w:szCs w:val="22"/>
        </w:rPr>
        <w:t>Whilst the spread between the reverse repo rate and bank rate could provide a metric for the incentives of counterparties, we consider this not to be in accordance with any simple and straightforward approach.</w:t>
      </w:r>
    </w:p>
    <w:p w14:paraId="587FF241"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Further we again underscore that the scope of cash penalties should be constricted to counterparties properly in the ‘horizontal’ settlement chain who would be a position to take note of this spread rather than  trading venues operating Matched Principal models, arranging intermediaries or other agents who could not, should any legs of matched transactions fail to promptly settle.</w:t>
      </w:r>
    </w:p>
    <w:p w14:paraId="4FD39FA4" w14:textId="77777777" w:rsidR="00DD5F58" w:rsidRDefault="00DD5F58">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8" w:name="_Hlk151731843"/>
      <w:r w:rsidRPr="00DB0612">
        <w:lastRenderedPageBreak/>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8"/>
    <w:p w14:paraId="4BA2F999" w14:textId="77777777" w:rsidR="00DD5F58" w:rsidRDefault="00DD5F58">
      <w:r>
        <w:t>&lt;ESMA_QUESTION_CSDR_39&gt;</w:t>
      </w:r>
    </w:p>
    <w:p w14:paraId="71F08557" w14:textId="77777777" w:rsidR="00DD26CC" w:rsidRPr="002E3D49" w:rsidRDefault="00DD26CC" w:rsidP="00DD26CC">
      <w:pPr>
        <w:spacing w:before="100" w:beforeAutospacing="1" w:after="100" w:afterAutospacing="1" w:line="240" w:lineRule="auto"/>
        <w:rPr>
          <w:rFonts w:ascii="Roboto Light" w:hAnsi="Roboto Light"/>
          <w:szCs w:val="22"/>
        </w:rPr>
      </w:pPr>
      <w:permStart w:id="395341201" w:edGrp="everyone"/>
      <w:r w:rsidRPr="002E3D49">
        <w:rPr>
          <w:rFonts w:ascii="Roboto Light" w:hAnsi="Roboto Light"/>
          <w:szCs w:val="22"/>
        </w:rPr>
        <w:t xml:space="preserve">We would defer to ECSDA </w:t>
      </w:r>
      <w:r w:rsidRPr="00CC7D2C">
        <w:rPr>
          <w:rFonts w:ascii="Roboto Light" w:hAnsi="Roboto Light"/>
          <w:szCs w:val="22"/>
        </w:rPr>
        <w:t xml:space="preserve">and individual CSDs </w:t>
      </w:r>
      <w:r w:rsidRPr="002E3D49">
        <w:rPr>
          <w:rFonts w:ascii="Roboto Light" w:hAnsi="Roboto Light"/>
          <w:szCs w:val="22"/>
        </w:rPr>
        <w:t>on this matter.</w:t>
      </w:r>
    </w:p>
    <w:p w14:paraId="464E4184" w14:textId="77777777" w:rsidR="00DD5F58" w:rsidRDefault="00DD5F58">
      <w:r>
        <w:t>TYPE YOUR TEXT HERE</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7A6889CE" w14:textId="77777777" w:rsidR="00DD26CC" w:rsidRPr="00CC7D2C" w:rsidRDefault="00DD26CC" w:rsidP="00DD26CC">
      <w:pPr>
        <w:spacing w:before="100" w:beforeAutospacing="1" w:after="100" w:afterAutospacing="1" w:line="240" w:lineRule="auto"/>
        <w:rPr>
          <w:rFonts w:ascii="Roboto Light" w:hAnsi="Roboto Light"/>
          <w:szCs w:val="22"/>
        </w:rPr>
      </w:pPr>
      <w:permStart w:id="1572044397" w:edGrp="everyone"/>
      <w:r w:rsidRPr="002E3D49">
        <w:rPr>
          <w:rFonts w:ascii="Roboto Light" w:hAnsi="Roboto Light"/>
          <w:szCs w:val="22"/>
        </w:rPr>
        <w:t xml:space="preserve">We would defer to ECSDA </w:t>
      </w:r>
      <w:r w:rsidRPr="00CC7D2C">
        <w:rPr>
          <w:rFonts w:ascii="Roboto Light" w:hAnsi="Roboto Light"/>
          <w:szCs w:val="22"/>
        </w:rPr>
        <w:t xml:space="preserve">and individual CSDs </w:t>
      </w:r>
      <w:r w:rsidRPr="002E3D49">
        <w:rPr>
          <w:rFonts w:ascii="Roboto Light" w:hAnsi="Roboto Light"/>
          <w:szCs w:val="22"/>
        </w:rPr>
        <w:t>on this matter.</w:t>
      </w:r>
    </w:p>
    <w:p w14:paraId="65066568" w14:textId="77777777" w:rsidR="000F5114" w:rsidRDefault="000F5114" w:rsidP="000F5114">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5590320F" w14:textId="77777777" w:rsidR="00DD26CC" w:rsidRPr="00CC7D2C" w:rsidRDefault="00DD26CC" w:rsidP="00DD26CC">
      <w:pPr>
        <w:spacing w:before="100" w:beforeAutospacing="1" w:after="100" w:afterAutospacing="1" w:line="240" w:lineRule="auto"/>
        <w:rPr>
          <w:rFonts w:ascii="Roboto Light" w:hAnsi="Roboto Light"/>
          <w:szCs w:val="22"/>
        </w:rPr>
      </w:pPr>
      <w:permStart w:id="432759641" w:edGrp="everyone"/>
      <w:r w:rsidRPr="00CC7D2C">
        <w:rPr>
          <w:rFonts w:ascii="Roboto Light" w:hAnsi="Roboto Light"/>
          <w:szCs w:val="22"/>
        </w:rPr>
        <w:t>No. Adding complexity to the current scope should be only made where strictly necessary and  the application of different penalty rates to different transaction types would not be simple and straightforward. It could also induce behavioural distortions.</w:t>
      </w:r>
    </w:p>
    <w:p w14:paraId="17DD4098"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We note however that presumably mandatory buy-ins could qualify as an exception to this approach. The reconciliation of post-dated errors and “out-trades” by trading venues operating Matched Principal models, arranging intermediaries or other agents could also be a specific case.</w:t>
      </w:r>
    </w:p>
    <w:p w14:paraId="4626B69E" w14:textId="70827B3B" w:rsidR="00BE392A" w:rsidRDefault="000F7E96" w:rsidP="0067070C">
      <w:r>
        <w:t>TYPE YOUR TEXT HERE</w:t>
      </w:r>
      <w:permEnd w:id="432759641"/>
    </w:p>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lastRenderedPageBreak/>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3441981B" w14:textId="77777777" w:rsidR="00DD26CC" w:rsidRPr="00CC7D2C" w:rsidRDefault="00DD26CC" w:rsidP="00DD26CC">
      <w:pPr>
        <w:spacing w:before="100" w:beforeAutospacing="1" w:after="100" w:afterAutospacing="1" w:line="240" w:lineRule="auto"/>
        <w:rPr>
          <w:rFonts w:ascii="Roboto Light" w:hAnsi="Roboto Light"/>
          <w:szCs w:val="22"/>
        </w:rPr>
      </w:pPr>
      <w:permStart w:id="328298340" w:edGrp="everyone"/>
      <w:r w:rsidRPr="00CC7D2C">
        <w:rPr>
          <w:rFonts w:ascii="Roboto Light" w:hAnsi="Roboto Light"/>
          <w:szCs w:val="22"/>
        </w:rPr>
        <w:t xml:space="preserve">No. Adding complexity to the current scope should be only made where strictly necessary. </w:t>
      </w:r>
    </w:p>
    <w:p w14:paraId="537523B7" w14:textId="77777777" w:rsidR="00DD26CC" w:rsidRPr="002E3D49"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The cost of stock borrowing would normally already be reflected in the cost of funding the trade fails.</w:t>
      </w:r>
    </w:p>
    <w:p w14:paraId="7EF36DC1" w14:textId="77777777" w:rsidR="003148F1" w:rsidRDefault="003148F1">
      <w:r>
        <w:t>TYPE YOUR TEXT HERE</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lastRenderedPageBreak/>
        <w:t>&lt;ESMA_QUESTION_CSDR_43&gt;</w:t>
      </w:r>
    </w:p>
    <w:p w14:paraId="1A8ABE91" w14:textId="77777777" w:rsidR="00DD26CC" w:rsidRPr="00CC7D2C" w:rsidRDefault="00DD26CC" w:rsidP="00DD26CC">
      <w:pPr>
        <w:spacing w:before="100" w:beforeAutospacing="1" w:after="100" w:afterAutospacing="1" w:line="240" w:lineRule="auto"/>
        <w:rPr>
          <w:rFonts w:ascii="Roboto Light" w:hAnsi="Roboto Light"/>
          <w:szCs w:val="22"/>
        </w:rPr>
      </w:pPr>
      <w:permStart w:id="1912501969" w:edGrp="everyone"/>
      <w:r w:rsidRPr="00CC7D2C">
        <w:rPr>
          <w:rFonts w:ascii="Roboto Light" w:hAnsi="Roboto Light"/>
          <w:szCs w:val="22"/>
        </w:rPr>
        <w:t>No.</w:t>
      </w:r>
    </w:p>
    <w:p w14:paraId="7B7F598C" w14:textId="77777777" w:rsidR="004A2E54" w:rsidRDefault="004A2E54" w:rsidP="004A2E54">
      <w:r>
        <w:t>TYPE YOUR TEXT HERE</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3C78F2A5" w14:textId="77777777" w:rsidR="00DD26CC" w:rsidRPr="00CC7D2C" w:rsidRDefault="00DD26CC" w:rsidP="00DD26CC">
      <w:pPr>
        <w:spacing w:before="100" w:beforeAutospacing="1" w:after="100" w:afterAutospacing="1" w:line="240" w:lineRule="auto"/>
        <w:rPr>
          <w:rFonts w:ascii="Roboto Light" w:hAnsi="Roboto Light"/>
          <w:szCs w:val="22"/>
        </w:rPr>
      </w:pPr>
      <w:permStart w:id="1125473364" w:edGrp="everyone"/>
      <w:r w:rsidRPr="00CC7D2C">
        <w:rPr>
          <w:rFonts w:ascii="Roboto Light" w:hAnsi="Roboto Light"/>
          <w:szCs w:val="22"/>
        </w:rPr>
        <w:t xml:space="preserve">We are not aware of any systemic difference between the prevalence of settlement fails in Europe as opposed to other regions. </w:t>
      </w:r>
    </w:p>
    <w:p w14:paraId="07018919"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For instance, the US has the benefits of a single currency and simpler CSD structure, but also has more diversity in both product and participants to offset. Asia has more fragmentation, but is more institutional. Other than government stock, the UK largely settles into the EU CSD infrastructure and is therefore indistinguishable.</w:t>
      </w:r>
    </w:p>
    <w:p w14:paraId="65FC942E" w14:textId="77777777" w:rsidR="00FA151B" w:rsidRDefault="00FA151B" w:rsidP="00FA151B">
      <w:r>
        <w:t>TYPE YOUR TEXT HERE</w:t>
      </w:r>
    </w:p>
    <w:permEnd w:id="1125473364"/>
    <w:p w14:paraId="25CD8AB8" w14:textId="77777777" w:rsidR="00FA151B" w:rsidRDefault="00FA151B" w:rsidP="00FA151B">
      <w:r>
        <w:lastRenderedPageBreak/>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2D28B8A5" w14:textId="77777777" w:rsidR="00DD26CC" w:rsidRPr="00CC7D2C" w:rsidRDefault="00DD26CC" w:rsidP="00DD26CC">
      <w:pPr>
        <w:spacing w:before="100" w:beforeAutospacing="1" w:after="100" w:afterAutospacing="1" w:line="240" w:lineRule="auto"/>
        <w:rPr>
          <w:rFonts w:ascii="Roboto Light" w:hAnsi="Roboto Light"/>
          <w:szCs w:val="22"/>
        </w:rPr>
      </w:pPr>
      <w:permStart w:id="1165707336" w:edGrp="everyone"/>
      <w:r w:rsidRPr="00CC7D2C">
        <w:rPr>
          <w:rFonts w:ascii="Roboto Light" w:hAnsi="Roboto Light"/>
          <w:szCs w:val="22"/>
        </w:rPr>
        <w:t>As trading venues operating Matched Principal models and arranging intermediaries, we rely entirely on the pass-through mechanism embedded in current market conduct standards. For dealer-to-client models we defer to custodians and to market counterparties to answer question 45.</w:t>
      </w:r>
    </w:p>
    <w:p w14:paraId="4F3E5208" w14:textId="77777777" w:rsidR="00FA151B" w:rsidRDefault="00FA151B" w:rsidP="00FA151B">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18076F82" w14:textId="77777777" w:rsidR="00DD26CC" w:rsidRPr="00CC7D2C" w:rsidRDefault="00DD26CC" w:rsidP="00DD26CC">
      <w:pPr>
        <w:spacing w:before="100" w:beforeAutospacing="1" w:after="100" w:afterAutospacing="1" w:line="240" w:lineRule="auto"/>
        <w:rPr>
          <w:rFonts w:ascii="Roboto Light" w:hAnsi="Roboto Light"/>
          <w:szCs w:val="22"/>
        </w:rPr>
      </w:pPr>
      <w:permStart w:id="695947103" w:edGrp="everyone"/>
      <w:r w:rsidRPr="00CC7D2C">
        <w:rPr>
          <w:rFonts w:ascii="Roboto Light" w:hAnsi="Roboto Light"/>
          <w:szCs w:val="22"/>
        </w:rPr>
        <w:t>No. The introduction of a minimum penalty across all types of fails would add complexity and volume to the current scope of the rules without evident benefits.</w:t>
      </w:r>
    </w:p>
    <w:p w14:paraId="5862BB36" w14:textId="77777777" w:rsidR="00FA151B" w:rsidRDefault="00FA151B" w:rsidP="00FA151B">
      <w:r>
        <w:t>TYPE YOUR TEXT HERE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57D88C06" w14:textId="77777777" w:rsidR="00DD26CC" w:rsidRPr="002E3D49" w:rsidRDefault="00DD26CC" w:rsidP="00DD26CC">
      <w:pPr>
        <w:spacing w:before="100" w:beforeAutospacing="1" w:after="100" w:afterAutospacing="1" w:line="240" w:lineRule="auto"/>
        <w:rPr>
          <w:rFonts w:ascii="Roboto Light" w:hAnsi="Roboto Light"/>
          <w:szCs w:val="22"/>
        </w:rPr>
      </w:pPr>
      <w:permStart w:id="1544167674" w:edGrp="everyone"/>
      <w:r w:rsidRPr="00CC7D2C">
        <w:rPr>
          <w:rFonts w:ascii="Roboto Light" w:hAnsi="Roboto Light"/>
          <w:szCs w:val="22"/>
        </w:rPr>
        <w:lastRenderedPageBreak/>
        <w:t>Assuming appropriate pass-through mechanisms for trading venues operating Matched Principal models and arranging intermediaries; w</w:t>
      </w:r>
      <w:r w:rsidRPr="002E3D49">
        <w:rPr>
          <w:rFonts w:ascii="Roboto Light" w:hAnsi="Roboto Light"/>
          <w:szCs w:val="22"/>
        </w:rPr>
        <w:t xml:space="preserve">e would defer to </w:t>
      </w:r>
      <w:r w:rsidRPr="00CC7D2C">
        <w:rPr>
          <w:rFonts w:ascii="Roboto Light" w:hAnsi="Roboto Light"/>
          <w:szCs w:val="22"/>
        </w:rPr>
        <w:t xml:space="preserve">ECSDA, to individual CSDs and to custodians </w:t>
      </w:r>
      <w:r w:rsidRPr="002E3D49">
        <w:rPr>
          <w:rFonts w:ascii="Roboto Light" w:hAnsi="Roboto Light"/>
          <w:szCs w:val="22"/>
        </w:rPr>
        <w:t>on this matter</w:t>
      </w:r>
      <w:r w:rsidRPr="00CC7D2C">
        <w:rPr>
          <w:rFonts w:ascii="Roboto Light" w:hAnsi="Roboto Light"/>
          <w:szCs w:val="22"/>
        </w:rPr>
        <w:t>, but would note the likelihood of a market transition to T+1 in 2026 should be relevant to the timing</w:t>
      </w:r>
      <w:r w:rsidRPr="002E3D49">
        <w:rPr>
          <w:rFonts w:ascii="Roboto Light" w:hAnsi="Roboto Light"/>
          <w:szCs w:val="22"/>
        </w:rPr>
        <w:t>.</w:t>
      </w:r>
      <w:r w:rsidRPr="00CC7D2C">
        <w:rPr>
          <w:rFonts w:ascii="Roboto Light" w:hAnsi="Roboto Light"/>
          <w:szCs w:val="22"/>
        </w:rPr>
        <w:t xml:space="preserve"> </w:t>
      </w:r>
    </w:p>
    <w:p w14:paraId="6AB1AEE9" w14:textId="77777777" w:rsidR="00FA151B" w:rsidRDefault="00FA151B" w:rsidP="00FA151B">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6C81DE61" w14:textId="77777777" w:rsidR="00DD26CC" w:rsidRPr="00CC7D2C" w:rsidRDefault="00DD26CC" w:rsidP="00DD26CC">
      <w:pPr>
        <w:spacing w:before="100" w:beforeAutospacing="1" w:after="100" w:afterAutospacing="1" w:line="240" w:lineRule="auto"/>
        <w:rPr>
          <w:rFonts w:ascii="Roboto Light" w:hAnsi="Roboto Light"/>
          <w:szCs w:val="22"/>
        </w:rPr>
      </w:pPr>
      <w:permStart w:id="633684896" w:edGrp="everyone"/>
      <w:r w:rsidRPr="00CC7D2C">
        <w:rPr>
          <w:rFonts w:ascii="Roboto Light" w:hAnsi="Roboto Light"/>
          <w:szCs w:val="22"/>
        </w:rPr>
        <w:t>We would defer to ECSDA, AGC, and to individual CSDs on this matter.</w:t>
      </w:r>
    </w:p>
    <w:p w14:paraId="2BCFF3BC" w14:textId="77777777" w:rsidR="00FA151B" w:rsidRDefault="00FA151B" w:rsidP="00FA151B">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2411B3C6" w14:textId="77777777" w:rsidR="00DD26CC" w:rsidRPr="00CC7D2C" w:rsidRDefault="00DD26CC" w:rsidP="00DD26CC">
      <w:pPr>
        <w:spacing w:before="100" w:beforeAutospacing="1" w:after="100" w:afterAutospacing="1" w:line="240" w:lineRule="auto"/>
        <w:rPr>
          <w:rFonts w:ascii="Roboto Light" w:hAnsi="Roboto Light"/>
          <w:szCs w:val="22"/>
        </w:rPr>
      </w:pPr>
      <w:permStart w:id="32193916" w:edGrp="everyone"/>
      <w:r w:rsidRPr="00CC7D2C">
        <w:rPr>
          <w:rFonts w:ascii="Roboto Light" w:hAnsi="Roboto Light"/>
          <w:szCs w:val="22"/>
        </w:rPr>
        <w:t xml:space="preserve">We would not support the application of special penalties being applied to dealing counterparties with high settlement fail rates as this would create a differentiation factor in the market and would add complexity in terms of how the CSDs would calculate the penalty to be applied. </w:t>
      </w:r>
    </w:p>
    <w:p w14:paraId="562A7F48" w14:textId="77777777" w:rsidR="00DD26CC" w:rsidRPr="00CC7D2C" w:rsidRDefault="00DD26CC" w:rsidP="00DD26CC">
      <w:pPr>
        <w:spacing w:before="100" w:beforeAutospacing="1" w:after="100" w:afterAutospacing="1" w:line="240" w:lineRule="auto"/>
        <w:rPr>
          <w:rFonts w:ascii="Roboto Light" w:hAnsi="Roboto Light"/>
          <w:szCs w:val="22"/>
        </w:rPr>
      </w:pPr>
      <w:r w:rsidRPr="00CC7D2C">
        <w:rPr>
          <w:rFonts w:ascii="Roboto Light" w:hAnsi="Roboto Light"/>
          <w:szCs w:val="22"/>
        </w:rPr>
        <w:t>Clearly without adequate pass-through exemptions trading venues operating Matched Principal models could be erroneously caught in such a category. Moreover, it may effectively serve to penalise those contributing the most liquidity to European Capital Markets.</w:t>
      </w:r>
    </w:p>
    <w:p w14:paraId="7A31024D" w14:textId="77777777" w:rsidR="00FA151B" w:rsidRDefault="00FA151B" w:rsidP="00FA151B">
      <w:r>
        <w:lastRenderedPageBreak/>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2B906492" w14:textId="77777777" w:rsidR="00DD26CC" w:rsidRPr="00CC7D2C" w:rsidRDefault="00DD26CC" w:rsidP="00DD26CC">
      <w:pPr>
        <w:spacing w:before="100" w:beforeAutospacing="1" w:after="100" w:afterAutospacing="1" w:line="240" w:lineRule="auto"/>
        <w:rPr>
          <w:rFonts w:ascii="Roboto Light" w:hAnsi="Roboto Light"/>
          <w:szCs w:val="22"/>
        </w:rPr>
      </w:pPr>
      <w:permStart w:id="95900870" w:edGrp="everyone"/>
      <w:r w:rsidRPr="00CC7D2C">
        <w:rPr>
          <w:rFonts w:ascii="Roboto Light" w:hAnsi="Roboto Light"/>
          <w:szCs w:val="22"/>
        </w:rPr>
        <w:t>We would defer to ECSDA, AGC, and to individual CSDs on this matter.</w:t>
      </w:r>
    </w:p>
    <w:p w14:paraId="7180CC53" w14:textId="77777777" w:rsidR="00FA151B" w:rsidRDefault="00FA151B" w:rsidP="00FA151B">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68330C67" w14:textId="77777777" w:rsidR="00DD26CC" w:rsidRPr="00CC7D2C" w:rsidRDefault="00DD26CC" w:rsidP="00DD26CC">
      <w:pPr>
        <w:spacing w:before="100" w:beforeAutospacing="1" w:after="100" w:afterAutospacing="1" w:line="240" w:lineRule="auto"/>
        <w:rPr>
          <w:rFonts w:ascii="Roboto Light" w:hAnsi="Roboto Light"/>
          <w:szCs w:val="22"/>
        </w:rPr>
      </w:pPr>
      <w:permStart w:id="800291382" w:edGrp="everyone"/>
      <w:r w:rsidRPr="00CC7D2C">
        <w:rPr>
          <w:rFonts w:ascii="Roboto Light" w:hAnsi="Roboto Light"/>
          <w:szCs w:val="22"/>
        </w:rPr>
        <w:t>We would defer to ECSDA, AGC, and to individual CSDs on this matter.</w:t>
      </w:r>
    </w:p>
    <w:p w14:paraId="5558F34B" w14:textId="77777777" w:rsidR="00FA151B" w:rsidRDefault="00FA151B" w:rsidP="00FA151B">
      <w:r>
        <w:t>TYPE YOUR TEXT HERE</w:t>
      </w:r>
    </w:p>
    <w:permEnd w:id="800291382"/>
    <w:p w14:paraId="507A6667" w14:textId="77777777" w:rsidR="00FA151B" w:rsidRDefault="00FA151B" w:rsidP="00FA151B">
      <w:r>
        <w:t>&lt;ESMA_QUESTION_CSDR_51&gt;</w:t>
      </w:r>
    </w:p>
    <w:sectPr w:rsidR="00FA151B"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6BD" w14:textId="77777777" w:rsidR="00C670ED" w:rsidRDefault="00C670ED" w:rsidP="007E7997">
      <w:pPr>
        <w:spacing w:line="240" w:lineRule="auto"/>
      </w:pPr>
      <w:r>
        <w:separator/>
      </w:r>
    </w:p>
  </w:endnote>
  <w:endnote w:type="continuationSeparator" w:id="0">
    <w:p w14:paraId="6CDE69A2" w14:textId="77777777" w:rsidR="00C670ED" w:rsidRDefault="00C670ED" w:rsidP="007E7997">
      <w:pPr>
        <w:spacing w:line="240" w:lineRule="auto"/>
      </w:pPr>
      <w:r>
        <w:continuationSeparator/>
      </w:r>
    </w:p>
  </w:endnote>
  <w:endnote w:type="continuationNotice" w:id="1">
    <w:p w14:paraId="04B3AD90" w14:textId="77777777" w:rsidR="00C670ED" w:rsidRDefault="00C670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F8C4" w14:textId="77777777" w:rsidR="00C670ED" w:rsidRDefault="00C670ED" w:rsidP="007E7997">
      <w:pPr>
        <w:spacing w:line="240" w:lineRule="auto"/>
      </w:pPr>
      <w:r>
        <w:separator/>
      </w:r>
    </w:p>
  </w:footnote>
  <w:footnote w:type="continuationSeparator" w:id="0">
    <w:p w14:paraId="783423C7" w14:textId="77777777" w:rsidR="00C670ED" w:rsidRDefault="00C670ED" w:rsidP="007E7997">
      <w:pPr>
        <w:spacing w:line="240" w:lineRule="auto"/>
      </w:pPr>
      <w:r>
        <w:continuationSeparator/>
      </w:r>
    </w:p>
  </w:footnote>
  <w:footnote w:type="continuationNotice" w:id="1">
    <w:p w14:paraId="4D3C85F0" w14:textId="77777777" w:rsidR="00C670ED" w:rsidRDefault="00C670ED">
      <w:pPr>
        <w:spacing w:after="0" w:line="240" w:lineRule="auto"/>
      </w:pPr>
    </w:p>
  </w:footnote>
  <w:footnote w:id="2">
    <w:p w14:paraId="1A34C4DC" w14:textId="77777777" w:rsidR="00DD26CC" w:rsidRDefault="00DD26CC" w:rsidP="00DD26CC">
      <w:pPr>
        <w:pStyle w:val="FootnoteText"/>
      </w:pPr>
      <w:r>
        <w:rPr>
          <w:rStyle w:val="FootnoteReference"/>
        </w:rPr>
        <w:footnoteRef/>
      </w:r>
      <w:r>
        <w:t xml:space="preserve"> We note that the term “broker” as used by most of the buy-side and sell-side refers to a dealer who trades inventory on their balance sheet. Rather our firms act under limited permissions as Matched Principal venues or intermediaries and do not hold positions. They </w:t>
      </w:r>
      <w:proofErr w:type="spellStart"/>
      <w:r>
        <w:t>can not</w:t>
      </w:r>
      <w:proofErr w:type="spellEnd"/>
      <w:r>
        <w:t xml:space="preserve"> undertake buy-ins. See; </w:t>
      </w:r>
      <w:hyperlink r:id="rId1" w:history="1">
        <w:r w:rsidRPr="000B20B4">
          <w:rPr>
            <w:rStyle w:val="Hyperlink"/>
          </w:rPr>
          <w:t>Benefits of Matched Principal over Name Give Up for the Fixed Income Markets.pdf</w:t>
        </w:r>
      </w:hyperlink>
    </w:p>
    <w:p w14:paraId="7570DA00" w14:textId="77777777" w:rsidR="00DD26CC" w:rsidRDefault="00DD26CC" w:rsidP="00DD26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3E7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6CC"/>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afme.eu/Portals/0/DispatchFeaturedImages/AFME_SettlementEfficiency2023_07%20final.pdf" TargetMode="External"/><Relationship Id="rId26" Type="http://schemas.openxmlformats.org/officeDocument/2006/relationships/hyperlink" Target="https://www.icmagroup.org/market-practice-and-regulatory-policy/secondary-markets/icmas-rules-and-recommendations-for-the-secondary-market/" TargetMode="External"/><Relationship Id="rId3" Type="http://schemas.openxmlformats.org/officeDocument/2006/relationships/customXml" Target="../customXml/item3.xml"/><Relationship Id="rId21" Type="http://schemas.openxmlformats.org/officeDocument/2006/relationships/hyperlink" Target="https://www.ecb.europa.eu/stats/payment_statistics/transactions_processed_by_t2s/html/23_tableT2S.en.htm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hyperlink" Target="https://www.afme.eu/Portals/0/DispatchFeaturedImages/AFME_SettlementEfficiency2023_07%20final.pdf"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afme.eu/Portals/0/DispatchFeaturedImages/AFME_SettlementEfficiency2023_07%20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mbaleba.sharepoint.com/:b:/s/Evia/EbgY8oRQKMBSuYsrnWCO3qcBq27Buzsh1Q9pCGTQZDb2Mg?e=SuWVrx" TargetMode="Externa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wmbaleba-my.sharepoint.com/:b:/g/personal/amcdonald_evia_org_uk/EdKexVirCqZGqwetqPjGO5MBS8j_F8nq7FAbgJoiazzHAg?e=SSo8gV"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sma.europa.eu/sites/default/files/2024-01/ESMA50-524821-3107_TRV_1-24_risk_monitor.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swift.com/news-events/news/putting-brake-securities-settlement-fails"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mbaleba.sharepoint.com/:b:/s/Evia/EbgY8oRQKMBSuYsrnWCO3qcBq27Buzsh1Q9pCGTQZDb2Mg?e=SuWVr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8091</Words>
  <Characters>46121</Characters>
  <Application>Microsoft Office Word</Application>
  <DocSecurity>8</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Alexander McDonald</cp:lastModifiedBy>
  <cp:revision>3</cp:revision>
  <cp:lastPrinted>2023-09-09T00:53:00Z</cp:lastPrinted>
  <dcterms:created xsi:type="dcterms:W3CDTF">2024-03-01T22:24:00Z</dcterms:created>
  <dcterms:modified xsi:type="dcterms:W3CDTF">2024-03-01T22:41:00Z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