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31F2108" w14:textId="15BBB95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BC1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7B087033" w:rsidR="00635BCA" w:rsidRPr="00557BD2" w:rsidRDefault="00E045F5" w:rsidP="00D21C35">
                <w:r>
                  <w:t>EURONEXT GROUP</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66EEA507" w:rsidR="00635BCA" w:rsidRPr="00557BD2" w:rsidRDefault="003D4F45" w:rsidP="00D21C35">
                <w:r>
                  <w:t>Others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62F52CD7" w:rsidR="00635BCA" w:rsidRPr="00557BD2" w:rsidRDefault="003D4F45"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2643651C" w:rsidR="00635BCA" w:rsidRPr="00557BD2" w:rsidRDefault="003D4F45" w:rsidP="00D21C35">
                <w:r>
                  <w:t>Europe</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Heading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1E7979A9" w:rsidR="005171FF" w:rsidRDefault="00A713EC" w:rsidP="005171FF">
      <w:permStart w:id="750397953" w:edGrp="everyone"/>
      <w:r w:rsidRPr="00A713EC">
        <w:t>Option 3 seems to be favoured from ES-CPH perspective, considering it is more in line with current domestic solution that derives the cash discount penalty rate in the absence of official interest rate for overnight credit. This option 3 does not require changes to the T2S penalty mechanism, as opposed to options 1 and 4. Please refer to the ECB – MIB response for further details.</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77777777" w:rsidR="005171FF" w:rsidRDefault="005171FF" w:rsidP="005171FF">
      <w:permStart w:id="1747127182" w:edGrp="everyone"/>
      <w:r>
        <w:t>TYPE YOUR TEXT HERE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lastRenderedPageBreak/>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t>&lt;ESMA_QUESTION_CSDR_3&gt;</w:t>
      </w:r>
    </w:p>
    <w:p w14:paraId="787F7D79" w14:textId="77777777" w:rsidR="005171FF" w:rsidRDefault="005171FF" w:rsidP="005171FF">
      <w:permStart w:id="510220754" w:edGrp="everyone"/>
      <w:r>
        <w:t>TYPE YOUR TEXT HERE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lastRenderedPageBreak/>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lastRenderedPageBreak/>
              <w:t xml:space="preserve"> </w:t>
            </w:r>
          </w:p>
          <w:p w14:paraId="589BE781" w14:textId="77777777" w:rsidR="00BD3B92" w:rsidRDefault="00BD3B92" w:rsidP="00BD3B92">
            <w:permStart w:id="303110519" w:edGrp="everyone"/>
            <w:r>
              <w:lastRenderedPageBreak/>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lastRenderedPageBreak/>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24C5F913" w:rsidR="00EA0D0D" w:rsidRDefault="00396FBC">
      <w:permStart w:id="1746417266" w:edGrp="everyone"/>
      <w:r w:rsidRPr="00396FBC">
        <w:t>Please refer to the ECB – MIB response for further details</w:t>
      </w:r>
      <w:r>
        <w:t xml:space="preserve">  in this regard.</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0412353D" w14:textId="10F393B4" w:rsidR="00EA0D0D" w:rsidRPr="00A713EC" w:rsidRDefault="00396FBC">
      <w:permStart w:id="1425227802" w:edGrp="everyone"/>
      <w:r w:rsidRPr="00396FBC">
        <w:t xml:space="preserve"> </w:t>
      </w:r>
      <w:r>
        <w:t>TYPE YOUR TEXT HERE</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6E5C0952" w:rsidR="00EA0D0D" w:rsidRDefault="00A713EC">
      <w:permStart w:id="165553507" w:edGrp="everyone"/>
      <w:r w:rsidRPr="00A713EC">
        <w:lastRenderedPageBreak/>
        <w:t>Yes, we support the proposal beyond which more recent reference data may be used for the calculation of the related cash penalties. In this regard we refer to the analysis conducted within the Eurosystem and highlighted in the context of the change request CR-802.</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3E5E4065" w14:textId="6D3B9EDC" w:rsidR="00396FBC" w:rsidRDefault="00A713EC">
      <w:permStart w:id="804142208" w:edGrp="everyone"/>
      <w:r w:rsidRPr="00A713EC">
        <w:t>We would support option b) 40 days, please refer to the ECB – MIB response for further details</w:t>
      </w:r>
      <w:r w:rsidR="00396FBC">
        <w:t xml:space="preserve"> in this regard</w:t>
      </w:r>
      <w:r w:rsidRPr="00A713EC">
        <w:t>.</w:t>
      </w:r>
    </w:p>
    <w:permEnd w:id="804142208"/>
    <w:p w14:paraId="7564E617" w14:textId="41F3BB1E"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6DC7F9BD" w14:textId="1476FC54" w:rsidR="00A713EC" w:rsidRPr="00FD0405" w:rsidRDefault="00A713EC" w:rsidP="00A713EC">
      <w:pPr>
        <w:rPr>
          <w:rFonts w:cstheme="minorHAnsi"/>
          <w:szCs w:val="22"/>
        </w:rPr>
      </w:pPr>
      <w:permStart w:id="1025510098" w:edGrp="everyone"/>
      <w:r w:rsidRPr="00FD0405">
        <w:rPr>
          <w:rFonts w:cstheme="minorHAnsi"/>
          <w:szCs w:val="22"/>
        </w:rPr>
        <w:t xml:space="preserve">In should be noted that in the current market practice, there is already only one CSD that is actually providing the relevant reference data. Allocation of this task by the way does not exempt other CSDs nor participant to implement appropriate checks and controls. There is no </w:t>
      </w:r>
      <w:r w:rsidRPr="00FD0405">
        <w:rPr>
          <w:rFonts w:cstheme="minorHAnsi"/>
          <w:szCs w:val="22"/>
        </w:rPr>
        <w:lastRenderedPageBreak/>
        <w:t xml:space="preserve">need to specifically allocate responsibility to confirm the reference data. Imposing this task of validation on Issuer CSDs to provide reference data across systems to other CSDs </w:t>
      </w:r>
      <w:r w:rsidR="00FD0405" w:rsidRPr="00FD0405">
        <w:rPr>
          <w:rFonts w:cstheme="minorHAnsi"/>
          <w:szCs w:val="22"/>
        </w:rPr>
        <w:t>is not needed</w:t>
      </w:r>
      <w:r w:rsidRPr="00FD0405">
        <w:rPr>
          <w:rFonts w:cstheme="minorHAnsi"/>
          <w:szCs w:val="22"/>
        </w:rPr>
        <w:t xml:space="preserve">. </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222EAF20" w14:textId="4609AFE1" w:rsidR="00A713EC" w:rsidRPr="00FD0405" w:rsidRDefault="00A713EC">
      <w:pPr>
        <w:rPr>
          <w:rFonts w:cstheme="minorHAnsi"/>
          <w:szCs w:val="22"/>
        </w:rPr>
      </w:pPr>
      <w:permStart w:id="68043086" w:edGrp="everyone"/>
      <w:r w:rsidRPr="00FD0405">
        <w:rPr>
          <w:rFonts w:cstheme="minorHAnsi"/>
          <w:szCs w:val="22"/>
        </w:rPr>
        <w:t>To ensure predictability in the computation of cash penalties, it is recommended to always use the oldest available historical reference data. Please refer to the ECB – MIB response for further details.</w:t>
      </w:r>
    </w:p>
    <w:permEnd w:id="68043086"/>
    <w:p w14:paraId="6677A41C" w14:textId="07389EBF"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77777777" w:rsidR="00EA0D0D" w:rsidRDefault="00EA0D0D">
      <w:permStart w:id="1297758787" w:edGrp="everyone"/>
      <w:r>
        <w:t>TYPE YOUR TEXT HERE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77777777" w:rsidR="00EA0D0D" w:rsidRDefault="00EA0D0D">
      <w:permStart w:id="1762339064" w:edGrp="everyone"/>
      <w:r>
        <w:t>TYPE YOUR TEXT HERE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B88FA9C" w14:textId="77777777" w:rsidR="00FD0405" w:rsidRDefault="00FD0405" w:rsidP="00BD3B92">
      <w:pPr>
        <w:rPr>
          <w:rFonts w:ascii="Verdana" w:hAnsi="Verdana"/>
          <w:sz w:val="20"/>
        </w:rPr>
      </w:pPr>
      <w:permStart w:id="707362631" w:edGrp="everyone"/>
    </w:p>
    <w:p w14:paraId="4F1703B4" w14:textId="7CAD32F6" w:rsidR="00A713EC" w:rsidRPr="00FD0405" w:rsidRDefault="00A713EC" w:rsidP="00BD3B92">
      <w:pPr>
        <w:rPr>
          <w:rFonts w:ascii="Verdana" w:hAnsi="Verdana"/>
          <w:szCs w:val="22"/>
        </w:rPr>
      </w:pPr>
      <w:r w:rsidRPr="00FD0405">
        <w:rPr>
          <w:rFonts w:cstheme="minorHAnsi"/>
          <w:szCs w:val="22"/>
        </w:rPr>
        <w:t>We believe that a flexible approach allowing to use the most oldest available historical reference data should be the right approach taking in to account that the benefit-cost ratio of implementing the change request is deemed very low. Please refer to the ECB- MIB response for further details</w:t>
      </w:r>
      <w:r w:rsidRPr="00FD0405">
        <w:rPr>
          <w:rFonts w:ascii="Verdana" w:hAnsi="Verdana"/>
          <w:szCs w:val="22"/>
        </w:rPr>
        <w:t>.</w:t>
      </w:r>
    </w:p>
    <w:p w14:paraId="2F435588" w14:textId="7C11B9EF" w:rsidR="00BD3B92" w:rsidRDefault="00A713EC" w:rsidP="00BD3B92">
      <w:r>
        <w:rPr>
          <w:rFonts w:ascii="Verdana" w:hAnsi="Verdana"/>
          <w:sz w:val="20"/>
        </w:rPr>
        <w:t xml:space="preserve"> </w:t>
      </w:r>
      <w:permEnd w:id="707362631"/>
      <w:r w:rsidR="00BD3B92">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lastRenderedPageBreak/>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43DD1B74" w14:textId="56C7CACC" w:rsidR="00A713EC" w:rsidRPr="00FD0405" w:rsidRDefault="00A713EC" w:rsidP="00A713EC">
      <w:pPr>
        <w:rPr>
          <w:rFonts w:cstheme="minorHAnsi"/>
          <w:bCs/>
          <w:szCs w:val="22"/>
          <w:highlight w:val="green"/>
        </w:rPr>
      </w:pPr>
      <w:permStart w:id="1522626052" w:edGrp="everyone"/>
      <w:r w:rsidRPr="00FD0405">
        <w:rPr>
          <w:rFonts w:cstheme="minorHAnsi"/>
          <w:bCs/>
          <w:szCs w:val="22"/>
          <w:highlight w:val="green"/>
        </w:rPr>
        <w:t>According to the empirical data and some statistical elaboration we made comparing settlement data fr</w:t>
      </w:r>
      <w:r w:rsidR="00FD0405">
        <w:rPr>
          <w:rFonts w:cstheme="minorHAnsi"/>
          <w:bCs/>
          <w:szCs w:val="22"/>
          <w:highlight w:val="green"/>
        </w:rPr>
        <w:t>om</w:t>
      </w:r>
      <w:r w:rsidRPr="00FD0405">
        <w:rPr>
          <w:rFonts w:cstheme="minorHAnsi"/>
          <w:bCs/>
          <w:szCs w:val="22"/>
          <w:highlight w:val="green"/>
        </w:rPr>
        <w:t xml:space="preserve"> 2020, 2021 2022 and 2023, </w:t>
      </w:r>
      <w:r w:rsidR="00FD0405">
        <w:rPr>
          <w:rFonts w:cstheme="minorHAnsi"/>
          <w:bCs/>
          <w:szCs w:val="22"/>
          <w:highlight w:val="green"/>
        </w:rPr>
        <w:t xml:space="preserve">it seems that </w:t>
      </w:r>
      <w:r w:rsidRPr="00FD0405">
        <w:rPr>
          <w:rFonts w:cstheme="minorHAnsi"/>
          <w:bCs/>
          <w:szCs w:val="22"/>
          <w:highlight w:val="green"/>
        </w:rPr>
        <w:t>correlation between settlement efficiency evolution and the application of penalties mechanism across different asset classes</w:t>
      </w:r>
      <w:r w:rsidR="00FD0405">
        <w:rPr>
          <w:rFonts w:cstheme="minorHAnsi"/>
          <w:bCs/>
          <w:szCs w:val="22"/>
          <w:highlight w:val="green"/>
        </w:rPr>
        <w:t xml:space="preserve"> is not linear</w:t>
      </w:r>
      <w:r w:rsidRPr="00FD0405">
        <w:rPr>
          <w:rFonts w:cstheme="minorHAnsi"/>
          <w:bCs/>
          <w:szCs w:val="22"/>
          <w:highlight w:val="green"/>
        </w:rPr>
        <w:t xml:space="preserve">. Overall positive </w:t>
      </w:r>
      <w:r w:rsidR="00FD0405">
        <w:rPr>
          <w:rFonts w:cstheme="minorHAnsi"/>
          <w:bCs/>
          <w:szCs w:val="22"/>
          <w:highlight w:val="green"/>
        </w:rPr>
        <w:t>and</w:t>
      </w:r>
      <w:r w:rsidRPr="00FD0405">
        <w:rPr>
          <w:rFonts w:cstheme="minorHAnsi"/>
          <w:bCs/>
          <w:szCs w:val="22"/>
          <w:highlight w:val="green"/>
        </w:rPr>
        <w:t xml:space="preserve"> negative trends in settlement efficiency seem to be </w:t>
      </w:r>
      <w:r w:rsidR="00FD0405">
        <w:rPr>
          <w:rFonts w:cstheme="minorHAnsi"/>
          <w:bCs/>
          <w:szCs w:val="22"/>
          <w:highlight w:val="green"/>
        </w:rPr>
        <w:t xml:space="preserve">more influenced </w:t>
      </w:r>
      <w:r w:rsidRPr="00FD0405">
        <w:rPr>
          <w:rFonts w:cstheme="minorHAnsi"/>
          <w:bCs/>
          <w:szCs w:val="22"/>
          <w:highlight w:val="green"/>
        </w:rPr>
        <w:t>by market condition</w:t>
      </w:r>
      <w:r w:rsidR="00FD0405">
        <w:rPr>
          <w:rFonts w:cstheme="minorHAnsi"/>
          <w:bCs/>
          <w:szCs w:val="22"/>
          <w:highlight w:val="green"/>
        </w:rPr>
        <w:t>s</w:t>
      </w:r>
      <w:r w:rsidRPr="00FD0405">
        <w:rPr>
          <w:rFonts w:cstheme="minorHAnsi"/>
          <w:bCs/>
          <w:szCs w:val="22"/>
          <w:highlight w:val="green"/>
        </w:rPr>
        <w:t xml:space="preserve"> (e.g. volatility), contingent occurrences (e.g. in case of monetary policy operations) and structural inefficiencies (e.g. non-automated post-trade processes) rather </w:t>
      </w:r>
      <w:r w:rsidR="002A7014">
        <w:rPr>
          <w:rFonts w:cstheme="minorHAnsi"/>
          <w:bCs/>
          <w:szCs w:val="22"/>
          <w:highlight w:val="green"/>
        </w:rPr>
        <w:t xml:space="preserve">than by </w:t>
      </w:r>
      <w:r w:rsidRPr="00FD0405">
        <w:rPr>
          <w:rFonts w:cstheme="minorHAnsi"/>
          <w:bCs/>
          <w:szCs w:val="22"/>
          <w:highlight w:val="green"/>
        </w:rPr>
        <w:t xml:space="preserve">the application of penalties. These factors could be observed at both European and at local levels and their impact may vary across EU markets. </w:t>
      </w:r>
      <w:r w:rsidR="002A7014">
        <w:rPr>
          <w:rFonts w:cstheme="minorHAnsi"/>
          <w:bCs/>
          <w:szCs w:val="22"/>
          <w:highlight w:val="green"/>
        </w:rPr>
        <w:t xml:space="preserve">Hence the assumption that an increase of penalty rates would lead to a directly proportional improvement of </w:t>
      </w:r>
      <w:r w:rsidRPr="00FD0405">
        <w:rPr>
          <w:rFonts w:cstheme="minorHAnsi"/>
          <w:bCs/>
          <w:szCs w:val="22"/>
          <w:highlight w:val="green"/>
        </w:rPr>
        <w:t>settlement efficiency could</w:t>
      </w:r>
      <w:r w:rsidR="002A7014">
        <w:rPr>
          <w:rFonts w:cstheme="minorHAnsi"/>
          <w:bCs/>
          <w:szCs w:val="22"/>
          <w:highlight w:val="green"/>
        </w:rPr>
        <w:t xml:space="preserve"> be questionable. Indeed we have also some empirical evidence of </w:t>
      </w:r>
      <w:r w:rsidRPr="00FD0405">
        <w:rPr>
          <w:rFonts w:cstheme="minorHAnsi"/>
          <w:bCs/>
          <w:szCs w:val="22"/>
          <w:highlight w:val="green"/>
        </w:rPr>
        <w:t xml:space="preserve">peaks in value </w:t>
      </w:r>
      <w:r w:rsidR="002A7014">
        <w:rPr>
          <w:rFonts w:cstheme="minorHAnsi"/>
          <w:bCs/>
          <w:szCs w:val="22"/>
          <w:highlight w:val="green"/>
        </w:rPr>
        <w:t xml:space="preserve">of penalties </w:t>
      </w:r>
      <w:r w:rsidRPr="00FD0405">
        <w:rPr>
          <w:rFonts w:cstheme="minorHAnsi"/>
          <w:bCs/>
          <w:szCs w:val="22"/>
          <w:highlight w:val="green"/>
        </w:rPr>
        <w:t xml:space="preserve">corresponding to peaks in </w:t>
      </w:r>
      <w:r w:rsidR="002A7014">
        <w:rPr>
          <w:rFonts w:cstheme="minorHAnsi"/>
          <w:bCs/>
          <w:szCs w:val="22"/>
          <w:highlight w:val="green"/>
        </w:rPr>
        <w:t xml:space="preserve">settlement </w:t>
      </w:r>
      <w:r w:rsidRPr="00FD0405">
        <w:rPr>
          <w:rFonts w:cstheme="minorHAnsi"/>
          <w:bCs/>
          <w:szCs w:val="22"/>
          <w:highlight w:val="green"/>
        </w:rPr>
        <w:t>efficiency.</w:t>
      </w:r>
    </w:p>
    <w:permEnd w:id="1522626052"/>
    <w:p w14:paraId="0AFA2837" w14:textId="77777777" w:rsidR="00480F3D" w:rsidRDefault="00480F3D">
      <w:r>
        <w:lastRenderedPageBreak/>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4B6BA0E7" w14:textId="77777777" w:rsidR="00A713EC" w:rsidRPr="002A7014" w:rsidRDefault="00A713EC" w:rsidP="00A713EC">
      <w:pPr>
        <w:rPr>
          <w:rFonts w:cstheme="minorHAnsi"/>
          <w:szCs w:val="22"/>
        </w:rPr>
      </w:pPr>
      <w:permStart w:id="1340627845" w:edGrp="everyone"/>
      <w:r w:rsidRPr="002A7014">
        <w:rPr>
          <w:rFonts w:cstheme="minorHAnsi"/>
          <w:szCs w:val="22"/>
        </w:rPr>
        <w:t xml:space="preserve">According to our evidence the level of cash penalties is quite stable for each months and across different asset classes. On interpretation could be that fails are due to other structural reasons that cannot be solved individually by market participants.  </w:t>
      </w:r>
    </w:p>
    <w:p w14:paraId="7B08895E" w14:textId="2D19A45D" w:rsidR="00A713EC" w:rsidRPr="002A7014" w:rsidRDefault="00A713EC" w:rsidP="00A713EC">
      <w:pPr>
        <w:rPr>
          <w:rFonts w:cstheme="minorHAnsi"/>
          <w:bCs/>
          <w:szCs w:val="22"/>
        </w:rPr>
      </w:pPr>
      <w:r w:rsidRPr="002A7014">
        <w:rPr>
          <w:rFonts w:cstheme="minorHAnsi"/>
          <w:bCs/>
          <w:szCs w:val="22"/>
        </w:rPr>
        <w:t xml:space="preserve">For instance, on ETFs there is a specific structural issue due to the gap between the settlement cycle in the primary market (T+3) and the settlement cycle in the secondary market (T+2, now moving to T+1). This issue requires specific discussion with the ETF industry to be solved rather than an increase of penalties. In the meantime, </w:t>
      </w:r>
      <w:r w:rsidR="002A7014">
        <w:rPr>
          <w:rFonts w:cstheme="minorHAnsi"/>
          <w:bCs/>
          <w:szCs w:val="22"/>
        </w:rPr>
        <w:t xml:space="preserve">lowering the penalties rate or exempting </w:t>
      </w:r>
      <w:r w:rsidRPr="002A7014">
        <w:rPr>
          <w:rFonts w:cstheme="minorHAnsi"/>
          <w:bCs/>
          <w:szCs w:val="22"/>
        </w:rPr>
        <w:t xml:space="preserve">fails on ETFs from penalties </w:t>
      </w:r>
      <w:r w:rsidR="002A7014">
        <w:rPr>
          <w:rFonts w:cstheme="minorHAnsi"/>
          <w:bCs/>
          <w:szCs w:val="22"/>
        </w:rPr>
        <w:t>on ISD +1 should be considered</w:t>
      </w:r>
      <w:r w:rsidRPr="002A7014">
        <w:rPr>
          <w:rFonts w:cstheme="minorHAnsi"/>
          <w:bCs/>
          <w:szCs w:val="22"/>
        </w:rPr>
        <w:t>.</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4FE648FE" w14:textId="0C04C706" w:rsidR="00480F3D" w:rsidRDefault="00A713EC">
      <w:permStart w:id="1267808287" w:edGrp="everyone"/>
      <w:r w:rsidRPr="00A713EC">
        <w:t xml:space="preserve">According to our evidence, the percentage of fails due to lack of securities is largely higher than the other categories, with an average of </w:t>
      </w:r>
      <w:r w:rsidR="002A7014">
        <w:t xml:space="preserve">almost </w:t>
      </w:r>
      <w:r w:rsidRPr="00A713EC">
        <w:t xml:space="preserve">99% of fails. Beyond this category, there could be different causes deriving from market condition (e.g. volatility) but also issues affecting settlement efficiency at different levels of the transaction processing chain such as need to increase the automation down the chain and issues on inventory management. </w:t>
      </w:r>
      <w:permEnd w:id="1267808287"/>
      <w:r w:rsidR="00480F3D">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lastRenderedPageBreak/>
        <w:t>&lt;ESMA_QUESTION_CSDR_18&gt;</w:t>
      </w:r>
    </w:p>
    <w:p w14:paraId="6680CE39" w14:textId="4F194605" w:rsidR="00A713EC" w:rsidRPr="00F66536" w:rsidRDefault="00A713EC" w:rsidP="00A713EC">
      <w:pPr>
        <w:rPr>
          <w:rFonts w:ascii="Verdana" w:hAnsi="Verdana"/>
          <w:sz w:val="20"/>
        </w:rPr>
      </w:pPr>
      <w:permStart w:id="1836331667" w:edGrp="everyone"/>
      <w:r w:rsidRPr="006847F1">
        <w:t>Euronext Securities makes available to its participants data services aiming at adding transparency and predict</w:t>
      </w:r>
      <w:r w:rsidR="006847F1">
        <w:t>ability of</w:t>
      </w:r>
      <w:r w:rsidRPr="006847F1">
        <w:t xml:space="preserve"> the securities settlement process and assisting the optimiz</w:t>
      </w:r>
      <w:r w:rsidR="006847F1">
        <w:t xml:space="preserve">ation of </w:t>
      </w:r>
      <w:r w:rsidRPr="006847F1">
        <w:t>practice</w:t>
      </w:r>
      <w:r w:rsidR="006847F1">
        <w:t xml:space="preserve">s and procedure for </w:t>
      </w:r>
      <w:r w:rsidRPr="006847F1">
        <w:t>securities allocation</w:t>
      </w:r>
      <w:r w:rsidRPr="00F66536">
        <w:rPr>
          <w:rFonts w:ascii="Verdana" w:hAnsi="Verdana"/>
          <w:sz w:val="20"/>
        </w:rPr>
        <w:t>.</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2A1FD50A" w14:textId="7AA8A5C3" w:rsidR="006847F1" w:rsidRDefault="00A713EC">
      <w:permStart w:id="1744390137" w:edGrp="everyone"/>
      <w:r w:rsidRPr="00A713EC">
        <w:t xml:space="preserve">Overall settlement efficiency across Euronext Securities CSDs are in the mid-nineties, with the lowest settlement efficiency occurring for ETFs. Bonds are generally very resilient across the four CSDs. </w:t>
      </w:r>
      <w:r w:rsidR="006847F1">
        <w:t>Therefore w</w:t>
      </w:r>
      <w:r w:rsidRPr="00A713EC">
        <w:t>e do not agree that setting appropriate level of settlement efficiency at CSD / settlement system level could be meaningful, rather the focus should be to identify targets and range of confidence within which settlement efficiency is acceptable.</w:t>
      </w:r>
    </w:p>
    <w:permEnd w:id="1744390137"/>
    <w:p w14:paraId="3E6F7ABD" w14:textId="6D24716A"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2C75FD54" w14:textId="361DE57D" w:rsidR="006847F1" w:rsidRDefault="006847F1" w:rsidP="00A713EC">
      <w:permStart w:id="652349975" w:edGrp="everyone"/>
      <w:r>
        <w:t>In respect of penalty rates by asset type as foreseen in the Annex to Commission Delegated Regulation (EU) 2017/389 we would suggest the following targeted adjustment to make them more proportionate in respect of ETFs and less liquid bonds.</w:t>
      </w:r>
      <w:r w:rsidR="002251C9">
        <w:t xml:space="preserve"> Please refer also to our answer under Q28 and Q35.</w:t>
      </w:r>
    </w:p>
    <w:p w14:paraId="0EF7B569" w14:textId="5F65D228" w:rsidR="00A713EC" w:rsidRDefault="002251C9" w:rsidP="00A713EC">
      <w:r>
        <w:t>As regard ETF w</w:t>
      </w:r>
      <w:r w:rsidR="006847F1" w:rsidRPr="006847F1">
        <w:t xml:space="preserve">e would support a </w:t>
      </w:r>
      <w:r>
        <w:t xml:space="preserve">lower </w:t>
      </w:r>
      <w:r w:rsidR="006847F1" w:rsidRPr="006847F1">
        <w:t>penalty rate that takes into account the specificities of this instruments in terms of post-trade set up and interactions, between creation and redemption processes</w:t>
      </w:r>
      <w:r>
        <w:t>. T</w:t>
      </w:r>
      <w:r w:rsidR="006847F1" w:rsidRPr="006847F1">
        <w:t>his to avoid to excessively penalise trading on the market which is subject to standard deadlines compared to the OTC trading</w:t>
      </w:r>
      <w:r>
        <w:t>.</w:t>
      </w:r>
    </w:p>
    <w:p w14:paraId="24910D64" w14:textId="52F3B93D" w:rsidR="006847F1" w:rsidRPr="006847F1" w:rsidRDefault="002251C9" w:rsidP="00A713EC">
      <w:r>
        <w:lastRenderedPageBreak/>
        <w:t>As regards less liquid bonds</w:t>
      </w:r>
      <w:r w:rsidR="006847F1" w:rsidRPr="006847F1">
        <w:t>, a proposal could be to lower penalties currently applied to categories no. 5 and no. 6 as referred to in Annex of EU Commission Delegated Regulation (EU) 2017/389 (0,2 and 0,15 respectively) since most illiquid bonds for which no repo market is available (corps &amp; financials) already fall into these two categories. The new penalty rate should be lower than the one applied to category no. 4 (</w:t>
      </w:r>
      <w:r>
        <w:t>g</w:t>
      </w:r>
      <w:r w:rsidR="006847F1" w:rsidRPr="006847F1">
        <w:t>ovies and supranational) for which the current rate (0,1) could be maintained at the current level.</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77777777" w:rsidR="00480F3D" w:rsidRDefault="00480F3D">
      <w:permStart w:id="1111646572" w:edGrp="everyone"/>
      <w:r>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6BBA6460" w14:textId="70A1B9C5" w:rsidR="00A713EC" w:rsidRPr="002251C9" w:rsidRDefault="00A713EC" w:rsidP="00A713EC">
      <w:pPr>
        <w:rPr>
          <w:rFonts w:cstheme="minorHAnsi"/>
          <w:bCs/>
          <w:szCs w:val="22"/>
        </w:rPr>
      </w:pPr>
      <w:permStart w:id="47388266" w:edGrp="everyone"/>
      <w:r w:rsidRPr="002251C9">
        <w:rPr>
          <w:rFonts w:cstheme="minorHAnsi"/>
          <w:bCs/>
          <w:szCs w:val="22"/>
        </w:rPr>
        <w:t xml:space="preserve">The introduction of progressive penalty rates will require significant </w:t>
      </w:r>
      <w:r w:rsidR="002251C9">
        <w:rPr>
          <w:rFonts w:cstheme="minorHAnsi"/>
          <w:bCs/>
          <w:szCs w:val="22"/>
        </w:rPr>
        <w:t xml:space="preserve">operational and IT </w:t>
      </w:r>
      <w:r w:rsidRPr="002251C9">
        <w:rPr>
          <w:rFonts w:cstheme="minorHAnsi"/>
          <w:bCs/>
          <w:szCs w:val="22"/>
        </w:rPr>
        <w:t xml:space="preserve">changes to the </w:t>
      </w:r>
      <w:r w:rsidR="002251C9">
        <w:rPr>
          <w:rFonts w:cstheme="minorHAnsi"/>
          <w:bCs/>
          <w:szCs w:val="22"/>
        </w:rPr>
        <w:t xml:space="preserve">penalty </w:t>
      </w:r>
      <w:r w:rsidRPr="002251C9">
        <w:rPr>
          <w:rFonts w:cstheme="minorHAnsi"/>
          <w:bCs/>
          <w:szCs w:val="22"/>
        </w:rPr>
        <w:t xml:space="preserve">mechanism </w:t>
      </w:r>
      <w:r w:rsidR="002251C9">
        <w:rPr>
          <w:rFonts w:cstheme="minorHAnsi"/>
          <w:bCs/>
          <w:szCs w:val="22"/>
        </w:rPr>
        <w:t>currently in place</w:t>
      </w:r>
      <w:r w:rsidRPr="002251C9">
        <w:rPr>
          <w:rFonts w:cstheme="minorHAnsi"/>
          <w:bCs/>
          <w:szCs w:val="22"/>
        </w:rPr>
        <w:t xml:space="preserve">. The cost of these changes would be born mainly by CSDs and their participants without the possibility to recover them. Besides the impact on market liquidity and the benefit of such progressive mechanism on settlement efficiency are not easily predictable. </w:t>
      </w:r>
    </w:p>
    <w:p w14:paraId="68A9961B" w14:textId="37ADC295" w:rsidR="00A713EC" w:rsidRPr="002251C9" w:rsidRDefault="00A713EC" w:rsidP="00A713EC">
      <w:pPr>
        <w:rPr>
          <w:rFonts w:cstheme="minorHAnsi"/>
          <w:bCs/>
          <w:szCs w:val="22"/>
        </w:rPr>
      </w:pPr>
      <w:r w:rsidRPr="002251C9">
        <w:rPr>
          <w:rFonts w:cstheme="minorHAnsi"/>
          <w:bCs/>
          <w:szCs w:val="22"/>
          <w:highlight w:val="green"/>
        </w:rPr>
        <w:t xml:space="preserve">In addition implementing significant changes to penalties mechanism while in parallel preparing the migration to T+1, could be counterproductive since it would cause an increase of the workload and a contention of resources available. Also in terms of market impact it is very likely that the adoption of T+1 could bring about an increase of fail and consequently the request to smoothen the penalties regime at least for some asset class as we highlighted in </w:t>
      </w:r>
      <w:r w:rsidRPr="002251C9">
        <w:rPr>
          <w:rFonts w:cstheme="minorHAnsi"/>
          <w:bCs/>
          <w:szCs w:val="22"/>
          <w:highlight w:val="green"/>
        </w:rPr>
        <w:lastRenderedPageBreak/>
        <w:t>the response to ESMA call for evidence. Needless to say that such a change pose questions also in terms of impact on the competitiveness of EU market compared to other jurisdictions moving to T+1 without such stringent framework on settlement discipline.</w:t>
      </w:r>
    </w:p>
    <w:p w14:paraId="4CF084EA" w14:textId="2E834D4E" w:rsidR="00A713EC" w:rsidRPr="002251C9" w:rsidRDefault="002251C9" w:rsidP="00A713EC">
      <w:pPr>
        <w:rPr>
          <w:rFonts w:cstheme="minorHAnsi"/>
          <w:bCs/>
          <w:szCs w:val="22"/>
        </w:rPr>
      </w:pPr>
      <w:r>
        <w:rPr>
          <w:rFonts w:cstheme="minorHAnsi"/>
          <w:bCs/>
          <w:szCs w:val="22"/>
        </w:rPr>
        <w:t>To the contrary t</w:t>
      </w:r>
      <w:r w:rsidR="00A713EC" w:rsidRPr="002251C9">
        <w:rPr>
          <w:rFonts w:cstheme="minorHAnsi"/>
          <w:bCs/>
          <w:szCs w:val="22"/>
        </w:rPr>
        <w:t xml:space="preserve">he current penalty </w:t>
      </w:r>
      <w:r>
        <w:rPr>
          <w:rFonts w:cstheme="minorHAnsi"/>
          <w:bCs/>
          <w:szCs w:val="22"/>
        </w:rPr>
        <w:t xml:space="preserve">regime was designed to be </w:t>
      </w:r>
      <w:r w:rsidR="00A713EC" w:rsidRPr="002251C9">
        <w:rPr>
          <w:rFonts w:cstheme="minorHAnsi"/>
          <w:bCs/>
          <w:szCs w:val="22"/>
        </w:rPr>
        <w:t>simple and efficient from both business and operational perspective.</w:t>
      </w:r>
      <w:r>
        <w:rPr>
          <w:rFonts w:cstheme="minorHAnsi"/>
          <w:bCs/>
          <w:szCs w:val="22"/>
        </w:rPr>
        <w:t xml:space="preserve"> </w:t>
      </w:r>
      <w:bookmarkStart w:id="21" w:name="_Hlk160123002"/>
      <w:r w:rsidR="00A713EC" w:rsidRPr="002251C9">
        <w:rPr>
          <w:rFonts w:cstheme="minorHAnsi"/>
          <w:bCs/>
          <w:szCs w:val="22"/>
        </w:rPr>
        <w:t xml:space="preserve">Therefore we would </w:t>
      </w:r>
      <w:r w:rsidR="004235BB">
        <w:rPr>
          <w:rFonts w:cstheme="minorHAnsi"/>
          <w:bCs/>
          <w:szCs w:val="22"/>
        </w:rPr>
        <w:t xml:space="preserve">recommend </w:t>
      </w:r>
      <w:r w:rsidR="00A713EC" w:rsidRPr="002251C9">
        <w:rPr>
          <w:rFonts w:cstheme="minorHAnsi"/>
          <w:bCs/>
          <w:szCs w:val="22"/>
        </w:rPr>
        <w:t xml:space="preserve">that its set-up is maintained </w:t>
      </w:r>
      <w:r w:rsidR="004235BB">
        <w:rPr>
          <w:rFonts w:cstheme="minorHAnsi"/>
          <w:bCs/>
          <w:szCs w:val="22"/>
        </w:rPr>
        <w:t xml:space="preserve">and not changed </w:t>
      </w:r>
      <w:r w:rsidR="00A713EC" w:rsidRPr="002251C9">
        <w:rPr>
          <w:rFonts w:cstheme="minorHAnsi"/>
          <w:bCs/>
          <w:szCs w:val="22"/>
        </w:rPr>
        <w:t xml:space="preserve">in the substance </w:t>
      </w:r>
      <w:r w:rsidR="004235BB">
        <w:rPr>
          <w:rFonts w:cstheme="minorHAnsi"/>
          <w:bCs/>
          <w:szCs w:val="22"/>
        </w:rPr>
        <w:t xml:space="preserve">also in order </w:t>
      </w:r>
      <w:r w:rsidR="00A713EC" w:rsidRPr="002251C9">
        <w:rPr>
          <w:rFonts w:cstheme="minorHAnsi"/>
          <w:bCs/>
          <w:szCs w:val="22"/>
        </w:rPr>
        <w:t xml:space="preserve">to collect further data that would allow for a proper analysis of its application. </w:t>
      </w:r>
    </w:p>
    <w:bookmarkEnd w:id="21"/>
    <w:p w14:paraId="4227EF8E" w14:textId="0CA6E67A" w:rsidR="00A713EC" w:rsidRPr="002251C9" w:rsidRDefault="004235BB" w:rsidP="00A713EC">
      <w:pPr>
        <w:rPr>
          <w:rFonts w:cstheme="minorHAnsi"/>
          <w:bCs/>
          <w:szCs w:val="22"/>
        </w:rPr>
      </w:pPr>
      <w:r>
        <w:rPr>
          <w:rFonts w:cstheme="minorHAnsi"/>
          <w:bCs/>
          <w:szCs w:val="22"/>
        </w:rPr>
        <w:t>T</w:t>
      </w:r>
      <w:r>
        <w:rPr>
          <w:rFonts w:cstheme="minorHAnsi"/>
          <w:bCs/>
          <w:szCs w:val="22"/>
        </w:rPr>
        <w:t xml:space="preserve">o </w:t>
      </w:r>
      <w:r>
        <w:rPr>
          <w:rFonts w:cstheme="minorHAnsi"/>
          <w:bCs/>
          <w:szCs w:val="22"/>
        </w:rPr>
        <w:t>improve proportionality of the penalty regime, o</w:t>
      </w:r>
      <w:r w:rsidR="00A713EC" w:rsidRPr="002251C9">
        <w:rPr>
          <w:rFonts w:cstheme="minorHAnsi"/>
          <w:bCs/>
          <w:szCs w:val="22"/>
        </w:rPr>
        <w:t xml:space="preserve">nly small changes could be supported in order to minimize the impact on securities value chain and to calibrate the burdens on fails for less liquid </w:t>
      </w:r>
      <w:r>
        <w:rPr>
          <w:rFonts w:cstheme="minorHAnsi"/>
          <w:bCs/>
          <w:szCs w:val="22"/>
        </w:rPr>
        <w:t xml:space="preserve">bonds </w:t>
      </w:r>
      <w:r w:rsidR="00A713EC" w:rsidRPr="002251C9">
        <w:rPr>
          <w:rFonts w:cstheme="minorHAnsi"/>
          <w:bCs/>
          <w:szCs w:val="22"/>
        </w:rPr>
        <w:t>and ETFs to the extent that they are subject to structural issues.</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2"/>
    <w:p w14:paraId="0F922346" w14:textId="77777777" w:rsidR="00480F3D" w:rsidRDefault="00480F3D">
      <w:r>
        <w:t>&lt;ESMA_QUESTION_CSDR_23&gt;</w:t>
      </w:r>
    </w:p>
    <w:p w14:paraId="59126B00" w14:textId="0F1605ED" w:rsidR="004235BB" w:rsidRDefault="00A713EC">
      <w:permStart w:id="67503824" w:edGrp="everyone"/>
      <w:r w:rsidRPr="00A713EC">
        <w:t xml:space="preserve">Although the concept of convexity seems reasonable, the penalty rates provided by </w:t>
      </w:r>
      <w:r w:rsidR="004235BB">
        <w:t>O</w:t>
      </w:r>
      <w:r w:rsidRPr="00A713EC">
        <w:t xml:space="preserve">ption 2 are </w:t>
      </w:r>
      <w:r w:rsidR="004235BB">
        <w:t xml:space="preserve">definitely not comparable </w:t>
      </w:r>
      <w:r w:rsidRPr="00A713EC">
        <w:t>to the current applicable rate</w:t>
      </w:r>
      <w:r w:rsidR="004235BB">
        <w:t>.</w:t>
      </w:r>
      <w:r w:rsidRPr="00A713EC">
        <w:t xml:space="preserve"> </w:t>
      </w:r>
      <w:r w:rsidR="004235BB">
        <w:t xml:space="preserve">It cannot be excluded that </w:t>
      </w:r>
      <w:r w:rsidRPr="00A713EC">
        <w:t>th</w:t>
      </w:r>
      <w:r w:rsidR="004235BB">
        <w:t xml:space="preserve">is sharp increase </w:t>
      </w:r>
      <w:r w:rsidRPr="00A713EC">
        <w:t>may have an impact on the activity of liquidity providers also on most liquid securities.</w:t>
      </w:r>
    </w:p>
    <w:permEnd w:id="67503824"/>
    <w:p w14:paraId="1E19E36A" w14:textId="541231EE"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3"/>
    <w:p w14:paraId="5A4568FC" w14:textId="77777777" w:rsidR="00480F3D" w:rsidRDefault="00480F3D">
      <w:r>
        <w:t>&lt;ESMA_QUESTION_CSDR_24&gt;</w:t>
      </w:r>
    </w:p>
    <w:p w14:paraId="7E7BDEDC" w14:textId="7B72228D" w:rsidR="006847F1" w:rsidRDefault="00A713EC">
      <w:permStart w:id="1652955813" w:edGrp="everyone"/>
      <w:r w:rsidRPr="00A713EC">
        <w:t>Although the concept of convexity seems reasonable also for less liquid securities, the penalty rates provided by Option 2 are</w:t>
      </w:r>
      <w:r w:rsidR="004235BB">
        <w:t xml:space="preserve"> </w:t>
      </w:r>
      <w:r w:rsidR="004235BB">
        <w:t xml:space="preserve">definitely not comparable </w:t>
      </w:r>
      <w:r w:rsidR="004235BB" w:rsidRPr="00A713EC">
        <w:t>to the current applicable rate</w:t>
      </w:r>
      <w:r w:rsidR="004235BB">
        <w:t xml:space="preserve">. </w:t>
      </w:r>
      <w:r w:rsidR="004235BB">
        <w:t xml:space="preserve">It cannot be excluded that </w:t>
      </w:r>
      <w:r w:rsidR="004235BB" w:rsidRPr="00A713EC">
        <w:t>th</w:t>
      </w:r>
      <w:r w:rsidR="004235BB">
        <w:t xml:space="preserve">is sharp increase </w:t>
      </w:r>
      <w:r w:rsidR="004235BB" w:rsidRPr="00A713EC">
        <w:t xml:space="preserve">may have an impact on the </w:t>
      </w:r>
      <w:r w:rsidR="004235BB">
        <w:t xml:space="preserve">trading activity </w:t>
      </w:r>
      <w:r w:rsidR="004235BB" w:rsidRPr="00A713EC">
        <w:t xml:space="preserve">on </w:t>
      </w:r>
      <w:r w:rsidR="004235BB">
        <w:t>il</w:t>
      </w:r>
      <w:r w:rsidR="004235BB" w:rsidRPr="00A713EC">
        <w:t>liquid securities</w:t>
      </w:r>
      <w:r w:rsidR="004235BB">
        <w:t>.</w:t>
      </w:r>
      <w:r w:rsidRPr="00A713EC">
        <w:t xml:space="preserve"> </w:t>
      </w:r>
    </w:p>
    <w:p w14:paraId="353BC256" w14:textId="71EBCF48" w:rsidR="00480F3D" w:rsidRDefault="00A713EC">
      <w:r w:rsidRPr="00A713EC">
        <w:lastRenderedPageBreak/>
        <w:t>.</w:t>
      </w:r>
      <w:permEnd w:id="1652955813"/>
      <w:r w:rsidR="00480F3D">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4"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4"/>
    <w:p w14:paraId="215BD0D9" w14:textId="77777777" w:rsidR="00480F3D" w:rsidRDefault="00480F3D">
      <w:r>
        <w:t>&lt;ESMA_QUESTION_CSDR_25&gt;</w:t>
      </w:r>
    </w:p>
    <w:p w14:paraId="285BBF8B" w14:textId="00DB5E42" w:rsidR="00A713EC" w:rsidRDefault="00A713EC">
      <w:permStart w:id="1767178405" w:edGrp="everyone"/>
      <w:r w:rsidRPr="00A713EC">
        <w:t xml:space="preserve">Under both </w:t>
      </w:r>
      <w:r w:rsidR="00B53515">
        <w:t>O</w:t>
      </w:r>
      <w:r w:rsidRPr="00A713EC">
        <w:t xml:space="preserve">ptions progressive penalty rates are </w:t>
      </w:r>
      <w:r w:rsidR="00B53515" w:rsidRPr="00B53515">
        <w:t>definitely not comparable to the current applicable rate</w:t>
      </w:r>
      <w:r w:rsidR="00B53515" w:rsidRPr="00B53515">
        <w:t xml:space="preserve"> </w:t>
      </w:r>
      <w:r w:rsidR="00B53515">
        <w:t xml:space="preserve">and it seems there is no evidence that could justify such an increase. Conversely this sharp increase might </w:t>
      </w:r>
      <w:r w:rsidRPr="00A713EC">
        <w:t xml:space="preserve">have a detrimental impact on the market. </w:t>
      </w:r>
      <w:r w:rsidR="00B53515">
        <w:t>Current p</w:t>
      </w:r>
      <w:r w:rsidRPr="00A713EC">
        <w:t xml:space="preserve">enalties rates </w:t>
      </w:r>
      <w:r w:rsidR="008B4C1F">
        <w:t xml:space="preserve">framework </w:t>
      </w:r>
      <w:r w:rsidRPr="00A713EC">
        <w:t>should be maintained</w:t>
      </w:r>
      <w:r w:rsidR="00B53515">
        <w:t xml:space="preserve"> with some targeted adjustments as referred in our response to Q20</w:t>
      </w:r>
      <w:r w:rsidRPr="00A713EC">
        <w:t xml:space="preserve">. </w:t>
      </w:r>
    </w:p>
    <w:permEnd w:id="1767178405"/>
    <w:p w14:paraId="5FC91354" w14:textId="21C547AF"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5"/>
    <w:p w14:paraId="0293B65D" w14:textId="77777777" w:rsidR="00480F3D" w:rsidRDefault="00480F3D">
      <w:r>
        <w:t>&lt;ESMA_QUESTION_CSDR_26&gt;</w:t>
      </w:r>
    </w:p>
    <w:p w14:paraId="1C7C3756" w14:textId="77777777" w:rsidR="00B53515" w:rsidRDefault="00B53515">
      <w:permStart w:id="514209699" w:edGrp="everyone"/>
      <w:r>
        <w:t>As mentioned under Q20 and Q25, i</w:t>
      </w:r>
      <w:r>
        <w:t>n respect of penalty rates by asset type as foreseen in the Annex to Commission Delegated Regulation (EU) 2017/389 we would</w:t>
      </w:r>
      <w:r>
        <w:t xml:space="preserve"> recommend to maintain the current framework </w:t>
      </w:r>
      <w:r w:rsidRPr="00B53515">
        <w:t xml:space="preserve">also in order to collect further data that would allow for a proper analysis of its application. </w:t>
      </w:r>
      <w:r>
        <w:t xml:space="preserve"> </w:t>
      </w:r>
    </w:p>
    <w:p w14:paraId="3159CA91" w14:textId="4A336CB1" w:rsidR="00A713EC" w:rsidRDefault="00B53515">
      <w:r w:rsidRPr="00B53515">
        <w:t>To improve proportionality of the penalty regime, only small changes could be supported in order to minimize the impact on securities value chain and to calibrate the burdens on fails for less liquid bonds and ETFs</w:t>
      </w:r>
      <w:r>
        <w:t xml:space="preserve">. </w:t>
      </w:r>
      <w:r>
        <w:t>Please refer also to our answer under Q28 and Q35</w:t>
      </w:r>
      <w:r w:rsidR="00A713EC">
        <w:t>.</w:t>
      </w:r>
    </w:p>
    <w:permEnd w:id="514209699"/>
    <w:p w14:paraId="460310DE" w14:textId="46D34062"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6"/>
    <w:p w14:paraId="3B11083A" w14:textId="77777777" w:rsidR="00480F3D" w:rsidRDefault="00480F3D">
      <w:r>
        <w:t>&lt;ESMA_QUESTION_CSDR_27&gt;</w:t>
      </w:r>
    </w:p>
    <w:p w14:paraId="77EA25D8" w14:textId="518C1F9F" w:rsidR="00A713EC" w:rsidRPr="008B4C1F" w:rsidRDefault="00A713EC" w:rsidP="00A713EC">
      <w:pPr>
        <w:rPr>
          <w:rFonts w:cstheme="minorHAnsi"/>
          <w:sz w:val="20"/>
        </w:rPr>
      </w:pPr>
      <w:permStart w:id="873400905" w:edGrp="everyone"/>
      <w:r w:rsidRPr="008B4C1F">
        <w:rPr>
          <w:rFonts w:cstheme="minorHAnsi"/>
          <w:szCs w:val="22"/>
        </w:rPr>
        <w:t>With</w:t>
      </w:r>
      <w:r w:rsidRPr="008B4C1F">
        <w:rPr>
          <w:rFonts w:cstheme="minorHAnsi"/>
          <w:sz w:val="20"/>
        </w:rPr>
        <w:t xml:space="preserve"> </w:t>
      </w:r>
      <w:r w:rsidRPr="008B4C1F">
        <w:rPr>
          <w:rFonts w:cstheme="minorHAnsi"/>
          <w:szCs w:val="22"/>
        </w:rPr>
        <w:t xml:space="preserve">reference to the categorisation of types of fails per asset type we believe </w:t>
      </w:r>
      <w:r w:rsidR="008B4C1F">
        <w:rPr>
          <w:rFonts w:cstheme="minorHAnsi"/>
          <w:szCs w:val="22"/>
        </w:rPr>
        <w:t>O</w:t>
      </w:r>
      <w:r w:rsidRPr="008B4C1F">
        <w:rPr>
          <w:rFonts w:cstheme="minorHAnsi"/>
          <w:szCs w:val="22"/>
        </w:rPr>
        <w:t xml:space="preserve">ption 1 is preferable. Indeed it maintains the current categorisation minimizing the impact in terms of changes to the mechanism in place as highlighted in Q22. </w:t>
      </w:r>
      <w:r w:rsidR="008B4C1F" w:rsidRPr="008B4C1F">
        <w:rPr>
          <w:rFonts w:cstheme="minorHAnsi"/>
          <w:szCs w:val="22"/>
        </w:rPr>
        <w:t>We would support a more targeted approach only adding ETFs as new asset category (</w:t>
      </w:r>
      <w:r w:rsidR="008B4C1F">
        <w:rPr>
          <w:rFonts w:cstheme="minorHAnsi"/>
          <w:szCs w:val="22"/>
        </w:rPr>
        <w:t xml:space="preserve">this change would have </w:t>
      </w:r>
      <w:r w:rsidR="008B4C1F" w:rsidRPr="008B4C1F">
        <w:rPr>
          <w:rFonts w:cstheme="minorHAnsi"/>
          <w:szCs w:val="22"/>
        </w:rPr>
        <w:t>a medium impact if considered in isolation since it could rely on existing methodology with CFI code)</w:t>
      </w:r>
      <w:r w:rsidRPr="008B4C1F">
        <w:rPr>
          <w:rFonts w:cstheme="minorHAnsi"/>
          <w:sz w:val="20"/>
        </w:rPr>
        <w:t xml:space="preserve">. </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7"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7"/>
    <w:p w14:paraId="5ED988EA" w14:textId="77777777" w:rsidR="00480F3D" w:rsidRDefault="00480F3D" w:rsidP="00480F3D">
      <w:r>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lastRenderedPageBreak/>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lastRenderedPageBreak/>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7FB6BA36" w14:textId="77777777" w:rsidR="008B4C1F" w:rsidRDefault="008B4C1F" w:rsidP="00A713EC">
      <w:permStart w:id="1752653492" w:edGrp="everyone"/>
    </w:p>
    <w:p w14:paraId="4B956511" w14:textId="57129A4F" w:rsidR="00A713EC" w:rsidRDefault="00A713EC" w:rsidP="00A713EC">
      <w:r>
        <w:t>Both options entail high implementation cost for CSDs and their participant in order to adapt the calculation mechanism and the related reconciliation procedure. Notably,  Option 1 would impact the penalty mechanism computation logic (implementation of progressive rates). Whilst Option 2 is even more impactful requiring changes to computation logic (progressive rates with convexity) as well as a structural change to the methodology for the derivation of asset classes.</w:t>
      </w:r>
    </w:p>
    <w:p w14:paraId="3D530F4C" w14:textId="77777777" w:rsidR="00A713EC" w:rsidRDefault="00A713EC" w:rsidP="00A713EC">
      <w:r>
        <w:t xml:space="preserve">While it is very hard to draw any conclusion on the benefits of such change we are concerned about the increase that ESMA is proposing is that could have a detrimental impact on the market structure and in terms of competitiveness of EU post-trading industry if compared with other jurisdiction not having in place a settlement discipline framework. </w:t>
      </w:r>
    </w:p>
    <w:p w14:paraId="177E2DF1" w14:textId="367EB372" w:rsidR="008D18FF" w:rsidRDefault="00A713EC" w:rsidP="00413D4F">
      <w:bookmarkStart w:id="28" w:name="_Hlk160121022"/>
      <w:bookmarkStart w:id="29" w:name="_Hlk160123281"/>
      <w:r>
        <w:t xml:space="preserve">We would support a more targeted approach only adding ETFs as new asset category (a medium impact if considered in isolation since it could rely on existing methodology with CFI code) </w:t>
      </w:r>
      <w:bookmarkEnd w:id="29"/>
      <w:r>
        <w:t xml:space="preserve">with an appropriate penalty rate that takes into account the specificities of this instruments in terms of post-trade set up and interactions, between creation and redemption </w:t>
      </w:r>
      <w:r>
        <w:lastRenderedPageBreak/>
        <w:t>processes this to avoid to excessively penalise trading on the market which is subject to standard deadlines compared to the OTC trading</w:t>
      </w:r>
      <w:bookmarkEnd w:id="28"/>
      <w:r>
        <w:t>.</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30" w:name="_Hlk151731833"/>
      <w:r w:rsidRPr="00D85A08">
        <w:t>Alternatively, do you think that progressive cash penalties rates should take into account a different breakdown than the one included in ESMA’s proposal above for any or all of the following categories:</w:t>
      </w:r>
    </w:p>
    <w:bookmarkEnd w:id="30"/>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1E9A67EA" w:rsidR="007D7BB4" w:rsidRPr="00BD3B92" w:rsidRDefault="008B4C1F" w:rsidP="00413D4F">
      <w:permStart w:id="503064745" w:edGrp="everyone"/>
      <w:r>
        <w:t>We do not agree with this proposal for the reason highlighted in answer to previous questions.</w:t>
      </w:r>
      <w:permEnd w:id="503064745"/>
    </w:p>
    <w:tbl>
      <w:tblPr>
        <w:tblStyle w:val="TableGrid"/>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31"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31"/>
    <w:p w14:paraId="3871DAF1" w14:textId="14B23D80" w:rsidR="00BD3B92" w:rsidRDefault="00BD3B92" w:rsidP="00413D4F">
      <w:r>
        <w:t>&lt;ESMA_QUESTION_CSDR_30&gt;</w:t>
      </w:r>
    </w:p>
    <w:p w14:paraId="7853B9D9" w14:textId="0481DEC1" w:rsidR="00720942" w:rsidRDefault="008B4C1F" w:rsidP="00720942">
      <w:permStart w:id="1764259019" w:edGrp="everyone"/>
      <w:r>
        <w:t>We do not agree with this proposal for the reason highlighted in answer to previous questions</w:t>
      </w:r>
      <w:r>
        <w:t xml:space="preserve"> </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lastRenderedPageBreak/>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32"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32"/>
    <w:p w14:paraId="076895A2" w14:textId="77777777" w:rsidR="00EC303D" w:rsidRDefault="00EC303D" w:rsidP="00EC303D">
      <w:r>
        <w:t>&lt;ESMA_QUESTION_CSDR_31&gt;</w:t>
      </w:r>
    </w:p>
    <w:p w14:paraId="524122E5" w14:textId="77777777" w:rsidR="00EC303D" w:rsidRDefault="00EC303D" w:rsidP="00EC303D">
      <w:permStart w:id="892430093" w:edGrp="everyone"/>
      <w:r>
        <w:t>TYPE YOUR TEXT HERE</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3"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F7BB40C" w14:textId="77777777" w:rsidR="008E5525" w:rsidRDefault="008E5525" w:rsidP="008E5525">
      <w:r>
        <w:t>&lt;ESMA_QUESTION_CSDR_32&gt;</w:t>
      </w:r>
    </w:p>
    <w:p w14:paraId="404FADE4" w14:textId="77777777" w:rsidR="00A713EC" w:rsidRPr="008B4C1F" w:rsidRDefault="00A713EC" w:rsidP="00A713EC">
      <w:pPr>
        <w:shd w:val="clear" w:color="auto" w:fill="FDFDFD"/>
        <w:rPr>
          <w:rFonts w:cstheme="minorHAnsi"/>
          <w:szCs w:val="22"/>
        </w:rPr>
      </w:pPr>
      <w:permStart w:id="2059342461" w:edGrp="everyone"/>
      <w:r w:rsidRPr="008B4C1F">
        <w:rPr>
          <w:rFonts w:cstheme="minorHAnsi"/>
          <w:szCs w:val="22"/>
        </w:rPr>
        <w:lastRenderedPageBreak/>
        <w:t xml:space="preserve">We believe that using of the market value of the financial instruments on the first day of the settlement fail as a basis for the calculation of penalties for the entire duration of the fail is not a substantial measure of simplification. Indeed, this measure does not solve the need for CSDs to find the reference price of the financial instruments on each day of the as a basis for the calculation of penalties. For example, if there is a fail on day 1 in relation to the securities A, the market value of day 1 must be taken into account; at the same time, if there is a fail on day 2 in relation to the securities A, the market value of day 2 must be taken into account, so the reference price of day should be sourced any way. Therefore, the process remains critical, given the need to source reference prices from different data providers. </w:t>
      </w:r>
    </w:p>
    <w:p w14:paraId="343819C2" w14:textId="1AD4ED84" w:rsidR="00707682" w:rsidRPr="008B4C1F" w:rsidRDefault="00A713EC" w:rsidP="00A713EC">
      <w:pPr>
        <w:shd w:val="clear" w:color="auto" w:fill="FDFDFD"/>
        <w:rPr>
          <w:rFonts w:eastAsia="Times New Roman" w:cstheme="minorHAnsi"/>
          <w:szCs w:val="22"/>
          <w:lang w:val="en" w:eastAsia="en-GB"/>
        </w:rPr>
      </w:pPr>
      <w:r w:rsidRPr="008B4C1F">
        <w:rPr>
          <w:rFonts w:eastAsia="Times New Roman" w:cstheme="minorHAnsi"/>
          <w:szCs w:val="22"/>
          <w:lang w:val="en" w:eastAsia="en-GB"/>
        </w:rPr>
        <w:t xml:space="preserve">In conclusion – </w:t>
      </w:r>
      <w:r w:rsidR="008B4C1F">
        <w:rPr>
          <w:rFonts w:eastAsia="Times New Roman" w:cstheme="minorHAnsi"/>
          <w:szCs w:val="22"/>
          <w:lang w:val="en" w:eastAsia="en-GB"/>
        </w:rPr>
        <w:t xml:space="preserve">and </w:t>
      </w:r>
      <w:r w:rsidRPr="008B4C1F">
        <w:rPr>
          <w:rFonts w:eastAsia="Times New Roman" w:cstheme="minorHAnsi"/>
          <w:szCs w:val="22"/>
          <w:lang w:val="en" w:eastAsia="en-GB"/>
        </w:rPr>
        <w:t xml:space="preserve">if our understanding is correct – the proposal would not lead to significant benefits but only to one-off costs due to the change in the process, while the on-going costs would remain unchanged. </w:t>
      </w:r>
    </w:p>
    <w:tbl>
      <w:tblPr>
        <w:tblStyle w:val="TableGrid"/>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4" w:name="_Hlk151731837"/>
      <w:r w:rsidRPr="00884554">
        <w:lastRenderedPageBreak/>
        <w:t>How should free of payment (FoP) instructions be valued for the purpose of the application of cash penalties? Please justify your answer and provide examples and data where available.</w:t>
      </w:r>
    </w:p>
    <w:bookmarkEnd w:id="34"/>
    <w:p w14:paraId="5DAB0ADA" w14:textId="77777777" w:rsidR="00683F26" w:rsidRDefault="00683F26">
      <w:r>
        <w:t>&lt;ESMA_QUESTION_CSDR_33&gt;</w:t>
      </w:r>
    </w:p>
    <w:p w14:paraId="05CC3F04" w14:textId="77777777" w:rsidR="00683F26" w:rsidRDefault="00683F26">
      <w:permStart w:id="9921138" w:edGrp="everyone"/>
      <w:r>
        <w:t>TYPE YOUR TEXT HERE</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5" w:name="_Hlk151731838"/>
      <w:r w:rsidRPr="00127028">
        <w:t>Do you think there is a risk that higher penalty rates may lead to participants using less DvP and more FoP settlement instructions? Please justify your answer and provide examples and data where available.</w:t>
      </w:r>
    </w:p>
    <w:bookmarkEnd w:id="35"/>
    <w:p w14:paraId="06620221" w14:textId="77777777" w:rsidR="00683F26" w:rsidRDefault="00683F26">
      <w:r>
        <w:t>&lt;ESMA_QUESTION_CSDR_34&gt;</w:t>
      </w:r>
    </w:p>
    <w:p w14:paraId="78F85665" w14:textId="77777777" w:rsidR="00683F26" w:rsidRDefault="00683F26">
      <w:permStart w:id="1386107427" w:edGrp="everyone"/>
      <w:r>
        <w:t>TYPE YOUR TEXT HERE</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6"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6"/>
    <w:p w14:paraId="7023BE17" w14:textId="77777777" w:rsidR="00683F26" w:rsidRDefault="00683F26" w:rsidP="00683F26">
      <w:r>
        <w:t>&lt;ESMA_QUESTION_CSDR_35&gt;</w:t>
      </w:r>
    </w:p>
    <w:tbl>
      <w:tblPr>
        <w:tblStyle w:val="TableGrid"/>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lastRenderedPageBreak/>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5EA69964" w14:textId="77777777" w:rsidR="008B4C1F" w:rsidRDefault="008B4C1F" w:rsidP="00A713EC">
      <w:permStart w:id="2042054973" w:edGrp="everyone"/>
    </w:p>
    <w:p w14:paraId="61786A9B" w14:textId="75A88FEE" w:rsidR="00A713EC" w:rsidRDefault="00A713EC" w:rsidP="00A713EC">
      <w:r>
        <w:t xml:space="preserve">The proposal would require a change to the current procedure for the computation of penalties, with the extension of the process applied to liquid and illiquid stocks also to the bonds. </w:t>
      </w:r>
    </w:p>
    <w:p w14:paraId="244C9DAA" w14:textId="639EA55B" w:rsidR="00D57C74" w:rsidRDefault="00A713EC" w:rsidP="00A713EC">
      <w:bookmarkStart w:id="37" w:name="_Hlk160121127"/>
      <w:r>
        <w:t>In this respect we would propose an alternative solution that could avoid the cost related to the implementation of a heavy and burdensome process like similar to the one for liquid / illiquid shares. Indeed instead of differentiating penalties on the basis of the liquidity of the bonds, a proposal could be to lower penalties currently applied to categories no. 5 and no. 6 as referred to in Annex of EU Commission Delegated Regulation (EU) 2017/389 (0,2 and 0,15 respectively) since most illiquid bonds for which no repo market is available (corps &amp; financials) already fall into these two categories. The new penalty rate should be lower than the one applied to category no. 4 (Govies and supranational) for which the current rate (0,1) could be maintained at the current level.</w:t>
      </w:r>
    </w:p>
    <w:bookmarkEnd w:id="37"/>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8"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8"/>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9" w:name="_Hlk151731841"/>
      <w:r w:rsidRPr="000F1358">
        <w:lastRenderedPageBreak/>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9"/>
    <w:p w14:paraId="0C94806C" w14:textId="77777777" w:rsidR="00DD5F58" w:rsidRDefault="00DD5F58">
      <w:r>
        <w:t>&lt;ESMA_QUESTION_CSDR_37&gt;</w:t>
      </w:r>
    </w:p>
    <w:p w14:paraId="380F5E97" w14:textId="77777777" w:rsidR="00DD5F58" w:rsidRDefault="00DD5F58">
      <w:permStart w:id="497239485" w:edGrp="everyone"/>
      <w:r>
        <w:t>TYPE YOUR TEXT HERE</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40"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40"/>
    <w:p w14:paraId="6ACCD9FD" w14:textId="77777777" w:rsidR="00DD5F58" w:rsidRDefault="00DD5F58">
      <w:r>
        <w:t>&lt;ESMA_QUESTION_CSDR_38&gt;</w:t>
      </w:r>
    </w:p>
    <w:p w14:paraId="4FD39FA4" w14:textId="77777777" w:rsidR="00DD5F58" w:rsidRDefault="00DD5F58">
      <w:permStart w:id="363731969" w:edGrp="everyone"/>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41"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41"/>
    <w:p w14:paraId="4BA2F999" w14:textId="77777777" w:rsidR="00DD5F58" w:rsidRDefault="00DD5F58">
      <w:r>
        <w:t>&lt;ESMA_QUESTION_CSDR_39&gt;</w:t>
      </w:r>
    </w:p>
    <w:p w14:paraId="464E4184" w14:textId="03F62DE1" w:rsidR="00DD5F58" w:rsidRPr="008B4C1F" w:rsidRDefault="00A713EC">
      <w:pPr>
        <w:rPr>
          <w:rFonts w:cstheme="minorHAnsi"/>
          <w:szCs w:val="22"/>
        </w:rPr>
      </w:pPr>
      <w:permStart w:id="395341201" w:edGrp="everyone"/>
      <w:r w:rsidRPr="008B4C1F">
        <w:rPr>
          <w:rFonts w:cstheme="minorHAnsi"/>
          <w:szCs w:val="22"/>
        </w:rPr>
        <w:t xml:space="preserve">CSDs have a reduced capability to intervene in the reduction of fail rates. Indeed, the main actors in this process are participants and their clients. On the contrary, CSD could only </w:t>
      </w:r>
      <w:r w:rsidRPr="008B4C1F">
        <w:rPr>
          <w:rFonts w:cstheme="minorHAnsi"/>
          <w:szCs w:val="22"/>
          <w:lang w:val="en"/>
        </w:rPr>
        <w:t xml:space="preserve">support in the analysis, without an active role in the reduction of the fail. </w:t>
      </w:r>
      <w:r w:rsidRPr="008B4C1F">
        <w:rPr>
          <w:rFonts w:cstheme="minorHAnsi"/>
          <w:szCs w:val="22"/>
          <w:lang w:val="en-US"/>
        </w:rPr>
        <w:t xml:space="preserve">Therefore, we believe </w:t>
      </w:r>
      <w:r w:rsidRPr="008B4C1F">
        <w:rPr>
          <w:rFonts w:cstheme="minorHAnsi"/>
          <w:szCs w:val="22"/>
          <w:lang w:val="en-US"/>
        </w:rPr>
        <w:lastRenderedPageBreak/>
        <w:t xml:space="preserve">that it is not appropriate to provide for the application of an increasing penalty mechanism at the level of CSDs with a higher settlement fail rates. </w:t>
      </w:r>
      <w:r w:rsidRPr="008B4C1F">
        <w:rPr>
          <w:rFonts w:cstheme="minorHAnsi"/>
          <w:szCs w:val="22"/>
        </w:rPr>
        <w:t>Indeed, such a mechanism would lead to market disparities and differentiated enforcement, which risks increasing fragmentation to the detriment of the Capital Markets Union and systems integration.</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56BE83E3" w:rsidR="000F5114" w:rsidRPr="00A713EC" w:rsidRDefault="00A713EC" w:rsidP="000F5114">
      <w:pPr>
        <w:rPr>
          <w:rFonts w:ascii="Verdana" w:hAnsi="Verdana"/>
          <w:sz w:val="20"/>
        </w:rPr>
      </w:pPr>
      <w:permStart w:id="1572044397" w:edGrp="everyone"/>
      <w:r>
        <w:rPr>
          <w:rFonts w:ascii="Verdana" w:hAnsi="Verdana"/>
          <w:sz w:val="20"/>
        </w:rPr>
        <w:t>Please refer to Q39.</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lastRenderedPageBreak/>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70827B3B" w:rsidR="00BE392A" w:rsidRDefault="000F7E96" w:rsidP="0067070C">
      <w:permStart w:id="432759641" w:edGrp="everyone"/>
      <w:r>
        <w:t>TYPE YOUR TEXT HERE</w:t>
      </w:r>
      <w:permEnd w:id="432759641"/>
    </w:p>
    <w:tbl>
      <w:tblPr>
        <w:tblStyle w:val="TableGrid"/>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77777777" w:rsidR="003148F1" w:rsidRDefault="003148F1">
      <w:permStart w:id="328298340" w:edGrp="everyone"/>
      <w:r>
        <w:t>TYPE YOUR TEXT HERE</w:t>
      </w:r>
    </w:p>
    <w:permEnd w:id="328298340"/>
    <w:p w14:paraId="5BC67B33" w14:textId="77777777" w:rsidR="003148F1" w:rsidRDefault="003148F1">
      <w:r>
        <w:lastRenderedPageBreak/>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77777777" w:rsidR="004A2E54" w:rsidRDefault="004A2E54" w:rsidP="004A2E54">
      <w:permStart w:id="1912501969" w:edGrp="everyone"/>
      <w:r>
        <w:t>TYPE YOUR TEXT HERE</w:t>
      </w:r>
    </w:p>
    <w:tbl>
      <w:tblPr>
        <w:tblStyle w:val="TableGrid"/>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lastRenderedPageBreak/>
        <w:t>&lt;ESMA_QUESTION_CSDR_44&gt;</w:t>
      </w:r>
    </w:p>
    <w:p w14:paraId="65FC942E" w14:textId="77777777" w:rsidR="00FA151B" w:rsidRDefault="00FA151B" w:rsidP="00FA151B">
      <w:permStart w:id="1125473364" w:edGrp="everyone"/>
      <w:r>
        <w:t>TYPE YOUR TEXT HERE</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77777777" w:rsidR="00FA151B" w:rsidRDefault="00FA151B" w:rsidP="00FA151B">
      <w:permStart w:id="1165707336" w:edGrp="everyone"/>
      <w:r>
        <w:t>TYPE YOUR TEXT HERE</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862BB36" w14:textId="77777777" w:rsidR="00FA151B" w:rsidRDefault="00FA151B" w:rsidP="00FA151B">
      <w:permStart w:id="695947103" w:edGrp="everyone"/>
      <w:r>
        <w:t>TYPE YOUR TEXT HERE</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6AB1AEE9" w14:textId="77777777" w:rsidR="00FA151B" w:rsidRDefault="00FA151B" w:rsidP="00FA151B">
      <w:permStart w:id="1544167674" w:edGrp="everyone"/>
      <w:r>
        <w:t>TYPE YOUR TEXT HERE</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lastRenderedPageBreak/>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77777777" w:rsidR="00FA151B" w:rsidRDefault="00FA151B" w:rsidP="00FA151B">
      <w:permStart w:id="32193916" w:edGrp="everyone"/>
      <w:r>
        <w:t>TYPE YOUR TEXT HERE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 xml:space="preserve">Should the topic of settlement efficiency be discussed at the CSDs’ User Committees to better identify any market circumstances and particular context </w:t>
      </w:r>
      <w:r w:rsidRPr="00C009B3">
        <w:lastRenderedPageBreak/>
        <w:t>of participant(s) explaining an increase or decrease of the fail rates? Please justify your answer.</w:t>
      </w:r>
    </w:p>
    <w:p w14:paraId="2FCC8D64" w14:textId="77777777" w:rsidR="00FA151B" w:rsidRDefault="00FA151B" w:rsidP="00FA151B">
      <w:r>
        <w:t>&lt;ESMA_QUESTION_CSDR_51&gt;</w:t>
      </w:r>
    </w:p>
    <w:p w14:paraId="5558F34B" w14:textId="42698E60" w:rsidR="00FA151B" w:rsidRPr="008B4C1F" w:rsidRDefault="00A713EC" w:rsidP="00FA151B">
      <w:pPr>
        <w:rPr>
          <w:rFonts w:cstheme="minorHAnsi"/>
          <w:szCs w:val="22"/>
        </w:rPr>
      </w:pPr>
      <w:permStart w:id="800291382" w:edGrp="everyone"/>
      <w:r w:rsidRPr="008B4C1F">
        <w:rPr>
          <w:rFonts w:cstheme="minorHAnsi"/>
          <w:szCs w:val="22"/>
        </w:rPr>
        <w:t>We are of the view that the topic of settlement efficiency could be discussed in the User Committee to identify structural causes related to market conditions and to identify potential mitigating actions that could be applied by all actors. Whereas we do not believe that the individual situations or particular conditions/behaviours of single participant could be discussed due to the conflict of interest inherent in discussing such matters within the user committee.</w:t>
      </w:r>
    </w:p>
    <w:permEnd w:id="800291382"/>
    <w:p w14:paraId="507A6667" w14:textId="77777777" w:rsidR="00FA151B" w:rsidRDefault="00FA151B" w:rsidP="00FA151B">
      <w:r>
        <w:t>&lt;ESMA_QUESTION_CSDR_51&gt;</w:t>
      </w:r>
    </w:p>
    <w:sectPr w:rsidR="00FA151B" w:rsidSect="00AD0B10">
      <w:headerReference w:type="default" r:id="rId21"/>
      <w:footerReference w:type="even" r:id="rId22"/>
      <w:footerReference w:type="default" r:id="rId23"/>
      <w:footerReference w:type="firs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7DC2" w14:textId="77777777" w:rsidR="004F43FA" w:rsidRDefault="004F43FA" w:rsidP="007E7997">
      <w:pPr>
        <w:spacing w:line="240" w:lineRule="auto"/>
      </w:pPr>
      <w:r>
        <w:separator/>
      </w:r>
    </w:p>
  </w:endnote>
  <w:endnote w:type="continuationSeparator" w:id="0">
    <w:p w14:paraId="581E873E" w14:textId="77777777" w:rsidR="004F43FA" w:rsidRDefault="004F43FA" w:rsidP="007E7997">
      <w:pPr>
        <w:spacing w:line="240" w:lineRule="auto"/>
      </w:pPr>
      <w:r>
        <w:continuationSeparator/>
      </w:r>
    </w:p>
  </w:endnote>
  <w:endnote w:type="continuationNotice" w:id="1">
    <w:p w14:paraId="2D072122" w14:textId="77777777" w:rsidR="004F43FA" w:rsidRDefault="004F4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401E" w14:textId="77777777" w:rsidR="00A713EC" w:rsidRDefault="00A71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ED59" w14:textId="77777777" w:rsidR="00A713EC" w:rsidRDefault="00A71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27E9" w14:textId="77777777" w:rsidR="00A713EC" w:rsidRDefault="00A71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C934" w14:textId="77777777" w:rsidR="00A713EC" w:rsidRDefault="00A713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EEA8" w14:textId="77777777" w:rsidR="00A713EC" w:rsidRDefault="00A7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DF87" w14:textId="77777777" w:rsidR="004F43FA" w:rsidRDefault="004F43FA" w:rsidP="007E7997">
      <w:pPr>
        <w:spacing w:line="240" w:lineRule="auto"/>
      </w:pPr>
      <w:r>
        <w:separator/>
      </w:r>
    </w:p>
  </w:footnote>
  <w:footnote w:type="continuationSeparator" w:id="0">
    <w:p w14:paraId="3016DF35" w14:textId="77777777" w:rsidR="004F43FA" w:rsidRDefault="004F43FA" w:rsidP="007E7997">
      <w:pPr>
        <w:spacing w:line="240" w:lineRule="auto"/>
      </w:pPr>
      <w:r>
        <w:continuationSeparator/>
      </w:r>
    </w:p>
  </w:footnote>
  <w:footnote w:type="continuationNotice" w:id="1">
    <w:p w14:paraId="0D1EC2FB" w14:textId="77777777" w:rsidR="004F43FA" w:rsidRDefault="004F4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Header"/>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1C9"/>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01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6FBC"/>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45"/>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5BB"/>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3FA"/>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D92"/>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7F1"/>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C1F"/>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3EF4"/>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13EC"/>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3515"/>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5F5"/>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40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813189"/>
    <w:rsid w:val="008222A0"/>
    <w:rsid w:val="00836D47"/>
    <w:rsid w:val="00936597"/>
    <w:rsid w:val="009B6B9C"/>
    <w:rsid w:val="00B14FFD"/>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f966c1-c165-4267-99ef-08165197d6cd">
      <UserInfo>
        <DisplayName>Kian Navid</DisplayName>
        <AccountId>329</AccountId>
        <AccountType/>
      </UserInfo>
      <UserInfo>
        <DisplayName>Christian Winkler</DisplayName>
        <AccountId>215</AccountId>
        <AccountType/>
      </UserInfo>
      <UserInfo>
        <DisplayName>Iris Hude</DisplayName>
        <AccountId>186</AccountId>
        <AccountType/>
      </UserInfo>
    </SharedWithUsers>
    <_activity xmlns="f64c795b-b7ae-40d7-b9c6-6ee111836d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46411C5B0664B812F2EE8116C08D8" ma:contentTypeVersion="14" ma:contentTypeDescription="Create a new document." ma:contentTypeScope="" ma:versionID="7bf74adad427e32068e226ef12586fe4">
  <xsd:schema xmlns:xsd="http://www.w3.org/2001/XMLSchema" xmlns:xs="http://www.w3.org/2001/XMLSchema" xmlns:p="http://schemas.microsoft.com/office/2006/metadata/properties" xmlns:ns3="f64c795b-b7ae-40d7-b9c6-6ee111836d03" xmlns:ns4="25f966c1-c165-4267-99ef-08165197d6cd" targetNamespace="http://schemas.microsoft.com/office/2006/metadata/properties" ma:root="true" ma:fieldsID="0cc959ba4ed5cd9788f52148d8fefeaf" ns3:_="" ns4:_="">
    <xsd:import namespace="f64c795b-b7ae-40d7-b9c6-6ee111836d03"/>
    <xsd:import namespace="25f966c1-c165-4267-99ef-08165197d6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c795b-b7ae-40d7-b9c6-6ee111836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966c1-c165-4267-99ef-08165197d6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4c795b-b7ae-40d7-b9c6-6ee111836d03"/>
    <ds:schemaRef ds:uri="http://purl.org/dc/terms/"/>
    <ds:schemaRef ds:uri="http://schemas.openxmlformats.org/package/2006/metadata/core-properties"/>
    <ds:schemaRef ds:uri="25f966c1-c165-4267-99ef-08165197d6cd"/>
    <ds:schemaRef ds:uri="http://www.w3.org/XML/1998/namespace"/>
    <ds:schemaRef ds:uri="http://purl.org/dc/dcmityp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F69F9B5E-973A-435F-817C-DFE88405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c795b-b7ae-40d7-b9c6-6ee111836d03"/>
    <ds:schemaRef ds:uri="25f966c1-c165-4267-99ef-08165197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6447</Words>
  <Characters>36750</Characters>
  <Application>Microsoft Office Word</Application>
  <DocSecurity>8</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43111</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Chiara Rossetti</cp:lastModifiedBy>
  <cp:revision>4</cp:revision>
  <cp:lastPrinted>2023-09-09T00:53:00Z</cp:lastPrinted>
  <dcterms:created xsi:type="dcterms:W3CDTF">2024-02-29T17:30:00Z</dcterms:created>
  <dcterms:modified xsi:type="dcterms:W3CDTF">2024-02-29T17:31:00Z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0x010100AC846411C5B0664B812F2EE8116C08D8</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MSIP_Label_ac0b9ce6-6e99-42a1-af95-429494370cbc_Enabled">
    <vt:lpwstr>true</vt:lpwstr>
  </property>
  <property fmtid="{D5CDD505-2E9C-101B-9397-08002B2CF9AE}" pid="16" name="MSIP_Label_ac0b9ce6-6e99-42a1-af95-429494370cbc_SetDate">
    <vt:lpwstr>2024-02-29T15:40:16Z</vt:lpwstr>
  </property>
  <property fmtid="{D5CDD505-2E9C-101B-9397-08002B2CF9AE}" pid="17" name="MSIP_Label_ac0b9ce6-6e99-42a1-af95-429494370cbc_Method">
    <vt:lpwstr>Standard</vt:lpwstr>
  </property>
  <property fmtid="{D5CDD505-2E9C-101B-9397-08002B2CF9AE}" pid="18" name="MSIP_Label_ac0b9ce6-6e99-42a1-af95-429494370cbc_Name">
    <vt:lpwstr>ac0b9ce6-6e99-42a1-af95-429494370cbc</vt:lpwstr>
  </property>
  <property fmtid="{D5CDD505-2E9C-101B-9397-08002B2CF9AE}" pid="19" name="MSIP_Label_ac0b9ce6-6e99-42a1-af95-429494370cbc_SiteId">
    <vt:lpwstr>315b1ee5-c224-498b-871e-c140611d6d07</vt:lpwstr>
  </property>
  <property fmtid="{D5CDD505-2E9C-101B-9397-08002B2CF9AE}" pid="20" name="MSIP_Label_ac0b9ce6-6e99-42a1-af95-429494370cbc_ActionId">
    <vt:lpwstr>6f0671d6-0abb-4877-8501-6c29ae041862</vt:lpwstr>
  </property>
  <property fmtid="{D5CDD505-2E9C-101B-9397-08002B2CF9AE}" pid="21" name="MSIP_Label_ac0b9ce6-6e99-42a1-af95-429494370cbc_ContentBits">
    <vt:lpwstr>2</vt:lpwstr>
  </property>
</Properties>
</file>