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olo"/>
          </w:pPr>
          <w:r>
            <w:t xml:space="preserve">Reply </w:t>
          </w:r>
          <w:r w:rsidR="00DD03DC">
            <w:t>F</w:t>
          </w:r>
          <w:r>
            <w:t>orm</w:t>
          </w:r>
        </w:p>
        <w:p w14:paraId="031F2108" w14:textId="15BBB95F" w:rsidR="007E7997" w:rsidRPr="00C01571" w:rsidRDefault="00D77369" w:rsidP="00D77369">
          <w:pPr>
            <w:pStyle w:val="Sottotitolo"/>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ttotitolo"/>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Paragrafoelenco"/>
          </w:pPr>
          <w:r w:rsidRPr="00E13D25">
            <w:t>respond to the question stated;</w:t>
          </w:r>
        </w:p>
        <w:p w14:paraId="72FD40F6" w14:textId="77777777" w:rsidR="002533FC" w:rsidRPr="00E13D25" w:rsidRDefault="002533FC" w:rsidP="00EC6066">
          <w:pPr>
            <w:pStyle w:val="Paragrafoelenco"/>
          </w:pPr>
          <w:r w:rsidRPr="00E13D25">
            <w:t>indicate the specific question to which the comment relates;</w:t>
          </w:r>
        </w:p>
        <w:p w14:paraId="78B206B7" w14:textId="77777777" w:rsidR="002533FC" w:rsidRPr="00E13D25" w:rsidRDefault="002533FC" w:rsidP="00EC6066">
          <w:pPr>
            <w:pStyle w:val="Paragrafoelenco"/>
          </w:pPr>
          <w:r w:rsidRPr="00E13D25">
            <w:t>contain a clear rationale; and</w:t>
          </w:r>
        </w:p>
        <w:p w14:paraId="60B8834E" w14:textId="77777777" w:rsidR="002533FC" w:rsidRPr="00E13D25" w:rsidRDefault="002533FC" w:rsidP="00EC6066">
          <w:pPr>
            <w:pStyle w:val="Paragrafoelenco"/>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‘Your input - Consultations’. </w:t>
          </w:r>
        </w:p>
        <w:p w14:paraId="5E44C845" w14:textId="77777777" w:rsidR="00EC6066" w:rsidRPr="0026459D" w:rsidRDefault="00EC6066" w:rsidP="00EC6066">
          <w:pPr>
            <w:pStyle w:val="Sottotitolo"/>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Collegamentoipertestuale"/>
              </w:rPr>
              <w:t>www.esma.europa.eu</w:t>
            </w:r>
          </w:hyperlink>
          <w:r w:rsidRPr="005B6B12">
            <w:t xml:space="preserve"> under the heading </w:t>
          </w:r>
          <w:r w:rsidRPr="00025A7F">
            <w:rPr>
              <w:rStyle w:val="Collegamentoipertestuale"/>
            </w:rPr>
            <w:t>‘</w:t>
          </w:r>
          <w:hyperlink r:id="rId17" w:history="1">
            <w:r>
              <w:rPr>
                <w:rStyle w:val="Collegamentoipertestuale"/>
              </w:rPr>
              <w:t>Data protection</w:t>
            </w:r>
          </w:hyperlink>
          <w:r>
            <w:rPr>
              <w:rStyle w:val="Collegamentoipertestual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olo1"/>
        <w:rPr>
          <w:lang w:val="fr-BE"/>
        </w:rPr>
      </w:pPr>
      <w:r>
        <w:rPr>
          <w:lang w:val="fr-BE"/>
        </w:rPr>
        <w:lastRenderedPageBreak/>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5A0D121B" w:rsidR="00635BCA" w:rsidRPr="00557BD2" w:rsidRDefault="005D2537" w:rsidP="00D21C35">
                <w:r>
                  <w:t>Italian Banking Association</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069EBCA6" w:rsidR="00635BCA" w:rsidRPr="00557BD2" w:rsidRDefault="006778D5"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41913DCF" w:rsidR="00635BCA" w:rsidRPr="00557BD2" w:rsidRDefault="00207022"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03E10B23" w:rsidR="00635BCA" w:rsidRPr="00557BD2" w:rsidRDefault="0049431C" w:rsidP="00D21C35">
                <w:r>
                  <w:t>Italy</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Titolo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0333000" w14:textId="77777777" w:rsidR="005171FF" w:rsidRDefault="005171FF" w:rsidP="005171FF">
      <w:permStart w:id="750397953" w:edGrp="everyone"/>
      <w:r>
        <w:t>TYPE YOUR TEXT HERE</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77777777" w:rsidR="005171FF" w:rsidRDefault="005171FF" w:rsidP="005171FF">
      <w:permStart w:id="1747127182" w:edGrp="everyone"/>
      <w:r>
        <w:t>TYPE YOUR TEXT HERE</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lastRenderedPageBreak/>
        <w:t>&lt;ESMA_QUESTION_CSDR_3&gt;</w:t>
      </w:r>
    </w:p>
    <w:p w14:paraId="787F7D79" w14:textId="77777777" w:rsidR="005171FF" w:rsidRDefault="005171FF" w:rsidP="005171FF">
      <w:permStart w:id="510220754" w:edGrp="everyone"/>
      <w:r>
        <w:t>TYPE YOUR TEXT HERE</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Grigliatabella"/>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t>TYPE YOUR TEXT HERE</w:t>
      </w:r>
    </w:p>
    <w:permEnd w:id="357630705"/>
    <w:p w14:paraId="05D3885B" w14:textId="79F1BBDB" w:rsidR="00BD3B92" w:rsidRPr="00BD3B92" w:rsidRDefault="00BD3B92" w:rsidP="00413D4F">
      <w:r>
        <w:lastRenderedPageBreak/>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7777777" w:rsidR="00EA0D0D" w:rsidRDefault="00EA0D0D">
      <w:permStart w:id="1746417266" w:edGrp="everyone"/>
      <w:r>
        <w:t>TYPE YOUR TEXT HERE</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0412353D" w14:textId="77777777" w:rsidR="00EA0D0D" w:rsidRDefault="00EA0D0D">
      <w:permStart w:id="1425227802" w:edGrp="everyone"/>
      <w:r>
        <w:t>TYPE YOUR TEXT HERE</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77777777" w:rsidR="00EA0D0D" w:rsidRDefault="00EA0D0D">
      <w:permStart w:id="165553507" w:edGrp="everyone"/>
      <w:r>
        <w:t>TYPE YOUR TEXT HERE</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lastRenderedPageBreak/>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to the overall number and value of settlement fails on a monthly basis (please use as a reference the period June 2022 – December 2023).</w:t>
      </w:r>
    </w:p>
    <w:p w14:paraId="773911BA" w14:textId="5DDA8134" w:rsidR="00EA0D0D" w:rsidRDefault="00EA0D0D">
      <w:r>
        <w:t>&lt;ESMA_QUESTION_CSDR_8&gt;</w:t>
      </w:r>
    </w:p>
    <w:p w14:paraId="636A0594" w14:textId="77777777" w:rsidR="00EA0D0D" w:rsidRDefault="00EA0D0D">
      <w:permStart w:id="804142208" w:edGrp="everyone"/>
      <w:r>
        <w:t>TYPE YOUR TEXT HERE</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7953C470" w14:textId="2627DBD1" w:rsidR="00EA0D0D" w:rsidRDefault="00420101">
      <w:permStart w:id="1025510098" w:edGrp="everyone"/>
      <w:r w:rsidRPr="00420101">
        <w:t>In line with par. 35, we agree with the rationale that, for each financial instrument, there is and there should be one CSD to be responsible (the Issuer CSD) for determining the relevant reference data to be used for the related penalties calculation.</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 xml:space="preserve">In your view, where settlement instructions have been matched after the intended settlement date, and that intended settlement date is beyond the agreed number of business days in the past, the use of more recent reference </w:t>
      </w:r>
      <w:r w:rsidRPr="00AF7D30">
        <w:lastRenderedPageBreak/>
        <w:t>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68426BE7" w14:textId="77777777" w:rsidR="001F3739" w:rsidRPr="00CC7E39" w:rsidRDefault="001F3739" w:rsidP="001F3739">
      <w:permStart w:id="68043086" w:edGrp="everyone"/>
      <w:r w:rsidRPr="00CC7E39">
        <w:t>On the basis of our analysis, we are not in a position to express a view on the core part of the question, i.e. the optional or compulsory use of more recent data for the calculation of the related cash penalties.</w:t>
      </w:r>
    </w:p>
    <w:p w14:paraId="738C3FC7" w14:textId="5732630B" w:rsidR="00EA0D0D" w:rsidRDefault="001F3739" w:rsidP="001F3739">
      <w:r w:rsidRPr="00CC7E39">
        <w:t xml:space="preserve">However, </w:t>
      </w:r>
      <w:r w:rsidRPr="00524A6B">
        <w:t xml:space="preserve">we consider </w:t>
      </w:r>
      <w:r w:rsidRPr="00CC7E39">
        <w:t xml:space="preserve">it crucial that a </w:t>
      </w:r>
      <w:r w:rsidRPr="00524A6B">
        <w:t xml:space="preserve">standardized approach across all CSDs </w:t>
      </w:r>
      <w:r w:rsidRPr="00CC7E39">
        <w:t>is adopted</w:t>
      </w:r>
      <w:r w:rsidRPr="00524A6B">
        <w:t xml:space="preserve">, </w:t>
      </w:r>
      <w:r w:rsidRPr="00CC7E39">
        <w:t xml:space="preserve">as this would </w:t>
      </w:r>
      <w:r w:rsidRPr="00524A6B">
        <w:t>ensure consistent process</w:t>
      </w:r>
      <w:r>
        <w:t>es</w:t>
      </w:r>
      <w:r w:rsidRPr="00CC7E39">
        <w:t xml:space="preserve"> across the Union</w:t>
      </w:r>
      <w:r>
        <w:t xml:space="preserve"> and clarity</w:t>
      </w:r>
      <w:r w:rsidRPr="00524A6B">
        <w:t>.</w:t>
      </w:r>
      <w:r w:rsidRPr="00CC7E39">
        <w:t xml:space="preserve"> Indeed, i</w:t>
      </w:r>
      <w:r w:rsidRPr="00524A6B">
        <w:t xml:space="preserve">t is of fundamental importance to provide CSD participants with certainty </w:t>
      </w:r>
      <w:r w:rsidRPr="00CC7E39">
        <w:t xml:space="preserve">on </w:t>
      </w:r>
      <w:r w:rsidRPr="00524A6B">
        <w:t xml:space="preserve">the criteria for calculating the penalties, without being </w:t>
      </w:r>
      <w:r w:rsidRPr="00CC7E39">
        <w:t xml:space="preserve">them </w:t>
      </w:r>
      <w:r w:rsidRPr="00524A6B">
        <w:t>subject to any discrepancies and inconsistencies depending on each single CSD.</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4AFEB6FA" w14:textId="77777777" w:rsidR="00EA0D0D" w:rsidRDefault="00EA0D0D">
      <w:permStart w:id="1297758787" w:edGrp="everyone"/>
      <w:r>
        <w:t>TYPE YOUR TEXT HERE</w:t>
      </w:r>
    </w:p>
    <w:permEnd w:id="1297758787"/>
    <w:p w14:paraId="28BE74A8" w14:textId="77777777" w:rsidR="00EA0D0D" w:rsidRDefault="00EA0D0D">
      <w:r>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1635F331" w14:textId="77777777" w:rsidR="00EA0D0D" w:rsidRDefault="00EA0D0D">
      <w:permStart w:id="1762339064" w:edGrp="everyone"/>
      <w:r>
        <w:t>TYPE YOUR TEXT HERE</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w:t>
      </w:r>
      <w:r w:rsidRPr="0058284E">
        <w:lastRenderedPageBreak/>
        <w:t xml:space="preserve">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Grigliatabella"/>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7777777" w:rsidR="00A2376B" w:rsidRDefault="00A2376B" w:rsidP="00A2376B">
      <w:permStart w:id="707362631" w:edGrp="everyone"/>
      <w:r>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Grigliatabella"/>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lastRenderedPageBreak/>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lastRenderedPageBreak/>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lastRenderedPageBreak/>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7D157897" w14:textId="77777777" w:rsidR="003454A4" w:rsidRPr="008C4DE9" w:rsidRDefault="003454A4" w:rsidP="003454A4">
      <w:permStart w:id="1522626052" w:edGrp="everyone"/>
      <w:r w:rsidRPr="00CC7E39">
        <w:t xml:space="preserve">On the basis of data </w:t>
      </w:r>
      <w:r w:rsidRPr="008C4DE9">
        <w:t xml:space="preserve">collected and published by ESMA </w:t>
      </w:r>
      <w:r w:rsidRPr="00CC7E39">
        <w:t>in a recent report Trends, Risks and Vulnerabilities, (No. 2, August 2023</w:t>
      </w:r>
      <w:r w:rsidRPr="00CC7E39">
        <w:rPr>
          <w:rStyle w:val="Rimandonotaapidipagina"/>
        </w:rPr>
        <w:footnoteReference w:id="2"/>
      </w:r>
      <w:r w:rsidRPr="00CC7E39">
        <w:t xml:space="preserve">) </w:t>
      </w:r>
      <w:r w:rsidRPr="008C4DE9">
        <w:t xml:space="preserve">and on the </w:t>
      </w:r>
      <w:r w:rsidRPr="00CC7E39">
        <w:t xml:space="preserve">basis of comments by our members, </w:t>
      </w:r>
      <w:r w:rsidRPr="008C4DE9">
        <w:t xml:space="preserve">current penalty rates </w:t>
      </w:r>
      <w:r w:rsidRPr="00CC7E39">
        <w:t xml:space="preserve">seem to </w:t>
      </w:r>
      <w:r w:rsidRPr="008C4DE9">
        <w:t>have had a positive impact in diminishing settlement fails</w:t>
      </w:r>
      <w:r w:rsidRPr="00CC7E39">
        <w:t xml:space="preserve">, </w:t>
      </w:r>
      <w:r w:rsidRPr="008C4DE9">
        <w:t>in particular for equities.</w:t>
      </w:r>
    </w:p>
    <w:p w14:paraId="39FBC67B" w14:textId="3BC03FBA" w:rsidR="00480F3D" w:rsidRDefault="003454A4" w:rsidP="003454A4">
      <w:r w:rsidRPr="00CC7E39">
        <w:t>However, our members have added that</w:t>
      </w:r>
      <w:r w:rsidRPr="008C4DE9">
        <w:t>, when assessing the impact of the cash penalt</w:t>
      </w:r>
      <w:r w:rsidRPr="00CC7E39">
        <w:t>ies</w:t>
      </w:r>
      <w:r w:rsidRPr="008C4DE9">
        <w:t xml:space="preserve"> regime </w:t>
      </w:r>
      <w:r>
        <w:t xml:space="preserve">on </w:t>
      </w:r>
      <w:r w:rsidRPr="008C4DE9">
        <w:t xml:space="preserve">settlement efficiency ratios in the EU, it </w:t>
      </w:r>
      <w:r w:rsidRPr="00CC7E39">
        <w:t xml:space="preserve">would be </w:t>
      </w:r>
      <w:r>
        <w:t xml:space="preserve">reasonable </w:t>
      </w:r>
      <w:r w:rsidRPr="008C4DE9">
        <w:t xml:space="preserve">to consider </w:t>
      </w:r>
      <w:r w:rsidRPr="00CC7E39">
        <w:t xml:space="preserve">a time frame </w:t>
      </w:r>
      <w:r w:rsidRPr="008C4DE9">
        <w:t>start</w:t>
      </w:r>
      <w:r w:rsidRPr="00CC7E39">
        <w:t>ing</w:t>
      </w:r>
      <w:r w:rsidRPr="008C4DE9">
        <w:t xml:space="preserve"> from a date prior to 1 February 2022 (</w:t>
      </w:r>
      <w:r w:rsidRPr="00CC7E39">
        <w:t xml:space="preserve">date of application </w:t>
      </w:r>
      <w:r w:rsidRPr="008C4DE9">
        <w:t xml:space="preserve">of the </w:t>
      </w:r>
      <w:r w:rsidRPr="00CC7E39">
        <w:t xml:space="preserve">current </w:t>
      </w:r>
      <w:r w:rsidRPr="008C4DE9">
        <w:t>settlement discipline</w:t>
      </w:r>
      <w:r w:rsidRPr="00CC7E39">
        <w:t xml:space="preserve"> regi</w:t>
      </w:r>
      <w:r>
        <w:t>m</w:t>
      </w:r>
      <w:r w:rsidRPr="00CC7E39">
        <w:t>e</w:t>
      </w:r>
      <w:r>
        <w:t>, SDR</w:t>
      </w:r>
      <w:r w:rsidRPr="008C4DE9">
        <w:t>)</w:t>
      </w:r>
      <w:r w:rsidRPr="00CC7E39">
        <w:t xml:space="preserve">, as </w:t>
      </w:r>
      <w:r w:rsidRPr="008C4DE9">
        <w:t>most</w:t>
      </w:r>
      <w:r w:rsidRPr="00CC7E39">
        <w:t xml:space="preserve"> of </w:t>
      </w:r>
      <w:r w:rsidRPr="008C4DE9">
        <w:t xml:space="preserve">industry participants were </w:t>
      </w:r>
      <w:r>
        <w:t xml:space="preserve">deploying solutions </w:t>
      </w:r>
      <w:r w:rsidRPr="008C4DE9">
        <w:t xml:space="preserve">to improve settlement efficiency in the months </w:t>
      </w:r>
      <w:r>
        <w:t xml:space="preserve">preceding </w:t>
      </w:r>
      <w:r w:rsidRPr="008C4DE9">
        <w:t xml:space="preserve">the above-mentioned </w:t>
      </w:r>
      <w:r w:rsidRPr="00911470">
        <w:rPr>
          <w:i/>
          <w:iCs/>
        </w:rPr>
        <w:t>go-live</w:t>
      </w:r>
      <w:r w:rsidRPr="008C4DE9">
        <w:t>.</w:t>
      </w:r>
    </w:p>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 xml:space="preserve">In your view, is the current CSDR penalty mechanism deterrent and proportionate? Does it effectively discourage settlement fails and incentivise </w:t>
      </w:r>
      <w:r w:rsidRPr="00E8434C">
        <w:lastRenderedPageBreak/>
        <w:t>their rapid resolution? Please provide data and arguments to justify your answer.</w:t>
      </w:r>
    </w:p>
    <w:bookmarkEnd w:id="15"/>
    <w:p w14:paraId="4A2B257D" w14:textId="77777777" w:rsidR="00480F3D" w:rsidRDefault="00480F3D">
      <w:r>
        <w:t>&lt;ESMA_QUESTION_CSDR_16&gt;</w:t>
      </w:r>
    </w:p>
    <w:p w14:paraId="0B37AD5C" w14:textId="77777777" w:rsidR="0075160E" w:rsidRPr="00CC7E39" w:rsidRDefault="0075160E" w:rsidP="0075160E">
      <w:permStart w:id="1340627845" w:edGrp="everyone"/>
      <w:r w:rsidRPr="00CC7E39">
        <w:t>Comments gathered by our members</w:t>
      </w:r>
      <w:r w:rsidRPr="00FE4DCF">
        <w:t xml:space="preserve"> point to positive </w:t>
      </w:r>
      <w:r w:rsidRPr="00CC7E39">
        <w:t>effects</w:t>
      </w:r>
      <w:r w:rsidRPr="00FE4DCF">
        <w:t xml:space="preserve"> of the penalties’ regime on </w:t>
      </w:r>
      <w:r w:rsidRPr="00CC7E39">
        <w:t xml:space="preserve">the </w:t>
      </w:r>
      <w:r w:rsidRPr="00FE4DCF">
        <w:t>settlement efficiency.</w:t>
      </w:r>
      <w:r w:rsidRPr="00CC7E39">
        <w:t xml:space="preserve"> However, </w:t>
      </w:r>
      <w:r w:rsidRPr="00FE4DCF">
        <w:t>based on experience</w:t>
      </w:r>
      <w:r w:rsidRPr="00CC7E39">
        <w:t xml:space="preserve"> </w:t>
      </w:r>
      <w:r>
        <w:t>reported</w:t>
      </w:r>
      <w:r w:rsidRPr="00FE4DCF">
        <w:t xml:space="preserve"> </w:t>
      </w:r>
      <w:r>
        <w:t xml:space="preserve">by </w:t>
      </w:r>
      <w:r w:rsidRPr="00CC7E39">
        <w:t>some members</w:t>
      </w:r>
      <w:r w:rsidRPr="00FE4DCF">
        <w:t xml:space="preserve">, two scenarios </w:t>
      </w:r>
      <w:r>
        <w:t>could</w:t>
      </w:r>
      <w:r w:rsidRPr="00CC7E39">
        <w:t xml:space="preserve"> be identified </w:t>
      </w:r>
      <w:r w:rsidRPr="00FE4DCF">
        <w:t xml:space="preserve">where cash penalties </w:t>
      </w:r>
      <w:r w:rsidRPr="00CC7E39">
        <w:t xml:space="preserve">do </w:t>
      </w:r>
      <w:r w:rsidRPr="00FE4DCF">
        <w:t xml:space="preserve">not </w:t>
      </w:r>
      <w:r w:rsidRPr="00CC7E39">
        <w:t xml:space="preserve">necessarily </w:t>
      </w:r>
      <w:r w:rsidRPr="00FE4DCF">
        <w:t>lead to the timely resolution of a settlement issue</w:t>
      </w:r>
      <w:r>
        <w:t>, i.e.</w:t>
      </w:r>
      <w:r w:rsidRPr="00CC7E39">
        <w:t xml:space="preserve"> </w:t>
      </w:r>
      <w:r w:rsidRPr="00FE4DCF">
        <w:t>Cancel/</w:t>
      </w:r>
      <w:r w:rsidRPr="00CC7E39">
        <w:t>R</w:t>
      </w:r>
      <w:r w:rsidRPr="00FE4DCF">
        <w:t>ebook</w:t>
      </w:r>
      <w:r>
        <w:t xml:space="preserve"> of settlement instructions, and </w:t>
      </w:r>
      <w:r w:rsidRPr="00CC7E39">
        <w:t>Manual partials</w:t>
      </w:r>
      <w:r>
        <w:t xml:space="preserve">, as described in the </w:t>
      </w:r>
      <w:r w:rsidRPr="00CC7E39">
        <w:t xml:space="preserve">following </w:t>
      </w:r>
      <w:r>
        <w:t>two paragraphs.</w:t>
      </w:r>
    </w:p>
    <w:p w14:paraId="72025452" w14:textId="77777777" w:rsidR="0075160E" w:rsidRPr="00A33DC4" w:rsidRDefault="0075160E" w:rsidP="0075160E">
      <w:r w:rsidRPr="00A33DC4">
        <w:t xml:space="preserve">Case 1: Party A and Party B execute a transaction. Party A instructs the transaction for settlement in CSD 1. Party B instructs for settlement in CSD 2. In order for the transaction to settle, one party must cancel their original instruction, and rebook to a different CSD. If the discrepancy is not identified and resolved prior to </w:t>
      </w:r>
      <w:r w:rsidRPr="00CC7E39">
        <w:t>ISD (</w:t>
      </w:r>
      <w:r w:rsidRPr="00A33DC4">
        <w:t>Intended Settlement Date</w:t>
      </w:r>
      <w:r w:rsidRPr="00CC7E39">
        <w:t>)</w:t>
      </w:r>
      <w:r w:rsidRPr="00A33DC4">
        <w:t xml:space="preserve">, the rebooking will incur a </w:t>
      </w:r>
      <w:r w:rsidRPr="00CC7E39">
        <w:t>LMFP (</w:t>
      </w:r>
      <w:r w:rsidRPr="00A33DC4">
        <w:t>Late Matching Fail Penalty</w:t>
      </w:r>
      <w:r w:rsidRPr="00CC7E39">
        <w:t>)</w:t>
      </w:r>
      <w:r w:rsidRPr="00A33DC4">
        <w:t>. Depending on the size of the penalty, this can discourage either party from wanting to rebook their instruction, at least without agreement that the penalty amount can be reclaimed from their counterparty. This leads to delays and inefficiencies in the settlement process.</w:t>
      </w:r>
    </w:p>
    <w:p w14:paraId="5E69CCF1" w14:textId="77777777" w:rsidR="0075160E" w:rsidRPr="00A33DC4" w:rsidRDefault="0075160E" w:rsidP="0075160E">
      <w:r w:rsidRPr="00A33DC4">
        <w:t xml:space="preserve">Case 2: A similar scenario can occur in relation to manual partials. If the seller has available inventory, but not the full amount, a partial delivery should be offered by the seller and accepted by the buyer. Ideally, this happens on an automated basis. If </w:t>
      </w:r>
      <w:r>
        <w:t xml:space="preserve">one of the </w:t>
      </w:r>
      <w:r w:rsidRPr="00A33DC4">
        <w:t>part</w:t>
      </w:r>
      <w:r>
        <w:t>ies</w:t>
      </w:r>
      <w:r w:rsidRPr="00A33DC4">
        <w:t xml:space="preserve">, or the CSD, cannot facilitate an “auto-partial”, </w:t>
      </w:r>
      <w:r>
        <w:t xml:space="preserve">then it </w:t>
      </w:r>
      <w:r w:rsidRPr="00A33DC4">
        <w:t>will need to be instructed manually. Cancelling and rebooking the original instruction into two separate instructions with a back-dated ISD will incur LMFPs for whichever party is last to input the new instructions. Again, this creates a disincentive for parties to agree a timely resolution to the issue.</w:t>
      </w:r>
    </w:p>
    <w:p w14:paraId="1BE81CD5" w14:textId="77777777" w:rsidR="0075160E" w:rsidRPr="00A33DC4" w:rsidRDefault="0075160E" w:rsidP="0075160E">
      <w:r w:rsidRPr="00CC7E39">
        <w:t>In Q&amp;A paper on CSDR</w:t>
      </w:r>
      <w:r w:rsidRPr="00CC7E39">
        <w:rPr>
          <w:rStyle w:val="Rimandonotaapidipagina"/>
        </w:rPr>
        <w:footnoteReference w:id="3"/>
      </w:r>
      <w:r w:rsidRPr="00CC7E39">
        <w:t xml:space="preserve">, ESMA </w:t>
      </w:r>
      <w:r w:rsidRPr="00A33DC4">
        <w:t xml:space="preserve">states that </w:t>
      </w:r>
      <w:r w:rsidRPr="00CC7E39">
        <w:t xml:space="preserve">(pag. 31) </w:t>
      </w:r>
      <w:r w:rsidRPr="00A33DC4">
        <w:t>CSDR “</w:t>
      </w:r>
      <w:r w:rsidRPr="00A33DC4">
        <w:rPr>
          <w:i/>
          <w:iCs/>
        </w:rPr>
        <w:t>should not lead to the application of duplicative penalties for the same settlement instructions on the period between the ISD and the date of the introduction of the new settlement instruction into the securities settlement system</w:t>
      </w:r>
      <w:r w:rsidRPr="00A33DC4">
        <w:t>”. However, there is currently no systematic means for CSDs to identify and exclude such instructions from the application of penalties.</w:t>
      </w:r>
    </w:p>
    <w:p w14:paraId="744A0C9D" w14:textId="32A6E4B5" w:rsidR="00480F3D" w:rsidRDefault="0075160E" w:rsidP="0075160E">
      <w:r w:rsidRPr="00CC7E39">
        <w:t>In the light of the above, we believe that the need to increase the use of partial settlement and partial release looks even more compelling (see also our answer to Q18 below).</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25DBA322" w14:textId="77777777" w:rsidR="00C5632D" w:rsidRPr="00CC7E39" w:rsidRDefault="00C5632D" w:rsidP="00C5632D">
      <w:permStart w:id="1267808287" w:edGrp="everyone"/>
      <w:r>
        <w:t xml:space="preserve">Our members </w:t>
      </w:r>
      <w:r w:rsidRPr="00CC7E39">
        <w:t xml:space="preserve">believe the three </w:t>
      </w:r>
      <w:r w:rsidRPr="001609B1">
        <w:t xml:space="preserve">high-level categories </w:t>
      </w:r>
      <w:r w:rsidRPr="00CC7E39">
        <w:t xml:space="preserve">mentioned in the question </w:t>
      </w:r>
      <w:r w:rsidRPr="001609B1">
        <w:t xml:space="preserve">do not </w:t>
      </w:r>
      <w:r>
        <w:t xml:space="preserve">entirely </w:t>
      </w:r>
      <w:r w:rsidRPr="001609B1">
        <w:t>reflect the root causes leading to settlement fails.</w:t>
      </w:r>
      <w:r w:rsidRPr="00CC7E39">
        <w:t xml:space="preserve"> </w:t>
      </w:r>
      <w:r>
        <w:t>In our opinion</w:t>
      </w:r>
      <w:r w:rsidRPr="00CC7E39">
        <w:t xml:space="preserve">, the main </w:t>
      </w:r>
      <w:r>
        <w:t xml:space="preserve">reasons and </w:t>
      </w:r>
      <w:r w:rsidRPr="00CC7E39">
        <w:t>driver</w:t>
      </w:r>
      <w:r>
        <w:t>(s)</w:t>
      </w:r>
      <w:r w:rsidRPr="00CC7E39">
        <w:t xml:space="preserve"> </w:t>
      </w:r>
      <w:r>
        <w:t>for</w:t>
      </w:r>
      <w:r w:rsidRPr="00CC7E39">
        <w:t xml:space="preserve"> settlement fails </w:t>
      </w:r>
      <w:r>
        <w:t xml:space="preserve">could </w:t>
      </w:r>
      <w:r w:rsidRPr="00CC7E39">
        <w:t>be classified into the following four categories:</w:t>
      </w:r>
    </w:p>
    <w:p w14:paraId="760E04B3" w14:textId="77777777" w:rsidR="00C5632D" w:rsidRPr="00CC7E39" w:rsidRDefault="00C5632D" w:rsidP="00C5632D">
      <w:pPr>
        <w:pStyle w:val="Paragrafoelenco"/>
        <w:numPr>
          <w:ilvl w:val="0"/>
          <w:numId w:val="17"/>
        </w:numPr>
        <w:spacing w:after="160" w:line="259" w:lineRule="auto"/>
        <w:contextualSpacing/>
      </w:pPr>
      <w:r w:rsidRPr="00CC7E39">
        <w:t>Inventory management;</w:t>
      </w:r>
    </w:p>
    <w:p w14:paraId="12D72D75" w14:textId="77777777" w:rsidR="00C5632D" w:rsidRPr="00C5632D" w:rsidRDefault="00C5632D" w:rsidP="00C5632D">
      <w:pPr>
        <w:pStyle w:val="Paragrafoelenco"/>
        <w:numPr>
          <w:ilvl w:val="0"/>
          <w:numId w:val="17"/>
        </w:numPr>
        <w:spacing w:after="160" w:line="259" w:lineRule="auto"/>
        <w:contextualSpacing/>
        <w:rPr>
          <w:lang w:val="en-US"/>
        </w:rPr>
      </w:pPr>
      <w:r w:rsidRPr="00C5632D">
        <w:rPr>
          <w:lang w:val="en-US"/>
        </w:rPr>
        <w:t>Data quality. This driver/topic is related to the ideal objective of a reference data to be sourced by all parties from a common, central data source in order to minimize the risk of a mismatch between two parties;</w:t>
      </w:r>
    </w:p>
    <w:p w14:paraId="63F7A0AB" w14:textId="77777777" w:rsidR="00C5632D" w:rsidRPr="00C5632D" w:rsidRDefault="00C5632D" w:rsidP="00C5632D">
      <w:pPr>
        <w:pStyle w:val="Paragrafoelenco"/>
        <w:numPr>
          <w:ilvl w:val="0"/>
          <w:numId w:val="17"/>
        </w:numPr>
        <w:spacing w:after="160" w:line="259" w:lineRule="auto"/>
        <w:contextualSpacing/>
        <w:rPr>
          <w:lang w:val="en-US"/>
        </w:rPr>
      </w:pPr>
      <w:r w:rsidRPr="00C5632D">
        <w:rPr>
          <w:lang w:val="en-US"/>
        </w:rPr>
        <w:t>Counterparties set-up and behaviour, i.e. related to relative low penetration of automation;</w:t>
      </w:r>
    </w:p>
    <w:p w14:paraId="2DDB9EAF" w14:textId="77777777" w:rsidR="00C5632D" w:rsidRPr="00C5632D" w:rsidRDefault="00C5632D" w:rsidP="00C5632D">
      <w:pPr>
        <w:pStyle w:val="Paragrafoelenco"/>
        <w:numPr>
          <w:ilvl w:val="0"/>
          <w:numId w:val="17"/>
        </w:numPr>
        <w:spacing w:after="160" w:line="259" w:lineRule="auto"/>
        <w:contextualSpacing/>
        <w:rPr>
          <w:lang w:val="en-US"/>
        </w:rPr>
      </w:pPr>
      <w:r w:rsidRPr="00C5632D">
        <w:rPr>
          <w:lang w:val="en-US"/>
        </w:rPr>
        <w:t xml:space="preserve">Workflow management, i.e. related to delays or fails attributed to internal workflow inefficiencies, </w:t>
      </w:r>
      <w:r w:rsidRPr="00C5632D">
        <w:rPr>
          <w:i/>
          <w:iCs/>
          <w:lang w:val="en-US"/>
        </w:rPr>
        <w:t>non-straight-through-processing</w:t>
      </w:r>
      <w:r w:rsidRPr="00C5632D">
        <w:rPr>
          <w:lang w:val="en-US"/>
        </w:rPr>
        <w:t xml:space="preserve"> (non-STP) processes, manual booking errors or technology issues.</w:t>
      </w:r>
    </w:p>
    <w:p w14:paraId="6F3B4581" w14:textId="5D635BE4" w:rsidR="00480F3D" w:rsidRDefault="00C5632D" w:rsidP="00C5632D">
      <w:r>
        <w:t>Specifically for ETFs, one of the main reasons for settlement fails seems to be the lack of harmonization in the messaging standards and in the actual content of the messages exchanged by CSDs and ICSDs. Among other issues affecting ETFs’ settlement efficiency is that often participants report to buy an ETF, to find out afterwards that they have to await its actual constitution/setup, or some reimbursements of it coming from other markets.</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674FB108" w14:textId="27F02496" w:rsidR="00F60220" w:rsidRPr="008F621A" w:rsidRDefault="008A3535" w:rsidP="00F60220">
      <w:permStart w:id="1836331667" w:edGrp="everyone"/>
      <w:r w:rsidRPr="008A3535">
        <w:t>The use of Partial Settlement and the Hold and Release mechanism (H&amp;R) should be increased to improve the current settlement efficiency in the Union, and even more so in light of an eventual future gradual move to a shorter settlement cycle (T+1) in the Union</w:t>
      </w:r>
      <w:r w:rsidR="00F60220" w:rsidRPr="00303732">
        <w:t>.</w:t>
      </w:r>
    </w:p>
    <w:p w14:paraId="65A48A7C" w14:textId="77777777" w:rsidR="009A3006" w:rsidRPr="009A3006" w:rsidRDefault="00F60220" w:rsidP="009A3006">
      <w:r w:rsidRPr="00ED6E93">
        <w:rPr>
          <w:b/>
          <w:bCs/>
        </w:rPr>
        <w:t>From an operational standpoint</w:t>
      </w:r>
      <w:r w:rsidRPr="00CC7E39">
        <w:t xml:space="preserve">, </w:t>
      </w:r>
      <w:r w:rsidR="009A3006" w:rsidRPr="009A3006">
        <w:t xml:space="preserve">our members believe that an increased use of Partial Release would play a key role for the efficiency as it currently allows and would continue to </w:t>
      </w:r>
      <w:r w:rsidR="009A3006" w:rsidRPr="009A3006">
        <w:lastRenderedPageBreak/>
        <w:t xml:space="preserve">allow partialization of settlement instructions, which reduces the amount of a potentially-pending transaction which is not settling by the ISD. Likewise, H&amp;R would allow synchronization on the settlement instructions release, avoiding any inconvenience due to timing. However, </w:t>
      </w:r>
      <w:r w:rsidR="009A3006" w:rsidRPr="009A3006">
        <w:rPr>
          <w:lang w:val="en-US"/>
        </w:rPr>
        <w:t>it must be underlined that we are aware that the increased use of partial settlement “</w:t>
      </w:r>
      <w:r w:rsidR="009A3006" w:rsidRPr="009A3006">
        <w:rPr>
          <w:i/>
          <w:lang w:val="en-US"/>
        </w:rPr>
        <w:t>per se</w:t>
      </w:r>
      <w:r w:rsidR="009A3006" w:rsidRPr="009A3006">
        <w:rPr>
          <w:lang w:val="en-US"/>
        </w:rPr>
        <w:t>” risks being not sufficient, since by merely keeping “on hold” a settlement instruction, it does not automatically prompt an increase in the settlement success in percentual terms.</w:t>
      </w:r>
    </w:p>
    <w:p w14:paraId="0CC2A715" w14:textId="74619348" w:rsidR="00F60220" w:rsidRPr="00CC7E39" w:rsidRDefault="009A3006" w:rsidP="009A3006">
      <w:r w:rsidRPr="009A3006">
        <w:t>Having said the above (i.e., finding and supporting ways to increase the use of partial release, partial settlement and Hold/Release functionality) some members believe  that the procedures governing the way the “Hold” functionality is managed should be preserved as they are today and should not be modified especially as far as “third-party accounts” are concerned, because otherwise this could and would raise the need to open several segregated accounts and, consequently, drive upwards the costs for participants</w:t>
      </w:r>
      <w:r w:rsidR="00F60220" w:rsidRPr="00CC7E39">
        <w:t>.</w:t>
      </w:r>
    </w:p>
    <w:p w14:paraId="229077AB" w14:textId="2E3C8172" w:rsidR="00F60220" w:rsidRDefault="00F60220" w:rsidP="00F60220">
      <w:r w:rsidRPr="00ED6E93">
        <w:rPr>
          <w:b/>
          <w:bCs/>
        </w:rPr>
        <w:t>From a regulatory point of view,</w:t>
      </w:r>
      <w:r w:rsidRPr="00CC7E39">
        <w:t xml:space="preserve"> </w:t>
      </w:r>
      <w:r w:rsidR="00F47043" w:rsidRPr="00F47043">
        <w:t>the operational proposal presented in the paragraph above would translate</w:t>
      </w:r>
      <w:r>
        <w:t>:</w:t>
      </w:r>
    </w:p>
    <w:p w14:paraId="1B4BA6F3" w14:textId="7D03A67C" w:rsidR="00F60220" w:rsidRPr="00F60220" w:rsidRDefault="00915FD5" w:rsidP="00F60220">
      <w:pPr>
        <w:pStyle w:val="Paragrafoelenco"/>
        <w:numPr>
          <w:ilvl w:val="0"/>
          <w:numId w:val="18"/>
        </w:numPr>
        <w:spacing w:after="160" w:line="259" w:lineRule="auto"/>
        <w:contextualSpacing/>
        <w:rPr>
          <w:lang w:val="en-US"/>
        </w:rPr>
      </w:pPr>
      <w:r w:rsidRPr="00915FD5">
        <w:rPr>
          <w:lang w:val="en-GB"/>
        </w:rPr>
        <w:t>either into the deletion of Art. 12 of Commission Delegated Regulation (EU) 2018/1229, which provides for a derogation for CSDs to provide H&amp;R mechanism and to allow for the partial settlement of settlement instructions</w:t>
      </w:r>
      <w:r w:rsidR="00F60220" w:rsidRPr="00F60220">
        <w:rPr>
          <w:lang w:val="en-US"/>
        </w:rPr>
        <w:t>;</w:t>
      </w:r>
    </w:p>
    <w:p w14:paraId="40508B39" w14:textId="3F61406D" w:rsidR="00F60220" w:rsidRPr="00F60220" w:rsidRDefault="00C32A94" w:rsidP="00F60220">
      <w:pPr>
        <w:pStyle w:val="Paragrafoelenco"/>
        <w:numPr>
          <w:ilvl w:val="0"/>
          <w:numId w:val="18"/>
        </w:numPr>
        <w:spacing w:after="160" w:line="259" w:lineRule="auto"/>
        <w:contextualSpacing/>
        <w:rPr>
          <w:lang w:val="en-US"/>
        </w:rPr>
      </w:pPr>
      <w:r w:rsidRPr="00C32A94">
        <w:rPr>
          <w:lang w:val="en-GB"/>
        </w:rPr>
        <w:t xml:space="preserve">or into the partial change of the logics: </w:t>
      </w:r>
      <w:r w:rsidRPr="00C32A94">
        <w:rPr>
          <w:b/>
          <w:bCs/>
          <w:lang w:val="en-GB"/>
        </w:rPr>
        <w:t>CSD should, by default, provide for both H&amp;R and Partial Settlement</w:t>
      </w:r>
      <w:r w:rsidRPr="00C32A94">
        <w:rPr>
          <w:lang w:val="en-GB"/>
        </w:rPr>
        <w:t xml:space="preserve"> (hence, derogation under Art. 12 should be repealed), leaving the parties to a transaction to decide whether “not to opt for” the H&amp;R or for the Partialization. However, for this to work, this approach would have to go along with an amendment in the logics enshrined in the T2S platform specifically for Partialization. Under this newly proposed logic (partialization by default), T2S settings on partialization would have to be set accordingly, hence at the opposite as nowadays</w:t>
      </w:r>
      <w:r w:rsidR="00F60220" w:rsidRPr="00F60220">
        <w:rPr>
          <w:lang w:val="en-US"/>
        </w:rPr>
        <w:t xml:space="preserve">. </w:t>
      </w:r>
    </w:p>
    <w:p w14:paraId="68A45E9B" w14:textId="0BA503B0" w:rsidR="00480F3D" w:rsidRDefault="00234EA5" w:rsidP="00F60220">
      <w:r w:rsidRPr="00234EA5">
        <w:t xml:space="preserve">That said, partial settlement could even be made mandatory for the main </w:t>
      </w:r>
      <w:r w:rsidRPr="00234EA5">
        <w:rPr>
          <w:u w:val="single"/>
        </w:rPr>
        <w:t>asset classes</w:t>
      </w:r>
      <w:r w:rsidRPr="00234EA5">
        <w:t xml:space="preserve">, with some exceptions as for instance securities lending, or for specific </w:t>
      </w:r>
      <w:r w:rsidRPr="00234EA5">
        <w:rPr>
          <w:u w:val="single"/>
        </w:rPr>
        <w:t>types of instructions</w:t>
      </w:r>
      <w:r w:rsidRPr="00234EA5">
        <w:t xml:space="preserve"> such as “portfolio transfers”, as well as “new issuances”, “mark-up/mark-downs” and claims/transformations that should also be excluded from partial settlement</w:t>
      </w:r>
      <w:r w:rsidR="00F60220" w:rsidRPr="00CC7E39">
        <w:t>.</w:t>
      </w:r>
    </w:p>
    <w:permEnd w:id="1836331667"/>
    <w:p w14:paraId="04CE5E6B" w14:textId="77777777" w:rsidR="00480F3D" w:rsidRDefault="00480F3D">
      <w:r>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77245849" w14:textId="77777777" w:rsidR="0075343F" w:rsidRPr="00C97B75" w:rsidRDefault="0075343F" w:rsidP="0075343F">
      <w:permStart w:id="1744390137" w:edGrp="everyone"/>
      <w:r>
        <w:lastRenderedPageBreak/>
        <w:t>Our members agrees</w:t>
      </w:r>
      <w:r w:rsidRPr="00C97B75">
        <w:t xml:space="preserve"> with ESMA </w:t>
      </w:r>
      <w:r>
        <w:t xml:space="preserve">on the fact </w:t>
      </w:r>
      <w:r w:rsidRPr="00C97B75">
        <w:t xml:space="preserve">that </w:t>
      </w:r>
      <w:r>
        <w:rPr>
          <w:rFonts w:cstheme="minorHAnsi"/>
        </w:rPr>
        <w:t>«</w:t>
      </w:r>
      <w:r w:rsidRPr="00A211E0">
        <w:rPr>
          <w:i/>
          <w:iCs/>
        </w:rPr>
        <w:t>100% settlement efficiency may not be a realistic target</w:t>
      </w:r>
      <w:r>
        <w:rPr>
          <w:rFonts w:cstheme="minorHAnsi"/>
        </w:rPr>
        <w:t>»</w:t>
      </w:r>
      <w:r w:rsidRPr="00C97B75">
        <w:t xml:space="preserve">, and that </w:t>
      </w:r>
      <w:r>
        <w:rPr>
          <w:rFonts w:cstheme="minorHAnsi"/>
        </w:rPr>
        <w:t>«</w:t>
      </w:r>
      <w:r w:rsidRPr="00A211E0">
        <w:rPr>
          <w:i/>
          <w:iCs/>
        </w:rPr>
        <w:t>some flexibility in the penalty mechanism should be provided for</w:t>
      </w:r>
      <w:r>
        <w:rPr>
          <w:rFonts w:cstheme="minorHAnsi"/>
        </w:rPr>
        <w:t>»</w:t>
      </w:r>
      <w:r>
        <w:t xml:space="preserve"> </w:t>
      </w:r>
      <w:r w:rsidRPr="00C97B75">
        <w:t>(</w:t>
      </w:r>
      <w:r>
        <w:t xml:space="preserve">as per </w:t>
      </w:r>
      <w:r w:rsidRPr="00C97B75">
        <w:t>paragraph 57</w:t>
      </w:r>
      <w:r>
        <w:t xml:space="preserve"> on </w:t>
      </w:r>
      <w:r w:rsidRPr="00C97B75">
        <w:t>page 28</w:t>
      </w:r>
      <w:r>
        <w:t>)</w:t>
      </w:r>
      <w:r w:rsidRPr="00C97B75">
        <w:t>.</w:t>
      </w:r>
    </w:p>
    <w:p w14:paraId="485BD192" w14:textId="77777777" w:rsidR="0075343F" w:rsidRPr="00C97B75" w:rsidRDefault="0075343F" w:rsidP="0075343F">
      <w:r>
        <w:t>A</w:t>
      </w:r>
      <w:r w:rsidRPr="00C97B75">
        <w:t xml:space="preserve"> possible approach to define </w:t>
      </w:r>
      <w:r>
        <w:t xml:space="preserve">an </w:t>
      </w:r>
      <w:r w:rsidRPr="00C97B75">
        <w:t xml:space="preserve">optimal level of settlement efficiency should </w:t>
      </w:r>
      <w:r>
        <w:t xml:space="preserve">consider and </w:t>
      </w:r>
      <w:r w:rsidRPr="00C97B75">
        <w:t xml:space="preserve">address the </w:t>
      </w:r>
      <w:r>
        <w:t>“</w:t>
      </w:r>
      <w:r w:rsidRPr="00C97B75">
        <w:t xml:space="preserve">reduction of </w:t>
      </w:r>
      <w:r>
        <w:t xml:space="preserve">(systemic) </w:t>
      </w:r>
      <w:r w:rsidRPr="00C97B75">
        <w:t>risk</w:t>
      </w:r>
      <w:r>
        <w:t>”</w:t>
      </w:r>
      <w:r w:rsidRPr="00C97B75">
        <w:t xml:space="preserve"> and the understanding of “when” high levels of settlement fails start representing </w:t>
      </w:r>
      <w:r>
        <w:t>“</w:t>
      </w:r>
      <w:r w:rsidRPr="00C97B75">
        <w:t>a source of systemic risk for the EU</w:t>
      </w:r>
      <w:r>
        <w:t>”</w:t>
      </w:r>
      <w:r w:rsidRPr="00C97B75">
        <w:t>.</w:t>
      </w:r>
    </w:p>
    <w:p w14:paraId="05839AFF" w14:textId="77777777" w:rsidR="0075343F" w:rsidRDefault="0075343F" w:rsidP="0075343F">
      <w:r>
        <w:t>H</w:t>
      </w:r>
      <w:r w:rsidRPr="00C97B75">
        <w:t xml:space="preserve">aving </w:t>
      </w:r>
      <w:r w:rsidRPr="00D32632">
        <w:rPr>
          <w:u w:val="single"/>
        </w:rPr>
        <w:t xml:space="preserve">different optimal levels of settlement efficiency by asset type </w:t>
      </w:r>
      <w:r>
        <w:t xml:space="preserve">could be a solution to consider and, in that scope, </w:t>
      </w:r>
      <w:r w:rsidRPr="00C97B75">
        <w:t>a series of factors should be considered</w:t>
      </w:r>
      <w:r>
        <w:t xml:space="preserve">, as for instance </w:t>
      </w:r>
      <w:r w:rsidRPr="00C97B75">
        <w:t>trading volume</w:t>
      </w:r>
      <w:r>
        <w:t>(s),</w:t>
      </w:r>
      <w:r w:rsidRPr="00C97B75">
        <w:t xml:space="preserve"> market value</w:t>
      </w:r>
      <w:r>
        <w:t>(s),</w:t>
      </w:r>
      <w:r w:rsidRPr="00C97B75">
        <w:t xml:space="preserve"> liquidity</w:t>
      </w:r>
      <w:r>
        <w:t xml:space="preserve"> degree,</w:t>
      </w:r>
      <w:r w:rsidRPr="00C97B75">
        <w:t xml:space="preserve"> etc.</w:t>
      </w:r>
    </w:p>
    <w:p w14:paraId="75F12042" w14:textId="24DDCAA8" w:rsidR="00480F3D" w:rsidRDefault="0075343F" w:rsidP="0075343F">
      <w:r>
        <w:t>However, none of the above could be self-standing without a prior effort to define i) what “settlement efficiency” means and ii) a related commonly agreed measure(s) of it, so that (for instance) the Settlement Efficiency statistics produced by EU CSDs become finally harmonised and comparable (as it is not the case to date). Likewise, ECB shall be involved in this process so that the Target2-Securities platform adopts such new definitions and measures of Settlement Efficiency, or at least adds them to its pre-defined set of efficiency measures (otherwise, the industry would continue to have a Eurosystem Platform with its own three different measures of efficiency, whilst CSDR discipline would have its own).</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3B40C30E" w14:textId="77777777" w:rsidR="00C6364A" w:rsidRPr="006F6064" w:rsidRDefault="00C6364A" w:rsidP="00C6364A">
      <w:permStart w:id="652349975" w:edGrp="everyone"/>
      <w:r>
        <w:t>T</w:t>
      </w:r>
      <w:r w:rsidRPr="006F6064">
        <w:t xml:space="preserve">he CSDR Settlement Discipline </w:t>
      </w:r>
      <w:r>
        <w:t xml:space="preserve">is being applied since exactly </w:t>
      </w:r>
      <w:r w:rsidRPr="006F6064">
        <w:t>two years</w:t>
      </w:r>
      <w:r>
        <w:t>. I</w:t>
      </w:r>
      <w:r w:rsidRPr="006F6064">
        <w:t xml:space="preserve">t </w:t>
      </w:r>
      <w:r>
        <w:t xml:space="preserve">would be </w:t>
      </w:r>
      <w:r w:rsidRPr="006F6064">
        <w:t xml:space="preserve">appropriate to allow for a longer </w:t>
      </w:r>
      <w:r>
        <w:t xml:space="preserve">time frame to thoroughly assess </w:t>
      </w:r>
      <w:r w:rsidRPr="00132DBB">
        <w:rPr>
          <w:u w:val="single"/>
        </w:rPr>
        <w:t>whether</w:t>
      </w:r>
      <w:r>
        <w:t xml:space="preserve"> significant </w:t>
      </w:r>
      <w:r w:rsidRPr="006F6064">
        <w:t xml:space="preserve">changes </w:t>
      </w:r>
      <w:r>
        <w:t xml:space="preserve">to </w:t>
      </w:r>
      <w:r w:rsidRPr="006F6064">
        <w:t>cash penalties</w:t>
      </w:r>
      <w:r>
        <w:t xml:space="preserve"> should be introduced</w:t>
      </w:r>
      <w:r w:rsidRPr="006F6064">
        <w:t>.</w:t>
      </w:r>
      <w:r>
        <w:t xml:space="preserve"> </w:t>
      </w:r>
      <w:r w:rsidRPr="00CE4F38">
        <w:rPr>
          <w:b/>
          <w:bCs/>
        </w:rPr>
        <w:t xml:space="preserve">The penalty rates by asset type provided for </w:t>
      </w:r>
      <w:r w:rsidRPr="00CE4F38">
        <w:rPr>
          <w:b/>
          <w:bCs/>
          <w:u w:val="single"/>
        </w:rPr>
        <w:t>under the current</w:t>
      </w:r>
      <w:r w:rsidRPr="00CE4F38">
        <w:rPr>
          <w:b/>
          <w:bCs/>
        </w:rPr>
        <w:t xml:space="preserve"> Delegated Regulation (EU) 2017/389 are deemed reasonable and proportionate to the goal</w:t>
      </w:r>
      <w:r>
        <w:t xml:space="preserve">. Even more so, given the current market conditions which are seeing positive sensible levels of interest rates. Interest rate level is important as it represents a measure of the “opportunity costs” of a transaction to fail. The higher the interest rate are, the higher is the cost-opportunity of a failing transaction and, consequently, the penalty mechanism is strongly helped in its dissuasive function. Hence, in “normal” market conditions, with positive interest rates, there should be no strong need of exacerbating the dissuasive </w:t>
      </w:r>
      <w:r>
        <w:lastRenderedPageBreak/>
        <w:t>action of penalty rates. That is why we believe that the current penalty rate by asset type are proportionate and effective to the goal.</w:t>
      </w:r>
    </w:p>
    <w:p w14:paraId="3E87B3F9" w14:textId="77777777" w:rsidR="00C6364A" w:rsidRDefault="00C6364A" w:rsidP="00C6364A">
      <w:r>
        <w:t xml:space="preserve">Should the </w:t>
      </w:r>
      <w:r w:rsidRPr="006F6064">
        <w:t xml:space="preserve">review </w:t>
      </w:r>
      <w:r>
        <w:t>of the penalty mechanism go ahead anyway (be it with the proposed solution under Option 1 on page 32 or under Option 2 under page 33)</w:t>
      </w:r>
      <w:r w:rsidRPr="006F6064">
        <w:t xml:space="preserve">, </w:t>
      </w:r>
      <w:r>
        <w:t xml:space="preserve">the relevant </w:t>
      </w:r>
      <w:r w:rsidRPr="006F6064">
        <w:t>implement</w:t>
      </w:r>
      <w:r>
        <w:t>ation</w:t>
      </w:r>
      <w:r w:rsidRPr="006F6064">
        <w:t xml:space="preserve"> </w:t>
      </w:r>
      <w:r>
        <w:t xml:space="preserve">would have to provide stakeholders with an appropriate timeframe to set and deploy the changes. </w:t>
      </w:r>
    </w:p>
    <w:p w14:paraId="771020A9" w14:textId="77777777" w:rsidR="00C6364A" w:rsidRDefault="00C6364A" w:rsidP="00C6364A">
      <w:r>
        <w:t xml:space="preserve">We invite ESMA to ponder over the fact that the implications </w:t>
      </w:r>
      <w:r w:rsidRPr="006F6064">
        <w:t>for market participants</w:t>
      </w:r>
      <w:r>
        <w:t xml:space="preserve"> by Option 1 or Option 2 would be even more compelling and challenging when considered along with the </w:t>
      </w:r>
      <w:r w:rsidRPr="006F6064">
        <w:t xml:space="preserve">challenges </w:t>
      </w:r>
      <w:r>
        <w:t>of a potential future shift</w:t>
      </w:r>
      <w:r w:rsidRPr="006F6064">
        <w:t xml:space="preserve"> </w:t>
      </w:r>
      <w:r>
        <w:t xml:space="preserve">of the EU </w:t>
      </w:r>
      <w:r w:rsidRPr="006F6064">
        <w:t xml:space="preserve">to </w:t>
      </w:r>
      <w:r>
        <w:t>a shorter settlement cycle (</w:t>
      </w:r>
      <w:r w:rsidRPr="006F6064">
        <w:t>T+1</w:t>
      </w:r>
      <w:r>
        <w:t>)</w:t>
      </w:r>
      <w:r w:rsidRPr="006F6064">
        <w:t xml:space="preserve"> and </w:t>
      </w:r>
      <w:r>
        <w:t xml:space="preserve">(consequently) </w:t>
      </w:r>
      <w:r w:rsidRPr="006F6064">
        <w:t xml:space="preserve">a </w:t>
      </w:r>
      <w:r>
        <w:t xml:space="preserve">potential </w:t>
      </w:r>
      <w:r w:rsidRPr="006F6064">
        <w:t>surge</w:t>
      </w:r>
      <w:r>
        <w:t xml:space="preserve"> – </w:t>
      </w:r>
      <w:r w:rsidRPr="006F6064">
        <w:t>at least in the short term</w:t>
      </w:r>
      <w:r>
        <w:t xml:space="preserve"> – </w:t>
      </w:r>
      <w:r w:rsidRPr="006F6064">
        <w:t>of market stress and of settlement fails</w:t>
      </w:r>
      <w:r>
        <w:t xml:space="preserve"> (as also acknowledged by ESMA)</w:t>
      </w:r>
      <w:r w:rsidRPr="006F6064">
        <w:t xml:space="preserve">. </w:t>
      </w:r>
      <w:r>
        <w:t>Whilst ESMA is aware of market stakeholders’ feedback about a number of issues to be tackled and resolved prior to considering a move to T+1 cycle (see comments on the recent Call for Evidence on T+1, closed on the 15</w:t>
      </w:r>
      <w:r w:rsidRPr="007924CA">
        <w:rPr>
          <w:vertAlign w:val="superscript"/>
        </w:rPr>
        <w:t>th</w:t>
      </w:r>
      <w:r>
        <w:t xml:space="preserve"> of December 2023), we are also conscious that, at a certain point in time, such move could </w:t>
      </w:r>
      <w:r w:rsidRPr="006F6064">
        <w:t xml:space="preserve">be </w:t>
      </w:r>
      <w:r>
        <w:t xml:space="preserve">“unilaterally” proposed </w:t>
      </w:r>
      <w:r w:rsidRPr="006F6064">
        <w:t xml:space="preserve">by the EU </w:t>
      </w:r>
      <w:r>
        <w:t xml:space="preserve">legislator, regardless the specific technical feedback provided on a move to T+1. Eventually, for all this, it would be </w:t>
      </w:r>
      <w:r w:rsidRPr="005C4628">
        <w:rPr>
          <w:b/>
          <w:bCs/>
        </w:rPr>
        <w:t>safer to retain the current penalty mechanism by asset type</w:t>
      </w:r>
      <w:r>
        <w:t xml:space="preserve">, in order to have further time to assess its effective dissuasive function and proportionality </w:t>
      </w:r>
      <w:r w:rsidRPr="005C4628">
        <w:rPr>
          <w:b/>
          <w:bCs/>
        </w:rPr>
        <w:t xml:space="preserve">under the current market conditions </w:t>
      </w:r>
      <w:r>
        <w:rPr>
          <w:b/>
          <w:bCs/>
        </w:rPr>
        <w:t xml:space="preserve">benefitting of </w:t>
      </w:r>
      <w:r w:rsidRPr="005C4628">
        <w:rPr>
          <w:b/>
          <w:bCs/>
        </w:rPr>
        <w:t>positive interest rates</w:t>
      </w:r>
      <w:r>
        <w:t>, without moving (at least in the short/medium term) to new penalty structures which, should the policy-maker decide to move for T+1, would be exacerbate the settlement penalty application responding to a new, more costly and restructu</w:t>
      </w:r>
      <w:r w:rsidRPr="00366EE8">
        <w:t>red penalty scheme.</w:t>
      </w:r>
    </w:p>
    <w:p w14:paraId="689489D1" w14:textId="79FE7F72" w:rsidR="00C6364A" w:rsidRPr="00C6364A" w:rsidRDefault="00C6364A" w:rsidP="00F804C0">
      <w:pPr>
        <w:rPr>
          <w:highlight w:val="yellow"/>
          <w:lang w:val="en-US"/>
        </w:rPr>
      </w:pPr>
      <w:r>
        <w:t>ESMA should also understand that w</w:t>
      </w:r>
      <w:r w:rsidRPr="00366EE8">
        <w:t xml:space="preserve">e </w:t>
      </w:r>
      <w:r>
        <w:t xml:space="preserve">do </w:t>
      </w:r>
      <w:r w:rsidRPr="00366EE8">
        <w:rPr>
          <w:b/>
          <w:bCs/>
        </w:rPr>
        <w:t xml:space="preserve">not favour </w:t>
      </w:r>
      <w:r w:rsidRPr="00366EE8">
        <w:t xml:space="preserve">a move to a different penalty structure and mechanism </w:t>
      </w:r>
      <w:r w:rsidRPr="00366EE8">
        <w:rPr>
          <w:b/>
          <w:bCs/>
        </w:rPr>
        <w:t>in the short-to-medium term</w:t>
      </w:r>
      <w:r w:rsidRPr="00366EE8">
        <w:t xml:space="preserve">, </w:t>
      </w:r>
      <w:r>
        <w:t xml:space="preserve">because </w:t>
      </w:r>
      <w:r w:rsidRPr="00366EE8">
        <w:t>market participants are currently coping with the complexities generated by the US migration to the shorter settlement cycle in T+1, especially for the treatment of the so-called “dual listed securities”, listed in US markets as well as in EU venues</w:t>
      </w:r>
      <w:r>
        <w:t xml:space="preserve"> (and the complexities will continue well beyond of the 28</w:t>
      </w:r>
      <w:r w:rsidRPr="00366EE8">
        <w:rPr>
          <w:vertAlign w:val="superscript"/>
        </w:rPr>
        <w:t>th</w:t>
      </w:r>
      <w:r>
        <w:t xml:space="preserve"> of May, go-live date of the US migration).</w:t>
      </w:r>
    </w:p>
    <w:p w14:paraId="25780513" w14:textId="77777777" w:rsidR="00C6364A" w:rsidRDefault="00C6364A" w:rsidP="00C6364A">
      <w:r>
        <w:t xml:space="preserve">Further to asking whether the current penalty scheme is proportionate, ESMA should also be aware of the </w:t>
      </w:r>
      <w:r w:rsidRPr="00713A15">
        <w:rPr>
          <w:b/>
          <w:bCs/>
        </w:rPr>
        <w:t>current computational issues</w:t>
      </w:r>
      <w:r>
        <w:t xml:space="preserve"> that CSD participants are able to infer in the calculation of penalties </w:t>
      </w:r>
      <w:r w:rsidRPr="00713A15">
        <w:rPr>
          <w:b/>
          <w:bCs/>
        </w:rPr>
        <w:t>by CSD and ICSDs</w:t>
      </w:r>
      <w:r>
        <w:t xml:space="preserve">. In particular, ABI understands that, over the last 2 years, some of its members have witnessed cases in which the ICSDs have ended up with different penalty amounts upon the same transactional scheme and amounts. ESMA should look into that, with ICSDs and their participants, so that the </w:t>
      </w:r>
      <w:r w:rsidRPr="00A63FB4">
        <w:rPr>
          <w:u w:val="single"/>
        </w:rPr>
        <w:t>current</w:t>
      </w:r>
      <w:r>
        <w:t xml:space="preserve"> penalty mechanism is applied uniformly, further than being proportionate. </w:t>
      </w:r>
    </w:p>
    <w:p w14:paraId="24700A0A" w14:textId="29E0FC43" w:rsidR="00480F3D" w:rsidRDefault="00C6364A" w:rsidP="00C6364A">
      <w:r>
        <w:t xml:space="preserve">Finally, ESMA should also be aware of the fact that some settlement fails are unavoidable when caused by divergence in the working hours of T2S Markets and ICSDs working ours. </w:t>
      </w:r>
      <w:r w:rsidR="00207B7E" w:rsidRPr="00207B7E">
        <w:lastRenderedPageBreak/>
        <w:t xml:space="preserve">ABI understands from its members that ICSDs legitimately allow their users </w:t>
      </w:r>
      <w:r w:rsidR="00207B7E" w:rsidRPr="00207B7E">
        <w:rPr>
          <w:lang w:val="en-US"/>
        </w:rPr>
        <w:t>to settle internally and bridge (between Euroclear and/or Clearstream accounts) up to 19:30 with the close of the optional real-time process (using so-called “day light flags” used at ICSDs). Some members have made us aware that a sensible sources of settlement fails derives from a mismatching between the above “working hours”: a settlement chain including trades settling both in ICSDs and T2S CSDs would inevitably be interrupted in the CSDs, where it is not materially possible to deliver/receive securities/cash after 16, while settlement would still possible on an ICSD</w:t>
      </w:r>
      <w:r>
        <w:t>.</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Regarding the proportionality of the penalty rates by asset type as foreseen in the Annex to Commission Delegated Regulation (EU) 2017/389, ESMA does not have data on the breakdown of cash penalties (by number and value) applied 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77777777" w:rsidR="00480F3D" w:rsidRDefault="00480F3D">
      <w:permStart w:id="1111646572" w:edGrp="everyone"/>
      <w:r>
        <w:t>TYPE YOUR TEXT HERE</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21B850F3" w14:textId="77777777" w:rsidR="004447C4" w:rsidRPr="00CC7E39" w:rsidRDefault="004447C4" w:rsidP="004447C4">
      <w:permStart w:id="47388266" w:edGrp="everyone"/>
      <w:r>
        <w:t xml:space="preserve">On the basis of preliminary comments, our members have the following </w:t>
      </w:r>
      <w:r w:rsidRPr="00CC7E39">
        <w:t xml:space="preserve">arguments </w:t>
      </w:r>
      <w:r>
        <w:t xml:space="preserve">not supporting </w:t>
      </w:r>
      <w:r w:rsidRPr="00CC7E39">
        <w:t>the introduction of progressive penalty rates</w:t>
      </w:r>
      <w:r>
        <w:t xml:space="preserve"> (at least at this point in time)</w:t>
      </w:r>
      <w:r w:rsidRPr="00CC7E39">
        <w:t>:</w:t>
      </w:r>
    </w:p>
    <w:p w14:paraId="37064BBA" w14:textId="77777777" w:rsidR="004447C4" w:rsidRPr="004447C4" w:rsidRDefault="004447C4" w:rsidP="004447C4">
      <w:pPr>
        <w:pStyle w:val="Paragrafoelenco"/>
        <w:numPr>
          <w:ilvl w:val="0"/>
          <w:numId w:val="20"/>
        </w:numPr>
        <w:spacing w:after="160" w:line="259" w:lineRule="auto"/>
        <w:contextualSpacing/>
        <w:rPr>
          <w:lang w:val="en-US"/>
        </w:rPr>
      </w:pPr>
      <w:r w:rsidRPr="004447C4">
        <w:rPr>
          <w:lang w:val="en-US"/>
        </w:rPr>
        <w:t>Disincentive to partial settlement and partial release;</w:t>
      </w:r>
    </w:p>
    <w:p w14:paraId="0793E30F" w14:textId="77777777" w:rsidR="004447C4" w:rsidRPr="004447C4" w:rsidRDefault="004447C4" w:rsidP="004447C4">
      <w:pPr>
        <w:pStyle w:val="Paragrafoelenco"/>
        <w:numPr>
          <w:ilvl w:val="0"/>
          <w:numId w:val="20"/>
        </w:numPr>
        <w:spacing w:after="160" w:line="259" w:lineRule="auto"/>
        <w:contextualSpacing/>
        <w:rPr>
          <w:lang w:val="en-US"/>
        </w:rPr>
      </w:pPr>
      <w:r w:rsidRPr="004447C4">
        <w:rPr>
          <w:lang w:val="en-US"/>
        </w:rPr>
        <w:t>More constraints and less “fluidity” in the repo market;</w:t>
      </w:r>
    </w:p>
    <w:p w14:paraId="4F7A6AAC" w14:textId="77777777" w:rsidR="004447C4" w:rsidRPr="004447C4" w:rsidRDefault="004447C4" w:rsidP="004447C4">
      <w:pPr>
        <w:pStyle w:val="Paragrafoelenco"/>
        <w:numPr>
          <w:ilvl w:val="0"/>
          <w:numId w:val="20"/>
        </w:numPr>
        <w:spacing w:after="160" w:line="259" w:lineRule="auto"/>
        <w:contextualSpacing/>
        <w:rPr>
          <w:lang w:val="en-US"/>
        </w:rPr>
      </w:pPr>
      <w:r w:rsidRPr="004447C4">
        <w:rPr>
          <w:lang w:val="en-US"/>
        </w:rPr>
        <w:t>Significant complexity on the use of the new structure of the penalty mechanism, also from a penalties’ reconciliation standpoint;</w:t>
      </w:r>
    </w:p>
    <w:p w14:paraId="265B397A" w14:textId="77777777" w:rsidR="004447C4" w:rsidRPr="004447C4" w:rsidRDefault="004447C4" w:rsidP="004447C4">
      <w:pPr>
        <w:pStyle w:val="Paragrafoelenco"/>
        <w:numPr>
          <w:ilvl w:val="0"/>
          <w:numId w:val="20"/>
        </w:numPr>
        <w:spacing w:after="160" w:line="259" w:lineRule="auto"/>
        <w:contextualSpacing/>
        <w:rPr>
          <w:lang w:val="en-US"/>
        </w:rPr>
      </w:pPr>
      <w:r w:rsidRPr="004447C4">
        <w:rPr>
          <w:lang w:val="en-US"/>
        </w:rPr>
        <w:t>Significant change to the structure of the penalty mechanism in terms of time elapsed since the 1</w:t>
      </w:r>
      <w:r w:rsidRPr="004447C4">
        <w:rPr>
          <w:vertAlign w:val="superscript"/>
          <w:lang w:val="en-US"/>
        </w:rPr>
        <w:t>st</w:t>
      </w:r>
      <w:r w:rsidRPr="004447C4">
        <w:rPr>
          <w:lang w:val="en-US"/>
        </w:rPr>
        <w:t xml:space="preserve"> of February 2022, i.e. date of application of the SDR;</w:t>
      </w:r>
    </w:p>
    <w:p w14:paraId="14B8D3DE" w14:textId="77777777" w:rsidR="004447C4" w:rsidRPr="004447C4" w:rsidRDefault="004447C4" w:rsidP="004447C4">
      <w:pPr>
        <w:pStyle w:val="Paragrafoelenco"/>
        <w:numPr>
          <w:ilvl w:val="0"/>
          <w:numId w:val="20"/>
        </w:numPr>
        <w:spacing w:after="160" w:line="259" w:lineRule="auto"/>
        <w:contextualSpacing/>
        <w:rPr>
          <w:lang w:val="en-US"/>
        </w:rPr>
      </w:pPr>
      <w:r w:rsidRPr="004447C4">
        <w:rPr>
          <w:lang w:val="en-US"/>
        </w:rPr>
        <w:t>Apparently, scarce empirical evidence supporting such change;</w:t>
      </w:r>
    </w:p>
    <w:p w14:paraId="11A49743" w14:textId="77777777" w:rsidR="004447C4" w:rsidRPr="004447C4" w:rsidRDefault="004447C4" w:rsidP="004447C4">
      <w:pPr>
        <w:pStyle w:val="Paragrafoelenco"/>
        <w:numPr>
          <w:ilvl w:val="0"/>
          <w:numId w:val="20"/>
        </w:numPr>
        <w:spacing w:after="160" w:line="259" w:lineRule="auto"/>
        <w:contextualSpacing/>
        <w:rPr>
          <w:lang w:val="en-US"/>
        </w:rPr>
      </w:pPr>
      <w:r w:rsidRPr="004447C4">
        <w:rPr>
          <w:lang w:val="en-US"/>
        </w:rPr>
        <w:lastRenderedPageBreak/>
        <w:t>Industry investments required to implement the changes (be it option A o B)</w:t>
      </w:r>
    </w:p>
    <w:p w14:paraId="724B8DE0" w14:textId="77777777" w:rsidR="004447C4" w:rsidRPr="00924334" w:rsidRDefault="004447C4" w:rsidP="004447C4">
      <w:r w:rsidRPr="00CC7E39">
        <w:t xml:space="preserve">Overall, </w:t>
      </w:r>
      <w:r>
        <w:t xml:space="preserve">it is important </w:t>
      </w:r>
      <w:r w:rsidRPr="00CC7E39">
        <w:t xml:space="preserve">to reiterate the message conveyed in answer to </w:t>
      </w:r>
      <w:r>
        <w:t>Q</w:t>
      </w:r>
      <w:r w:rsidRPr="00CC7E39">
        <w:t xml:space="preserve">20 above i.e. as a first step, it is necessary to </w:t>
      </w:r>
      <w:r>
        <w:t xml:space="preserve">enhance </w:t>
      </w:r>
      <w:r w:rsidRPr="00CC7E39">
        <w:t>the current settlement ecosystem</w:t>
      </w:r>
      <w:r>
        <w:t xml:space="preserve">, by moving to an extensive use of the H&amp;R function and partial settlements, as well as to work on the identification of the root causes of fails, and on a commonly applied definition and understanding of efficiency and fails, so that every EU CSD be in a position to produce harmonised and comparable data on efficiency. Then, </w:t>
      </w:r>
      <w:r w:rsidRPr="00924334">
        <w:t xml:space="preserve">the implications </w:t>
      </w:r>
      <w:r>
        <w:t xml:space="preserve">in the EU </w:t>
      </w:r>
      <w:r w:rsidRPr="00924334">
        <w:t xml:space="preserve">of </w:t>
      </w:r>
      <w:r>
        <w:t xml:space="preserve">the </w:t>
      </w:r>
      <w:r w:rsidRPr="00924334">
        <w:t xml:space="preserve">T+1 </w:t>
      </w:r>
      <w:r>
        <w:t xml:space="preserve">move by the US </w:t>
      </w:r>
      <w:r w:rsidRPr="00924334">
        <w:t>will have to be very carefully considered</w:t>
      </w:r>
      <w:r>
        <w:t xml:space="preserve"> (and observed), as well as those of a potential shift in the EU a shorter cycle.</w:t>
      </w:r>
      <w:r w:rsidRPr="00924334">
        <w:t xml:space="preserve"> Only after having achieved these two steps, a review of the settlement penalties regime </w:t>
      </w:r>
      <w:r>
        <w:t xml:space="preserve">should </w:t>
      </w:r>
      <w:r w:rsidRPr="00924334">
        <w:t>be considered.</w:t>
      </w:r>
    </w:p>
    <w:p w14:paraId="1AD606AF" w14:textId="578EAE7A" w:rsidR="00480F3D" w:rsidRDefault="004447C4" w:rsidP="004447C4">
      <w:r>
        <w:t xml:space="preserve">Finally, </w:t>
      </w:r>
      <w:r w:rsidRPr="00924334">
        <w:t xml:space="preserve">regulatory initiatives at the EU level should </w:t>
      </w:r>
      <w:r>
        <w:t xml:space="preserve">now </w:t>
      </w:r>
      <w:r w:rsidRPr="00924334">
        <w:t xml:space="preserve">strive for more stability </w:t>
      </w:r>
      <w:r>
        <w:t xml:space="preserve">and simplicity </w:t>
      </w:r>
      <w:r w:rsidRPr="00924334">
        <w:t>in the settlement space</w:t>
      </w:r>
      <w:r>
        <w:t>,</w:t>
      </w:r>
      <w:r w:rsidRPr="00924334">
        <w:t xml:space="preserve"> not additional complexity</w:t>
      </w:r>
      <w:r>
        <w:t>.</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45FE67B" w14:textId="7C0E5929" w:rsidR="00480F3D" w:rsidRDefault="00C95BF7">
      <w:permStart w:id="67503824" w:edGrp="everyone"/>
      <w:r>
        <w:t xml:space="preserve">Our members understand ESMA’s rationale and considerations under Option 2 about a potential alternative structure of the penalty mechanism, reviewed on the basis of the liquidity and illiquidity degree of financial instruments and with penalty rates growing more than (or less than) proportionally over time (depending on the classes of financial instruments. However, at this point in time, and consistently to our previous </w:t>
      </w:r>
      <w:r w:rsidRPr="00924334">
        <w:t>answer</w:t>
      </w:r>
      <w:r>
        <w:t>s</w:t>
      </w:r>
      <w:r w:rsidRPr="00924334">
        <w:t xml:space="preserve">, the introduction of convexity in penalty rates is </w:t>
      </w:r>
      <w:r>
        <w:t>not supported</w:t>
      </w:r>
      <w:r w:rsidRPr="00924334">
        <w:t>.</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33D95FC4" w14:textId="14F69C50" w:rsidR="00480F3D" w:rsidRDefault="00913E2A">
      <w:permStart w:id="1652955813" w:edGrp="everyone"/>
      <w:r>
        <w:lastRenderedPageBreak/>
        <w:t xml:space="preserve">Notwithstanding our members' position – not in favour of </w:t>
      </w:r>
      <w:r w:rsidRPr="00924334">
        <w:t xml:space="preserve">convexity </w:t>
      </w:r>
      <w:r>
        <w:t xml:space="preserve">in penalty rates – consideration and </w:t>
      </w:r>
      <w:r w:rsidRPr="00924334">
        <w:t xml:space="preserve">protection of liquidity in less-liquid instruments should be </w:t>
      </w:r>
      <w:r>
        <w:t xml:space="preserve">given specific </w:t>
      </w:r>
      <w:r w:rsidRPr="00924334">
        <w:t xml:space="preserve">attention </w:t>
      </w:r>
      <w:r>
        <w:t xml:space="preserve">in future, </w:t>
      </w:r>
      <w:r w:rsidRPr="00924334">
        <w:t>when considering any potential change to the penalty regime.</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t>&lt;ESMA_QUESTION_CSDR_25&gt;</w:t>
      </w:r>
    </w:p>
    <w:p w14:paraId="00B00B85" w14:textId="77777777" w:rsidR="00993BFB" w:rsidRPr="00924334" w:rsidRDefault="00993BFB" w:rsidP="00993BFB">
      <w:permStart w:id="1767178405" w:edGrp="everyone"/>
      <w:r w:rsidRPr="00924334">
        <w:t>The levels of penalty rate</w:t>
      </w:r>
      <w:r>
        <w:t>s</w:t>
      </w:r>
      <w:r w:rsidRPr="00924334">
        <w:t xml:space="preserve"> proposed by ESMA under </w:t>
      </w:r>
      <w:r>
        <w:t xml:space="preserve">both </w:t>
      </w:r>
      <w:r w:rsidRPr="00924334">
        <w:t xml:space="preserve">Option 1 or Option 2 </w:t>
      </w:r>
      <w:r>
        <w:t xml:space="preserve">would represent a sensible increase in the penalty mechanism compared to </w:t>
      </w:r>
      <w:r w:rsidRPr="00924334">
        <w:t xml:space="preserve">current levels and, </w:t>
      </w:r>
      <w:r>
        <w:t xml:space="preserve">on the basis of the feedback gathered by our members, </w:t>
      </w:r>
      <w:r w:rsidRPr="00924334">
        <w:t xml:space="preserve">they </w:t>
      </w:r>
      <w:r>
        <w:t xml:space="preserve">would </w:t>
      </w:r>
      <w:r w:rsidRPr="00924334">
        <w:t xml:space="preserve">not </w:t>
      </w:r>
      <w:r>
        <w:t>seem to be fully justifiable according to current</w:t>
      </w:r>
      <w:r w:rsidRPr="00924334">
        <w:t xml:space="preserve"> available data.</w:t>
      </w:r>
    </w:p>
    <w:p w14:paraId="5A67EBAC" w14:textId="7CB69241" w:rsidR="00480F3D" w:rsidRDefault="00993BFB" w:rsidP="00993BFB">
      <w:r>
        <w:t>P</w:t>
      </w:r>
      <w:r w:rsidRPr="00924334">
        <w:t>ursuant to recital 16 of CSDR, penalties should be configured in a way that “</w:t>
      </w:r>
      <w:r w:rsidRPr="00F74002">
        <w:rPr>
          <w:i/>
          <w:iCs/>
        </w:rPr>
        <w:t>maintains and protects the liquidity of the relevant financial instruments. In particular, market-making activities play a crucial role in providing liquidity to markets within the Union, particularly to less liquid securities. Measures to prevent and address settlement fails should be balanced against the need to maintain and protect liquidity in those securities</w:t>
      </w:r>
      <w:r w:rsidRPr="00924334">
        <w:t>.”</w:t>
      </w:r>
      <w:r>
        <w:t xml:space="preserve"> Apparently, such </w:t>
      </w:r>
      <w:r w:rsidRPr="00CC7E39">
        <w:t xml:space="preserve">principle </w:t>
      </w:r>
      <w:r>
        <w:t xml:space="preserve">would </w:t>
      </w:r>
      <w:r w:rsidRPr="00CC7E39">
        <w:t xml:space="preserve">risk being jeopardized by the </w:t>
      </w:r>
      <w:r>
        <w:t xml:space="preserve">progressive structure </w:t>
      </w:r>
      <w:r w:rsidRPr="00CC7E39">
        <w:t xml:space="preserve">of </w:t>
      </w:r>
      <w:r>
        <w:t xml:space="preserve">the </w:t>
      </w:r>
      <w:r w:rsidRPr="00CC7E39">
        <w:t xml:space="preserve">penalty rates proposed by ESMA and this could, on its turn, </w:t>
      </w:r>
      <w:r>
        <w:t xml:space="preserve">have implications for </w:t>
      </w:r>
      <w:r w:rsidRPr="00CC7E39">
        <w:t>i) liquidity and</w:t>
      </w:r>
      <w:r>
        <w:t>, eventually</w:t>
      </w:r>
      <w:r w:rsidRPr="00CC7E39">
        <w:t>, ii) competitiveness of EU securities markets.</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2F28649D" w14:textId="77777777" w:rsidR="00D37E0A" w:rsidRPr="00905618" w:rsidRDefault="00D37E0A" w:rsidP="00D37E0A">
      <w:permStart w:id="514209699" w:edGrp="everyone"/>
      <w:r w:rsidRPr="00905618">
        <w:lastRenderedPageBreak/>
        <w:t>First and foremost, any potential recalibration of current penalty rates should be based on accurate, comprehensive and granular data.</w:t>
      </w:r>
      <w:r>
        <w:t xml:space="preserve"> Secondly, a truly common set of measures for settlement efficiency should be defined and applied by CSDs, so that all interested institutions and parties would be able to work on the same data, correctly representing the actual settlement (in)efficiency in the Union.</w:t>
      </w:r>
    </w:p>
    <w:p w14:paraId="3BA8A4C4" w14:textId="637BE4A4" w:rsidR="00D37E0A" w:rsidRPr="00CC7E39" w:rsidRDefault="00D37E0A" w:rsidP="00D37E0A">
      <w:r>
        <w:t xml:space="preserve">Thirdly, </w:t>
      </w:r>
      <w:r w:rsidRPr="00CC7E39">
        <w:t>when considering potential recalibration</w:t>
      </w:r>
      <w:r w:rsidR="00CF6342" w:rsidRPr="00CF6342">
        <w:rPr>
          <w:rFonts w:eastAsiaTheme="minorHAnsi"/>
          <w:color w:val="auto"/>
          <w:kern w:val="2"/>
          <w:szCs w:val="22"/>
          <w14:ligatures w14:val="standardContextual"/>
        </w:rPr>
        <w:t xml:space="preserve"> </w:t>
      </w:r>
      <w:r w:rsidR="00CF6342" w:rsidRPr="00CF6342">
        <w:t>of the current penalties’ structure and rates</w:t>
      </w:r>
      <w:r w:rsidRPr="00CC7E39">
        <w:t>, the following list of factors (preliminary and not exhaustive) could be considered:</w:t>
      </w:r>
    </w:p>
    <w:p w14:paraId="4FC5C2DA" w14:textId="77777777" w:rsidR="00D37E0A" w:rsidRPr="00D37E0A" w:rsidRDefault="00D37E0A" w:rsidP="00D37E0A">
      <w:pPr>
        <w:pStyle w:val="Paragrafoelenco"/>
        <w:numPr>
          <w:ilvl w:val="0"/>
          <w:numId w:val="21"/>
        </w:numPr>
        <w:spacing w:after="160" w:line="259" w:lineRule="auto"/>
        <w:contextualSpacing/>
        <w:rPr>
          <w:lang w:val="en-US"/>
        </w:rPr>
      </w:pPr>
      <w:r w:rsidRPr="00DA0E4B">
        <w:rPr>
          <w:b/>
          <w:bCs/>
          <w:lang w:val="en-US"/>
        </w:rPr>
        <w:t>Interest rates.</w:t>
      </w:r>
      <w:r w:rsidRPr="00D37E0A">
        <w:rPr>
          <w:lang w:val="en-US"/>
        </w:rPr>
        <w:t xml:space="preserve"> As mentioned in a previous answer, higher interest rates create an additional cost/disincentive to settlement fails to deliver, hence, diminishing the need for a sensible penalty mechanism review;</w:t>
      </w:r>
    </w:p>
    <w:p w14:paraId="70D10241" w14:textId="7AC28BB9" w:rsidR="00D37E0A" w:rsidRPr="00D37E0A" w:rsidRDefault="00D37E0A" w:rsidP="00D37E0A">
      <w:pPr>
        <w:pStyle w:val="Paragrafoelenco"/>
        <w:numPr>
          <w:ilvl w:val="0"/>
          <w:numId w:val="21"/>
        </w:numPr>
        <w:spacing w:after="160" w:line="259" w:lineRule="auto"/>
        <w:contextualSpacing/>
        <w:rPr>
          <w:lang w:val="en-US"/>
        </w:rPr>
      </w:pPr>
      <w:r w:rsidRPr="00DA0E4B">
        <w:rPr>
          <w:b/>
          <w:bCs/>
          <w:lang w:val="en-US"/>
        </w:rPr>
        <w:t>Ability to use securities lending market and associated costs, duration and availability of borrowing securities</w:t>
      </w:r>
      <w:r w:rsidR="00806AE8">
        <w:rPr>
          <w:lang w:val="en-US"/>
        </w:rPr>
        <w:t xml:space="preserve">; </w:t>
      </w:r>
      <w:r w:rsidR="00806AE8" w:rsidRPr="00806AE8">
        <w:rPr>
          <w:lang w:val="en-GB"/>
        </w:rPr>
        <w:t>i.e. it should be avoided that any eventual restructuring of the penalty mechanism determines further constrains to the activity of Securities’ Lending which is and will continue to be fundamental and central to safeguard a successful settlement of securities, especially in cases of unforeseen issues in the identification of the relevant amount of securities to be made available for an imminent settlement. This is also why, in occasion of the recent ESMA’s Call for Evidence on the Potential Shortening of the Settlement Cycle, we have elaborated on the importance safeguarding Securities Lending as much as possible from implications deriving from a shorter time available for SL or, differently said, on the importance to keep securities lending in due account in an eventual future assessment on the appropriateness and readiness to plan a migration to T+1</w:t>
      </w:r>
      <w:r w:rsidR="00F1266E">
        <w:rPr>
          <w:lang w:val="en-GB"/>
        </w:rPr>
        <w:t>. For sake of exhaustiveness</w:t>
      </w:r>
      <w:r w:rsidR="00341C75">
        <w:rPr>
          <w:lang w:val="en-GB"/>
        </w:rPr>
        <w:t>,</w:t>
      </w:r>
      <w:r w:rsidR="00E9070F">
        <w:rPr>
          <w:lang w:val="en-GB"/>
        </w:rPr>
        <w:t xml:space="preserve"> in our response to the Call for Evidence </w:t>
      </w:r>
      <w:r w:rsidR="00341C75">
        <w:rPr>
          <w:lang w:val="en-GB"/>
        </w:rPr>
        <w:t xml:space="preserve">on T+1, among other things, we stated “(…) </w:t>
      </w:r>
      <w:r w:rsidR="00341C75" w:rsidRPr="00341C75">
        <w:rPr>
          <w:rFonts w:ascii="Arial" w:hAnsi="Arial" w:cs="Arial"/>
          <w:i/>
          <w:iCs/>
          <w:color w:val="222222"/>
          <w:shd w:val="clear" w:color="auto" w:fill="FFFFFF"/>
        </w:rPr>
        <w:t>Based on feedback from our members, despite the availability of some automated tools, a lot of securities lending is agreed upon and takes place via e-mail and phone contacts. Hence, the compressed timeframe associated to the (potential) migration to T+1 will substantially shorten the time available to identify and cover short positions and, as a consequence, could result in i) an increase in settlement fails and cash penalties (all other things being equal) and ii) in the longer term, in a behavioural change with a related reduction of liquidity from the market</w:t>
      </w:r>
      <w:r w:rsidR="00341C75">
        <w:rPr>
          <w:lang w:val="en-GB"/>
        </w:rPr>
        <w:t>.”</w:t>
      </w:r>
      <w:r w:rsidR="00806AE8" w:rsidRPr="00806AE8">
        <w:rPr>
          <w:lang w:val="en-GB"/>
        </w:rPr>
        <w:t>;</w:t>
      </w:r>
      <w:r w:rsidR="00806AE8">
        <w:rPr>
          <w:lang w:val="en-US"/>
        </w:rPr>
        <w:t xml:space="preserve"> </w:t>
      </w:r>
      <w:r w:rsidR="00093CED">
        <w:rPr>
          <w:lang w:val="en-US"/>
        </w:rPr>
        <w:t xml:space="preserve"> </w:t>
      </w:r>
    </w:p>
    <w:p w14:paraId="1D506862" w14:textId="77777777" w:rsidR="00D37E0A" w:rsidRPr="00D37E0A" w:rsidRDefault="00D37E0A" w:rsidP="00D37E0A">
      <w:pPr>
        <w:pStyle w:val="Paragrafoelenco"/>
        <w:numPr>
          <w:ilvl w:val="0"/>
          <w:numId w:val="21"/>
        </w:numPr>
        <w:spacing w:after="160" w:line="259" w:lineRule="auto"/>
        <w:contextualSpacing/>
        <w:rPr>
          <w:lang w:val="en-US"/>
        </w:rPr>
      </w:pPr>
      <w:r w:rsidRPr="00DA0E4B">
        <w:rPr>
          <w:b/>
          <w:bCs/>
          <w:lang w:val="en-US"/>
        </w:rPr>
        <w:t>Broader market conditions</w:t>
      </w:r>
      <w:r w:rsidRPr="00D37E0A">
        <w:rPr>
          <w:lang w:val="en-US"/>
        </w:rPr>
        <w:t>. As shown in March 2020, periods of market stress and volatility are likely to prompt an increase in the number and proportions of settlement fail. There is the risk that higher penalty rates may further heighten rather than mitigate tensions in the settlement value chain;</w:t>
      </w:r>
    </w:p>
    <w:p w14:paraId="77C7C5FA" w14:textId="15639A1C" w:rsidR="00480F3D" w:rsidRPr="00D37E0A" w:rsidRDefault="00D37E0A" w:rsidP="00D37E0A">
      <w:pPr>
        <w:pStyle w:val="Paragrafoelenco"/>
        <w:numPr>
          <w:ilvl w:val="0"/>
          <w:numId w:val="21"/>
        </w:numPr>
        <w:spacing w:after="160" w:line="259" w:lineRule="auto"/>
        <w:contextualSpacing/>
        <w:rPr>
          <w:lang w:val="en-US"/>
        </w:rPr>
      </w:pPr>
      <w:r w:rsidRPr="00DA0E4B">
        <w:rPr>
          <w:b/>
          <w:bCs/>
          <w:lang w:val="en-US"/>
        </w:rPr>
        <w:t>Possible future migration to a shorter settlement cycle</w:t>
      </w:r>
      <w:r w:rsidRPr="00D37E0A">
        <w:rPr>
          <w:lang w:val="en-US"/>
        </w:rPr>
        <w:t>. This could prompt an increase in settlement fails rates as market participants would have less time to resolve daily unforeseen operational issues and place cash/securities ready for settlement.</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lastRenderedPageBreak/>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522525F0" w14:textId="77777777" w:rsidR="007F0FDC" w:rsidRPr="00A24543" w:rsidRDefault="007F0FDC" w:rsidP="007F0FDC">
      <w:permStart w:id="873400905" w:edGrp="everyone"/>
      <w:r>
        <w:t>Our members consider t</w:t>
      </w:r>
      <w:r w:rsidRPr="00A24543">
        <w:t>he current asset class</w:t>
      </w:r>
      <w:r>
        <w:t>es</w:t>
      </w:r>
      <w:r w:rsidRPr="00A24543">
        <w:t xml:space="preserve"> </w:t>
      </w:r>
      <w:r>
        <w:t xml:space="preserve">of the CSDR penalty mechanism </w:t>
      </w:r>
      <w:r w:rsidRPr="00A24543">
        <w:t>fairly appropriate.</w:t>
      </w:r>
    </w:p>
    <w:p w14:paraId="17757935" w14:textId="762D435F" w:rsidR="00480F3D" w:rsidRDefault="007F0FDC" w:rsidP="007F0FDC">
      <w:r w:rsidRPr="00A24543">
        <w:t xml:space="preserve">The proposal in Option 1 to introduce a new category for ETFs seems reasonable </w:t>
      </w:r>
      <w:r>
        <w:t xml:space="preserve">but it should first take into account </w:t>
      </w:r>
      <w:r w:rsidRPr="00A24543">
        <w:t>the market specificities of the product and the role of market-makers in providing liquidity.</w:t>
      </w:r>
      <w:r>
        <w:t xml:space="preserve"> Also, ESMA should conduct specific analysis on ETFs’ trading and post-trading value-chain to identify the actual sources of fails and verify whether, as our members have mentioned, the introduction of penalties on ETFs is not expected to induce an actual improvement on their specific levels of settlement efficiency. This is due to the fact that current issues impeding a timely settlement on ETF is to be searched in the lack of harmonization in the messaging standards and the informational contents exchanged by CSDs and ICSDs.</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Grigliatabella"/>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lastRenderedPageBreak/>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18F63EF1" w:rsidR="00BD3B92" w:rsidRDefault="00413D4F" w:rsidP="00BD3B92">
            <w:r w:rsidRPr="442E5590">
              <w:rPr>
                <w:rFonts w:ascii="Arial" w:eastAsia="Arial" w:hAnsi="Arial" w:cs="Arial"/>
                <w:szCs w:val="22"/>
              </w:rPr>
              <w:t xml:space="preserve"> </w:t>
            </w:r>
            <w:permStart w:id="362955356" w:edGrp="everyone"/>
            <w:r w:rsidR="00E1645E">
              <w:t>Proposed</w:t>
            </w:r>
            <w:r w:rsidR="00E1645E">
              <w:rPr>
                <w:spacing w:val="-9"/>
              </w:rPr>
              <w:t xml:space="preserve"> </w:t>
            </w:r>
            <w:r w:rsidR="00E1645E">
              <w:t>creation</w:t>
            </w:r>
            <w:r w:rsidR="00E1645E">
              <w:rPr>
                <w:spacing w:val="-9"/>
              </w:rPr>
              <w:t xml:space="preserve"> </w:t>
            </w:r>
            <w:r w:rsidR="00E1645E">
              <w:t>of</w:t>
            </w:r>
            <w:r w:rsidR="00E1645E">
              <w:rPr>
                <w:spacing w:val="-9"/>
              </w:rPr>
              <w:t xml:space="preserve"> </w:t>
            </w:r>
            <w:r w:rsidR="00E1645E">
              <w:t>new penalty type for ETFs</w:t>
            </w:r>
            <w:r w:rsidR="00E1645E">
              <w:rPr>
                <w:spacing w:val="40"/>
              </w:rPr>
              <w:t xml:space="preserve"> </w:t>
            </w:r>
            <w:r w:rsidR="00E1645E">
              <w:t>would make it possibile for this asset class to have an appropriately calibrated penalty rate</w:t>
            </w:r>
            <w:r w:rsidR="00917C37">
              <w:t>.</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B15DE1" w14:textId="77777777" w:rsidR="00917C37" w:rsidRDefault="00413D4F" w:rsidP="00917C37">
            <w:r w:rsidRPr="442E5590">
              <w:rPr>
                <w:rFonts w:ascii="Arial" w:eastAsia="Arial" w:hAnsi="Arial" w:cs="Arial"/>
                <w:szCs w:val="22"/>
              </w:rPr>
              <w:t xml:space="preserve"> </w:t>
            </w:r>
            <w:permStart w:id="1583033465" w:edGrp="everyone"/>
            <w:r w:rsidR="00917C37">
              <w:t>Multi-annual Implementation</w:t>
            </w:r>
            <w:r w:rsidR="00917C37">
              <w:rPr>
                <w:spacing w:val="-16"/>
              </w:rPr>
              <w:t xml:space="preserve"> </w:t>
            </w:r>
            <w:r w:rsidR="00917C37">
              <w:t>project</w:t>
            </w:r>
            <w:r w:rsidR="00917C37">
              <w:rPr>
                <w:spacing w:val="-16"/>
              </w:rPr>
              <w:t xml:space="preserve"> </w:t>
            </w:r>
            <w:r w:rsidR="00917C37">
              <w:t>for T2S and CSDs to redefine and to implement penalty calculation engines.</w:t>
            </w:r>
          </w:p>
          <w:p w14:paraId="6C6B5900" w14:textId="77777777" w:rsidR="00917C37" w:rsidRDefault="00917C37" w:rsidP="00917C37"/>
          <w:p w14:paraId="6D425427" w14:textId="77777777" w:rsidR="00917C37" w:rsidRDefault="00917C37" w:rsidP="00917C37">
            <w:r>
              <w:t>Mutatis mutandis, other market participants (custodians, trading parties) are likely to be impact in the same way.</w:t>
            </w:r>
          </w:p>
          <w:p w14:paraId="24A33F73" w14:textId="77777777" w:rsidR="00917C37" w:rsidRDefault="00917C37" w:rsidP="00917C37"/>
          <w:p w14:paraId="0CF1C8D5" w14:textId="25C5EC2E" w:rsidR="00BD3B92" w:rsidRDefault="00917C37" w:rsidP="00BD3B92">
            <w:r>
              <w:t>Build costs for FMIs likely to be passed downwards to end users.</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42288176" w:rsidR="00BD3B92" w:rsidRDefault="00413D4F" w:rsidP="00BD3B92">
            <w:r w:rsidRPr="442E5590">
              <w:rPr>
                <w:rFonts w:ascii="Arial" w:eastAsia="Arial" w:hAnsi="Arial" w:cs="Arial"/>
                <w:szCs w:val="22"/>
              </w:rPr>
              <w:t xml:space="preserve"> </w:t>
            </w:r>
            <w:permStart w:id="556295078" w:edGrp="everyone"/>
            <w:r w:rsidR="002D1E64" w:rsidRPr="002A3BFA">
              <w:t>Wider bid-offer spreads by liquidity providers to account for the increased cost of a potential failed settlement.</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lastRenderedPageBreak/>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15E151F" w14:textId="77777777" w:rsidR="00FB221A" w:rsidRDefault="00413D4F" w:rsidP="00FB221A">
            <w:r w:rsidRPr="442E5590">
              <w:rPr>
                <w:rFonts w:ascii="Arial" w:eastAsia="Arial" w:hAnsi="Arial" w:cs="Arial"/>
                <w:szCs w:val="22"/>
              </w:rPr>
              <w:t xml:space="preserve"> </w:t>
            </w:r>
            <w:permStart w:id="662317509" w:edGrp="everyone"/>
            <w:r w:rsidR="00FB221A">
              <w:t>Multi-annual Implementation project for T2S and CSDs to redefine and to implement penalty calculation engines.</w:t>
            </w:r>
          </w:p>
          <w:p w14:paraId="015D0BB9" w14:textId="77777777" w:rsidR="00FB221A" w:rsidRDefault="00FB221A" w:rsidP="00FB221A"/>
          <w:p w14:paraId="69977A4B" w14:textId="77777777" w:rsidR="00FB221A" w:rsidRDefault="00FB221A" w:rsidP="00FB221A">
            <w:r>
              <w:t>Mutatis mutandis, other market participants (custodians, trading parties) are likely to be impact in the same way.</w:t>
            </w:r>
          </w:p>
          <w:p w14:paraId="733B7107" w14:textId="77777777" w:rsidR="00FB221A" w:rsidRDefault="00FB221A" w:rsidP="00FB221A"/>
          <w:p w14:paraId="2C64F5B2" w14:textId="4A6C006B" w:rsidR="00BD3B92" w:rsidRDefault="00FB221A" w:rsidP="00BD3B92">
            <w:r>
              <w:t>Build costs for FMIs likely to be passed downwards to end users.</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09AA119C" w:rsidR="00BD3B92" w:rsidRDefault="00413D4F" w:rsidP="00BD3B92">
            <w:r w:rsidRPr="442E5590">
              <w:rPr>
                <w:rFonts w:ascii="Arial" w:eastAsia="Arial" w:hAnsi="Arial" w:cs="Arial"/>
                <w:szCs w:val="22"/>
              </w:rPr>
              <w:t xml:space="preserve"> </w:t>
            </w:r>
            <w:permStart w:id="1753828232" w:edGrp="everyone"/>
            <w:r w:rsidR="00467E19" w:rsidRPr="002A3BFA">
              <w:t>Wider bid-offer spreads by liquidity providers to account for the increased cost of a potential failed settlement.</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D16A092" w14:textId="77777777" w:rsidR="009B7C4B" w:rsidRDefault="00413D4F" w:rsidP="009B7C4B">
            <w:r w:rsidRPr="442E5590">
              <w:rPr>
                <w:rFonts w:ascii="Arial" w:eastAsia="Arial" w:hAnsi="Arial" w:cs="Arial"/>
                <w:szCs w:val="22"/>
              </w:rPr>
              <w:t xml:space="preserve"> </w:t>
            </w:r>
            <w:permStart w:id="563954355" w:edGrp="everyone"/>
            <w:r w:rsidR="009B7C4B">
              <w:t>Potential implications on primary markets with issues likely to suffer increased cost when seeking to raise new capital.</w:t>
            </w:r>
          </w:p>
          <w:p w14:paraId="381AA66E" w14:textId="77777777" w:rsidR="009B7C4B" w:rsidRDefault="009B7C4B" w:rsidP="009B7C4B"/>
          <w:p w14:paraId="3BC3E33A" w14:textId="7B7D53D1" w:rsidR="00BD3B92" w:rsidRDefault="009B7C4B" w:rsidP="00BD3B92">
            <w:r>
              <w:t>Likely impact on EU markets’ competitiveness.</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177E2DF1" w14:textId="5DAF49E2" w:rsidR="008D18FF" w:rsidRDefault="008D18FF" w:rsidP="00413D4F">
      <w:permStart w:id="1752653492" w:edGrp="everyone"/>
      <w:r>
        <w:lastRenderedPageBreak/>
        <w:t>TYPE YOUR TEXT HERE</w:t>
      </w:r>
      <w:permEnd w:id="1752653492"/>
    </w:p>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7F70CB81" w14:textId="0659DE8A" w:rsidR="007D7BB4" w:rsidRPr="00BD3B92" w:rsidRDefault="00BC2FB4" w:rsidP="00413D4F">
      <w:permStart w:id="503064745" w:edGrp="everyone"/>
      <w:r w:rsidRPr="006112E1">
        <w:t xml:space="preserve">As indicated in our answer to </w:t>
      </w:r>
      <w:r>
        <w:t>Q.</w:t>
      </w:r>
      <w:r w:rsidRPr="006112E1">
        <w:t xml:space="preserve">22 above, </w:t>
      </w:r>
      <w:r>
        <w:t xml:space="preserve">our members are not supporting of introducing a </w:t>
      </w:r>
      <w:r w:rsidRPr="006112E1">
        <w:t>progressive penalty regime</w:t>
      </w:r>
      <w:r>
        <w:t xml:space="preserve"> at this point in time</w:t>
      </w:r>
      <w:r w:rsidRPr="006112E1">
        <w:t xml:space="preserve">. </w:t>
      </w:r>
      <w:r>
        <w:t xml:space="preserve">For the time being </w:t>
      </w:r>
      <w:r w:rsidRPr="006112E1">
        <w:t xml:space="preserve">we </w:t>
      </w:r>
      <w:r>
        <w:t xml:space="preserve">are not in a position to </w:t>
      </w:r>
      <w:r w:rsidRPr="006112E1">
        <w:t>suggest an alternative proposal.</w:t>
      </w:r>
      <w:r>
        <w:t xml:space="preserve"> As also elaborated above, </w:t>
      </w:r>
      <w:r w:rsidRPr="00CC7E39">
        <w:t xml:space="preserve">regulatory initiatives at the EU level should </w:t>
      </w:r>
      <w:r>
        <w:t xml:space="preserve">now </w:t>
      </w:r>
      <w:r w:rsidRPr="00CC7E39">
        <w:t xml:space="preserve">strive for </w:t>
      </w:r>
      <w:r>
        <w:t xml:space="preserve">achieving </w:t>
      </w:r>
      <w:r w:rsidRPr="00CC7E39">
        <w:t xml:space="preserve">stability </w:t>
      </w:r>
      <w:r>
        <w:t xml:space="preserve">and simplicity </w:t>
      </w:r>
      <w:r w:rsidRPr="00CC7E39">
        <w:t>in the settlement space and not additional complexity.</w:t>
      </w:r>
      <w:permEnd w:id="503064745"/>
    </w:p>
    <w:tbl>
      <w:tblPr>
        <w:tblStyle w:val="Grigliatabella"/>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853B9D9" w14:textId="77777777" w:rsidR="00720942" w:rsidRDefault="00720942" w:rsidP="00720942">
      <w:permStart w:id="1764259019" w:edGrp="everyone"/>
      <w:r>
        <w:t>TYPE YOUR TEXT HERE</w:t>
      </w:r>
    </w:p>
    <w:tbl>
      <w:tblPr>
        <w:tblStyle w:val="Grigliatabella"/>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Progressive penalty rates – based on the length and value of the 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lastRenderedPageBreak/>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524122E5" w14:textId="6F08EE3A" w:rsidR="00EC303D" w:rsidRDefault="00F15684" w:rsidP="00EC303D">
      <w:permStart w:id="892430093" w:edGrp="everyone"/>
      <w:r w:rsidRPr="002F57A9">
        <w:rPr>
          <w:bCs/>
        </w:rPr>
        <w:t xml:space="preserve">Please refer to our answer to </w:t>
      </w:r>
      <w:r>
        <w:rPr>
          <w:bCs/>
        </w:rPr>
        <w:t>Q</w:t>
      </w:r>
      <w:r w:rsidRPr="002F57A9">
        <w:rPr>
          <w:bCs/>
        </w:rPr>
        <w:t>26 above for a first and preliminary list of key criteria.</w:t>
      </w:r>
      <w:r>
        <w:rPr>
          <w:bCs/>
        </w:rPr>
        <w:t xml:space="preserve"> </w:t>
      </w:r>
      <w:r w:rsidRPr="00CC7E39">
        <w:rPr>
          <w:bCs/>
        </w:rPr>
        <w:t>The introduction of changes to the basic methodology for calculating the penalty amount</w:t>
      </w:r>
      <w:r>
        <w:rPr>
          <w:bCs/>
        </w:rPr>
        <w:t>s</w:t>
      </w:r>
      <w:r w:rsidRPr="00CC7E39">
        <w:rPr>
          <w:bCs/>
        </w:rPr>
        <w:t xml:space="preserve"> on any individual failing settlement instruction would </w:t>
      </w:r>
      <w:r>
        <w:rPr>
          <w:bCs/>
        </w:rPr>
        <w:t xml:space="preserve">instead </w:t>
      </w:r>
      <w:r w:rsidRPr="00CC7E39">
        <w:rPr>
          <w:bCs/>
        </w:rPr>
        <w:t xml:space="preserve">be </w:t>
      </w:r>
      <w:r>
        <w:rPr>
          <w:bCs/>
        </w:rPr>
        <w:t>worry-some as these would require sensible amendments to the IT logics, processes and procedures, at a time when market participants in the post-trading space will have to cope with the implications of the US migration to T+1 cycle and to any unforeseeable impact deriving from that</w:t>
      </w:r>
      <w:r w:rsidRPr="00CC7E39">
        <w:rPr>
          <w:bCs/>
        </w:rPr>
        <w:t>.</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lastRenderedPageBreak/>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343819C2" w14:textId="77777777" w:rsidR="00707682" w:rsidRDefault="00707682" w:rsidP="00707682">
      <w:permStart w:id="2059342461" w:edGrp="everyone"/>
      <w:r>
        <w:t>TYPE YOUR TEXT HERE</w:t>
      </w:r>
    </w:p>
    <w:tbl>
      <w:tblPr>
        <w:tblStyle w:val="Grigliatabella"/>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lastRenderedPageBreak/>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t>&lt;ESMA_QUESTION_CSDR_33&gt;</w:t>
      </w:r>
    </w:p>
    <w:p w14:paraId="05CC3F04" w14:textId="77777777" w:rsidR="00683F26" w:rsidRDefault="00683F26">
      <w:permStart w:id="9921138" w:edGrp="everyone"/>
      <w:r>
        <w:t>TYPE YOUR TEXT HERE</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78F85665" w14:textId="77777777" w:rsidR="00683F26" w:rsidRDefault="00683F26">
      <w:permStart w:id="1386107427" w:edGrp="everyone"/>
      <w:r>
        <w:t>TYPE YOUR TEXT HERE</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Grigliatabella"/>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lastRenderedPageBreak/>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44C9DAA" w14:textId="77777777" w:rsidR="00D57C74" w:rsidRDefault="00D57C74" w:rsidP="00D57C74">
      <w:permStart w:id="2042054973" w:edGrp="everyone"/>
      <w:r>
        <w:t>TYPE YOUR TEXT HERE</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6E6E93D5" w14:textId="77777777" w:rsidR="00DD5F58" w:rsidRDefault="00DD5F58">
      <w:permStart w:id="193803223" w:edGrp="everyone"/>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380F5E97" w14:textId="77777777" w:rsidR="00DD5F58" w:rsidRDefault="00DD5F58">
      <w:permStart w:id="497239485" w:edGrp="everyone"/>
      <w:r>
        <w:t>TYPE YOUR TEXT HERE</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lastRenderedPageBreak/>
        <w:t>How could the parameters for the calculation of cash penalties take into account the effect that low or negative interest rates could have on the 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D39FA4" w14:textId="77777777" w:rsidR="00DD5F58" w:rsidRDefault="00DD5F58">
      <w:permStart w:id="363731969" w:edGrp="everyone"/>
      <w:r>
        <w:t>TYPE YOUR TEXT HERE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464E4184" w14:textId="77777777" w:rsidR="00DD5F58" w:rsidRDefault="00DD5F58">
      <w:permStart w:id="395341201" w:edGrp="everyone"/>
      <w:r>
        <w:t>TYPE YOUR TEXT HERE</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Grigliatabella"/>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 xml:space="preserve">Application of the penalty mechanism only at the level of </w:t>
            </w:r>
            <w:r w:rsidRPr="442E5590">
              <w:rPr>
                <w:b/>
                <w:bCs/>
              </w:rPr>
              <w:lastRenderedPageBreak/>
              <w:t>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lastRenderedPageBreak/>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7777777" w:rsidR="000F5114" w:rsidRDefault="000F5114" w:rsidP="000F5114">
      <w:permStart w:id="1572044397" w:edGrp="everyone"/>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626B69E" w14:textId="70827B3B" w:rsidR="00BE392A" w:rsidRDefault="000F7E96" w:rsidP="0067070C">
      <w:permStart w:id="432759641" w:edGrp="everyone"/>
      <w:r>
        <w:t>TYPE YOUR TEXT HERE</w:t>
      </w:r>
      <w:permEnd w:id="432759641"/>
    </w:p>
    <w:tbl>
      <w:tblPr>
        <w:tblStyle w:val="Grigliatabella"/>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lastRenderedPageBreak/>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EF36DC1" w14:textId="77777777" w:rsidR="003148F1" w:rsidRDefault="003148F1">
      <w:permStart w:id="328298340" w:edGrp="everyone"/>
      <w:r>
        <w:t>TYPE YOUR TEXT HERE</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77777777" w:rsidR="004A2E54" w:rsidRDefault="004A2E54" w:rsidP="004A2E54">
      <w:permStart w:id="1912501969" w:edGrp="everyone"/>
      <w:r>
        <w:t>TYPE YOUR TEXT HERE</w:t>
      </w:r>
    </w:p>
    <w:tbl>
      <w:tblPr>
        <w:tblStyle w:val="Grigliatabella"/>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lastRenderedPageBreak/>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65FC942E" w14:textId="77777777" w:rsidR="00FA151B" w:rsidRDefault="00FA151B" w:rsidP="00FA151B">
      <w:permStart w:id="1125473364" w:edGrp="everyone"/>
      <w:r>
        <w:t>TYPE YOUR TEXT HERE</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258E233C" w:rsidR="00FA151B" w:rsidRDefault="005D1A72" w:rsidP="00FA151B">
      <w:permStart w:id="1165707336" w:edGrp="everyone"/>
      <w:r>
        <w:t>As per paragraphs 53 and 54, ESMA states that “</w:t>
      </w:r>
      <w:r w:rsidRPr="00F16BE2">
        <w:rPr>
          <w:i/>
          <w:iCs/>
        </w:rPr>
        <w:t>it seems that penalties paid or received are treated inconsistently by CSD participants</w:t>
      </w:r>
      <w:r>
        <w:t>” as “</w:t>
      </w:r>
      <w:r w:rsidRPr="00F16BE2">
        <w:rPr>
          <w:i/>
          <w:iCs/>
        </w:rPr>
        <w:t>some CSD participants do not pass on penalties to clients, while others do pass penalties to the respective clients</w:t>
      </w:r>
      <w:r>
        <w:t xml:space="preserve">”. Our members </w:t>
      </w:r>
      <w:r>
        <w:rPr>
          <w:b/>
          <w:bCs/>
        </w:rPr>
        <w:t>are</w:t>
      </w:r>
      <w:r w:rsidRPr="00703F39">
        <w:rPr>
          <w:b/>
          <w:bCs/>
        </w:rPr>
        <w:t xml:space="preserve"> agnostic on the approach chosen by any given CSD participant across the Union</w:t>
      </w:r>
      <w:r>
        <w:t xml:space="preserve">, properly because of the different readings that can be done of Recitals 18 and seq. and of Art. 7 of CSDR (as also implied by ESMA in par. 53) and because this appears to be in the remit of </w:t>
      </w:r>
      <w:r>
        <w:lastRenderedPageBreak/>
        <w:t>each participants’ commercial/business choice. Our members</w:t>
      </w:r>
      <w:r w:rsidRPr="00703F39">
        <w:rPr>
          <w:b/>
          <w:bCs/>
        </w:rPr>
        <w:t xml:space="preserve"> understand ESMA’s</w:t>
      </w:r>
      <w:r w:rsidRPr="00703F39">
        <w:t xml:space="preserve"> principle-fear that </w:t>
      </w:r>
      <w:r>
        <w:t>(par. 54) “</w:t>
      </w:r>
      <w:r w:rsidRPr="001E14AE">
        <w:rPr>
          <w:i/>
          <w:iCs/>
        </w:rPr>
        <w:t>if penalties are not passed on to clients, this would reduce the effectiveness of the penalty mechanism and would also lead to a different application of CSDR across the Union</w:t>
      </w:r>
      <w:r>
        <w:t xml:space="preserve">” </w:t>
      </w:r>
      <w:r w:rsidRPr="00703F39">
        <w:rPr>
          <w:b/>
          <w:bCs/>
        </w:rPr>
        <w:t xml:space="preserve">but </w:t>
      </w:r>
      <w:r>
        <w:rPr>
          <w:b/>
          <w:bCs/>
        </w:rPr>
        <w:t xml:space="preserve">they </w:t>
      </w:r>
      <w:r w:rsidRPr="00703F39">
        <w:rPr>
          <w:b/>
          <w:bCs/>
        </w:rPr>
        <w:t>believes that the use of the term “Client” is too generic in this scope</w:t>
      </w:r>
      <w:r>
        <w:t xml:space="preserve"> and it deserves to be clarified and detailed in the Final Report to this consultation to avoid misinterpretation. Our members believe that CSDR discipline should ensure CSD participants debit the penalties to the entities which are </w:t>
      </w:r>
      <w:r w:rsidRPr="00DC1A30">
        <w:t>actually responsible</w:t>
      </w:r>
      <w:r>
        <w:t xml:space="preserve"> for a late settlement, or a settlement fail. The use of the terms “Clients” in par. 53 and 54 is generic and not helpful, as it can be referred to institutional clients (i.e. a bank using the services of a custodian bank), as well as to retail clients (which could materially be the source of a fail, given that any cash or securities account on their name is subject to an immediate check of its amounts, prior to allowing the client instructing the purchase or sale of any security). Hence, ESMA shall detail in the Final Report (and hence in any eventual amendment to the current Delegated Regulations), the type of Clients which cannot materially be debited or credited with Settlement Fail Penalties (due to operational set-ups which impede such kinds of Clients to be the source of a fail). ESMA shall also ensure CSD participants are responsible for debiting the penalties to the entity responsible for a fail, as long as the information available to the CSD participant allow such identification. Should this clarification not be introduced via the Final Report, there is a material risk that a (generic) bank, using custody and settlement services by a Custodian Bank, consider it liable for not passing a settlement fail penalty to its retail clients.</w:t>
      </w:r>
    </w:p>
    <w:p w14:paraId="5CB90224" w14:textId="273D6B2D" w:rsidR="000B133F" w:rsidRDefault="000B133F" w:rsidP="00FA151B">
      <w:r w:rsidRPr="00C57607">
        <w:rPr>
          <w:b/>
          <w:bCs/>
        </w:rPr>
        <w:t xml:space="preserve">ESMA should also gather detailed information (in order to be fully aware on it) on the different approaches regarding the debiting and crediting of settlement penalties in the scope of “Investment Management Companies” and their related “UCTS Funds” as we are aware of differences across the Union </w:t>
      </w:r>
      <w:r>
        <w:t xml:space="preserve">(legitimate difference, due to </w:t>
      </w:r>
      <w:r w:rsidR="00C716C2">
        <w:t xml:space="preserve">regulatory and </w:t>
      </w:r>
      <w:r>
        <w:t>legal constrains which have legitimately led to slightly different set-ups). For instance,</w:t>
      </w:r>
      <w:r w:rsidR="00852CFE">
        <w:t xml:space="preserve"> </w:t>
      </w:r>
      <w:r>
        <w:t>in Italy the UCITS/Fund, in case of fails, it is only credited penalties</w:t>
      </w:r>
      <w:r w:rsidR="00B00C15">
        <w:t xml:space="preserve"> </w:t>
      </w:r>
      <w:r w:rsidR="00B00C15" w:rsidRPr="00B00C15">
        <w:t>(in bonis</w:t>
      </w:r>
      <w:r w:rsidR="00B00C15">
        <w:t xml:space="preserve"> penalties</w:t>
      </w:r>
      <w:r w:rsidR="00B00C15" w:rsidRPr="00B00C15">
        <w:t>)</w:t>
      </w:r>
      <w:r>
        <w:t xml:space="preserve">, but </w:t>
      </w:r>
      <w:r w:rsidR="008461D7">
        <w:t xml:space="preserve">not </w:t>
      </w:r>
      <w:r>
        <w:t>debited (</w:t>
      </w:r>
      <w:r w:rsidRPr="00A36F7D">
        <w:rPr>
          <w:i/>
          <w:iCs/>
        </w:rPr>
        <w:t>in malis</w:t>
      </w:r>
      <w:r>
        <w:t>) penalties</w:t>
      </w:r>
      <w:r w:rsidR="00A36F7D">
        <w:t>,</w:t>
      </w:r>
      <w:r>
        <w:t xml:space="preserve"> as the Fund </w:t>
      </w:r>
      <w:r w:rsidR="003C6657">
        <w:t xml:space="preserve">it is not a </w:t>
      </w:r>
      <w:r w:rsidR="003C6657">
        <w:rPr>
          <w:i/>
          <w:iCs/>
        </w:rPr>
        <w:t xml:space="preserve">trading party, </w:t>
      </w:r>
      <w:r w:rsidR="003C6657">
        <w:t xml:space="preserve">nor </w:t>
      </w:r>
      <w:r w:rsidR="00D56E0D">
        <w:t>an instructing party</w:t>
      </w:r>
      <w:r w:rsidR="00A36F7D">
        <w:t xml:space="preserve">. </w:t>
      </w:r>
      <w:r w:rsidR="003B3E4A">
        <w:t>Hence,</w:t>
      </w:r>
      <w:r>
        <w:t xml:space="preserve"> </w:t>
      </w:r>
      <w:r w:rsidR="00D56E0D" w:rsidRPr="00D56E0D">
        <w:rPr>
          <w:i/>
          <w:iCs/>
        </w:rPr>
        <w:t>in malis</w:t>
      </w:r>
      <w:r w:rsidR="00D56E0D">
        <w:t xml:space="preserve"> </w:t>
      </w:r>
      <w:r>
        <w:t xml:space="preserve">penalties </w:t>
      </w:r>
      <w:r w:rsidR="00D56E0D">
        <w:t xml:space="preserve">are </w:t>
      </w:r>
      <w:r>
        <w:t xml:space="preserve">debited to the related Investment Management Company. </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5862BB36" w14:textId="77777777" w:rsidR="00FA151B" w:rsidRDefault="00FA151B" w:rsidP="00FA151B">
      <w:permStart w:id="695947103" w:edGrp="everyone"/>
      <w:r>
        <w:t>TYPE YOUR TEXT HERE</w:t>
      </w:r>
    </w:p>
    <w:permEnd w:id="695947103"/>
    <w:p w14:paraId="5EB4FD3A" w14:textId="77777777" w:rsidR="00FA151B" w:rsidRDefault="00FA151B" w:rsidP="00FA151B">
      <w:r>
        <w:lastRenderedPageBreak/>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6AB1AEE9" w14:textId="77777777" w:rsidR="00FA151B" w:rsidRDefault="00FA151B" w:rsidP="00FA151B">
      <w:permStart w:id="1544167674" w:edGrp="everyone"/>
      <w:r>
        <w:t>TYPE YOUR TEXT HERE</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7A31024D" w14:textId="4B2FE2BE" w:rsidR="00FA151B" w:rsidRDefault="00D9586D" w:rsidP="00FA151B">
      <w:permStart w:id="32193916" w:edGrp="everyone"/>
      <w:r>
        <w:t>We have received different considerations on this scope by our members. Preliminarily, it can be stated that setting forth for public consultation a proposal with a specific penalty structure applicable to participants with systematically high levels of settlement fails could help focusing on the topic and assess whether such a measure might be introduced in CSDR, under specific conditions.</w:t>
      </w:r>
    </w:p>
    <w:permEnd w:id="32193916"/>
    <w:p w14:paraId="453244ED" w14:textId="77777777" w:rsidR="00FA151B" w:rsidRDefault="00FA151B" w:rsidP="00FA151B">
      <w:r>
        <w:lastRenderedPageBreak/>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558F34B" w14:textId="6FDD1B02" w:rsidR="00FA151B" w:rsidRDefault="00B22A34" w:rsidP="00FA151B">
      <w:permStart w:id="800291382" w:edGrp="everyone"/>
      <w:r>
        <w:t xml:space="preserve">Our members consider that, in the interest of the well-functioning Capital Markets Union, the topic of Settlement Efficiency has finally gained the attention and focus it historically deserved. Likely, scheduling regular occasions to discuss the statistics and trends in the efficiency levels will be more and more valuable for infrastructures and participants. Hence, ABI would positively consider the discussion of the topic at CSDs’ User Committees but it also recall ESMA the crucial importance to provide for CSDs using the very same computation method for settlement efficiency statistics and for data formats (given that the current large differences in some CSDs statistics are not justifiable only with a lack in their participants’ efficiency, but it likely depends also on CSDs considering as “fail” something that other CSDs do not consider and qualify as such). Lacking that, the Union would continue having data on efficiency which are not harmonised and actually comparable. </w:t>
      </w:r>
    </w:p>
    <w:permEnd w:id="800291382"/>
    <w:p w14:paraId="507A6667" w14:textId="77777777" w:rsidR="00FA151B" w:rsidRDefault="00FA151B" w:rsidP="00FA151B">
      <w:r>
        <w:t>&lt;ESMA_QUESTION_CSDR_51&gt;</w:t>
      </w:r>
    </w:p>
    <w:sectPr w:rsidR="00FA151B"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8AF1" w14:textId="77777777" w:rsidR="001D13B2" w:rsidRDefault="001D13B2" w:rsidP="007E7997">
      <w:pPr>
        <w:spacing w:line="240" w:lineRule="auto"/>
      </w:pPr>
      <w:r>
        <w:separator/>
      </w:r>
    </w:p>
  </w:endnote>
  <w:endnote w:type="continuationSeparator" w:id="0">
    <w:p w14:paraId="0CC0E513" w14:textId="77777777" w:rsidR="001D13B2" w:rsidRDefault="001D13B2" w:rsidP="007E7997">
      <w:pPr>
        <w:spacing w:line="240" w:lineRule="auto"/>
      </w:pPr>
      <w:r>
        <w:continuationSeparator/>
      </w:r>
    </w:p>
  </w:endnote>
  <w:endnote w:type="continuationNotice" w:id="1">
    <w:p w14:paraId="045ED750" w14:textId="77777777" w:rsidR="001D13B2" w:rsidRDefault="001D13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78A3" w14:textId="77777777" w:rsidR="001D13B2" w:rsidRDefault="001D13B2" w:rsidP="007E7997">
      <w:pPr>
        <w:spacing w:line="240" w:lineRule="auto"/>
      </w:pPr>
      <w:r>
        <w:separator/>
      </w:r>
    </w:p>
  </w:footnote>
  <w:footnote w:type="continuationSeparator" w:id="0">
    <w:p w14:paraId="214FBE2B" w14:textId="77777777" w:rsidR="001D13B2" w:rsidRDefault="001D13B2" w:rsidP="007E7997">
      <w:pPr>
        <w:spacing w:line="240" w:lineRule="auto"/>
      </w:pPr>
      <w:r>
        <w:continuationSeparator/>
      </w:r>
    </w:p>
  </w:footnote>
  <w:footnote w:type="continuationNotice" w:id="1">
    <w:p w14:paraId="140B913C" w14:textId="77777777" w:rsidR="001D13B2" w:rsidRDefault="001D13B2">
      <w:pPr>
        <w:spacing w:after="0" w:line="240" w:lineRule="auto"/>
      </w:pPr>
    </w:p>
  </w:footnote>
  <w:footnote w:id="2">
    <w:p w14:paraId="59599A9C" w14:textId="77777777" w:rsidR="003454A4" w:rsidRPr="00275C62" w:rsidRDefault="003454A4" w:rsidP="003454A4">
      <w:pPr>
        <w:pStyle w:val="Testonotaapidipagina"/>
        <w:rPr>
          <w:lang w:val="en-US"/>
        </w:rPr>
      </w:pPr>
      <w:r>
        <w:rPr>
          <w:rStyle w:val="Rimandonotaapidipagina"/>
        </w:rPr>
        <w:footnoteRef/>
      </w:r>
      <w:r>
        <w:t xml:space="preserve"> The Report is </w:t>
      </w:r>
      <w:r w:rsidRPr="00275C62">
        <w:t xml:space="preserve">available at: </w:t>
      </w:r>
      <w:hyperlink r:id="rId1" w:history="1">
        <w:r w:rsidRPr="00275C62">
          <w:rPr>
            <w:rStyle w:val="Collegamentoipertestuale"/>
          </w:rPr>
          <w:t>https://www.esma.europa.eu/sites/default/files/2023-08/ESMA50-1389274163-2681_trv_2-23_risk_monitor.pdf</w:t>
        </w:r>
      </w:hyperlink>
    </w:p>
  </w:footnote>
  <w:footnote w:id="3">
    <w:p w14:paraId="47A0B89D" w14:textId="77777777" w:rsidR="0075160E" w:rsidRPr="005F2A0C" w:rsidRDefault="0075160E" w:rsidP="0075160E">
      <w:pPr>
        <w:pStyle w:val="Testonotaapidipagina"/>
        <w:rPr>
          <w:lang w:val="en-US"/>
        </w:rPr>
      </w:pPr>
      <w:r>
        <w:rPr>
          <w:rStyle w:val="Rimandonotaapidipagina"/>
        </w:rPr>
        <w:footnoteRef/>
      </w:r>
      <w:r>
        <w:t xml:space="preserve"> </w:t>
      </w:r>
      <w:r w:rsidRPr="005F2A0C">
        <w:rPr>
          <w:lang w:val="en-US"/>
        </w:rPr>
        <w:t xml:space="preserve">Available at </w:t>
      </w:r>
      <w:hyperlink r:id="rId2" w:history="1">
        <w:r w:rsidRPr="00DE4A8D">
          <w:rPr>
            <w:rStyle w:val="Collegamentoipertestuale"/>
            <w:lang w:val="en-US"/>
          </w:rPr>
          <w:t>https://www.esma.europa.eu/sites/default/files/library/esma70-708036281-2_csdr_qas.pdf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Intestazione"/>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Intestazione"/>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E21"/>
    <w:multiLevelType w:val="hybridMultilevel"/>
    <w:tmpl w:val="6BD08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27476"/>
    <w:multiLevelType w:val="hybridMultilevel"/>
    <w:tmpl w:val="3B1C09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677B75"/>
    <w:multiLevelType w:val="hybridMultilevel"/>
    <w:tmpl w:val="F522E446"/>
    <w:lvl w:ilvl="0" w:tplc="453444F6">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8A5B9C"/>
    <w:multiLevelType w:val="hybridMultilevel"/>
    <w:tmpl w:val="4CAE1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A61840"/>
    <w:multiLevelType w:val="hybridMultilevel"/>
    <w:tmpl w:val="6624CD50"/>
    <w:lvl w:ilvl="0" w:tplc="30EC5BE8">
      <w:start w:val="1"/>
      <w:numFmt w:val="bullet"/>
      <w:pStyle w:val="Paragrafoelenco"/>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2"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CAC7E65"/>
    <w:multiLevelType w:val="hybridMultilevel"/>
    <w:tmpl w:val="84484546"/>
    <w:lvl w:ilvl="0" w:tplc="453444F6">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6"/>
  </w:num>
  <w:num w:numId="2" w16cid:durableId="270287514">
    <w:abstractNumId w:val="7"/>
  </w:num>
  <w:num w:numId="3" w16cid:durableId="1675497260">
    <w:abstractNumId w:val="13"/>
  </w:num>
  <w:num w:numId="4" w16cid:durableId="1146706333">
    <w:abstractNumId w:val="5"/>
  </w:num>
  <w:num w:numId="5" w16cid:durableId="1502348752">
    <w:abstractNumId w:val="1"/>
  </w:num>
  <w:num w:numId="6" w16cid:durableId="1544101585">
    <w:abstractNumId w:val="9"/>
  </w:num>
  <w:num w:numId="7" w16cid:durableId="896626050">
    <w:abstractNumId w:val="17"/>
  </w:num>
  <w:num w:numId="8" w16cid:durableId="806780153">
    <w:abstractNumId w:val="4"/>
  </w:num>
  <w:num w:numId="9" w16cid:durableId="1677002603">
    <w:abstractNumId w:val="15"/>
  </w:num>
  <w:num w:numId="10" w16cid:durableId="22487393">
    <w:abstractNumId w:val="12"/>
  </w:num>
  <w:num w:numId="11" w16cid:durableId="270942799">
    <w:abstractNumId w:val="11"/>
  </w:num>
  <w:num w:numId="12" w16cid:durableId="10230698">
    <w:abstractNumId w:val="11"/>
    <w:lvlOverride w:ilvl="0">
      <w:startOverride w:val="1"/>
    </w:lvlOverride>
  </w:num>
  <w:num w:numId="13" w16cid:durableId="1914856611">
    <w:abstractNumId w:val="3"/>
  </w:num>
  <w:num w:numId="14" w16cid:durableId="297614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10"/>
  </w:num>
  <w:num w:numId="17" w16cid:durableId="1032808965">
    <w:abstractNumId w:val="2"/>
  </w:num>
  <w:num w:numId="18" w16cid:durableId="373582009">
    <w:abstractNumId w:val="14"/>
  </w:num>
  <w:num w:numId="19" w16cid:durableId="1938639257">
    <w:abstractNumId w:val="6"/>
  </w:num>
  <w:num w:numId="20" w16cid:durableId="1633435428">
    <w:abstractNumId w:val="0"/>
  </w:num>
  <w:num w:numId="21" w16cid:durableId="11995455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6922"/>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0E8"/>
    <w:rsid w:val="00090912"/>
    <w:rsid w:val="00091203"/>
    <w:rsid w:val="00091B09"/>
    <w:rsid w:val="00091BB5"/>
    <w:rsid w:val="00092AA2"/>
    <w:rsid w:val="0009321F"/>
    <w:rsid w:val="000934DC"/>
    <w:rsid w:val="000934FD"/>
    <w:rsid w:val="0009362A"/>
    <w:rsid w:val="00093884"/>
    <w:rsid w:val="00093CED"/>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33F"/>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3B2"/>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3739"/>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022"/>
    <w:rsid w:val="00207A39"/>
    <w:rsid w:val="00207B7E"/>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4EA5"/>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1E6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2315"/>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1C75"/>
    <w:rsid w:val="00342050"/>
    <w:rsid w:val="003420F9"/>
    <w:rsid w:val="003432FA"/>
    <w:rsid w:val="00343507"/>
    <w:rsid w:val="00343A52"/>
    <w:rsid w:val="00343BFD"/>
    <w:rsid w:val="00344957"/>
    <w:rsid w:val="00344BD6"/>
    <w:rsid w:val="00344D60"/>
    <w:rsid w:val="00344E59"/>
    <w:rsid w:val="003450C2"/>
    <w:rsid w:val="003454A4"/>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838"/>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61A9"/>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3E4A"/>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657"/>
    <w:rsid w:val="003C6BC5"/>
    <w:rsid w:val="003C7696"/>
    <w:rsid w:val="003D017C"/>
    <w:rsid w:val="003D02F0"/>
    <w:rsid w:val="003D0516"/>
    <w:rsid w:val="003D09B4"/>
    <w:rsid w:val="003D0D59"/>
    <w:rsid w:val="003D1AC5"/>
    <w:rsid w:val="003D1B59"/>
    <w:rsid w:val="003D1D3C"/>
    <w:rsid w:val="003D1D80"/>
    <w:rsid w:val="003D1EED"/>
    <w:rsid w:val="003D24BA"/>
    <w:rsid w:val="003D2F14"/>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5DB"/>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01"/>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7C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67E19"/>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31C"/>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6F62"/>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A72"/>
    <w:rsid w:val="005D1C27"/>
    <w:rsid w:val="005D253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D5"/>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97E91"/>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160E"/>
    <w:rsid w:val="007520A8"/>
    <w:rsid w:val="00752244"/>
    <w:rsid w:val="007529E5"/>
    <w:rsid w:val="00752DE9"/>
    <w:rsid w:val="007531C1"/>
    <w:rsid w:val="0075343F"/>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0FDC"/>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AE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1D7"/>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CFE"/>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6A35"/>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3C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53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522"/>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E2A"/>
    <w:rsid w:val="009140E6"/>
    <w:rsid w:val="009141A8"/>
    <w:rsid w:val="009147E6"/>
    <w:rsid w:val="00914AD2"/>
    <w:rsid w:val="00914B40"/>
    <w:rsid w:val="00914BBA"/>
    <w:rsid w:val="00914E6C"/>
    <w:rsid w:val="009150C8"/>
    <w:rsid w:val="00915375"/>
    <w:rsid w:val="00915FD5"/>
    <w:rsid w:val="00916529"/>
    <w:rsid w:val="00916B98"/>
    <w:rsid w:val="00916E27"/>
    <w:rsid w:val="0091794C"/>
    <w:rsid w:val="00917C37"/>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BFB"/>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06"/>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C4B"/>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5E1B"/>
    <w:rsid w:val="00A06211"/>
    <w:rsid w:val="00A062DB"/>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6F7D"/>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84"/>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C15"/>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2A34"/>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2FB4"/>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A94"/>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32D"/>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64A"/>
    <w:rsid w:val="00C638E3"/>
    <w:rsid w:val="00C63E3B"/>
    <w:rsid w:val="00C64929"/>
    <w:rsid w:val="00C64E25"/>
    <w:rsid w:val="00C65438"/>
    <w:rsid w:val="00C6639C"/>
    <w:rsid w:val="00C6665B"/>
    <w:rsid w:val="00C668F5"/>
    <w:rsid w:val="00C670ED"/>
    <w:rsid w:val="00C67A23"/>
    <w:rsid w:val="00C7017B"/>
    <w:rsid w:val="00C702A3"/>
    <w:rsid w:val="00C716C2"/>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BF7"/>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5DFD"/>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342"/>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37E0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E0D"/>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6D"/>
    <w:rsid w:val="00D95897"/>
    <w:rsid w:val="00D959D6"/>
    <w:rsid w:val="00D95BFE"/>
    <w:rsid w:val="00D95C5B"/>
    <w:rsid w:val="00D96154"/>
    <w:rsid w:val="00D96243"/>
    <w:rsid w:val="00D964FE"/>
    <w:rsid w:val="00D968BA"/>
    <w:rsid w:val="00DA039E"/>
    <w:rsid w:val="00DA08C6"/>
    <w:rsid w:val="00DA095A"/>
    <w:rsid w:val="00DA09C2"/>
    <w:rsid w:val="00DA0A84"/>
    <w:rsid w:val="00DA0AE5"/>
    <w:rsid w:val="00DA0E4B"/>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45E"/>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70F"/>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8E6"/>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66E"/>
    <w:rsid w:val="00F12EC9"/>
    <w:rsid w:val="00F13439"/>
    <w:rsid w:val="00F141D6"/>
    <w:rsid w:val="00F14539"/>
    <w:rsid w:val="00F14E67"/>
    <w:rsid w:val="00F15217"/>
    <w:rsid w:val="00F15684"/>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043"/>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22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4C0"/>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21A"/>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911"/>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3B92"/>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C5469A"/>
    <w:pPr>
      <w:tabs>
        <w:tab w:val="left" w:pos="567"/>
      </w:tabs>
      <w:ind w:hanging="360"/>
      <w:contextualSpacing/>
    </w:pPr>
    <w:rPr>
      <w:b/>
    </w:rPr>
  </w:style>
  <w:style w:type="character" w:customStyle="1" w:styleId="QuestionstyleChar">
    <w:name w:val="Question style Char"/>
    <w:basedOn w:val="Carpredefinitoparagrafo"/>
    <w:link w:val="Questionstyle"/>
    <w:rsid w:val="00C5469A"/>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EC6066"/>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sma.europa.eu/sites/default/files/library/esma70-708036281-2_csdr_qas.pdf" TargetMode="External"/><Relationship Id="rId1" Type="http://schemas.openxmlformats.org/officeDocument/2006/relationships/hyperlink" Target="https://www.esma.europa.eu/sites/default/files/2023-08/ESMA50-1389274163-2681_trv_2-23_risk_monit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stosegnaposto"/>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6A1221"/>
    <w:rsid w:val="00813189"/>
    <w:rsid w:val="008222A0"/>
    <w:rsid w:val="00836D47"/>
    <w:rsid w:val="008B4328"/>
    <w:rsid w:val="009B6B9C"/>
    <w:rsid w:val="00A266C0"/>
    <w:rsid w:val="00B22006"/>
    <w:rsid w:val="00BA3FBB"/>
    <w:rsid w:val="00BD503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299</Value>
      <Value>282</Value>
      <Value>9</Value>
      <Value>296</Value>
    </TaxCatchAll>
    <_dlc_DocId xmlns="d0fb0f98-34f9-4d57-9559-eb8efd17aa5e">ESMA74-2119945925-1704</_dlc_DocId>
    <_dlc_DocIdUrl xmlns="d0fb0f98-34f9-4d57-9559-eb8efd17aa5e">
      <Url>https://securitiesandmarketsauth.sharepoint.com/sites/sherpa-trdu/_layouts/15/DocIdRedir.aspx?ID=ESMA74-2119945925-1704</Url>
      <Description>ESMA74-2119945925-1704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Cash penalties</TermName>
          <TermId xmlns="http://schemas.microsoft.com/office/infopath/2007/PartnerControls">750d9414-78ed-4fba-a8dc-f2be471cad85</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5.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35</Pages>
  <Words>8501</Words>
  <Characters>48462</Characters>
  <Application>Microsoft Office Word</Application>
  <DocSecurity>8</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56850</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p:lastModifiedBy>
  <cp:revision>141</cp:revision>
  <cp:lastPrinted>2023-09-09T00:53:00Z</cp:lastPrinted>
  <dcterms:created xsi:type="dcterms:W3CDTF">2023-11-24T23:18:00Z</dcterms:created>
  <dcterms:modified xsi:type="dcterms:W3CDTF">2024-02-29T15:32:00Z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