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re"/>
          </w:pPr>
          <w:r>
            <w:t xml:space="preserve">Reply </w:t>
          </w:r>
          <w:r w:rsidR="00DD03DC">
            <w:t>F</w:t>
          </w:r>
          <w:r>
            <w:t>orm</w:t>
          </w:r>
        </w:p>
        <w:p w14:paraId="031F2108" w14:textId="15BBB95F" w:rsidR="007E7997" w:rsidRPr="00C01571" w:rsidRDefault="00D77369" w:rsidP="00D77369">
          <w:pPr>
            <w:pStyle w:val="Sous-titr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DB61C"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us-titr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Paragraphedeliste"/>
          </w:pPr>
          <w:r w:rsidRPr="00E13D25">
            <w:t>respond to the question stated;</w:t>
          </w:r>
        </w:p>
        <w:p w14:paraId="72FD40F6" w14:textId="77777777" w:rsidR="002533FC" w:rsidRPr="00E13D25" w:rsidRDefault="002533FC" w:rsidP="00EC6066">
          <w:pPr>
            <w:pStyle w:val="Paragraphedeliste"/>
          </w:pPr>
          <w:r w:rsidRPr="00E13D25">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E13D25" w:rsidRDefault="002533FC" w:rsidP="00EC6066">
          <w:pPr>
            <w:pStyle w:val="Paragraphedeliste"/>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Lienhypertexte"/>
              </w:rPr>
              <w:t>www.esma.europa.eu</w:t>
            </w:r>
          </w:hyperlink>
          <w:r w:rsidRPr="005B6B12">
            <w:t xml:space="preserve"> under the heading </w:t>
          </w:r>
          <w:r w:rsidRPr="00025A7F">
            <w:rPr>
              <w:rStyle w:val="Lienhypertexte"/>
            </w:rPr>
            <w:t>‘</w:t>
          </w:r>
          <w:hyperlink r:id="rId22" w:history="1">
            <w:r>
              <w:rPr>
                <w:rStyle w:val="Lienhypertexte"/>
              </w:rPr>
              <w:t>Data protection</w:t>
            </w:r>
          </w:hyperlink>
          <w:r>
            <w:rPr>
              <w:rStyle w:val="Lienhypertext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6166DBC2" w:rsidR="00635BCA" w:rsidRPr="00557BD2" w:rsidRDefault="00DF3838" w:rsidP="00D21C35">
                <w:r>
                  <w:t>FRANCE POST-MARCHE</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3CA2B756" w:rsidR="00635BCA" w:rsidRPr="00557BD2" w:rsidRDefault="00A36183"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09D8E060" w:rsidR="00635BCA" w:rsidRPr="00557BD2" w:rsidRDefault="00A36183"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72D4613E" w:rsidR="00635BCA" w:rsidRPr="00557BD2" w:rsidRDefault="00A36183" w:rsidP="00D21C35">
                <w:r>
                  <w:t>France</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Titre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03C4C06D" w14:textId="77777777" w:rsidR="00C1601B" w:rsidRPr="00E84E48" w:rsidRDefault="00C1601B" w:rsidP="00C97FDB">
      <w:pPr>
        <w:spacing w:before="120" w:after="0" w:line="240" w:lineRule="auto"/>
        <w:rPr>
          <w:rFonts w:ascii="Calibri" w:eastAsia="Times New Roman" w:hAnsi="Calibri" w:cs="Calibri"/>
          <w:color w:val="000000"/>
          <w:szCs w:val="22"/>
        </w:rPr>
      </w:pPr>
      <w:permStart w:id="750397953" w:edGrp="everyone"/>
      <w:r w:rsidRPr="00E84E48">
        <w:rPr>
          <w:rFonts w:ascii="Calibri" w:eastAsia="Times New Roman" w:hAnsi="Calibri" w:cs="Calibri"/>
          <w:color w:val="000000"/>
          <w:szCs w:val="22"/>
        </w:rPr>
        <w:t>We believe that the proper alternative solution when the official interest rate for overnight credit charged by the central bank issuing the settlement currency is not available lies in Option 3, which is close to the current methodology applied in T2S when such cases do occur.</w:t>
      </w:r>
    </w:p>
    <w:p w14:paraId="66C53B27" w14:textId="2E16CFD2" w:rsidR="005171FF" w:rsidRDefault="00C1601B" w:rsidP="005171FF">
      <w:r w:rsidRPr="00E84E48">
        <w:rPr>
          <w:rFonts w:ascii="Calibri" w:eastAsia="Times New Roman" w:hAnsi="Calibri" w:cs="Calibri"/>
          <w:color w:val="000000"/>
          <w:szCs w:val="22"/>
        </w:rPr>
        <w:t xml:space="preserve">These cases are extremely </w:t>
      </w:r>
      <w:proofErr w:type="gramStart"/>
      <w:r w:rsidRPr="00E84E48">
        <w:rPr>
          <w:rFonts w:ascii="Calibri" w:eastAsia="Times New Roman" w:hAnsi="Calibri" w:cs="Calibri"/>
          <w:color w:val="000000"/>
          <w:szCs w:val="22"/>
        </w:rPr>
        <w:t>rare</w:t>
      </w:r>
      <w:r>
        <w:rPr>
          <w:rFonts w:ascii="Calibri" w:eastAsia="Times New Roman" w:hAnsi="Calibri" w:cs="Calibri"/>
          <w:color w:val="000000"/>
          <w:sz w:val="18"/>
          <w:szCs w:val="18"/>
        </w:rPr>
        <w:t>.</w:t>
      </w:r>
      <w:permEnd w:id="750397953"/>
      <w:r w:rsidR="005171FF">
        <w:t>&lt;</w:t>
      </w:r>
      <w:proofErr w:type="gramEnd"/>
      <w:r w:rsidR="005171FF">
        <w: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3D11FB63" w14:textId="20945A9F" w:rsidR="005171FF" w:rsidRDefault="00C70F34" w:rsidP="005171FF">
      <w:permStart w:id="1747127182" w:edGrp="everyone"/>
      <w:r w:rsidRPr="000722FA">
        <w:rPr>
          <w:rFonts w:ascii="Calibri" w:eastAsia="Times New Roman" w:hAnsi="Calibri" w:cs="Calibri"/>
          <w:color w:val="000000"/>
          <w:szCs w:val="22"/>
        </w:rPr>
        <w:t xml:space="preserve">We do not have other suggestions. The option chosen should remain simple, easy to explain, and at a limited cost of </w:t>
      </w:r>
      <w:proofErr w:type="gramStart"/>
      <w:r w:rsidRPr="000722FA">
        <w:rPr>
          <w:rFonts w:ascii="Calibri" w:eastAsia="Times New Roman" w:hAnsi="Calibri" w:cs="Calibri"/>
          <w:color w:val="000000"/>
          <w:szCs w:val="22"/>
        </w:rPr>
        <w:t>development</w:t>
      </w:r>
      <w:r>
        <w:rPr>
          <w:rFonts w:ascii="Calibri" w:eastAsia="Times New Roman" w:hAnsi="Calibri" w:cs="Calibri"/>
          <w:color w:val="000000"/>
          <w:sz w:val="18"/>
          <w:szCs w:val="18"/>
        </w:rPr>
        <w:t>.</w:t>
      </w:r>
      <w:permEnd w:id="1747127182"/>
      <w:r w:rsidR="005171FF">
        <w:t>&lt;</w:t>
      </w:r>
      <w:proofErr w:type="gramEnd"/>
      <w:r w:rsidR="005171FF">
        <w: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lastRenderedPageBreak/>
        <w:t>&lt;ESMA_QUESTION_CSDR_3&gt;</w:t>
      </w:r>
    </w:p>
    <w:p w14:paraId="44B0DA0D" w14:textId="77777777" w:rsidR="008C1823" w:rsidRPr="000722FA" w:rsidRDefault="008C1823" w:rsidP="008C1823">
      <w:pPr>
        <w:spacing w:before="120" w:after="0" w:line="240" w:lineRule="auto"/>
        <w:rPr>
          <w:rFonts w:ascii="Calibri" w:eastAsia="Times New Roman" w:hAnsi="Calibri" w:cs="Calibri"/>
          <w:color w:val="000000"/>
          <w:szCs w:val="22"/>
        </w:rPr>
      </w:pPr>
      <w:permStart w:id="510220754" w:edGrp="everyone"/>
      <w:r w:rsidRPr="000722FA">
        <w:rPr>
          <w:rFonts w:ascii="Calibri" w:eastAsia="Times New Roman" w:hAnsi="Calibri" w:cs="Calibri"/>
          <w:color w:val="000000"/>
          <w:szCs w:val="22"/>
        </w:rPr>
        <w:t>The question of proportionality raised in this question is unclear to us.</w:t>
      </w:r>
    </w:p>
    <w:p w14:paraId="787F7D79" w14:textId="4FA9F246" w:rsidR="005171FF" w:rsidRPr="000722FA" w:rsidRDefault="008C1823" w:rsidP="008C1823">
      <w:pPr>
        <w:rPr>
          <w:szCs w:val="22"/>
        </w:rPr>
      </w:pPr>
      <w:r w:rsidRPr="000722FA">
        <w:rPr>
          <w:rFonts w:ascii="Calibri" w:eastAsia="Times New Roman" w:hAnsi="Calibri" w:cs="Calibri"/>
          <w:color w:val="000000"/>
          <w:szCs w:val="22"/>
        </w:rPr>
        <w:t xml:space="preserve">If proportionality is to be considered with regards to the cost involved in the implementation of the solution, we believe that it should be incorporated in the </w:t>
      </w:r>
      <w:proofErr w:type="gramStart"/>
      <w:r w:rsidRPr="000722FA">
        <w:rPr>
          <w:rFonts w:ascii="Calibri" w:eastAsia="Times New Roman" w:hAnsi="Calibri" w:cs="Calibri"/>
          <w:color w:val="000000"/>
          <w:szCs w:val="22"/>
        </w:rPr>
        <w:t>Technical</w:t>
      </w:r>
      <w:proofErr w:type="gramEnd"/>
      <w:r w:rsidRPr="000722FA">
        <w:rPr>
          <w:rFonts w:ascii="Calibri" w:eastAsia="Times New Roman" w:hAnsi="Calibri" w:cs="Calibri"/>
          <w:color w:val="000000"/>
          <w:szCs w:val="22"/>
        </w:rPr>
        <w:t xml:space="preserve"> advice, to ensure that a solution easy to implement will be chosen.</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lastRenderedPageBreak/>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0AAA5FDC" w14:textId="569E2640" w:rsidR="00FB6C65" w:rsidRPr="000722FA" w:rsidRDefault="00DE6C1D" w:rsidP="00FB6C65">
      <w:pPr>
        <w:rPr>
          <w:sz w:val="28"/>
          <w:szCs w:val="24"/>
        </w:rPr>
      </w:pPr>
      <w:permStart w:id="357630705" w:edGrp="everyone"/>
      <w:r w:rsidRPr="000722FA">
        <w:rPr>
          <w:rFonts w:ascii="Calibri" w:eastAsia="Times New Roman" w:hAnsi="Calibri" w:cs="Calibri"/>
          <w:color w:val="000000"/>
          <w:szCs w:val="22"/>
        </w:rPr>
        <w:lastRenderedPageBreak/>
        <w:t>The case considered being extremely rare, we believe a solution easy to implement should be chosen. Option 3 should come at a limited cost, being close to the current practice.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71BCA7AE" w:rsidR="00EA0D0D" w:rsidRPr="000722FA" w:rsidRDefault="00D35445">
      <w:pPr>
        <w:rPr>
          <w:sz w:val="28"/>
          <w:szCs w:val="24"/>
        </w:rPr>
      </w:pPr>
      <w:permStart w:id="1746417266" w:edGrp="everyone"/>
      <w:r w:rsidRPr="000722FA">
        <w:rPr>
          <w:rFonts w:ascii="Calibri" w:eastAsia="Times New Roman" w:hAnsi="Calibri" w:cs="Calibri"/>
          <w:color w:val="000000"/>
          <w:szCs w:val="22"/>
        </w:rPr>
        <w:t>This question is for CSDs to give an answer.</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7296E233" w14:textId="77777777" w:rsidR="00F80E06" w:rsidRPr="000722FA" w:rsidRDefault="00F80E06" w:rsidP="00F80E06">
      <w:pPr>
        <w:spacing w:before="120" w:after="0" w:line="240" w:lineRule="auto"/>
        <w:rPr>
          <w:rFonts w:ascii="Calibri" w:eastAsia="Times New Roman" w:hAnsi="Calibri" w:cs="Calibri"/>
          <w:color w:val="000000"/>
          <w:szCs w:val="22"/>
        </w:rPr>
      </w:pPr>
      <w:permStart w:id="1425227802" w:edGrp="everyone"/>
      <w:r w:rsidRPr="000722FA">
        <w:rPr>
          <w:rFonts w:ascii="Calibri" w:eastAsia="Times New Roman" w:hAnsi="Calibri" w:cs="Calibri"/>
          <w:color w:val="000000"/>
          <w:szCs w:val="22"/>
        </w:rPr>
        <w:t>LMFP can usually result mostly from the following reasons:</w:t>
      </w:r>
    </w:p>
    <w:p w14:paraId="2170BE6F" w14:textId="77777777" w:rsidR="00F80E06" w:rsidRPr="000722FA" w:rsidRDefault="00F80E06" w:rsidP="00F80E06">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0722FA">
        <w:rPr>
          <w:rFonts w:ascii="Calibri" w:eastAsia="Times New Roman" w:hAnsi="Calibri" w:cs="Calibri"/>
          <w:color w:val="000000"/>
        </w:rPr>
        <w:t>Counterparties not using electronic communication means for allocation-confirmation, causing delays in the processing of the instruction</w:t>
      </w:r>
    </w:p>
    <w:p w14:paraId="7D465E32" w14:textId="77777777" w:rsidR="00F80E06" w:rsidRPr="000722FA" w:rsidRDefault="00F80E06" w:rsidP="00F80E06">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0722FA">
        <w:rPr>
          <w:rFonts w:ascii="Calibri" w:eastAsia="Times New Roman" w:hAnsi="Calibri" w:cs="Calibri"/>
          <w:color w:val="000000"/>
        </w:rPr>
        <w:t>Booking issues, such as errors in the quantity or mismatches in the cash amounts;</w:t>
      </w:r>
    </w:p>
    <w:p w14:paraId="0F989502" w14:textId="77777777" w:rsidR="00F80E06" w:rsidRPr="000722FA" w:rsidRDefault="00F80E06" w:rsidP="00F80E06">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0722FA">
        <w:rPr>
          <w:rFonts w:ascii="Calibri" w:eastAsia="Times New Roman" w:hAnsi="Calibri" w:cs="Calibri"/>
          <w:color w:val="000000"/>
        </w:rPr>
        <w:t>Wrong SSI leading to mismatches at CSD level;</w:t>
      </w:r>
    </w:p>
    <w:p w14:paraId="6B99367B" w14:textId="77777777" w:rsidR="00F80E06" w:rsidRPr="000722FA" w:rsidRDefault="00F80E06" w:rsidP="00F80E06">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0722FA">
        <w:rPr>
          <w:rFonts w:ascii="Calibri" w:eastAsia="Times New Roman" w:hAnsi="Calibri" w:cs="Calibri"/>
          <w:color w:val="000000"/>
        </w:rPr>
        <w:t>IT issues resulting in transactions blocked in the front-to-back chain before they can be sent to the CSD or custodian;</w:t>
      </w:r>
    </w:p>
    <w:p w14:paraId="6FCBF4D5" w14:textId="77777777" w:rsidR="00F80E06" w:rsidRPr="000722FA" w:rsidRDefault="00F80E06" w:rsidP="00F80E06">
      <w:pPr>
        <w:spacing w:before="120" w:after="0" w:line="240" w:lineRule="auto"/>
        <w:ind w:left="-15"/>
        <w:rPr>
          <w:rFonts w:ascii="Calibri" w:eastAsia="Times New Roman" w:hAnsi="Calibri" w:cs="Calibri"/>
          <w:color w:val="000000"/>
          <w:szCs w:val="22"/>
        </w:rPr>
      </w:pPr>
      <w:r w:rsidRPr="000722FA">
        <w:rPr>
          <w:rFonts w:ascii="Calibri" w:eastAsia="Times New Roman" w:hAnsi="Calibri" w:cs="Calibri"/>
          <w:color w:val="000000"/>
          <w:szCs w:val="22"/>
        </w:rPr>
        <w:t>It should also be noted that post-trade compliance controls may delay the sending of a particular instruction.</w:t>
      </w:r>
    </w:p>
    <w:p w14:paraId="7E7C7BCC" w14:textId="77777777" w:rsidR="00F80E06" w:rsidRPr="000722FA" w:rsidRDefault="00F80E06" w:rsidP="00F80E06">
      <w:pPr>
        <w:spacing w:before="120" w:after="0" w:line="240" w:lineRule="auto"/>
        <w:rPr>
          <w:rFonts w:ascii="Calibri" w:eastAsia="Times New Roman" w:hAnsi="Calibri" w:cs="Calibri"/>
          <w:color w:val="000000"/>
          <w:szCs w:val="22"/>
        </w:rPr>
      </w:pPr>
    </w:p>
    <w:p w14:paraId="08A63B05" w14:textId="77777777" w:rsidR="00F80E06" w:rsidRPr="000722FA" w:rsidRDefault="00F80E06" w:rsidP="00F80E06">
      <w:pPr>
        <w:spacing w:before="120" w:after="0" w:line="240" w:lineRule="auto"/>
        <w:rPr>
          <w:rFonts w:ascii="Calibri" w:eastAsia="Times New Roman" w:hAnsi="Calibri" w:cs="Calibri"/>
          <w:color w:val="000000"/>
          <w:szCs w:val="22"/>
        </w:rPr>
      </w:pPr>
      <w:r w:rsidRPr="000722FA">
        <w:rPr>
          <w:rFonts w:ascii="Calibri" w:eastAsia="Times New Roman" w:hAnsi="Calibri" w:cs="Calibri"/>
          <w:color w:val="000000"/>
          <w:szCs w:val="22"/>
        </w:rPr>
        <w:lastRenderedPageBreak/>
        <w:t>Late matching instructions lasting for a long period will usually be caused by the time required to resolve mismatches, with counterparties not agreeing on the adjustment to be made, and on which counterparty must proceed to the adjustment.</w:t>
      </w:r>
    </w:p>
    <w:p w14:paraId="6C32F6AC" w14:textId="77777777" w:rsidR="00F80E06" w:rsidRPr="000722FA" w:rsidRDefault="00F80E06" w:rsidP="00F80E06">
      <w:pPr>
        <w:spacing w:before="120" w:after="0" w:line="240" w:lineRule="auto"/>
        <w:rPr>
          <w:rFonts w:ascii="Calibri" w:eastAsia="Times New Roman" w:hAnsi="Calibri" w:cs="Calibri"/>
          <w:color w:val="000000"/>
          <w:szCs w:val="22"/>
        </w:rPr>
      </w:pPr>
      <w:r w:rsidRPr="000722FA">
        <w:rPr>
          <w:rFonts w:ascii="Calibri" w:eastAsia="Times New Roman" w:hAnsi="Calibri" w:cs="Calibri"/>
          <w:color w:val="000000"/>
          <w:szCs w:val="22"/>
        </w:rPr>
        <w:t>It may also be related to SSI newly created and not properly communicated to the counterparty / settlement agent.</w:t>
      </w:r>
    </w:p>
    <w:p w14:paraId="7A2E05BD" w14:textId="77777777" w:rsidR="00F80E06" w:rsidRPr="000722FA" w:rsidRDefault="00F80E06" w:rsidP="00F80E06">
      <w:pPr>
        <w:spacing w:before="120" w:after="0" w:line="240" w:lineRule="auto"/>
        <w:rPr>
          <w:rFonts w:ascii="Calibri" w:eastAsia="Times New Roman" w:hAnsi="Calibri" w:cs="Calibri"/>
          <w:color w:val="000000"/>
          <w:szCs w:val="22"/>
        </w:rPr>
      </w:pPr>
      <w:r w:rsidRPr="000722FA">
        <w:rPr>
          <w:rFonts w:ascii="Calibri" w:eastAsia="Times New Roman" w:hAnsi="Calibri" w:cs="Calibri"/>
          <w:color w:val="000000"/>
          <w:szCs w:val="22"/>
        </w:rPr>
        <w:t>In some cases, allocations may be received through unusual channels.</w:t>
      </w:r>
    </w:p>
    <w:p w14:paraId="529F1B2C" w14:textId="77777777" w:rsidR="00F80E06" w:rsidRPr="000722FA" w:rsidRDefault="00F80E06" w:rsidP="00F80E06">
      <w:pPr>
        <w:spacing w:before="120" w:after="0" w:line="240" w:lineRule="auto"/>
        <w:rPr>
          <w:rFonts w:ascii="Calibri" w:eastAsia="Times New Roman" w:hAnsi="Calibri" w:cs="Calibri"/>
          <w:color w:val="000000"/>
          <w:szCs w:val="22"/>
        </w:rPr>
      </w:pPr>
      <w:r w:rsidRPr="000722FA">
        <w:rPr>
          <w:rFonts w:ascii="Calibri" w:eastAsia="Times New Roman" w:hAnsi="Calibri" w:cs="Calibri"/>
          <w:color w:val="000000"/>
          <w:szCs w:val="22"/>
        </w:rPr>
        <w:t>All three cases result in manual processing that take a longer time than a full-STP transaction.</w:t>
      </w:r>
    </w:p>
    <w:p w14:paraId="3CE23609" w14:textId="77777777" w:rsidR="00F80E06" w:rsidRPr="000722FA" w:rsidRDefault="00F80E06" w:rsidP="00F80E06">
      <w:pPr>
        <w:spacing w:before="120" w:after="0" w:line="240" w:lineRule="auto"/>
        <w:rPr>
          <w:rFonts w:ascii="Calibri" w:eastAsia="Times New Roman" w:hAnsi="Calibri" w:cs="Calibri"/>
          <w:color w:val="000000"/>
          <w:szCs w:val="22"/>
        </w:rPr>
      </w:pPr>
    </w:p>
    <w:p w14:paraId="4D3FC2F2" w14:textId="77777777" w:rsidR="00F80E06" w:rsidRPr="000722FA" w:rsidRDefault="00F80E06" w:rsidP="00F80E06">
      <w:pPr>
        <w:spacing w:before="120" w:after="0" w:line="240" w:lineRule="auto"/>
        <w:rPr>
          <w:rFonts w:ascii="Calibri" w:eastAsia="Times New Roman" w:hAnsi="Calibri" w:cs="Calibri"/>
          <w:color w:val="000000"/>
          <w:szCs w:val="22"/>
        </w:rPr>
      </w:pPr>
      <w:r w:rsidRPr="000722FA">
        <w:rPr>
          <w:rFonts w:ascii="Calibri" w:eastAsia="Times New Roman" w:hAnsi="Calibri" w:cs="Calibri"/>
          <w:color w:val="000000"/>
          <w:szCs w:val="22"/>
        </w:rPr>
        <w:t>Electronic processing of allocation-confirmation should be preferred, in a proper timing allowing for settlement in due time.</w:t>
      </w:r>
    </w:p>
    <w:p w14:paraId="0412353D" w14:textId="2226A94A" w:rsidR="00EA0D0D" w:rsidRPr="000722FA" w:rsidRDefault="00F80E06" w:rsidP="00F80E06">
      <w:pPr>
        <w:rPr>
          <w:sz w:val="28"/>
          <w:szCs w:val="24"/>
        </w:rPr>
      </w:pPr>
      <w:r w:rsidRPr="000722FA">
        <w:rPr>
          <w:rFonts w:ascii="Calibri" w:eastAsia="Times New Roman" w:hAnsi="Calibri" w:cs="Calibri"/>
          <w:color w:val="000000"/>
          <w:szCs w:val="22"/>
        </w:rPr>
        <w:t>In all cases, the instruction should be sent to the CSD as soon as possible to identify mismatches, while putting the instruction on Hold (</w:t>
      </w:r>
      <w:proofErr w:type="gramStart"/>
      <w:r w:rsidRPr="000722FA">
        <w:rPr>
          <w:rFonts w:ascii="Calibri" w:eastAsia="Times New Roman" w:hAnsi="Calibri" w:cs="Calibri"/>
          <w:color w:val="000000"/>
          <w:szCs w:val="22"/>
        </w:rPr>
        <w:t>all across</w:t>
      </w:r>
      <w:proofErr w:type="gramEnd"/>
      <w:r w:rsidRPr="000722FA">
        <w:rPr>
          <w:rFonts w:ascii="Calibri" w:eastAsia="Times New Roman" w:hAnsi="Calibri" w:cs="Calibri"/>
          <w:color w:val="000000"/>
          <w:szCs w:val="22"/>
        </w:rPr>
        <w:t xml:space="preserve"> the chain) when further controls need to be made.</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42ECD4" w14:textId="2E98A0FA" w:rsidR="00EA0D0D" w:rsidRPr="000722FA" w:rsidRDefault="00735731">
      <w:pPr>
        <w:rPr>
          <w:sz w:val="28"/>
          <w:szCs w:val="24"/>
        </w:rPr>
      </w:pPr>
      <w:permStart w:id="165553507" w:edGrp="everyone"/>
      <w:r w:rsidRPr="000722FA">
        <w:rPr>
          <w:rFonts w:ascii="Calibri" w:eastAsia="Times New Roman" w:hAnsi="Calibri" w:cs="Calibri"/>
          <w:color w:val="000000"/>
          <w:szCs w:val="22"/>
        </w:rPr>
        <w:t>The use of the accurate reference data for the calculation of a LMFP is a key point in obtaining a correct penalty. Moreover, it contributes to the principle of immunization of intermediaries recalled by the regulator, should the stock be redelivered: the LFMP received later by the non-defaulting party will cover all the SEFP paid by it. However, we understand that a requirement to keep the reference data with no limit in the past may degrade the functioning of the SSS / penalty mechanism. Therefore, we agree with ESMA’s proposal to allow CSDs to use a threshold.</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lastRenderedPageBreak/>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2B7ED53F" w14:textId="73139546" w:rsidR="00047DF6" w:rsidRPr="000722FA" w:rsidRDefault="00047DF6" w:rsidP="00047DF6">
      <w:pPr>
        <w:spacing w:before="120" w:after="0" w:line="240" w:lineRule="auto"/>
        <w:rPr>
          <w:rFonts w:ascii="Calibri" w:eastAsia="Times New Roman" w:hAnsi="Calibri" w:cs="Calibri"/>
          <w:color w:val="000000"/>
          <w:szCs w:val="22"/>
        </w:rPr>
      </w:pPr>
      <w:permStart w:id="804142208" w:edGrp="everyone"/>
      <w:r w:rsidRPr="000722FA">
        <w:rPr>
          <w:rFonts w:ascii="Calibri" w:eastAsia="Times New Roman" w:hAnsi="Calibri" w:cs="Calibri"/>
          <w:color w:val="000000"/>
          <w:szCs w:val="22"/>
        </w:rPr>
        <w:t xml:space="preserve">We agree to have a threshold, but the value of this threshold should be left at the decision of the CSD. As already mentioned, the penalty mechanism should be fair and avoid penalizing participants that are not the real defaulters. Therefore, the threshold should be determined taking in account the percentage of LMFP that will be concerned. As indicated in the consultation paper, this percentage is extremely low after 40 days in a T2S environment. However, this does not mean the situation will be the same for non-T2S CSDs. Thus, it should be left at the decision of </w:t>
      </w:r>
      <w:r w:rsidR="00303BAC" w:rsidRPr="00303BAC">
        <w:rPr>
          <w:rFonts w:ascii="Calibri" w:eastAsia="Times New Roman" w:hAnsi="Calibri" w:cs="Calibri"/>
          <w:color w:val="000000"/>
          <w:szCs w:val="22"/>
        </w:rPr>
        <w:t>each calculating CSD/penalty mechanism</w:t>
      </w:r>
      <w:r w:rsidR="00303BAC">
        <w:rPr>
          <w:rFonts w:ascii="Calibri" w:eastAsia="Times New Roman" w:hAnsi="Calibri" w:cs="Calibri"/>
          <w:color w:val="000000"/>
          <w:szCs w:val="22"/>
        </w:rPr>
        <w:t xml:space="preserve"> </w:t>
      </w:r>
      <w:commentRangeStart w:id="8"/>
      <w:r w:rsidRPr="000722FA">
        <w:rPr>
          <w:rFonts w:ascii="Calibri" w:eastAsia="Times New Roman" w:hAnsi="Calibri" w:cs="Calibri"/>
          <w:color w:val="000000"/>
          <w:szCs w:val="22"/>
        </w:rPr>
        <w:t>to apply a threshold and define its value.</w:t>
      </w:r>
      <w:commentRangeEnd w:id="8"/>
      <w:r w:rsidR="00EC1CCE">
        <w:rPr>
          <w:rStyle w:val="Marquedecommentaire"/>
        </w:rPr>
        <w:commentReference w:id="8"/>
      </w:r>
    </w:p>
    <w:p w14:paraId="3BC792B3" w14:textId="77777777" w:rsidR="00047DF6" w:rsidRPr="000722FA" w:rsidRDefault="00047DF6" w:rsidP="00047DF6">
      <w:pPr>
        <w:spacing w:before="120" w:after="0" w:line="240" w:lineRule="auto"/>
        <w:rPr>
          <w:rFonts w:ascii="Calibri" w:eastAsia="Times New Roman" w:hAnsi="Calibri" w:cs="Calibri"/>
          <w:color w:val="000000"/>
          <w:szCs w:val="22"/>
        </w:rPr>
      </w:pPr>
      <w:r w:rsidRPr="000722FA">
        <w:rPr>
          <w:rFonts w:ascii="Calibri" w:eastAsia="Times New Roman" w:hAnsi="Calibri" w:cs="Calibri"/>
          <w:color w:val="000000"/>
          <w:szCs w:val="22"/>
        </w:rPr>
        <w:t xml:space="preserve">To be noted that these cases remain rare. In ESES in H2 2023: </w:t>
      </w:r>
    </w:p>
    <w:p w14:paraId="7253BB6F" w14:textId="77777777" w:rsidR="00047DF6" w:rsidRPr="000722FA" w:rsidRDefault="00047DF6" w:rsidP="00047DF6">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0722FA">
        <w:rPr>
          <w:rFonts w:ascii="Calibri" w:eastAsia="Times New Roman" w:hAnsi="Calibri" w:cs="Calibri"/>
          <w:color w:val="000000"/>
        </w:rPr>
        <w:t>Late matching exceeding a duration of 40 to 91 days represent 0.03% of total penalties (LMFP+SEFP);</w:t>
      </w:r>
    </w:p>
    <w:p w14:paraId="636A0594" w14:textId="114A8C6F" w:rsidR="00EA0D0D" w:rsidRPr="000722FA" w:rsidRDefault="00047DF6" w:rsidP="00047DF6">
      <w:pPr>
        <w:rPr>
          <w:sz w:val="28"/>
          <w:szCs w:val="24"/>
        </w:rPr>
      </w:pPr>
      <w:r w:rsidRPr="000722FA">
        <w:rPr>
          <w:rFonts w:ascii="Calibri" w:eastAsia="Times New Roman" w:hAnsi="Calibri" w:cs="Calibri"/>
          <w:color w:val="000000"/>
          <w:szCs w:val="22"/>
        </w:rPr>
        <w:t>Late matching exceeding a duration of 92 days represent 0.005% of total penalties (LMFP+SEFP).</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9"/>
    <w:p w14:paraId="07CDB2DF" w14:textId="77777777" w:rsidR="00EA0D0D" w:rsidRDefault="00EA0D0D">
      <w:r>
        <w:t>&lt;ESMA_QUESTION_CSDR_9&gt;</w:t>
      </w:r>
    </w:p>
    <w:p w14:paraId="0CFA6DD8" w14:textId="77777777" w:rsidR="00C81035" w:rsidRPr="000722FA" w:rsidRDefault="00C81035" w:rsidP="00C81035">
      <w:pPr>
        <w:spacing w:before="120" w:after="0" w:line="240" w:lineRule="auto"/>
        <w:rPr>
          <w:rFonts w:ascii="Calibri" w:eastAsia="Times New Roman" w:hAnsi="Calibri" w:cs="Calibri"/>
          <w:color w:val="000000"/>
          <w:szCs w:val="22"/>
        </w:rPr>
      </w:pPr>
      <w:permStart w:id="1025510098" w:edGrp="everyone"/>
      <w:r w:rsidRPr="000722FA">
        <w:rPr>
          <w:rFonts w:ascii="Calibri" w:eastAsia="Times New Roman" w:hAnsi="Calibri" w:cs="Calibri"/>
          <w:color w:val="000000"/>
          <w:szCs w:val="22"/>
        </w:rPr>
        <w:t xml:space="preserve">It is already the case for the T2S penalty mechanism. Since T2S </w:t>
      </w:r>
      <w:proofErr w:type="gramStart"/>
      <w:r w:rsidRPr="000722FA">
        <w:rPr>
          <w:rFonts w:ascii="Calibri" w:eastAsia="Times New Roman" w:hAnsi="Calibri" w:cs="Calibri"/>
          <w:color w:val="000000"/>
          <w:szCs w:val="22"/>
        </w:rPr>
        <w:t>is in charge of</w:t>
      </w:r>
      <w:proofErr w:type="gramEnd"/>
      <w:r w:rsidRPr="000722FA">
        <w:rPr>
          <w:rFonts w:ascii="Calibri" w:eastAsia="Times New Roman" w:hAnsi="Calibri" w:cs="Calibri"/>
          <w:color w:val="000000"/>
          <w:szCs w:val="22"/>
        </w:rPr>
        <w:t xml:space="preserve"> the calculation of the penalties for all the T2S CSDs it was logical to designate, for each financial instrument, one CSD responsible to provide the relevant reference data to the penalty mechanism from the SME of the security.</w:t>
      </w:r>
    </w:p>
    <w:p w14:paraId="7953C470" w14:textId="7E54BB6D" w:rsidR="00EA0D0D" w:rsidRPr="000722FA" w:rsidRDefault="00C81035" w:rsidP="00C81035">
      <w:pPr>
        <w:rPr>
          <w:sz w:val="28"/>
          <w:szCs w:val="24"/>
        </w:rPr>
      </w:pPr>
      <w:r w:rsidRPr="000722FA">
        <w:rPr>
          <w:rFonts w:ascii="Calibri" w:eastAsia="Times New Roman" w:hAnsi="Calibri" w:cs="Calibri"/>
          <w:color w:val="000000"/>
          <w:szCs w:val="22"/>
        </w:rPr>
        <w:t>For non-T2S CSDs, the calculation is made by the calculating CSD itself based on information it obtains also from data providers (even an issuer CSD needs to get the reference price).</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10"/>
    <w:p w14:paraId="0397D9D4" w14:textId="77777777" w:rsidR="00EA0D0D" w:rsidRDefault="00EA0D0D">
      <w:r>
        <w:t>&lt;ESMA_QUESTION_CSDR_10&gt;</w:t>
      </w:r>
    </w:p>
    <w:p w14:paraId="4FB1BCFE" w14:textId="77777777" w:rsidR="001130FE" w:rsidRPr="000722FA" w:rsidRDefault="001130FE" w:rsidP="001130FE">
      <w:pPr>
        <w:spacing w:before="120" w:after="0" w:line="240" w:lineRule="auto"/>
        <w:rPr>
          <w:rFonts w:ascii="Calibri" w:eastAsia="Times New Roman" w:hAnsi="Calibri" w:cs="Calibri"/>
          <w:color w:val="000000"/>
          <w:szCs w:val="22"/>
        </w:rPr>
      </w:pPr>
      <w:permStart w:id="68043086" w:edGrp="everyone"/>
      <w:proofErr w:type="gramStart"/>
      <w:r w:rsidRPr="000722FA">
        <w:rPr>
          <w:rFonts w:ascii="Calibri" w:eastAsia="Times New Roman" w:hAnsi="Calibri" w:cs="Calibri"/>
          <w:color w:val="000000"/>
          <w:szCs w:val="22"/>
        </w:rPr>
        <w:t>First of all</w:t>
      </w:r>
      <w:proofErr w:type="gramEnd"/>
      <w:r w:rsidRPr="000722FA">
        <w:rPr>
          <w:rFonts w:ascii="Calibri" w:eastAsia="Times New Roman" w:hAnsi="Calibri" w:cs="Calibri"/>
          <w:color w:val="000000"/>
          <w:szCs w:val="22"/>
        </w:rPr>
        <w:t>, we consider that the volumes impacted are low.</w:t>
      </w:r>
    </w:p>
    <w:p w14:paraId="738C3FC7" w14:textId="66528B98" w:rsidR="00EA0D0D" w:rsidRPr="000722FA" w:rsidRDefault="001130FE" w:rsidP="001130FE">
      <w:pPr>
        <w:spacing w:before="120" w:after="0" w:line="240" w:lineRule="auto"/>
        <w:rPr>
          <w:rFonts w:ascii="Calibri" w:eastAsia="Times New Roman" w:hAnsi="Calibri" w:cs="Calibri"/>
          <w:color w:val="000000"/>
          <w:szCs w:val="22"/>
        </w:rPr>
      </w:pPr>
      <w:r w:rsidRPr="000722FA">
        <w:rPr>
          <w:rFonts w:ascii="Calibri" w:eastAsia="Times New Roman" w:hAnsi="Calibri" w:cs="Calibri"/>
          <w:color w:val="000000"/>
          <w:szCs w:val="22"/>
        </w:rPr>
        <w:t>Second, we want a standardized approach across CSDs that allows for certainty in terms of penalties calculation.</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6"/>
      <w:r w:rsidRPr="00880F5C">
        <w:t>Do you have other suggestions? If yes, please specify, provide drafting suggestions and provide arguments including data where available.</w:t>
      </w:r>
    </w:p>
    <w:bookmarkEnd w:id="11"/>
    <w:p w14:paraId="5919B9EE" w14:textId="77777777" w:rsidR="00EA0D0D" w:rsidRDefault="00EA0D0D">
      <w:r>
        <w:t>&lt;ESMA_QUESTION_CSDR_11&gt;</w:t>
      </w:r>
    </w:p>
    <w:p w14:paraId="4AFEB6FA" w14:textId="0E343324" w:rsidR="00EA0D0D" w:rsidRPr="000722FA" w:rsidRDefault="0065357B">
      <w:pPr>
        <w:rPr>
          <w:sz w:val="28"/>
          <w:szCs w:val="24"/>
        </w:rPr>
      </w:pPr>
      <w:permStart w:id="1297758787" w:edGrp="everyone"/>
      <w:r w:rsidRPr="000722FA">
        <w:rPr>
          <w:rFonts w:ascii="Calibri" w:eastAsia="Times New Roman" w:hAnsi="Calibri" w:cs="Calibri"/>
          <w:color w:val="000000"/>
          <w:szCs w:val="22"/>
        </w:rPr>
        <w:t>We have no other suggestion.</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2"/>
    <w:p w14:paraId="117D7D20" w14:textId="77777777" w:rsidR="00EA0D0D" w:rsidRDefault="00EA0D0D">
      <w:r>
        <w:t>&lt;ESMA_QUESTION_CSDR_12&gt;</w:t>
      </w:r>
    </w:p>
    <w:p w14:paraId="7ED58783" w14:textId="77777777" w:rsidR="00A63FBB" w:rsidRPr="000722FA" w:rsidRDefault="00A63FBB" w:rsidP="00A63FBB">
      <w:pPr>
        <w:spacing w:before="120" w:after="0" w:line="240" w:lineRule="auto"/>
        <w:rPr>
          <w:rFonts w:ascii="Calibri" w:eastAsia="Times New Roman" w:hAnsi="Calibri" w:cs="Calibri"/>
          <w:color w:val="000000"/>
          <w:szCs w:val="22"/>
        </w:rPr>
      </w:pPr>
      <w:permStart w:id="1762339064" w:edGrp="everyone"/>
      <w:r w:rsidRPr="000722FA">
        <w:rPr>
          <w:rFonts w:ascii="Calibri" w:eastAsia="Times New Roman" w:hAnsi="Calibri" w:cs="Calibri"/>
          <w:color w:val="000000"/>
          <w:szCs w:val="22"/>
        </w:rPr>
        <w:t>The question of proportionality raised in this question is unclear to us.</w:t>
      </w:r>
    </w:p>
    <w:p w14:paraId="1635F331" w14:textId="60BCA586" w:rsidR="00EA0D0D" w:rsidRPr="000722FA" w:rsidRDefault="00A63FBB" w:rsidP="00A63FBB">
      <w:pPr>
        <w:rPr>
          <w:sz w:val="28"/>
          <w:szCs w:val="24"/>
        </w:rPr>
      </w:pPr>
      <w:r w:rsidRPr="000722FA">
        <w:rPr>
          <w:rFonts w:ascii="Calibri" w:eastAsia="Times New Roman" w:hAnsi="Calibri" w:cs="Calibri"/>
          <w:color w:val="000000"/>
          <w:szCs w:val="22"/>
        </w:rPr>
        <w:t xml:space="preserve">If proportionality is to be considered with regards to the cost involved in the implementation of the solution, we believe that it should be incorporated in the </w:t>
      </w:r>
      <w:proofErr w:type="gramStart"/>
      <w:r w:rsidRPr="000722FA">
        <w:rPr>
          <w:rFonts w:ascii="Calibri" w:eastAsia="Times New Roman" w:hAnsi="Calibri" w:cs="Calibri"/>
          <w:color w:val="000000"/>
          <w:szCs w:val="22"/>
        </w:rPr>
        <w:t>Technical</w:t>
      </w:r>
      <w:proofErr w:type="gramEnd"/>
      <w:r w:rsidRPr="000722FA">
        <w:rPr>
          <w:rFonts w:ascii="Calibri" w:eastAsia="Times New Roman" w:hAnsi="Calibri" w:cs="Calibri"/>
          <w:color w:val="000000"/>
          <w:szCs w:val="22"/>
        </w:rPr>
        <w:t xml:space="preserve"> advice, to ensure that a solution easy to implement will be chosen.</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3" w:name="_Hlk151731818"/>
      <w:r w:rsidRPr="0058284E">
        <w:lastRenderedPageBreak/>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3"/>
    <w:p w14:paraId="47F5C489" w14:textId="77777777" w:rsidR="00EA0D0D" w:rsidRDefault="00EA0D0D" w:rsidP="00EA0D0D">
      <w:r>
        <w:t>&lt;ESMA_QUESTION_CSDR_13&gt;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7407EB3D" w:rsidR="00A2376B" w:rsidRPr="000722FA" w:rsidRDefault="00CB0618" w:rsidP="00A2376B">
      <w:pPr>
        <w:rPr>
          <w:sz w:val="28"/>
          <w:szCs w:val="24"/>
        </w:rPr>
      </w:pPr>
      <w:permStart w:id="707362631" w:edGrp="everyone"/>
      <w:r w:rsidRPr="000722FA">
        <w:rPr>
          <w:rFonts w:ascii="Calibri" w:eastAsia="Times New Roman" w:hAnsi="Calibri" w:cs="Calibri"/>
          <w:color w:val="000000"/>
          <w:szCs w:val="22"/>
        </w:rPr>
        <w:t>This question is for CSDs to give an answer.</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4"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4"/>
    <w:p w14:paraId="55C5AA9E" w14:textId="77777777" w:rsidR="00E35DA8" w:rsidRDefault="00E35DA8" w:rsidP="00E35DA8">
      <w:r>
        <w:t>&lt;ESMA_QUESTION_CSDR_14&gt;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lastRenderedPageBreak/>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41AD72FF" w:rsidR="007144DA" w:rsidRPr="000722FA" w:rsidRDefault="0086561A" w:rsidP="007144DA">
      <w:pPr>
        <w:rPr>
          <w:sz w:val="28"/>
          <w:szCs w:val="24"/>
        </w:rPr>
      </w:pPr>
      <w:permStart w:id="677079778" w:edGrp="everyone"/>
      <w:r w:rsidRPr="000722FA">
        <w:rPr>
          <w:rFonts w:ascii="Calibri" w:eastAsia="Times New Roman" w:hAnsi="Calibri" w:cs="Calibri"/>
          <w:color w:val="000000"/>
          <w:szCs w:val="22"/>
        </w:rPr>
        <w:t>This question is for CSDs to give an answer.</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5"/>
    <w:p w14:paraId="41A6E068" w14:textId="77777777" w:rsidR="00480F3D" w:rsidRDefault="00480F3D">
      <w:r>
        <w:t>&lt;ESMA_QUESTION_CSDR_15&gt;</w:t>
      </w:r>
    </w:p>
    <w:p w14:paraId="02074EE8" w14:textId="4DD9B3E2" w:rsidR="009A1A9F" w:rsidRPr="000722FA" w:rsidRDefault="009A1A9F" w:rsidP="009A1A9F">
      <w:pPr>
        <w:rPr>
          <w:szCs w:val="22"/>
        </w:rPr>
      </w:pPr>
      <w:permStart w:id="1522626052" w:edGrp="everyone"/>
      <w:r w:rsidRPr="000722FA">
        <w:rPr>
          <w:szCs w:val="22"/>
        </w:rPr>
        <w:t xml:space="preserve">The look back period since the introduction of penalties is still limited in time (2 years as of today). We observe a trend towards a slight reduction of settlement fails since penalties have been introduced. Yet, </w:t>
      </w:r>
      <w:proofErr w:type="gramStart"/>
      <w:r w:rsidRPr="000722FA">
        <w:rPr>
          <w:szCs w:val="22"/>
        </w:rPr>
        <w:t>a number of</w:t>
      </w:r>
      <w:proofErr w:type="gramEnd"/>
      <w:r w:rsidRPr="000722FA">
        <w:rPr>
          <w:szCs w:val="22"/>
        </w:rPr>
        <w:t xml:space="preserve"> other factors detailed below </w:t>
      </w:r>
      <w:r w:rsidR="00EC1CCE" w:rsidRPr="000722FA">
        <w:rPr>
          <w:szCs w:val="22"/>
        </w:rPr>
        <w:t>occurred</w:t>
      </w:r>
      <w:r w:rsidRPr="000722FA">
        <w:rPr>
          <w:szCs w:val="22"/>
        </w:rPr>
        <w:t xml:space="preserve"> during the same period of time that may have also played a role; it appears difficult to determine the respective impact of each factor, including the penalty mechanism.</w:t>
      </w:r>
    </w:p>
    <w:p w14:paraId="6D6AD28D" w14:textId="77777777" w:rsidR="009A1A9F" w:rsidRPr="000722FA" w:rsidRDefault="009A1A9F" w:rsidP="009A1A9F">
      <w:pPr>
        <w:rPr>
          <w:szCs w:val="22"/>
        </w:rPr>
      </w:pPr>
      <w:r w:rsidRPr="000722FA">
        <w:rPr>
          <w:szCs w:val="22"/>
        </w:rPr>
        <w:t>Increasing interest rates over the period may have had an impact, making the economic cost of failing to deliver securities higher.</w:t>
      </w:r>
    </w:p>
    <w:p w14:paraId="361C54E0" w14:textId="77777777" w:rsidR="009A1A9F" w:rsidRPr="000722FA" w:rsidRDefault="009A1A9F" w:rsidP="009A1A9F">
      <w:pPr>
        <w:rPr>
          <w:szCs w:val="22"/>
        </w:rPr>
      </w:pPr>
      <w:r w:rsidRPr="000722FA">
        <w:rPr>
          <w:szCs w:val="22"/>
        </w:rPr>
        <w:t xml:space="preserve">Similarly, the unwinding of purchase programs by central banks has increased the liquidity of some </w:t>
      </w:r>
      <w:proofErr w:type="gramStart"/>
      <w:r w:rsidRPr="000722FA">
        <w:rPr>
          <w:szCs w:val="22"/>
        </w:rPr>
        <w:t>instruments, and</w:t>
      </w:r>
      <w:proofErr w:type="gramEnd"/>
      <w:r w:rsidRPr="000722FA">
        <w:rPr>
          <w:szCs w:val="22"/>
        </w:rPr>
        <w:t xml:space="preserve"> may have positively affected settlement efficiency.</w:t>
      </w:r>
    </w:p>
    <w:p w14:paraId="77F0E445" w14:textId="77777777" w:rsidR="009A1A9F" w:rsidRPr="000722FA" w:rsidRDefault="009A1A9F" w:rsidP="009A1A9F">
      <w:pPr>
        <w:rPr>
          <w:szCs w:val="22"/>
        </w:rPr>
      </w:pPr>
      <w:r w:rsidRPr="000722FA">
        <w:rPr>
          <w:szCs w:val="22"/>
        </w:rPr>
        <w:t xml:space="preserve">From an operational perspective, it should be noted that the very introduction of penalties has brought the industry (prior to their introduction) to increase its work on settlement efficiency and to significant improvements on current processes to reduce settlement fails through the </w:t>
      </w:r>
      <w:r w:rsidRPr="000722FA">
        <w:rPr>
          <w:rFonts w:eastAsia="Times New Roman"/>
          <w:szCs w:val="22"/>
        </w:rPr>
        <w:t>adoption and improvement of market practices and adherence to such practices by participants. Such as:</w:t>
      </w:r>
    </w:p>
    <w:p w14:paraId="6F723588" w14:textId="77777777" w:rsidR="009A1A9F" w:rsidRPr="002B6B11" w:rsidRDefault="009A1A9F" w:rsidP="002B6B11">
      <w:pPr>
        <w:pStyle w:val="Paragraphedeliste"/>
        <w:numPr>
          <w:ilvl w:val="0"/>
          <w:numId w:val="18"/>
        </w:numPr>
        <w:spacing w:after="160" w:line="259" w:lineRule="auto"/>
        <w:contextualSpacing/>
        <w:rPr>
          <w:rFonts w:eastAsia="Times New Roman"/>
          <w:color w:val="000000"/>
        </w:rPr>
      </w:pPr>
      <w:r w:rsidRPr="002B6B11">
        <w:rPr>
          <w:rFonts w:eastAsia="Times New Roman"/>
          <w:color w:val="000000"/>
        </w:rPr>
        <w:lastRenderedPageBreak/>
        <w:t>A wider use of partial settlement, and related functionalities: hold &amp; release, partial release;</w:t>
      </w:r>
    </w:p>
    <w:p w14:paraId="0B7C9606" w14:textId="77777777" w:rsidR="009A1A9F" w:rsidRPr="002B6B11" w:rsidRDefault="009A1A9F" w:rsidP="002B6B11">
      <w:pPr>
        <w:pStyle w:val="Paragraphedeliste"/>
        <w:numPr>
          <w:ilvl w:val="0"/>
          <w:numId w:val="18"/>
        </w:numPr>
        <w:spacing w:after="160" w:line="259" w:lineRule="auto"/>
        <w:contextualSpacing/>
        <w:rPr>
          <w:rFonts w:eastAsia="Times New Roman"/>
          <w:color w:val="000000"/>
        </w:rPr>
      </w:pPr>
      <w:r w:rsidRPr="002B6B11">
        <w:rPr>
          <w:rFonts w:eastAsia="Times New Roman"/>
          <w:color w:val="000000"/>
        </w:rPr>
        <w:t>Adjustment of intended settlement dates in the case of portfolio transfers;</w:t>
      </w:r>
    </w:p>
    <w:p w14:paraId="45942225" w14:textId="77777777" w:rsidR="009A1A9F" w:rsidRPr="002B6B11" w:rsidRDefault="009A1A9F" w:rsidP="002B6B11">
      <w:pPr>
        <w:pStyle w:val="Paragraphedeliste"/>
        <w:numPr>
          <w:ilvl w:val="0"/>
          <w:numId w:val="18"/>
        </w:numPr>
        <w:spacing w:after="160" w:line="259" w:lineRule="auto"/>
        <w:contextualSpacing/>
        <w:rPr>
          <w:rFonts w:eastAsia="Times New Roman"/>
          <w:color w:val="000000"/>
        </w:rPr>
      </w:pPr>
      <w:r w:rsidRPr="002B6B11">
        <w:rPr>
          <w:rFonts w:eastAsia="Times New Roman"/>
          <w:color w:val="000000"/>
        </w:rPr>
        <w:t>Technical improvements such as moving the quantity for bond issuances from Unit to FAMT (Face Amount).</w:t>
      </w:r>
    </w:p>
    <w:p w14:paraId="5EEEC799" w14:textId="77777777" w:rsidR="009A1A9F" w:rsidRPr="000722FA" w:rsidRDefault="009A1A9F" w:rsidP="009A1A9F">
      <w:pPr>
        <w:rPr>
          <w:szCs w:val="22"/>
        </w:rPr>
      </w:pPr>
      <w:r w:rsidRPr="000722FA">
        <w:rPr>
          <w:szCs w:val="22"/>
        </w:rPr>
        <w:t xml:space="preserve">With regards to the use of borrowing services, the impact is still unclear: although use of auto-borrow programs at ICSDs seems to have increased, there are tensions on the securities lending market due to the entry into force of the settlement discipline (notably reduced cut-offs), which may impact the ability of market players to borrow securities closer to settlement deadlines to resolve a fail – however it does not mean that we are in </w:t>
      </w:r>
      <w:proofErr w:type="spellStart"/>
      <w:r w:rsidRPr="000722FA">
        <w:rPr>
          <w:szCs w:val="22"/>
        </w:rPr>
        <w:t>favor</w:t>
      </w:r>
      <w:proofErr w:type="spellEnd"/>
      <w:r w:rsidRPr="000722FA">
        <w:rPr>
          <w:szCs w:val="22"/>
        </w:rPr>
        <w:t xml:space="preserve"> of any exemption for securities lending and borrowing.</w:t>
      </w:r>
    </w:p>
    <w:p w14:paraId="096C107A" w14:textId="77777777" w:rsidR="009A1A9F" w:rsidRPr="000722FA" w:rsidRDefault="009A1A9F" w:rsidP="009A1A9F">
      <w:pPr>
        <w:rPr>
          <w:szCs w:val="22"/>
        </w:rPr>
      </w:pPr>
      <w:r w:rsidRPr="000722FA">
        <w:rPr>
          <w:szCs w:val="22"/>
        </w:rPr>
        <w:t>Yet, the penalties have had the virtue of giving a direct out-of-pocket cost to some settlement inefficiencies and incentivized market participants to improve their internal processes accordingly.</w:t>
      </w:r>
    </w:p>
    <w:p w14:paraId="39FBC67B" w14:textId="11C0CE46" w:rsidR="00480F3D" w:rsidRPr="000722FA" w:rsidRDefault="009A1A9F" w:rsidP="009A1A9F">
      <w:pPr>
        <w:rPr>
          <w:sz w:val="28"/>
          <w:szCs w:val="24"/>
        </w:rPr>
      </w:pPr>
      <w:r w:rsidRPr="000722FA">
        <w:rPr>
          <w:szCs w:val="22"/>
        </w:rPr>
        <w:t>It should be noted that despite the limited insight, and even though some improvements may be made, no fundamental flaw has been detected on the key features of the penalty mechanism: categorization of assets, calculation, processing, etc.</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6"/>
    <w:p w14:paraId="4A2B257D" w14:textId="77777777" w:rsidR="00480F3D" w:rsidRDefault="00480F3D">
      <w:r>
        <w:t>&lt;ESMA_QUESTION_CSDR_16&gt;</w:t>
      </w:r>
    </w:p>
    <w:p w14:paraId="5C5C3A22" w14:textId="77777777" w:rsidR="004D3B7A" w:rsidRPr="002B6B11" w:rsidRDefault="004D3B7A" w:rsidP="004D3B7A">
      <w:pPr>
        <w:spacing w:before="120" w:after="0" w:line="240" w:lineRule="auto"/>
        <w:rPr>
          <w:rFonts w:ascii="Calibri" w:eastAsia="Times New Roman" w:hAnsi="Calibri" w:cs="Calibri"/>
          <w:color w:val="000000"/>
          <w:szCs w:val="22"/>
        </w:rPr>
      </w:pPr>
      <w:permStart w:id="1340627845" w:edGrp="everyone"/>
      <w:r w:rsidRPr="002B6B11">
        <w:rPr>
          <w:rFonts w:ascii="Calibri" w:eastAsia="Times New Roman" w:hAnsi="Calibri" w:cs="Calibri"/>
          <w:color w:val="000000"/>
          <w:szCs w:val="22"/>
        </w:rPr>
        <w:t>At present, despite some cases of instructions that have generated very high penalties, in average the cost of penalties is very low:</w:t>
      </w:r>
    </w:p>
    <w:p w14:paraId="592F2143" w14:textId="77777777" w:rsidR="004D3B7A" w:rsidRPr="002B6B11" w:rsidRDefault="004D3B7A" w:rsidP="004D3B7A">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In ESES in December 2023, the average penalty amounted to 80,17€.</w:t>
      </w:r>
    </w:p>
    <w:p w14:paraId="001BEB4C" w14:textId="77777777" w:rsidR="004D3B7A" w:rsidRPr="002B6B11" w:rsidRDefault="004D3B7A" w:rsidP="004D3B7A">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In Euroclear in 2022, the ratio between the value of penalties and the total value of instructions was 0,0001.</w:t>
      </w:r>
    </w:p>
    <w:p w14:paraId="4A1E81EC" w14:textId="77777777" w:rsidR="004D3B7A" w:rsidRPr="002B6B11" w:rsidRDefault="004D3B7A" w:rsidP="004D3B7A">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 xml:space="preserve">To further improve settlement efficiency, the penalty mechanism should give a more significant direct incentive to the failing delivering participant to resolve the </w:t>
      </w:r>
      <w:proofErr w:type="gramStart"/>
      <w:r w:rsidRPr="002B6B11">
        <w:rPr>
          <w:rFonts w:ascii="Calibri" w:eastAsia="Times New Roman" w:hAnsi="Calibri" w:cs="Calibri"/>
          <w:color w:val="000000"/>
          <w:szCs w:val="22"/>
        </w:rPr>
        <w:t>fail</w:t>
      </w:r>
      <w:proofErr w:type="gramEnd"/>
      <w:r w:rsidRPr="002B6B11">
        <w:rPr>
          <w:rFonts w:ascii="Calibri" w:eastAsia="Times New Roman" w:hAnsi="Calibri" w:cs="Calibri"/>
          <w:color w:val="000000"/>
          <w:szCs w:val="22"/>
        </w:rPr>
        <w:t>. It should give an incentive to optimize one’s securities inventory, reduce operational inefficiencies, but most importantly it should give an incentive to find securities on the market where there is an actual lack.</w:t>
      </w:r>
    </w:p>
    <w:p w14:paraId="0F6B273C" w14:textId="77777777" w:rsidR="004D3B7A" w:rsidRPr="002B6B11" w:rsidRDefault="004D3B7A" w:rsidP="004D3B7A">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lastRenderedPageBreak/>
        <w:t>With regards to “lack of securities”, when compared to the cost of borrowing securities, although such borrowing market does not exist for all types of financial instruments, it is generally considered that the cost of penalties is much lower, by a factor of 3 or 4 in present market conditions, making borrowing a much costlier option to resort to.</w:t>
      </w:r>
    </w:p>
    <w:p w14:paraId="744A0C9D" w14:textId="1CCCEB43" w:rsidR="00480F3D" w:rsidRPr="002B6B11" w:rsidRDefault="004D3B7A" w:rsidP="004D3B7A">
      <w:pPr>
        <w:rPr>
          <w:sz w:val="28"/>
          <w:szCs w:val="24"/>
        </w:rPr>
      </w:pPr>
      <w:r w:rsidRPr="002B6B11">
        <w:rPr>
          <w:rFonts w:ascii="Calibri" w:eastAsia="Times New Roman" w:hAnsi="Calibri" w:cs="Calibri"/>
          <w:color w:val="000000"/>
          <w:szCs w:val="22"/>
        </w:rPr>
        <w:t xml:space="preserve">As a result, the penalty rates could be set at a level where the cost of fail outweighs the cost of resolving the </w:t>
      </w:r>
      <w:proofErr w:type="gramStart"/>
      <w:r w:rsidRPr="002B6B11">
        <w:rPr>
          <w:rFonts w:ascii="Calibri" w:eastAsia="Times New Roman" w:hAnsi="Calibri" w:cs="Calibri"/>
          <w:color w:val="000000"/>
          <w:szCs w:val="22"/>
        </w:rPr>
        <w:t>fail</w:t>
      </w:r>
      <w:proofErr w:type="gramEnd"/>
      <w:r w:rsidRPr="002B6B11">
        <w:rPr>
          <w:rFonts w:ascii="Calibri" w:eastAsia="Times New Roman" w:hAnsi="Calibri" w:cs="Calibri"/>
          <w:color w:val="000000"/>
          <w:szCs w:val="22"/>
        </w:rPr>
        <w:t>.</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4757DED2" w14:textId="77777777" w:rsidR="00BD7C29" w:rsidRPr="002B6B11" w:rsidRDefault="00BD7C29" w:rsidP="00BD7C29">
      <w:pPr>
        <w:spacing w:before="120" w:after="0" w:line="240" w:lineRule="auto"/>
        <w:rPr>
          <w:rFonts w:ascii="Calibri" w:eastAsia="Times New Roman" w:hAnsi="Calibri" w:cs="Calibri"/>
          <w:color w:val="000000"/>
          <w:szCs w:val="22"/>
        </w:rPr>
      </w:pPr>
      <w:permStart w:id="1267808287" w:edGrp="everyone"/>
      <w:proofErr w:type="gramStart"/>
      <w:r w:rsidRPr="002B6B11">
        <w:rPr>
          <w:rFonts w:ascii="Calibri" w:eastAsia="Times New Roman" w:hAnsi="Calibri" w:cs="Calibri"/>
          <w:color w:val="000000"/>
          <w:szCs w:val="22"/>
        </w:rPr>
        <w:t>First of all</w:t>
      </w:r>
      <w:proofErr w:type="gramEnd"/>
      <w:r w:rsidRPr="002B6B11">
        <w:rPr>
          <w:rFonts w:ascii="Calibri" w:eastAsia="Times New Roman" w:hAnsi="Calibri" w:cs="Calibri"/>
          <w:color w:val="000000"/>
          <w:szCs w:val="22"/>
        </w:rPr>
        <w:t>, it should be remembered that the European securities market is not unified, at the execution and post-trade level when compared to other significant financial markets. Each market has its own specificities in terms of post-trade processing.</w:t>
      </w:r>
    </w:p>
    <w:p w14:paraId="110C05D8" w14:textId="77777777" w:rsidR="00BD7C29" w:rsidRPr="002B6B11" w:rsidRDefault="00BD7C29" w:rsidP="00BD7C29">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Actual cases of “Fail to deliver cash” due to an actual lack of cash represents 0.1% in volume of instructions (December 2023, Euroclear France). Such cases will be mostly related to a misalignment of cash flows to the required cut-offs for settlement, such as sell orders not settled on time causing a lack of cash, or an unsettled FX transaction resulting in a lack of the proper currency</w:t>
      </w:r>
      <w:r w:rsidRPr="002B6B11">
        <w:rPr>
          <w:rFonts w:ascii="Calibri" w:eastAsia="Times New Roman" w:hAnsi="Calibri" w:cs="Calibri"/>
          <w:szCs w:val="22"/>
        </w:rPr>
        <w:t>.</w:t>
      </w:r>
    </w:p>
    <w:p w14:paraId="1548E3FF" w14:textId="77777777" w:rsidR="00BD7C29" w:rsidRPr="002B6B11" w:rsidRDefault="00BD7C29" w:rsidP="00BD7C29">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“Fail to deliver securities” can result from a much wider array of reasons.</w:t>
      </w:r>
    </w:p>
    <w:p w14:paraId="285F6DC7" w14:textId="77777777" w:rsidR="00BD7C29" w:rsidRPr="002B6B11" w:rsidRDefault="00BD7C29" w:rsidP="00BD7C29">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From the perspective of a trading party, SEFP can usually result mostly from the following reasons:</w:t>
      </w:r>
    </w:p>
    <w:p w14:paraId="70033159" w14:textId="77777777" w:rsidR="00BD7C29" w:rsidRPr="002B6B11" w:rsidRDefault="00BD7C29" w:rsidP="00BD7C2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Securities not received in (an)other transaction(s);</w:t>
      </w:r>
    </w:p>
    <w:p w14:paraId="45891D2A" w14:textId="77777777" w:rsidR="00BD7C29" w:rsidRPr="002B6B11" w:rsidRDefault="00BD7C29" w:rsidP="00BD7C2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Securities not partialized as a result of the counterparty not accepting partial settlement;</w:t>
      </w:r>
    </w:p>
    <w:p w14:paraId="3830BB96" w14:textId="77777777" w:rsidR="00BD7C29" w:rsidRPr="002B6B11" w:rsidRDefault="00BD7C29" w:rsidP="00BD7C2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Securities not transferred in due time from another CSD;</w:t>
      </w:r>
    </w:p>
    <w:p w14:paraId="40992F7A" w14:textId="77777777" w:rsidR="00BD7C29" w:rsidRPr="002B6B11" w:rsidRDefault="00BD7C29" w:rsidP="00BD7C2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Securities not recalled in due time from triparty collateral management agents / lending agents;</w:t>
      </w:r>
    </w:p>
    <w:p w14:paraId="4FBF27D2" w14:textId="77777777" w:rsidR="00BD7C29" w:rsidRPr="002B6B11" w:rsidRDefault="00BD7C29" w:rsidP="00BD7C2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Settlement instruction put on hold (see below);</w:t>
      </w:r>
    </w:p>
    <w:p w14:paraId="73678E95" w14:textId="77777777" w:rsidR="00BD7C29" w:rsidRPr="002B6B11" w:rsidRDefault="00BD7C29" w:rsidP="00BD7C2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Among other reasons: linked transaction, mistmatches in the use of some functionalities (ex: daylight functionality at Euroclear Bank).</w:t>
      </w:r>
    </w:p>
    <w:p w14:paraId="66D5EE86" w14:textId="77777777" w:rsidR="00BD7C29" w:rsidRPr="002B6B11" w:rsidRDefault="00BD7C29" w:rsidP="00BD7C29">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For a trading party, LMFP can usually result mostly from the following reasons:</w:t>
      </w:r>
    </w:p>
    <w:p w14:paraId="382C8962" w14:textId="77777777" w:rsidR="00BD7C29" w:rsidRPr="002B6B11" w:rsidRDefault="00BD7C29" w:rsidP="00BD7C2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Counterparties not using electronic communication means for allocation-confirmation, causing delays in the processing of the instruction;</w:t>
      </w:r>
    </w:p>
    <w:p w14:paraId="1F9F545D" w14:textId="77777777" w:rsidR="00BD7C29" w:rsidRPr="002B6B11" w:rsidRDefault="00BD7C29" w:rsidP="00BD7C2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Booking issues, such as errors in the quantity or mismatches in the cash amounts;</w:t>
      </w:r>
    </w:p>
    <w:p w14:paraId="3E742C82" w14:textId="77777777" w:rsidR="00BD7C29" w:rsidRPr="002B6B11" w:rsidRDefault="00BD7C29" w:rsidP="00BD7C2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lastRenderedPageBreak/>
        <w:t>Wrong SSI leading to mismatches at CSD level;</w:t>
      </w:r>
    </w:p>
    <w:p w14:paraId="09DC3DF6" w14:textId="77777777" w:rsidR="00BD7C29" w:rsidRPr="002B6B11" w:rsidRDefault="00BD7C29" w:rsidP="00BD7C2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IT issues resulting in transactions blocked in the front-to-back chain before they can be sent to the CSD or custodian;</w:t>
      </w:r>
    </w:p>
    <w:p w14:paraId="6141CBD3" w14:textId="77777777" w:rsidR="00BD7C29" w:rsidRPr="002B6B11" w:rsidRDefault="00BD7C29" w:rsidP="00BD7C29">
      <w:pPr>
        <w:spacing w:before="120" w:after="0" w:line="240" w:lineRule="auto"/>
        <w:ind w:left="-15"/>
        <w:rPr>
          <w:rFonts w:ascii="Calibri" w:eastAsia="Times New Roman" w:hAnsi="Calibri" w:cs="Calibri"/>
          <w:color w:val="000000"/>
          <w:szCs w:val="22"/>
        </w:rPr>
      </w:pPr>
      <w:r w:rsidRPr="002B6B11">
        <w:rPr>
          <w:rFonts w:ascii="Calibri" w:eastAsia="Times New Roman" w:hAnsi="Calibri" w:cs="Calibri"/>
          <w:color w:val="000000"/>
          <w:szCs w:val="22"/>
        </w:rPr>
        <w:t>It should also be noted that post-trade compliance controls may delay the sending of a particular instruction.</w:t>
      </w:r>
    </w:p>
    <w:p w14:paraId="3435461A" w14:textId="77777777" w:rsidR="00BD7C29" w:rsidRPr="002B6B11" w:rsidRDefault="00BD7C29" w:rsidP="00BD7C29">
      <w:pPr>
        <w:spacing w:before="120" w:after="0" w:line="240" w:lineRule="auto"/>
        <w:ind w:left="-15"/>
        <w:rPr>
          <w:rFonts w:ascii="Calibri" w:eastAsia="Times New Roman" w:hAnsi="Calibri" w:cs="Calibri"/>
          <w:color w:val="000000"/>
          <w:szCs w:val="22"/>
        </w:rPr>
      </w:pPr>
      <w:r w:rsidRPr="002B6B11">
        <w:rPr>
          <w:rFonts w:ascii="Calibri" w:eastAsia="Times New Roman" w:hAnsi="Calibri" w:cs="Calibri"/>
          <w:color w:val="000000"/>
          <w:szCs w:val="22"/>
        </w:rPr>
        <w:t xml:space="preserve">For intermediaries, problems will essentially be the same, except that they will not directly have the securities but will expect them from the </w:t>
      </w:r>
      <w:proofErr w:type="gramStart"/>
      <w:r w:rsidRPr="002B6B11">
        <w:rPr>
          <w:rFonts w:ascii="Calibri" w:eastAsia="Times New Roman" w:hAnsi="Calibri" w:cs="Calibri"/>
          <w:color w:val="000000"/>
          <w:szCs w:val="22"/>
        </w:rPr>
        <w:t>client, and</w:t>
      </w:r>
      <w:proofErr w:type="gramEnd"/>
      <w:r w:rsidRPr="002B6B11">
        <w:rPr>
          <w:rFonts w:ascii="Calibri" w:eastAsia="Times New Roman" w:hAnsi="Calibri" w:cs="Calibri"/>
          <w:color w:val="000000"/>
          <w:szCs w:val="22"/>
        </w:rPr>
        <w:t xml:space="preserve"> will suffer from booking or SSI issues at the level of their client and its counterparty.</w:t>
      </w:r>
    </w:p>
    <w:p w14:paraId="7ACF3539" w14:textId="77777777" w:rsidR="00BD7C29" w:rsidRPr="002B6B11" w:rsidRDefault="00BD7C29" w:rsidP="00BD7C29">
      <w:pPr>
        <w:spacing w:before="120" w:after="0" w:line="240" w:lineRule="auto"/>
        <w:ind w:left="-15"/>
        <w:rPr>
          <w:rFonts w:ascii="Calibri" w:eastAsia="Times New Roman" w:hAnsi="Calibri" w:cs="Calibri"/>
          <w:color w:val="000000"/>
          <w:szCs w:val="22"/>
        </w:rPr>
      </w:pPr>
      <w:r w:rsidRPr="002B6B11">
        <w:rPr>
          <w:rFonts w:ascii="Calibri" w:eastAsia="Times New Roman" w:hAnsi="Calibri" w:cs="Calibri"/>
          <w:color w:val="000000"/>
          <w:szCs w:val="22"/>
        </w:rPr>
        <w:t>With regards to “settlement instructions on hold”, it should be noted that the Hold function is a pre-matching and risk management tool to allow early matching.</w:t>
      </w:r>
    </w:p>
    <w:p w14:paraId="7A39CD7B" w14:textId="77777777" w:rsidR="00BD7C29" w:rsidRPr="002B6B11" w:rsidRDefault="00BD7C29" w:rsidP="00BD7C29">
      <w:pPr>
        <w:spacing w:before="120" w:after="0" w:line="240" w:lineRule="auto"/>
        <w:ind w:left="-15"/>
        <w:rPr>
          <w:rFonts w:ascii="Calibri" w:eastAsia="Times New Roman" w:hAnsi="Calibri" w:cs="Calibri"/>
          <w:color w:val="000000"/>
          <w:szCs w:val="22"/>
        </w:rPr>
      </w:pPr>
      <w:r w:rsidRPr="002B6B11">
        <w:rPr>
          <w:rFonts w:ascii="Calibri" w:eastAsia="Times New Roman" w:hAnsi="Calibri" w:cs="Calibri"/>
          <w:color w:val="000000"/>
          <w:szCs w:val="22"/>
        </w:rPr>
        <w:t>“Settlement instructions on hold” will most of the time correspond to situations where controls managed by the intermediary (ex: balance controls) may not bring a satisfying result.</w:t>
      </w:r>
    </w:p>
    <w:p w14:paraId="6F3B4581" w14:textId="048A43CE" w:rsidR="00480F3D" w:rsidRPr="002B6B11" w:rsidRDefault="00480F3D">
      <w:pPr>
        <w:rPr>
          <w:sz w:val="28"/>
          <w:szCs w:val="24"/>
        </w:rPr>
      </w:pP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2"/>
      <w:r w:rsidRPr="00861096">
        <w:t>What tools should be used in order to improve settlement efficiency? Please provide examples and data, as well as arguments to justify your answer.</w:t>
      </w:r>
    </w:p>
    <w:bookmarkEnd w:id="17"/>
    <w:p w14:paraId="400A5D26" w14:textId="77777777" w:rsidR="00480F3D" w:rsidRDefault="00480F3D">
      <w:r>
        <w:t>&lt;ESMA_QUESTION_CSDR_18&gt;</w:t>
      </w:r>
    </w:p>
    <w:p w14:paraId="32B990C0" w14:textId="77777777" w:rsidR="0040440D" w:rsidRPr="002B6B11" w:rsidRDefault="0040440D" w:rsidP="0040440D">
      <w:pPr>
        <w:spacing w:after="0" w:line="240" w:lineRule="auto"/>
        <w:rPr>
          <w:rFonts w:ascii="Calibri" w:eastAsia="Times New Roman" w:hAnsi="Calibri" w:cs="Calibri"/>
          <w:color w:val="000000"/>
          <w:szCs w:val="22"/>
        </w:rPr>
      </w:pPr>
      <w:permStart w:id="1836331667" w:edGrp="everyone"/>
      <w:r w:rsidRPr="002B6B11">
        <w:rPr>
          <w:rFonts w:ascii="Calibri" w:eastAsia="Times New Roman" w:hAnsi="Calibri" w:cs="Calibri"/>
          <w:color w:val="000000"/>
          <w:szCs w:val="22"/>
        </w:rPr>
        <w:t>Two main operational elements should be considered to improve settlement efficiency.</w:t>
      </w:r>
    </w:p>
    <w:p w14:paraId="13F2E208" w14:textId="77777777" w:rsidR="0040440D" w:rsidRPr="002B6B11" w:rsidRDefault="0040440D" w:rsidP="0040440D">
      <w:pPr>
        <w:spacing w:before="120" w:after="0" w:line="240" w:lineRule="auto"/>
        <w:rPr>
          <w:rFonts w:ascii="Calibri" w:eastAsia="Times New Roman" w:hAnsi="Calibri" w:cs="Calibri"/>
          <w:b/>
          <w:bCs/>
          <w:color w:val="000000"/>
          <w:szCs w:val="22"/>
        </w:rPr>
      </w:pPr>
      <w:r w:rsidRPr="002B6B11">
        <w:rPr>
          <w:rFonts w:ascii="Calibri" w:eastAsia="Times New Roman" w:hAnsi="Calibri" w:cs="Calibri"/>
          <w:b/>
          <w:bCs/>
          <w:color w:val="000000"/>
          <w:szCs w:val="22"/>
        </w:rPr>
        <w:t xml:space="preserve">At the allocation-confirmation level: </w:t>
      </w:r>
    </w:p>
    <w:p w14:paraId="67D5FCEF" w14:textId="77777777" w:rsidR="0040440D" w:rsidRPr="002B6B11" w:rsidRDefault="0040440D" w:rsidP="0040440D">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 xml:space="preserve">Despite the recommendation in CSDR to (1) use standard and electronic means of communication to allocate and confirm and (2) use central databases to communicate SSI soon after trading and well ahead of settlement, and despite further market practices relayed by the participants to their clients and counterparties, such issues as the communication of updated SSI </w:t>
      </w:r>
      <w:proofErr w:type="gramStart"/>
      <w:r w:rsidRPr="002B6B11">
        <w:rPr>
          <w:rFonts w:ascii="Calibri" w:eastAsia="Times New Roman" w:hAnsi="Calibri" w:cs="Calibri"/>
          <w:color w:val="000000"/>
          <w:szCs w:val="22"/>
        </w:rPr>
        <w:t>still remain</w:t>
      </w:r>
      <w:proofErr w:type="gramEnd"/>
      <w:r w:rsidRPr="002B6B11">
        <w:rPr>
          <w:rFonts w:ascii="Calibri" w:eastAsia="Times New Roman" w:hAnsi="Calibri" w:cs="Calibri"/>
          <w:color w:val="000000"/>
          <w:szCs w:val="22"/>
        </w:rPr>
        <w:t xml:space="preserve">. The regulator may consider </w:t>
      </w:r>
      <w:proofErr w:type="gramStart"/>
      <w:r w:rsidRPr="002B6B11">
        <w:rPr>
          <w:rFonts w:ascii="Calibri" w:eastAsia="Times New Roman" w:hAnsi="Calibri" w:cs="Calibri"/>
          <w:color w:val="000000"/>
          <w:szCs w:val="22"/>
        </w:rPr>
        <w:t>to reinforce</w:t>
      </w:r>
      <w:proofErr w:type="gramEnd"/>
      <w:r w:rsidRPr="002B6B11">
        <w:rPr>
          <w:rFonts w:ascii="Calibri" w:eastAsia="Times New Roman" w:hAnsi="Calibri" w:cs="Calibri"/>
          <w:color w:val="000000"/>
          <w:szCs w:val="22"/>
        </w:rPr>
        <w:t xml:space="preserve"> the recommendation, while considering at the same time that smaller counterparties may incur a significant investment to do so.</w:t>
      </w:r>
    </w:p>
    <w:p w14:paraId="1755473A" w14:textId="77777777" w:rsidR="0040440D" w:rsidRPr="002B6B11" w:rsidRDefault="0040440D" w:rsidP="0040440D">
      <w:pPr>
        <w:spacing w:before="120" w:after="0" w:line="240" w:lineRule="auto"/>
        <w:rPr>
          <w:rFonts w:ascii="Calibri" w:eastAsia="Times New Roman" w:hAnsi="Calibri" w:cs="Calibri"/>
          <w:b/>
          <w:bCs/>
          <w:color w:val="000000"/>
          <w:szCs w:val="22"/>
        </w:rPr>
      </w:pPr>
      <w:r w:rsidRPr="002B6B11">
        <w:rPr>
          <w:rFonts w:ascii="Calibri" w:eastAsia="Times New Roman" w:hAnsi="Calibri" w:cs="Calibri"/>
          <w:b/>
          <w:bCs/>
          <w:color w:val="000000"/>
          <w:szCs w:val="22"/>
        </w:rPr>
        <w:t>At the settlement level:</w:t>
      </w:r>
    </w:p>
    <w:p w14:paraId="3D9A2CD9" w14:textId="77777777" w:rsidR="0040440D" w:rsidRPr="002B6B11" w:rsidRDefault="0040440D" w:rsidP="0040440D">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 xml:space="preserve">It is essential that trading parties and CSD participants (1) send their instruction at the CSD as soon as possible </w:t>
      </w:r>
      <w:proofErr w:type="gramStart"/>
      <w:r w:rsidRPr="002B6B11">
        <w:rPr>
          <w:rFonts w:ascii="Calibri" w:eastAsia="Times New Roman" w:hAnsi="Calibri" w:cs="Calibri"/>
          <w:color w:val="000000"/>
          <w:szCs w:val="22"/>
        </w:rPr>
        <w:t>in order to</w:t>
      </w:r>
      <w:proofErr w:type="gramEnd"/>
      <w:r w:rsidRPr="002B6B11">
        <w:rPr>
          <w:rFonts w:ascii="Calibri" w:eastAsia="Times New Roman" w:hAnsi="Calibri" w:cs="Calibri"/>
          <w:color w:val="000000"/>
          <w:szCs w:val="22"/>
        </w:rPr>
        <w:t xml:space="preserve"> be visible by the market and (2) make the most of existing functionalities and services to fluidify settlement, such as:</w:t>
      </w:r>
    </w:p>
    <w:p w14:paraId="5EB7642F" w14:textId="77777777" w:rsidR="0040440D" w:rsidRPr="002B6B11" w:rsidRDefault="0040440D" w:rsidP="0040440D">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Using properly Hold &amp; Release functionalities, that must be generalized at all CSDs, in order to put their instruction on hold if they do not have the required position to settle, and release them when they do.</w:t>
      </w:r>
    </w:p>
    <w:p w14:paraId="3C8B59BB" w14:textId="77777777" w:rsidR="0040440D" w:rsidRPr="002B6B11" w:rsidRDefault="0040440D" w:rsidP="0040440D">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lastRenderedPageBreak/>
        <w:t>Using Partial settlement &amp; Partial releases, which must also be generalized at all CSDs, in order to deliver as much securities as they can to avoid blocking the settlement of other transactions and impact the liquidity of this instrument.</w:t>
      </w:r>
    </w:p>
    <w:p w14:paraId="48FE4209" w14:textId="77777777" w:rsidR="0040440D" w:rsidRPr="002B6B11" w:rsidRDefault="0040440D" w:rsidP="0040440D">
      <w:pPr>
        <w:pStyle w:val="Paragraphedeliste"/>
        <w:spacing w:before="120" w:after="0" w:line="240" w:lineRule="auto"/>
        <w:ind w:left="173"/>
        <w:rPr>
          <w:rFonts w:ascii="Calibri" w:eastAsia="Times New Roman" w:hAnsi="Calibri" w:cs="Calibri"/>
          <w:color w:val="000000"/>
        </w:rPr>
      </w:pPr>
      <w:r w:rsidRPr="002B6B11">
        <w:rPr>
          <w:rFonts w:ascii="Calibri" w:eastAsia="Times New Roman" w:hAnsi="Calibri" w:cs="Calibri"/>
          <w:color w:val="000000"/>
        </w:rPr>
        <w:t>The use of both functionalities must be generalized at all level of the chain, from the trading party to the CSD participant.</w:t>
      </w:r>
    </w:p>
    <w:p w14:paraId="5D382AB6" w14:textId="77777777" w:rsidR="0040440D" w:rsidRPr="002B6B11" w:rsidRDefault="0040440D" w:rsidP="0040440D">
      <w:pPr>
        <w:pStyle w:val="Paragraphedeliste"/>
        <w:spacing w:before="120" w:after="0" w:line="240" w:lineRule="auto"/>
        <w:ind w:left="173"/>
        <w:rPr>
          <w:rFonts w:ascii="Calibri" w:eastAsia="Times New Roman" w:hAnsi="Calibri" w:cs="Calibri"/>
          <w:color w:val="000000"/>
        </w:rPr>
      </w:pPr>
      <w:r w:rsidRPr="002B6B11">
        <w:rPr>
          <w:rFonts w:ascii="Calibri" w:eastAsia="Times New Roman" w:hAnsi="Calibri" w:cs="Calibri"/>
          <w:color w:val="000000"/>
        </w:rPr>
        <w:t xml:space="preserve">We would like to remind that where automated partialling is not initially chosen by the parties, and these parties decide </w:t>
      </w:r>
      <w:r w:rsidRPr="002B6B11">
        <w:rPr>
          <w:rFonts w:ascii="Calibri" w:eastAsia="Times New Roman" w:hAnsi="Calibri" w:cs="Calibri"/>
          <w:i/>
          <w:iCs/>
          <w:color w:val="000000"/>
        </w:rPr>
        <w:t>post-ISD</w:t>
      </w:r>
      <w:r w:rsidRPr="002B6B11">
        <w:rPr>
          <w:rFonts w:ascii="Calibri" w:eastAsia="Times New Roman" w:hAnsi="Calibri" w:cs="Calibri"/>
          <w:color w:val="000000"/>
        </w:rPr>
        <w:t xml:space="preserve"> to partially settle some quantities, they should not be penalized by an LMFP as they bilaterally cancel the original instruction to re-instruct partial settlements </w:t>
      </w:r>
      <w:r w:rsidRPr="002B6B11">
        <w:rPr>
          <w:rFonts w:ascii="Calibri" w:eastAsia="Times New Roman" w:hAnsi="Calibri" w:cs="Calibri"/>
          <w:i/>
          <w:iCs/>
          <w:color w:val="000000"/>
        </w:rPr>
        <w:t>[ESMA Q&amp;A – Settlement Discipline Questions 3 – Cash penalties: calculation]</w:t>
      </w:r>
    </w:p>
    <w:p w14:paraId="4ECB60FB" w14:textId="77777777" w:rsidR="0040440D" w:rsidRPr="002B6B11" w:rsidRDefault="0040440D" w:rsidP="0040440D">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Using custodian borrowing and CSD auto-borrowing programs in order to attempt to acquire the required securities when needed.</w:t>
      </w:r>
    </w:p>
    <w:p w14:paraId="68A45E9B" w14:textId="2C2F6EC7" w:rsidR="00480F3D" w:rsidRPr="002B6B11" w:rsidRDefault="00480F3D">
      <w:pPr>
        <w:rPr>
          <w:sz w:val="28"/>
          <w:szCs w:val="24"/>
          <w:lang w:val="pt-PT"/>
        </w:rPr>
      </w:pP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3"/>
      <w:r w:rsidRPr="004D6196">
        <w:t>What are your views on the appropriate level(s) of settlement efficiency at CSD/SSS level, as well as by asset type? Please provide data and arguments to justify your answer.</w:t>
      </w:r>
    </w:p>
    <w:bookmarkEnd w:id="18"/>
    <w:p w14:paraId="7D3BB08E" w14:textId="77777777" w:rsidR="00480F3D" w:rsidRDefault="00480F3D">
      <w:r>
        <w:t>&lt;ESMA_QUESTION_CSDR_19&gt;</w:t>
      </w:r>
    </w:p>
    <w:p w14:paraId="644F74A8" w14:textId="77777777" w:rsidR="00343BB9" w:rsidRPr="002B6B11" w:rsidRDefault="00343BB9" w:rsidP="00343BB9">
      <w:pPr>
        <w:spacing w:before="120" w:after="0" w:line="240" w:lineRule="auto"/>
        <w:rPr>
          <w:rFonts w:ascii="Calibri" w:eastAsia="Times New Roman" w:hAnsi="Calibri" w:cs="Calibri"/>
          <w:color w:val="000000"/>
          <w:szCs w:val="22"/>
        </w:rPr>
      </w:pPr>
      <w:permStart w:id="1744390137" w:edGrp="everyone"/>
      <w:r w:rsidRPr="002B6B11">
        <w:rPr>
          <w:rFonts w:ascii="Calibri" w:eastAsia="Times New Roman" w:hAnsi="Calibri" w:cs="Calibri"/>
          <w:color w:val="000000"/>
          <w:szCs w:val="22"/>
        </w:rPr>
        <w:t xml:space="preserve">Settlement efficiency should be maximized as much as possible, to fluidify the market. But it is not possible to define </w:t>
      </w:r>
      <w:proofErr w:type="gramStart"/>
      <w:r w:rsidRPr="002B6B11">
        <w:rPr>
          <w:rFonts w:ascii="Calibri" w:eastAsia="Times New Roman" w:hAnsi="Calibri" w:cs="Calibri"/>
          <w:color w:val="000000"/>
          <w:szCs w:val="22"/>
        </w:rPr>
        <w:t>a particular, appropriate</w:t>
      </w:r>
      <w:proofErr w:type="gramEnd"/>
      <w:r w:rsidRPr="002B6B11">
        <w:rPr>
          <w:rFonts w:ascii="Calibri" w:eastAsia="Times New Roman" w:hAnsi="Calibri" w:cs="Calibri"/>
          <w:color w:val="000000"/>
          <w:szCs w:val="22"/>
        </w:rPr>
        <w:t xml:space="preserve"> level of efficiency, because it is affected not only by operational inefficiencies and </w:t>
      </w:r>
      <w:proofErr w:type="spellStart"/>
      <w:r w:rsidRPr="002B6B11">
        <w:rPr>
          <w:rFonts w:ascii="Calibri" w:eastAsia="Times New Roman" w:hAnsi="Calibri" w:cs="Calibri"/>
          <w:color w:val="000000"/>
          <w:szCs w:val="22"/>
        </w:rPr>
        <w:t>behaviors</w:t>
      </w:r>
      <w:proofErr w:type="spellEnd"/>
      <w:r w:rsidRPr="002B6B11">
        <w:rPr>
          <w:rFonts w:ascii="Calibri" w:eastAsia="Times New Roman" w:hAnsi="Calibri" w:cs="Calibri"/>
          <w:color w:val="000000"/>
          <w:szCs w:val="22"/>
        </w:rPr>
        <w:t>, but also by elements that are mostly out of the reach of market participants.</w:t>
      </w:r>
    </w:p>
    <w:p w14:paraId="573B41DF" w14:textId="77777777" w:rsidR="00343BB9" w:rsidRPr="002B6B11" w:rsidRDefault="00343BB9" w:rsidP="00343BB9">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Moreover, it is not possible to have one level of settlement efficiency valid all the time. Settlement efficiency will be affected by the trading volumes and the liquidity of a particular instrument that is highly demanded but may be on short supply. Events affecting the corporate life of issuers may also significantly affect the trading of a particular instrument, creating an imbalance between supply and demand that will translate at settlement level and put tensions on settlement efficiency. Finally, external events (like pandemic or wars) will impact markets and accordingly the settlement.</w:t>
      </w:r>
    </w:p>
    <w:p w14:paraId="175AF6FC" w14:textId="77777777" w:rsidR="00343BB9" w:rsidRPr="002B6B11" w:rsidRDefault="00343BB9" w:rsidP="00343BB9">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Additionally, it is important to note that all EU markets are different in nature, and have as a result differing settlement volumes and efficiencies:</w:t>
      </w:r>
    </w:p>
    <w:p w14:paraId="17C1D566" w14:textId="77777777" w:rsidR="00343BB9" w:rsidRPr="002B6B11" w:rsidRDefault="00343BB9" w:rsidP="00343BB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Market segments of various liquidity levels may be more developed in one country than in others, resulting in differing overall settlement levels;</w:t>
      </w:r>
    </w:p>
    <w:p w14:paraId="02247836" w14:textId="77777777" w:rsidR="00343BB9" w:rsidRPr="002B6B11" w:rsidRDefault="00343BB9" w:rsidP="00343BB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These segments may attract different investors that may be more international;</w:t>
      </w:r>
    </w:p>
    <w:p w14:paraId="4C244E0A" w14:textId="77777777" w:rsidR="00343BB9" w:rsidRPr="002B6B11" w:rsidRDefault="00343BB9" w:rsidP="00343BB9">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These segments may or may not be cleared by a CCP, which will affect the liquidity of the instrument.</w:t>
      </w:r>
    </w:p>
    <w:p w14:paraId="27D2A5BC" w14:textId="77777777" w:rsidR="00343BB9" w:rsidRPr="002B6B11" w:rsidRDefault="00343BB9" w:rsidP="00343BB9">
      <w:pPr>
        <w:spacing w:before="120" w:after="0" w:line="240" w:lineRule="auto"/>
        <w:ind w:left="-14"/>
        <w:rPr>
          <w:rFonts w:ascii="Calibri" w:eastAsia="Times New Roman" w:hAnsi="Calibri" w:cs="Calibri"/>
          <w:color w:val="000000"/>
          <w:szCs w:val="22"/>
        </w:rPr>
      </w:pPr>
      <w:r w:rsidRPr="002B6B11">
        <w:rPr>
          <w:rFonts w:ascii="Calibri" w:eastAsia="Times New Roman" w:hAnsi="Calibri" w:cs="Calibri"/>
          <w:color w:val="000000"/>
          <w:szCs w:val="22"/>
        </w:rPr>
        <w:lastRenderedPageBreak/>
        <w:t>This does not mean that we support a differentiation of settlement discipline measure by CSDs, as outlined in our answers below.</w:t>
      </w:r>
    </w:p>
    <w:p w14:paraId="75F12042" w14:textId="153D1B5D" w:rsidR="00480F3D" w:rsidRPr="002B6B11" w:rsidRDefault="00480F3D">
      <w:pPr>
        <w:rPr>
          <w:sz w:val="28"/>
          <w:szCs w:val="24"/>
        </w:rPr>
      </w:pP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4"/>
      <w:r w:rsidRPr="00560A70">
        <w:t>Do you think the penalty rates by asset type as foreseen in the Annex to Commission Delegated Regulation (EU) 2017/389 are proportionate? Please provide data and arguments to justify your answer.</w:t>
      </w:r>
    </w:p>
    <w:bookmarkEnd w:id="19"/>
    <w:p w14:paraId="163FB0D8" w14:textId="77777777" w:rsidR="00480F3D" w:rsidRDefault="00480F3D">
      <w:r>
        <w:t>&lt;ESMA_QUESTION_CSDR_20&gt;</w:t>
      </w:r>
    </w:p>
    <w:p w14:paraId="18B59FC4" w14:textId="77777777" w:rsidR="00CD2865" w:rsidRPr="002B6B11" w:rsidRDefault="00CD2865" w:rsidP="00CD2865">
      <w:pPr>
        <w:spacing w:before="120" w:after="0" w:line="240" w:lineRule="auto"/>
        <w:rPr>
          <w:rFonts w:ascii="Calibri" w:eastAsia="Times New Roman" w:hAnsi="Calibri" w:cs="Calibri"/>
          <w:color w:val="000000"/>
          <w:szCs w:val="22"/>
        </w:rPr>
      </w:pPr>
      <w:permStart w:id="652349975" w:edGrp="everyone"/>
      <w:r w:rsidRPr="002B6B11">
        <w:rPr>
          <w:rFonts w:ascii="Calibri" w:eastAsia="Times New Roman" w:hAnsi="Calibri" w:cs="Calibri"/>
          <w:color w:val="000000"/>
          <w:szCs w:val="22"/>
        </w:rPr>
        <w:t>Considering the level of penalty rates today, as mentioned in answers above, and bearing in mind that there may not be enough time since the application of the penalty mechanism to have a full picture, and already state the full benefits the penalty regime will bring, it does not seem that it is sufficiently deterrent for the ultimate failing party.</w:t>
      </w:r>
    </w:p>
    <w:p w14:paraId="0ABEEEC9" w14:textId="77777777" w:rsidR="00CD2865" w:rsidRPr="002B6B11" w:rsidRDefault="00CD2865" w:rsidP="00CD2865">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However, the penalty mechanism should not be the only measure to be regarded, as settlement efficiency is a result of many factors, among which the use of functionalities designed to automate post-trade and fluidify settlement (electronic affirmation-allocation platforms, central SSI databases, hold &amp; release, partial settlement, partial release, borrowing services). Going one step further to ensure a wide use of these services should be closely considered to increase asset velocity.</w:t>
      </w:r>
    </w:p>
    <w:p w14:paraId="59DB3A8F" w14:textId="77777777" w:rsidR="00CD2865" w:rsidRPr="002B6B11" w:rsidRDefault="00CD2865" w:rsidP="00CD2865">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At the same time, although we are not opposed to higher penalty rates, it is important that they not reach a level that may result in a permanent source of income for market players who are more naturally on the receiving side of penalties as buyers.</w:t>
      </w:r>
    </w:p>
    <w:p w14:paraId="24700A0A" w14:textId="6A8C0556" w:rsidR="00480F3D" w:rsidRPr="002B6B11" w:rsidRDefault="00480F3D">
      <w:pPr>
        <w:rPr>
          <w:sz w:val="28"/>
          <w:szCs w:val="24"/>
        </w:rPr>
      </w:pP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20"/>
    <w:p w14:paraId="23ABFEFE" w14:textId="77777777" w:rsidR="00480F3D" w:rsidRDefault="00480F3D">
      <w:r>
        <w:t>&lt;ESMA_QUESTION_CSDR_21&gt;</w:t>
      </w:r>
    </w:p>
    <w:p w14:paraId="18621DD5" w14:textId="25459430" w:rsidR="00480F3D" w:rsidRPr="002B6B11" w:rsidRDefault="005E63E2">
      <w:pPr>
        <w:rPr>
          <w:sz w:val="28"/>
          <w:szCs w:val="24"/>
        </w:rPr>
      </w:pPr>
      <w:permStart w:id="1111646572" w:edGrp="everyone"/>
      <w:r w:rsidRPr="002B6B11">
        <w:rPr>
          <w:rFonts w:ascii="Calibri" w:eastAsia="Times New Roman" w:hAnsi="Calibri" w:cs="Calibri"/>
          <w:color w:val="000000"/>
          <w:szCs w:val="22"/>
        </w:rPr>
        <w:lastRenderedPageBreak/>
        <w:t>France Post-Marche members do not have such data, that will be more efficiently obtained through CSDs.</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6"/>
      <w:r w:rsidRPr="00890DCE">
        <w:t>In your view, would progressive penalty rates that increase with the length of the settlement fail be justified? Please provide examples and data, as well as arguments to justify your answer.</w:t>
      </w:r>
    </w:p>
    <w:bookmarkEnd w:id="21"/>
    <w:p w14:paraId="02ABFB58" w14:textId="77777777" w:rsidR="00480F3D" w:rsidRDefault="00480F3D">
      <w:r>
        <w:t>&lt;ESMA_QUESTION_CSDR_22&gt;</w:t>
      </w:r>
    </w:p>
    <w:p w14:paraId="09E0C0EC" w14:textId="77777777" w:rsidR="00B07DF4" w:rsidRPr="002B6B11" w:rsidRDefault="00B07DF4" w:rsidP="00B07DF4">
      <w:pPr>
        <w:spacing w:before="120" w:after="0" w:line="240" w:lineRule="auto"/>
        <w:rPr>
          <w:rFonts w:ascii="Calibri" w:eastAsia="Times New Roman" w:hAnsi="Calibri" w:cs="Calibri"/>
          <w:color w:val="000000"/>
          <w:szCs w:val="22"/>
        </w:rPr>
      </w:pPr>
      <w:permStart w:id="47388266" w:edGrp="everyone"/>
      <w:r w:rsidRPr="002B6B11">
        <w:rPr>
          <w:rFonts w:ascii="Calibri" w:eastAsia="Times New Roman" w:hAnsi="Calibri" w:cs="Calibri"/>
          <w:color w:val="000000"/>
          <w:szCs w:val="22"/>
        </w:rPr>
        <w:t xml:space="preserve">First of all, considering that the volume of settlement fails sharply reduces after ISD+1 or ISD+2 [see chart 15, in </w:t>
      </w:r>
      <w:hyperlink r:id="rId27" w:anchor="toc13" w:history="1">
        <w:r w:rsidRPr="002B6B11">
          <w:rPr>
            <w:rStyle w:val="Lienhypertexte"/>
            <w:rFonts w:ascii="Calibri" w:eastAsia="Times New Roman" w:hAnsi="Calibri" w:cs="Calibri"/>
            <w:szCs w:val="22"/>
          </w:rPr>
          <w:t>TARGET2-Securities Annual Report 2022 (europa.eu) chart 15</w:t>
        </w:r>
      </w:hyperlink>
      <w:r w:rsidRPr="002B6B11">
        <w:rPr>
          <w:rFonts w:ascii="Calibri" w:eastAsia="Times New Roman" w:hAnsi="Calibri" w:cs="Calibri"/>
          <w:color w:val="000000"/>
          <w:szCs w:val="22"/>
        </w:rPr>
        <w:t>], the impact of the introduction of progressivity on current settlement efficiency levels may not be as significant and for that reason, is not justified.</w:t>
      </w:r>
    </w:p>
    <w:p w14:paraId="0E55E272" w14:textId="77777777" w:rsidR="00B07DF4" w:rsidRPr="002B6B11" w:rsidRDefault="00B07DF4" w:rsidP="00B07DF4">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But more generally speaking, introducing progressivity in the penalty mechanism raises an important question.</w:t>
      </w:r>
    </w:p>
    <w:p w14:paraId="0FDCF88C" w14:textId="77777777" w:rsidR="00B07DF4" w:rsidRPr="002B6B11" w:rsidRDefault="00B07DF4" w:rsidP="00B07DF4">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The objective of an evolution of the penalty mechanism should be to rapidly improve the level of settlement efficiency across the chain, while effectively targeting the ultimate failing party.</w:t>
      </w:r>
    </w:p>
    <w:p w14:paraId="2B37D120" w14:textId="77777777" w:rsidR="00B07DF4" w:rsidRPr="002B6B11" w:rsidRDefault="00B07DF4" w:rsidP="00B07DF4">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To this end, any evolution should be based on the following principles:</w:t>
      </w:r>
    </w:p>
    <w:p w14:paraId="175E904B" w14:textId="77777777" w:rsidR="00B07DF4" w:rsidRPr="002B6B11" w:rsidRDefault="00B07DF4" w:rsidP="00B07DF4">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It should be easy and quick to implement, and not require a large implementation project at market level;</w:t>
      </w:r>
    </w:p>
    <w:p w14:paraId="21D254A8" w14:textId="77777777" w:rsidR="00B07DF4" w:rsidRPr="002B6B11" w:rsidRDefault="00B07DF4" w:rsidP="00B07DF4">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It should be simple to explain, to ensure that clients of CSD participants (and upper the chain) understand its purpose, calculation and functioning, including when they are not acting from the EU.</w:t>
      </w:r>
    </w:p>
    <w:p w14:paraId="1D06687B" w14:textId="77777777" w:rsidR="00B07DF4" w:rsidRPr="002B6B11" w:rsidRDefault="00B07DF4" w:rsidP="00B07DF4">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It should remain neutral for intermediaries, and immunize them from any adverse effect that may result from an imbalance between penalties paid and received – where the fail is for not fault of their own.</w:t>
      </w:r>
    </w:p>
    <w:p w14:paraId="19E2FA0C" w14:textId="77777777" w:rsidR="00B07DF4" w:rsidRPr="002B6B11" w:rsidRDefault="00B07DF4" w:rsidP="00B07DF4">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It should have as a target the objective that the cost of fail outweighs the cost of solving the fail, and limit the possibilities of arbitrage.</w:t>
      </w:r>
    </w:p>
    <w:p w14:paraId="339F5D26" w14:textId="77777777" w:rsidR="00B07DF4" w:rsidRPr="002B6B11" w:rsidRDefault="00B07DF4" w:rsidP="00B07DF4">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With these principles in mind, we strongly disagree with progressive penalty rates, for the following reasons:</w:t>
      </w:r>
    </w:p>
    <w:p w14:paraId="03C55CE4" w14:textId="77777777" w:rsidR="00B07DF4" w:rsidRPr="002B6B11" w:rsidRDefault="00B07DF4" w:rsidP="00B07DF4">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 xml:space="preserve">It is a complete review of the existing mechanism, which will result in a new project of a size potentially equivalent to the current mechanism, involving all parties (CSD, CCP, participant, clients etc) and a long implementation timeframe, not compatible with an impact quickly visible, and possibly come too late if settlement efficiency improves in the meantime under the existing rules. </w:t>
      </w:r>
    </w:p>
    <w:p w14:paraId="45894163" w14:textId="77777777" w:rsidR="00B07DF4" w:rsidRPr="002B6B11" w:rsidRDefault="00B07DF4" w:rsidP="00B07DF4">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lastRenderedPageBreak/>
        <w:t>Considering the existing mechanism already required a significant amount of change management to explain its features and processing to clients, progressivity adds significant complexity that may not be understandable enough for clients. As a result, disputes are expected to rise significantly, which will further intensify the effort required to manage the process.</w:t>
      </w:r>
    </w:p>
    <w:p w14:paraId="3D9E5366" w14:textId="77777777" w:rsidR="00B07DF4" w:rsidRPr="002B6B11" w:rsidRDefault="00B07DF4" w:rsidP="00B07DF4">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It puts in question the principle of immunization of intermediaries that the regulator recalled. As an example, a failing party immediately searching to borrow securities, but not finding it on ISD but on ISD+1 may suffer imbalanced penalties if the lender does not deliver on ISD+1.</w:t>
      </w:r>
    </w:p>
    <w:p w14:paraId="7DF24120" w14:textId="77777777" w:rsidR="00B07DF4" w:rsidRPr="002B6B11" w:rsidRDefault="00B07DF4" w:rsidP="00B07DF4">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 xml:space="preserve">We consider that the current system contains the essential features to bring more efficiency, </w:t>
      </w:r>
      <w:proofErr w:type="gramStart"/>
      <w:r w:rsidRPr="002B6B11">
        <w:rPr>
          <w:rFonts w:ascii="Calibri" w:eastAsia="Times New Roman" w:hAnsi="Calibri" w:cs="Calibri"/>
          <w:color w:val="000000"/>
          <w:szCs w:val="22"/>
        </w:rPr>
        <w:t>provided that</w:t>
      </w:r>
      <w:proofErr w:type="gramEnd"/>
      <w:r w:rsidRPr="002B6B11">
        <w:rPr>
          <w:rFonts w:ascii="Calibri" w:eastAsia="Times New Roman" w:hAnsi="Calibri" w:cs="Calibri"/>
          <w:color w:val="000000"/>
          <w:szCs w:val="22"/>
        </w:rPr>
        <w:t xml:space="preserve"> it presents a more deterring effect, possibly through higher penalty levels. To this effect, we would suggest a different approach, where penalty rates should be increased above their current level, without the introduction of progressivity.</w:t>
      </w:r>
    </w:p>
    <w:p w14:paraId="51B956FE" w14:textId="77777777" w:rsidR="00B07DF4" w:rsidRPr="002B6B11" w:rsidRDefault="00B07DF4" w:rsidP="00B07DF4">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This approach would ensure a more deterrent mechanism, quickly effective on the market, while remaining proportionate in terms of implementation, and easy to explain at all levels of the chain.</w:t>
      </w:r>
    </w:p>
    <w:p w14:paraId="1AD606AF" w14:textId="4E4B3D8B" w:rsidR="00480F3D" w:rsidRPr="002B6B11" w:rsidRDefault="00B07DF4" w:rsidP="00B07DF4">
      <w:pPr>
        <w:rPr>
          <w:sz w:val="28"/>
          <w:szCs w:val="24"/>
        </w:rPr>
      </w:pPr>
      <w:r w:rsidRPr="002B6B11">
        <w:rPr>
          <w:rFonts w:ascii="Calibri" w:eastAsia="Times New Roman" w:hAnsi="Calibri" w:cs="Calibri"/>
          <w:color w:val="000000"/>
          <w:szCs w:val="22"/>
        </w:rPr>
        <w:t>It should also be noted that CSDR already includes a degree of progressivity, with the threat of the entry into force of a buy-in, if penalties do not allow for a satisfying level of settlement efficiency.</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2"/>
    <w:p w14:paraId="0F922346" w14:textId="77777777" w:rsidR="00480F3D" w:rsidRDefault="00480F3D">
      <w:r>
        <w:t>&lt;ESMA_QUESTION_CSDR_23&gt;</w:t>
      </w:r>
    </w:p>
    <w:p w14:paraId="4534CCD7" w14:textId="77777777" w:rsidR="00A36D75" w:rsidRPr="002B6B11" w:rsidRDefault="00A36D75" w:rsidP="00A36D75">
      <w:pPr>
        <w:spacing w:before="120" w:after="0" w:line="240" w:lineRule="auto"/>
        <w:rPr>
          <w:rFonts w:ascii="Calibri" w:eastAsia="Times New Roman" w:hAnsi="Calibri" w:cs="Calibri"/>
          <w:color w:val="000000"/>
          <w:szCs w:val="22"/>
        </w:rPr>
      </w:pPr>
      <w:permStart w:id="67503824" w:edGrp="everyone"/>
      <w:r w:rsidRPr="002B6B11">
        <w:rPr>
          <w:rFonts w:ascii="Calibri" w:eastAsia="Times New Roman" w:hAnsi="Calibri" w:cs="Calibri"/>
          <w:color w:val="000000"/>
          <w:szCs w:val="22"/>
        </w:rPr>
        <w:t>As mentioned in Q22, we consider that the current mechanism in its principles presents the necessary features, provided that the level of penalty rates is reviewed to get more deterrent.</w:t>
      </w:r>
    </w:p>
    <w:p w14:paraId="745FE67B" w14:textId="15A3348B" w:rsidR="00480F3D" w:rsidRPr="002B6B11" w:rsidRDefault="00A36D75" w:rsidP="00A36D75">
      <w:pPr>
        <w:rPr>
          <w:sz w:val="28"/>
          <w:szCs w:val="24"/>
        </w:rPr>
      </w:pPr>
      <w:r w:rsidRPr="002B6B11">
        <w:rPr>
          <w:rFonts w:ascii="Calibri" w:eastAsia="Times New Roman" w:hAnsi="Calibri" w:cs="Calibri"/>
          <w:color w:val="000000"/>
          <w:szCs w:val="22"/>
        </w:rPr>
        <w:t>We consider that convexity, similarly to progressivity, adds complexity in a mechanism that should remain simple and easy to explain, not resulting in an increase in disputes that would generate costs. Additionally, together with progressivity, convexity would fundamentally change the existing mechanism, and result in a long implementation project not compatible with the need to see more immediate results.</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3"/>
    <w:p w14:paraId="5A4568FC" w14:textId="77777777" w:rsidR="00480F3D" w:rsidRDefault="00480F3D">
      <w:r>
        <w:lastRenderedPageBreak/>
        <w:t>&lt;ESMA_QUESTION_CSDR_24&gt;</w:t>
      </w:r>
    </w:p>
    <w:p w14:paraId="33D95FC4" w14:textId="534BEE48" w:rsidR="00480F3D" w:rsidRPr="002B6B11" w:rsidRDefault="00567646">
      <w:pPr>
        <w:rPr>
          <w:sz w:val="28"/>
          <w:szCs w:val="24"/>
        </w:rPr>
      </w:pPr>
      <w:permStart w:id="1652955813" w:edGrp="everyone"/>
      <w:r w:rsidRPr="002B6B11">
        <w:rPr>
          <w:rFonts w:ascii="Calibri" w:eastAsia="Times New Roman" w:hAnsi="Calibri" w:cs="Calibri"/>
          <w:color w:val="000000"/>
          <w:szCs w:val="22"/>
        </w:rPr>
        <w:t xml:space="preserve">See our answer in </w:t>
      </w:r>
      <w:proofErr w:type="gramStart"/>
      <w:r w:rsidRPr="002B6B11">
        <w:rPr>
          <w:rFonts w:ascii="Calibri" w:eastAsia="Times New Roman" w:hAnsi="Calibri" w:cs="Calibri"/>
          <w:color w:val="000000"/>
          <w:szCs w:val="22"/>
        </w:rPr>
        <w:t>Q23</w:t>
      </w:r>
      <w:proofErr w:type="gramEnd"/>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4"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4"/>
    <w:p w14:paraId="215BD0D9" w14:textId="77777777" w:rsidR="00480F3D" w:rsidRDefault="00480F3D">
      <w:r>
        <w:t>&lt;ESMA_QUESTION_CSDR_25&gt;</w:t>
      </w:r>
    </w:p>
    <w:p w14:paraId="5AC34275" w14:textId="77777777" w:rsidR="007A47FA" w:rsidRPr="002B6B11" w:rsidRDefault="007A47FA" w:rsidP="007A47FA">
      <w:pPr>
        <w:spacing w:before="120" w:after="0" w:line="240" w:lineRule="auto"/>
        <w:rPr>
          <w:rFonts w:ascii="Calibri" w:eastAsia="Times New Roman" w:hAnsi="Calibri" w:cs="Calibri"/>
          <w:color w:val="000000"/>
          <w:szCs w:val="22"/>
        </w:rPr>
      </w:pPr>
      <w:permStart w:id="1767178405" w:edGrp="everyone"/>
      <w:r w:rsidRPr="002B6B11">
        <w:rPr>
          <w:rFonts w:ascii="Calibri" w:eastAsia="Times New Roman" w:hAnsi="Calibri" w:cs="Calibri"/>
          <w:color w:val="000000"/>
          <w:szCs w:val="22"/>
        </w:rPr>
        <w:t xml:space="preserve">As already mentioned, we disagree with the proposal of progressive rates while agreeing with an increase of the current ones. This being said and with respect to the level of penalty rates, we believe the increase should be significant, to incentivize the timely resolution of the </w:t>
      </w:r>
      <w:proofErr w:type="gramStart"/>
      <w:r w:rsidRPr="002B6B11">
        <w:rPr>
          <w:rFonts w:ascii="Calibri" w:eastAsia="Times New Roman" w:hAnsi="Calibri" w:cs="Calibri"/>
          <w:color w:val="000000"/>
          <w:szCs w:val="22"/>
        </w:rPr>
        <w:t>fail</w:t>
      </w:r>
      <w:proofErr w:type="gramEnd"/>
      <w:r w:rsidRPr="002B6B11">
        <w:rPr>
          <w:rFonts w:ascii="Calibri" w:eastAsia="Times New Roman" w:hAnsi="Calibri" w:cs="Calibri"/>
          <w:color w:val="000000"/>
          <w:szCs w:val="22"/>
        </w:rPr>
        <w:t>, even via the borrowing of securities, and that it should be set at a level where the cost of fail outweighs the cost of resolving the fail.</w:t>
      </w:r>
    </w:p>
    <w:p w14:paraId="0FD95F6B" w14:textId="77777777" w:rsidR="007A47FA" w:rsidRPr="002B6B11" w:rsidRDefault="007A47FA" w:rsidP="007A47FA">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Yet we believe that it should remain a reasonable increase. The multiplying factors considered in both options are way too high and may well result in unnecessary additional costs that may threaten the competitivity of the European market, and possibly give a reason to settle through facilities not subject to penalties, for instance non-EU CSDs.</w:t>
      </w:r>
    </w:p>
    <w:p w14:paraId="212E4857" w14:textId="77777777" w:rsidR="007A47FA" w:rsidRPr="002B6B11" w:rsidRDefault="007A47FA" w:rsidP="007A47FA">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 xml:space="preserve">Similarly, multiplying factors of up to 25 may create undesirable </w:t>
      </w:r>
      <w:proofErr w:type="spellStart"/>
      <w:r w:rsidRPr="002B6B11">
        <w:rPr>
          <w:rFonts w:ascii="Calibri" w:eastAsia="Times New Roman" w:hAnsi="Calibri" w:cs="Calibri"/>
          <w:color w:val="000000"/>
          <w:szCs w:val="22"/>
        </w:rPr>
        <w:t>behaviors</w:t>
      </w:r>
      <w:proofErr w:type="spellEnd"/>
      <w:r w:rsidRPr="002B6B11">
        <w:rPr>
          <w:rFonts w:ascii="Calibri" w:eastAsia="Times New Roman" w:hAnsi="Calibri" w:cs="Calibri"/>
          <w:color w:val="000000"/>
          <w:szCs w:val="22"/>
        </w:rPr>
        <w:t xml:space="preserve"> from buyers: arbitrage to benefit from penalties, a lack of interest to resolve the </w:t>
      </w:r>
      <w:proofErr w:type="gramStart"/>
      <w:r w:rsidRPr="002B6B11">
        <w:rPr>
          <w:rFonts w:ascii="Calibri" w:eastAsia="Times New Roman" w:hAnsi="Calibri" w:cs="Calibri"/>
          <w:color w:val="000000"/>
          <w:szCs w:val="22"/>
        </w:rPr>
        <w:t>fail</w:t>
      </w:r>
      <w:proofErr w:type="gramEnd"/>
      <w:r w:rsidRPr="002B6B11">
        <w:rPr>
          <w:rFonts w:ascii="Calibri" w:eastAsia="Times New Roman" w:hAnsi="Calibri" w:cs="Calibri"/>
          <w:color w:val="000000"/>
          <w:szCs w:val="22"/>
        </w:rPr>
        <w:t xml:space="preserve"> and trigger existing buy-in mechanisms such as the one designed by ICMA on repo, or even a will not to engage into </w:t>
      </w:r>
      <w:proofErr w:type="spellStart"/>
      <w:r w:rsidRPr="002B6B11">
        <w:rPr>
          <w:rFonts w:ascii="Calibri" w:eastAsia="Times New Roman" w:hAnsi="Calibri" w:cs="Calibri"/>
          <w:color w:val="000000"/>
          <w:szCs w:val="22"/>
        </w:rPr>
        <w:t>partialling</w:t>
      </w:r>
      <w:proofErr w:type="spellEnd"/>
      <w:r w:rsidRPr="002B6B11">
        <w:rPr>
          <w:rFonts w:ascii="Calibri" w:eastAsia="Times New Roman" w:hAnsi="Calibri" w:cs="Calibri"/>
          <w:color w:val="000000"/>
          <w:szCs w:val="22"/>
        </w:rPr>
        <w:t xml:space="preserve">. On the contrary, the </w:t>
      </w:r>
      <w:proofErr w:type="spellStart"/>
      <w:r w:rsidRPr="002B6B11">
        <w:rPr>
          <w:rFonts w:ascii="Calibri" w:eastAsia="Times New Roman" w:hAnsi="Calibri" w:cs="Calibri"/>
          <w:color w:val="000000"/>
          <w:szCs w:val="22"/>
        </w:rPr>
        <w:t>behavior</w:t>
      </w:r>
      <w:proofErr w:type="spellEnd"/>
      <w:r w:rsidRPr="002B6B11">
        <w:rPr>
          <w:rFonts w:ascii="Calibri" w:eastAsia="Times New Roman" w:hAnsi="Calibri" w:cs="Calibri"/>
          <w:color w:val="000000"/>
          <w:szCs w:val="22"/>
        </w:rPr>
        <w:t xml:space="preserve"> of buyers should be oriented towards all opportunities to resolve the </w:t>
      </w:r>
      <w:proofErr w:type="gramStart"/>
      <w:r w:rsidRPr="002B6B11">
        <w:rPr>
          <w:rFonts w:ascii="Calibri" w:eastAsia="Times New Roman" w:hAnsi="Calibri" w:cs="Calibri"/>
          <w:color w:val="000000"/>
          <w:szCs w:val="22"/>
        </w:rPr>
        <w:t>fail</w:t>
      </w:r>
      <w:proofErr w:type="gramEnd"/>
      <w:r w:rsidRPr="002B6B11">
        <w:rPr>
          <w:rFonts w:ascii="Calibri" w:eastAsia="Times New Roman" w:hAnsi="Calibri" w:cs="Calibri"/>
          <w:color w:val="000000"/>
          <w:szCs w:val="22"/>
        </w:rPr>
        <w:t>.</w:t>
      </w:r>
    </w:p>
    <w:p w14:paraId="5A67EBAC" w14:textId="0799FB7D" w:rsidR="00480F3D" w:rsidRPr="002B6B11" w:rsidRDefault="007A47FA" w:rsidP="007A47FA">
      <w:pPr>
        <w:rPr>
          <w:sz w:val="28"/>
          <w:szCs w:val="24"/>
        </w:rPr>
      </w:pPr>
      <w:r w:rsidRPr="002B6B11">
        <w:rPr>
          <w:rFonts w:ascii="Calibri" w:eastAsia="Times New Roman" w:hAnsi="Calibri" w:cs="Calibri"/>
          <w:color w:val="000000"/>
          <w:szCs w:val="22"/>
        </w:rPr>
        <w:t>Finally, the level of penalty rates should also take into consideration that major market turbulence, or major evolutions (such as a move to T+1 settlement cycle) may increase for a time fail rates. In such circumstances, high penalty rates may have an adverse, snowballing, effect on the market.</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0"/>
      <w:r w:rsidRPr="00782578">
        <w:t xml:space="preserve">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w:t>
      </w:r>
      <w:r w:rsidRPr="00782578">
        <w:lastRenderedPageBreak/>
        <w:t>relevant, please provide an indication of further proportionality considerations, detailed justifications and alternative proposals as needed.</w:t>
      </w:r>
    </w:p>
    <w:bookmarkEnd w:id="25"/>
    <w:p w14:paraId="0293B65D" w14:textId="77777777" w:rsidR="00480F3D" w:rsidRDefault="00480F3D">
      <w:r>
        <w:t>&lt;ESMA_QUESTION_CSDR_26&gt;</w:t>
      </w:r>
    </w:p>
    <w:p w14:paraId="16F82DBC" w14:textId="77777777" w:rsidR="00453EB3" w:rsidRPr="002B6B11" w:rsidRDefault="00453EB3" w:rsidP="00453EB3">
      <w:pPr>
        <w:spacing w:before="120" w:after="0" w:line="240" w:lineRule="auto"/>
        <w:rPr>
          <w:rFonts w:ascii="Calibri" w:eastAsia="Times New Roman" w:hAnsi="Calibri" w:cs="Calibri"/>
          <w:color w:val="000000"/>
          <w:szCs w:val="22"/>
        </w:rPr>
      </w:pPr>
      <w:permStart w:id="514209699" w:edGrp="everyone"/>
      <w:proofErr w:type="gramStart"/>
      <w:r w:rsidRPr="002B6B11">
        <w:rPr>
          <w:rFonts w:ascii="Calibri" w:eastAsia="Times New Roman" w:hAnsi="Calibri" w:cs="Calibri"/>
          <w:color w:val="000000"/>
          <w:szCs w:val="22"/>
        </w:rPr>
        <w:t>First of all</w:t>
      </w:r>
      <w:proofErr w:type="gramEnd"/>
      <w:r w:rsidRPr="002B6B11">
        <w:rPr>
          <w:rFonts w:ascii="Calibri" w:eastAsia="Times New Roman" w:hAnsi="Calibri" w:cs="Calibri"/>
          <w:color w:val="000000"/>
          <w:szCs w:val="22"/>
        </w:rPr>
        <w:t>, considering the limited hindsight, a first alternative could arguably be to let the current mechanism more time to confirm the actual impact it has on settlement efficiency, isolated from other impacts that may have affected it also – such as the evolution of interest rates or the unwinding of NCB-led purchase programs.</w:t>
      </w:r>
    </w:p>
    <w:p w14:paraId="49FF3D45" w14:textId="4E61090D" w:rsidR="00453EB3" w:rsidRPr="002B6B11" w:rsidRDefault="00453EB3" w:rsidP="00453EB3">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 xml:space="preserve">Secondly, an additional alternative could be to give more force to the recommendations on the allocation-confirmation </w:t>
      </w:r>
      <w:proofErr w:type="gramStart"/>
      <w:r w:rsidRPr="002B6B11">
        <w:rPr>
          <w:rFonts w:ascii="Calibri" w:eastAsia="Times New Roman" w:hAnsi="Calibri" w:cs="Calibri"/>
          <w:color w:val="000000"/>
          <w:szCs w:val="22"/>
        </w:rPr>
        <w:t>requirements, or</w:t>
      </w:r>
      <w:proofErr w:type="gramEnd"/>
      <w:r w:rsidRPr="002B6B11">
        <w:rPr>
          <w:rFonts w:ascii="Calibri" w:eastAsia="Times New Roman" w:hAnsi="Calibri" w:cs="Calibri"/>
          <w:color w:val="000000"/>
          <w:szCs w:val="22"/>
        </w:rPr>
        <w:t xml:space="preserve"> make the use of functionalities designed to fluidify settlement more binding, such as the recourse </w:t>
      </w:r>
      <w:commentRangeStart w:id="26"/>
      <w:commentRangeStart w:id="27"/>
      <w:r w:rsidRPr="002B6B11">
        <w:rPr>
          <w:rFonts w:ascii="Calibri" w:eastAsia="Times New Roman" w:hAnsi="Calibri" w:cs="Calibri"/>
          <w:color w:val="000000"/>
          <w:szCs w:val="22"/>
        </w:rPr>
        <w:t xml:space="preserve">to </w:t>
      </w:r>
      <w:proofErr w:type="spellStart"/>
      <w:r w:rsidRPr="002B6B11">
        <w:rPr>
          <w:rFonts w:ascii="Calibri" w:eastAsia="Times New Roman" w:hAnsi="Calibri" w:cs="Calibri"/>
          <w:color w:val="000000"/>
          <w:szCs w:val="22"/>
        </w:rPr>
        <w:t>partialling</w:t>
      </w:r>
      <w:proofErr w:type="spellEnd"/>
      <w:r w:rsidRPr="002B6B11">
        <w:rPr>
          <w:rFonts w:ascii="Calibri" w:eastAsia="Times New Roman" w:hAnsi="Calibri" w:cs="Calibri"/>
          <w:color w:val="000000"/>
          <w:szCs w:val="22"/>
        </w:rPr>
        <w:t xml:space="preserve">, </w:t>
      </w:r>
      <w:commentRangeEnd w:id="26"/>
      <w:r w:rsidR="00097B8E">
        <w:rPr>
          <w:rStyle w:val="Marquedecommentaire"/>
        </w:rPr>
        <w:commentReference w:id="26"/>
      </w:r>
      <w:commentRangeEnd w:id="27"/>
      <w:r w:rsidR="005F1C98">
        <w:rPr>
          <w:rStyle w:val="Marquedecommentaire"/>
        </w:rPr>
        <w:commentReference w:id="27"/>
      </w:r>
      <w:r w:rsidRPr="002B6B11">
        <w:rPr>
          <w:rFonts w:ascii="Calibri" w:eastAsia="Times New Roman" w:hAnsi="Calibri" w:cs="Calibri"/>
          <w:color w:val="000000"/>
          <w:szCs w:val="22"/>
        </w:rPr>
        <w:t>when accurate for some transaction types (buy &amp; sell) could for instance become mandatory across the market.</w:t>
      </w:r>
    </w:p>
    <w:p w14:paraId="5FDE4DD7" w14:textId="77777777" w:rsidR="00453EB3" w:rsidRPr="002B6B11" w:rsidRDefault="00453EB3" w:rsidP="00453EB3">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 xml:space="preserve">Finally, if higher penalty rates are considered – a simple multiplying factor applied to existing rates without further complexity – we believe that it should be set at a level that makes the cost of fail higher than the cost of resolving the </w:t>
      </w:r>
      <w:proofErr w:type="gramStart"/>
      <w:r w:rsidRPr="002B6B11">
        <w:rPr>
          <w:rFonts w:ascii="Calibri" w:eastAsia="Times New Roman" w:hAnsi="Calibri" w:cs="Calibri"/>
          <w:color w:val="000000"/>
          <w:szCs w:val="22"/>
        </w:rPr>
        <w:t>fail</w:t>
      </w:r>
      <w:proofErr w:type="gramEnd"/>
      <w:r w:rsidRPr="002B6B11">
        <w:rPr>
          <w:rFonts w:ascii="Calibri" w:eastAsia="Times New Roman" w:hAnsi="Calibri" w:cs="Calibri"/>
          <w:color w:val="000000"/>
          <w:szCs w:val="22"/>
        </w:rPr>
        <w:t>, while at the same time keeping the existing differentiation for non-liquid instruments. This notably means that it should outweigh the cost of borrowing securities, although it should be noted that there is currently no unified vision of this cost.</w:t>
      </w:r>
    </w:p>
    <w:p w14:paraId="6E5D1FC6" w14:textId="77777777" w:rsidR="00453EB3" w:rsidRPr="002B6B11" w:rsidRDefault="00453EB3" w:rsidP="00453EB3">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With respect to such increase, that should remain reasonable, we believe that there should be flexibility to review the rate(s) from time to time, either to increase or reduce them, without having to go through the regulation cycle so the impact of the evolution can be felt more rapidly. At present increasing rates requires some time, as the evolution will require to go through the governance of CSDs before it can be implemented. This does not allow for a quick response to adverse market circumstances, where it may be required to act quickly either to decrease or increase penalty rates.</w:t>
      </w:r>
    </w:p>
    <w:p w14:paraId="77C7C5FA" w14:textId="0598D3A3" w:rsidR="00480F3D" w:rsidRPr="002B6B11" w:rsidRDefault="00453EB3" w:rsidP="00453EB3">
      <w:pPr>
        <w:rPr>
          <w:sz w:val="28"/>
          <w:szCs w:val="24"/>
        </w:rPr>
      </w:pPr>
      <w:r w:rsidRPr="002B6B11">
        <w:rPr>
          <w:rFonts w:ascii="Calibri" w:eastAsia="Times New Roman" w:hAnsi="Calibri" w:cs="Calibri"/>
          <w:color w:val="000000"/>
          <w:szCs w:val="22"/>
        </w:rPr>
        <w:t xml:space="preserve">And if a T+1 settlement cycle </w:t>
      </w:r>
      <w:proofErr w:type="gramStart"/>
      <w:r w:rsidRPr="002B6B11">
        <w:rPr>
          <w:rFonts w:ascii="Calibri" w:eastAsia="Times New Roman" w:hAnsi="Calibri" w:cs="Calibri"/>
          <w:color w:val="000000"/>
          <w:szCs w:val="22"/>
        </w:rPr>
        <w:t>were</w:t>
      </w:r>
      <w:proofErr w:type="gramEnd"/>
      <w:r w:rsidRPr="002B6B11">
        <w:rPr>
          <w:rFonts w:ascii="Calibri" w:eastAsia="Times New Roman" w:hAnsi="Calibri" w:cs="Calibri"/>
          <w:color w:val="000000"/>
          <w:szCs w:val="22"/>
        </w:rPr>
        <w:t xml:space="preserve"> to be imposed on the market, considering the resulting effect of higher fail rates and higher penalties, the possibility to suspend the mechanism altogether for a certain period of time should then be considered.</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8"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8"/>
    <w:p w14:paraId="3B11083A" w14:textId="77777777" w:rsidR="00480F3D" w:rsidRDefault="00480F3D">
      <w:r>
        <w:lastRenderedPageBreak/>
        <w:t>&lt;ESMA_QUESTION_CSDR_27&gt;</w:t>
      </w:r>
    </w:p>
    <w:p w14:paraId="61556C04" w14:textId="77777777" w:rsidR="00651761" w:rsidRPr="002B6B11" w:rsidRDefault="00651761" w:rsidP="00651761">
      <w:pPr>
        <w:spacing w:before="120" w:after="0" w:line="240" w:lineRule="auto"/>
        <w:rPr>
          <w:rFonts w:ascii="Calibri" w:eastAsia="Times New Roman" w:hAnsi="Calibri" w:cs="Calibri"/>
          <w:color w:val="000000"/>
          <w:szCs w:val="22"/>
        </w:rPr>
      </w:pPr>
      <w:permStart w:id="873400905" w:edGrp="everyone"/>
      <w:r w:rsidRPr="002B6B11">
        <w:rPr>
          <w:rFonts w:ascii="Calibri" w:eastAsia="Times New Roman" w:hAnsi="Calibri" w:cs="Calibri"/>
          <w:color w:val="000000"/>
          <w:szCs w:val="22"/>
        </w:rPr>
        <w:t xml:space="preserve">Generally speaking, we think that, overall, the existing categorization of penalty rates by asset types is relevant, because it allows for sufficient differentiation of instruments with different post-trade </w:t>
      </w:r>
      <w:proofErr w:type="gramStart"/>
      <w:r w:rsidRPr="002B6B11">
        <w:rPr>
          <w:rFonts w:ascii="Calibri" w:eastAsia="Times New Roman" w:hAnsi="Calibri" w:cs="Calibri"/>
          <w:color w:val="000000"/>
          <w:szCs w:val="22"/>
        </w:rPr>
        <w:t>processing, and</w:t>
      </w:r>
      <w:proofErr w:type="gramEnd"/>
      <w:r w:rsidRPr="002B6B11">
        <w:rPr>
          <w:rFonts w:ascii="Calibri" w:eastAsia="Times New Roman" w:hAnsi="Calibri" w:cs="Calibri"/>
          <w:color w:val="000000"/>
          <w:szCs w:val="22"/>
        </w:rPr>
        <w:t xml:space="preserve"> takes into account liquidity considerations. </w:t>
      </w:r>
      <w:proofErr w:type="gramStart"/>
      <w:r w:rsidRPr="002B6B11">
        <w:rPr>
          <w:rFonts w:ascii="Calibri" w:eastAsia="Times New Roman" w:hAnsi="Calibri" w:cs="Calibri"/>
          <w:color w:val="000000"/>
          <w:szCs w:val="22"/>
        </w:rPr>
        <w:t>With the exception of</w:t>
      </w:r>
      <w:proofErr w:type="gramEnd"/>
      <w:r w:rsidRPr="002B6B11">
        <w:rPr>
          <w:rFonts w:ascii="Calibri" w:eastAsia="Times New Roman" w:hAnsi="Calibri" w:cs="Calibri"/>
          <w:color w:val="000000"/>
          <w:szCs w:val="22"/>
        </w:rPr>
        <w:t xml:space="preserve"> the case of ETF, we believe no further granularity is required.</w:t>
      </w:r>
    </w:p>
    <w:p w14:paraId="251DC34D" w14:textId="77777777" w:rsidR="00651761" w:rsidRPr="002B6B11" w:rsidRDefault="00651761" w:rsidP="00651761">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In this respect, we consider the categorization under Option 1 to be relevant, because not only does it stick to the existing categorization, but it also isolates ETF. Today ETF fall under the category OTHER, but it makes sense to consider them separately due to the specificities of this market (primary ETF issuance &amp; secondary ETF trading, absence of a securities lending market), its post-trade processing (notably a lot cross-border), liquidity level, level of settlement fails. On the category ETF, the penalty rate should be proportionate.</w:t>
      </w:r>
    </w:p>
    <w:p w14:paraId="01DA1F64" w14:textId="77777777" w:rsidR="00651761" w:rsidRPr="002B6B11" w:rsidRDefault="00651761" w:rsidP="00651761">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The categorization proposed under Option 2 would mean a fundamental review of the existing mechanism which, for reasons mentioned in questions above, is not desirable.</w:t>
      </w:r>
    </w:p>
    <w:p w14:paraId="17757935" w14:textId="1FCB9D12" w:rsidR="00480F3D" w:rsidRDefault="00480F3D"/>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9"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9"/>
    <w:p w14:paraId="5ED988EA" w14:textId="77777777" w:rsidR="00480F3D" w:rsidRDefault="00480F3D" w:rsidP="00480F3D">
      <w:r>
        <w:t>&lt;ESMA_QUESTION_CSDR_28&gt;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lastRenderedPageBreak/>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793A9146" w14:textId="77777777" w:rsidR="00885F57" w:rsidRPr="002B6B11" w:rsidRDefault="00885F57" w:rsidP="00C97FDB">
      <w:pPr>
        <w:spacing w:before="120" w:after="0" w:line="240" w:lineRule="auto"/>
        <w:rPr>
          <w:rFonts w:ascii="Calibri" w:eastAsia="Times New Roman" w:hAnsi="Calibri" w:cs="Calibri"/>
          <w:color w:val="000000"/>
          <w:szCs w:val="22"/>
        </w:rPr>
      </w:pPr>
      <w:permStart w:id="1752653492" w:edGrp="everyone"/>
      <w:r w:rsidRPr="002B6B11">
        <w:rPr>
          <w:rFonts w:ascii="Calibri" w:eastAsia="Times New Roman" w:hAnsi="Calibri" w:cs="Calibri"/>
          <w:color w:val="000000"/>
          <w:szCs w:val="22"/>
        </w:rPr>
        <w:t xml:space="preserve">We are not in </w:t>
      </w:r>
      <w:proofErr w:type="spellStart"/>
      <w:r w:rsidRPr="002B6B11">
        <w:rPr>
          <w:rFonts w:ascii="Calibri" w:eastAsia="Times New Roman" w:hAnsi="Calibri" w:cs="Calibri"/>
          <w:color w:val="000000"/>
          <w:szCs w:val="22"/>
        </w:rPr>
        <w:t>favor</w:t>
      </w:r>
      <w:proofErr w:type="spellEnd"/>
      <w:r w:rsidRPr="002B6B11">
        <w:rPr>
          <w:rFonts w:ascii="Calibri" w:eastAsia="Times New Roman" w:hAnsi="Calibri" w:cs="Calibri"/>
          <w:color w:val="000000"/>
          <w:szCs w:val="22"/>
        </w:rPr>
        <w:t xml:space="preserve"> of progressive penalty rates for all the reasons mentioned in previous questions.</w:t>
      </w:r>
    </w:p>
    <w:p w14:paraId="177E2DF1" w14:textId="56E42726" w:rsidR="008D18FF" w:rsidRDefault="00885F57" w:rsidP="00413D4F">
      <w:r w:rsidRPr="002B6B11">
        <w:rPr>
          <w:rFonts w:ascii="Calibri" w:eastAsia="Times New Roman" w:hAnsi="Calibri" w:cs="Calibri"/>
          <w:color w:val="000000"/>
          <w:szCs w:val="22"/>
        </w:rPr>
        <w:t>We believe this would represent not only a major and complex evolution of the existing mechanism, but a full revamp of it as the logic, under both options, fundamentally changes. The cost of such review would fall in the order of magnitude of what the existing mechanism has cost across the market.</w:t>
      </w:r>
      <w:r w:rsidR="00B1543E" w:rsidRPr="002B6B11">
        <w:rPr>
          <w:sz w:val="28"/>
          <w:szCs w:val="24"/>
        </w:rPr>
        <w:t xml:space="preserve"> </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30" w:name="_Hlk151731833"/>
      <w:r w:rsidRPr="00D85A08">
        <w:t>Alternatively, do you think that progressive cash penalties rates should take into account a different breakdown than the one included in ESMA’s proposal above for any or all of the following categories:</w:t>
      </w:r>
    </w:p>
    <w:bookmarkEnd w:id="30"/>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lastRenderedPageBreak/>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6C597698" w14:textId="77777777" w:rsidR="00F44902" w:rsidRPr="002B6B11" w:rsidRDefault="00F44902" w:rsidP="00C97FDB">
      <w:pPr>
        <w:spacing w:before="120" w:after="0" w:line="240" w:lineRule="auto"/>
        <w:rPr>
          <w:rFonts w:ascii="Calibri" w:eastAsia="Times New Roman" w:hAnsi="Calibri" w:cs="Calibri"/>
          <w:color w:val="000000"/>
          <w:szCs w:val="22"/>
        </w:rPr>
      </w:pPr>
      <w:permStart w:id="503064745" w:edGrp="everyone"/>
      <w:r w:rsidRPr="002B6B11">
        <w:rPr>
          <w:rFonts w:ascii="Calibri" w:eastAsia="Times New Roman" w:hAnsi="Calibri" w:cs="Calibri"/>
          <w:color w:val="000000"/>
          <w:szCs w:val="22"/>
        </w:rPr>
        <w:t xml:space="preserve">As mentioned, we are not in </w:t>
      </w:r>
      <w:proofErr w:type="spellStart"/>
      <w:r w:rsidRPr="002B6B11">
        <w:rPr>
          <w:rFonts w:ascii="Calibri" w:eastAsia="Times New Roman" w:hAnsi="Calibri" w:cs="Calibri"/>
          <w:color w:val="000000"/>
          <w:szCs w:val="22"/>
        </w:rPr>
        <w:t>favor</w:t>
      </w:r>
      <w:proofErr w:type="spellEnd"/>
      <w:r w:rsidRPr="002B6B11">
        <w:rPr>
          <w:rFonts w:ascii="Calibri" w:eastAsia="Times New Roman" w:hAnsi="Calibri" w:cs="Calibri"/>
          <w:color w:val="000000"/>
          <w:szCs w:val="22"/>
        </w:rPr>
        <w:t xml:space="preserve"> of progressive penalty rates. Besides, we believe the existing mechanism does not require further granularity.</w:t>
      </w:r>
    </w:p>
    <w:p w14:paraId="3F279BC1" w14:textId="77777777" w:rsidR="00F44902" w:rsidRPr="002B6B11" w:rsidRDefault="00F44902" w:rsidP="00C97FDB">
      <w:pPr>
        <w:spacing w:before="120" w:after="0" w:line="240" w:lineRule="auto"/>
        <w:rPr>
          <w:rFonts w:ascii="Calibri" w:eastAsia="Times New Roman" w:hAnsi="Calibri" w:cs="Calibri"/>
          <w:color w:val="000000"/>
          <w:szCs w:val="22"/>
        </w:rPr>
      </w:pPr>
      <w:r w:rsidRPr="002B6B11">
        <w:rPr>
          <w:rFonts w:ascii="Calibri" w:eastAsia="Times New Roman" w:hAnsi="Calibri" w:cs="Calibri"/>
          <w:b/>
          <w:bCs/>
          <w:color w:val="000000"/>
          <w:szCs w:val="22"/>
        </w:rPr>
        <w:t>Asset type</w:t>
      </w:r>
      <w:r w:rsidRPr="002B6B11">
        <w:rPr>
          <w:rFonts w:ascii="Calibri" w:eastAsia="Times New Roman" w:hAnsi="Calibri" w:cs="Calibri"/>
          <w:color w:val="000000"/>
          <w:szCs w:val="22"/>
        </w:rPr>
        <w:t>: the current mechanism already provides for a breakdown by asset type, with enough granularity except for the case of ETF. Again, we support the isolation of ETF as a separate category.</w:t>
      </w:r>
    </w:p>
    <w:p w14:paraId="6D8F22BD" w14:textId="77777777" w:rsidR="00F44902" w:rsidRPr="002B6B11" w:rsidRDefault="00F44902" w:rsidP="00C97FDB">
      <w:pPr>
        <w:spacing w:before="120" w:after="0" w:line="240" w:lineRule="auto"/>
        <w:rPr>
          <w:rFonts w:ascii="Calibri" w:eastAsia="Times New Roman" w:hAnsi="Calibri" w:cs="Calibri"/>
          <w:color w:val="000000"/>
          <w:szCs w:val="22"/>
        </w:rPr>
      </w:pPr>
      <w:r w:rsidRPr="002B6B11">
        <w:rPr>
          <w:rFonts w:ascii="Calibri" w:eastAsia="Times New Roman" w:hAnsi="Calibri" w:cs="Calibri"/>
          <w:b/>
          <w:bCs/>
          <w:color w:val="000000"/>
          <w:szCs w:val="22"/>
        </w:rPr>
        <w:t>Liquidity</w:t>
      </w:r>
      <w:r w:rsidRPr="002B6B11">
        <w:rPr>
          <w:rFonts w:ascii="Calibri" w:eastAsia="Times New Roman" w:hAnsi="Calibri" w:cs="Calibri"/>
          <w:color w:val="000000"/>
          <w:szCs w:val="22"/>
        </w:rPr>
        <w:t xml:space="preserve">: the current mechanism already provides for a breakdown based on liquidity, for equity, but also indirectly for debt instruments (with separate rates for </w:t>
      </w:r>
      <w:proofErr w:type="spellStart"/>
      <w:r w:rsidRPr="002B6B11">
        <w:rPr>
          <w:rFonts w:ascii="Calibri" w:eastAsia="Times New Roman" w:hAnsi="Calibri" w:cs="Calibri"/>
          <w:color w:val="000000"/>
          <w:szCs w:val="22"/>
        </w:rPr>
        <w:t>govies</w:t>
      </w:r>
      <w:proofErr w:type="spellEnd"/>
      <w:r w:rsidRPr="002B6B11">
        <w:rPr>
          <w:rFonts w:ascii="Calibri" w:eastAsia="Times New Roman" w:hAnsi="Calibri" w:cs="Calibri"/>
          <w:color w:val="000000"/>
          <w:szCs w:val="22"/>
        </w:rPr>
        <w:t xml:space="preserve"> usually more liquid, and other bonds usually less liquid). We do not believe further granularity is required.</w:t>
      </w:r>
    </w:p>
    <w:p w14:paraId="27348E85" w14:textId="77777777" w:rsidR="00F44902" w:rsidRPr="002B6B11" w:rsidRDefault="00F44902" w:rsidP="00C97FDB">
      <w:pPr>
        <w:spacing w:before="120" w:after="0" w:line="240" w:lineRule="auto"/>
        <w:rPr>
          <w:rFonts w:ascii="Calibri" w:eastAsia="Times New Roman" w:hAnsi="Calibri" w:cs="Calibri"/>
          <w:color w:val="000000"/>
          <w:szCs w:val="22"/>
        </w:rPr>
      </w:pPr>
      <w:r w:rsidRPr="002B6B11">
        <w:rPr>
          <w:rFonts w:ascii="Calibri" w:eastAsia="Times New Roman" w:hAnsi="Calibri" w:cs="Calibri"/>
          <w:b/>
          <w:bCs/>
          <w:color w:val="000000"/>
          <w:szCs w:val="22"/>
        </w:rPr>
        <w:t>Type of transaction</w:t>
      </w:r>
      <w:r w:rsidRPr="002B6B11">
        <w:rPr>
          <w:rFonts w:ascii="Calibri" w:eastAsia="Times New Roman" w:hAnsi="Calibri" w:cs="Calibri"/>
          <w:color w:val="000000"/>
          <w:szCs w:val="22"/>
        </w:rPr>
        <w:t xml:space="preserve">: we do not support such breakdown for </w:t>
      </w:r>
      <w:proofErr w:type="gramStart"/>
      <w:r w:rsidRPr="002B6B11">
        <w:rPr>
          <w:rFonts w:ascii="Calibri" w:eastAsia="Times New Roman" w:hAnsi="Calibri" w:cs="Calibri"/>
          <w:color w:val="000000"/>
          <w:szCs w:val="22"/>
        </w:rPr>
        <w:t>a number of</w:t>
      </w:r>
      <w:proofErr w:type="gramEnd"/>
      <w:r w:rsidRPr="002B6B11">
        <w:rPr>
          <w:rFonts w:ascii="Calibri" w:eastAsia="Times New Roman" w:hAnsi="Calibri" w:cs="Calibri"/>
          <w:color w:val="000000"/>
          <w:szCs w:val="22"/>
        </w:rPr>
        <w:t xml:space="preserve"> reasons.</w:t>
      </w:r>
    </w:p>
    <w:p w14:paraId="264C407C" w14:textId="77777777" w:rsidR="00F44902" w:rsidRPr="002B6B11" w:rsidRDefault="00F44902" w:rsidP="00F4490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Having different rates depending on the type of transaction is contradictory with the penalty mechanism as initially designed, and its immunization principle.</w:t>
      </w:r>
    </w:p>
    <w:p w14:paraId="5652A96A" w14:textId="77777777" w:rsidR="00F44902" w:rsidRPr="002B6B11" w:rsidRDefault="00F44902" w:rsidP="00F4490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Introducing rates that can vary depending on the transaction type will also mean changes in the current penalty mechanism and thus costs and time to be implemented.</w:t>
      </w:r>
    </w:p>
    <w:p w14:paraId="3C3A3594" w14:textId="77777777" w:rsidR="00F44902" w:rsidRPr="002B6B11" w:rsidRDefault="00F44902" w:rsidP="00F4490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Penalties are applied at the level of the settlement instruction, not the original transaction, which generally speaking does not make the type of transaction a  viable criterion.</w:t>
      </w:r>
    </w:p>
    <w:p w14:paraId="20264217" w14:textId="77777777" w:rsidR="00F44902" w:rsidRPr="002B6B11" w:rsidRDefault="00F44902" w:rsidP="00F4490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The type of transaction is in most cases not identified at the level of the CSD participant, without the participant having the ability to identify whether the categorization is or is not justified.</w:t>
      </w:r>
    </w:p>
    <w:p w14:paraId="76C21F3B" w14:textId="77777777" w:rsidR="00F44902" w:rsidRPr="002B6B11" w:rsidRDefault="00F44902" w:rsidP="00F4490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 xml:space="preserve">When there is a netting, it cannot be identified anymore. Using it would mean that all netting mechanisms should integrate that type of transaction, which would represent a major change. </w:t>
      </w:r>
    </w:p>
    <w:p w14:paraId="10350117" w14:textId="77777777" w:rsidR="00F44902" w:rsidRPr="002B6B11" w:rsidRDefault="00F44902" w:rsidP="00F4490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To be certain that penalties depending on the type of transaction could be correctly applied, the type of transaction would need to become a matching criterion, which may, as a side effect (beyond the costs of such implementation for CSDs and other actors), increase the level of unmatched transactions and therefore the level of fails.</w:t>
      </w:r>
    </w:p>
    <w:p w14:paraId="5C777D23" w14:textId="346805D5" w:rsidR="00F44902" w:rsidRDefault="00F44902" w:rsidP="00F4490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 xml:space="preserve">In the specific case of securities lending and borrowing, it may be damaging, because securities lending is also a way to ensure the delivery of securities for the purpose of </w:t>
      </w:r>
      <w:commentRangeStart w:id="31"/>
      <w:r w:rsidRPr="002B6B11">
        <w:rPr>
          <w:rFonts w:ascii="Calibri" w:eastAsia="Times New Roman" w:hAnsi="Calibri" w:cs="Calibri"/>
          <w:color w:val="000000"/>
        </w:rPr>
        <w:t>settlement</w:t>
      </w:r>
      <w:commentRangeEnd w:id="31"/>
      <w:r w:rsidR="00D32135">
        <w:rPr>
          <w:rStyle w:val="Marquedecommentaire"/>
          <w:rFonts w:asciiTheme="minorHAnsi" w:hAnsiTheme="minorHAnsi" w:cstheme="minorBidi"/>
          <w:lang w:val="en-GB"/>
        </w:rPr>
        <w:commentReference w:id="31"/>
      </w:r>
      <w:r w:rsidR="00D32135">
        <w:rPr>
          <w:rFonts w:ascii="Calibri" w:eastAsia="Times New Roman" w:hAnsi="Calibri" w:cs="Calibri"/>
          <w:color w:val="000000"/>
        </w:rPr>
        <w:t>’</w:t>
      </w:r>
      <w:r w:rsidRPr="002B6B11">
        <w:rPr>
          <w:rFonts w:ascii="Calibri" w:eastAsia="Times New Roman" w:hAnsi="Calibri" w:cs="Calibri"/>
          <w:color w:val="000000"/>
        </w:rPr>
        <w:t>.</w:t>
      </w:r>
    </w:p>
    <w:p w14:paraId="0F105A77" w14:textId="77777777" w:rsidR="001954E9" w:rsidRPr="002B6B11" w:rsidRDefault="001954E9" w:rsidP="001954E9">
      <w:pPr>
        <w:pStyle w:val="Paragraphedeliste"/>
        <w:numPr>
          <w:ilvl w:val="0"/>
          <w:numId w:val="0"/>
        </w:numPr>
        <w:spacing w:before="120" w:after="0" w:line="240" w:lineRule="auto"/>
        <w:ind w:left="173"/>
        <w:jc w:val="left"/>
        <w:rPr>
          <w:rFonts w:ascii="Calibri" w:eastAsia="Times New Roman" w:hAnsi="Calibri" w:cs="Calibri"/>
          <w:color w:val="000000"/>
        </w:rPr>
      </w:pPr>
    </w:p>
    <w:p w14:paraId="7F70CB81" w14:textId="6F0880E1" w:rsidR="007D7BB4" w:rsidRPr="00BD3B92" w:rsidRDefault="00F44902" w:rsidP="00413D4F">
      <w:r w:rsidRPr="002B6B11">
        <w:rPr>
          <w:rFonts w:ascii="Calibri" w:eastAsia="Times New Roman" w:hAnsi="Calibri" w:cs="Calibri"/>
          <w:b/>
          <w:bCs/>
          <w:color w:val="000000"/>
          <w:szCs w:val="22"/>
        </w:rPr>
        <w:t>Duration</w:t>
      </w:r>
      <w:r w:rsidRPr="002B6B11">
        <w:rPr>
          <w:rFonts w:ascii="Calibri" w:eastAsia="Times New Roman" w:hAnsi="Calibri" w:cs="Calibri"/>
          <w:color w:val="000000"/>
          <w:szCs w:val="22"/>
        </w:rPr>
        <w:t xml:space="preserve">: including a breakdown by duration would amount to introducing a progressivity and possibly convexity as proposed under options 1 and 2, which as previously mentioned, introduces too much </w:t>
      </w:r>
      <w:proofErr w:type="gramStart"/>
      <w:r w:rsidRPr="002B6B11">
        <w:rPr>
          <w:rFonts w:ascii="Calibri" w:eastAsia="Times New Roman" w:hAnsi="Calibri" w:cs="Calibri"/>
          <w:color w:val="000000"/>
          <w:szCs w:val="22"/>
        </w:rPr>
        <w:t>complexity</w:t>
      </w:r>
      <w:proofErr w:type="gramEnd"/>
      <w:r w:rsidRPr="002B6B11">
        <w:rPr>
          <w:rFonts w:ascii="Calibri" w:eastAsia="Times New Roman" w:hAnsi="Calibri" w:cs="Calibri"/>
          <w:color w:val="000000"/>
          <w:szCs w:val="22"/>
        </w:rPr>
        <w:t xml:space="preserve"> and will also impact the neutrality for intermediaries. We believe duration should be considered only as a </w:t>
      </w:r>
      <w:proofErr w:type="gramStart"/>
      <w:r w:rsidRPr="002B6B11">
        <w:rPr>
          <w:rFonts w:ascii="Calibri" w:eastAsia="Times New Roman" w:hAnsi="Calibri" w:cs="Calibri"/>
          <w:color w:val="000000"/>
          <w:szCs w:val="22"/>
        </w:rPr>
        <w:t>metric regulators</w:t>
      </w:r>
      <w:proofErr w:type="gramEnd"/>
      <w:r w:rsidRPr="002B6B11">
        <w:rPr>
          <w:rFonts w:ascii="Calibri" w:eastAsia="Times New Roman" w:hAnsi="Calibri" w:cs="Calibri"/>
          <w:color w:val="000000"/>
          <w:szCs w:val="22"/>
        </w:rPr>
        <w:t xml:space="preserve"> may follow to assess the time needed for the resolution of a fail.</w:t>
      </w:r>
      <w:r w:rsidR="00885F57" w:rsidRPr="002B6B11">
        <w:rPr>
          <w:sz w:val="28"/>
          <w:szCs w:val="24"/>
        </w:rPr>
        <w:t xml:space="preserve"> </w:t>
      </w:r>
      <w:permEnd w:id="503064745"/>
    </w:p>
    <w:tbl>
      <w:tblPr>
        <w:tblStyle w:val="Grilledutableau"/>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lastRenderedPageBreak/>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32"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32"/>
    <w:p w14:paraId="3871DAF1" w14:textId="14B23D80" w:rsidR="00BD3B92" w:rsidRDefault="00BD3B92" w:rsidP="00413D4F">
      <w:r>
        <w:t>&lt;ESMA_QUESTION_CSDR_30&gt;</w:t>
      </w:r>
    </w:p>
    <w:p w14:paraId="136E19A9" w14:textId="77777777" w:rsidR="00745CFC" w:rsidRPr="002B6B11" w:rsidRDefault="00745CFC" w:rsidP="00745CFC">
      <w:pPr>
        <w:spacing w:before="120" w:after="0" w:line="240" w:lineRule="auto"/>
        <w:rPr>
          <w:rFonts w:ascii="Calibri" w:eastAsia="Times New Roman" w:hAnsi="Calibri" w:cs="Calibri"/>
          <w:color w:val="000000"/>
          <w:szCs w:val="22"/>
        </w:rPr>
      </w:pPr>
      <w:permStart w:id="1764259019" w:edGrp="everyone"/>
      <w:r w:rsidRPr="002B6B11">
        <w:rPr>
          <w:rFonts w:ascii="Calibri" w:eastAsia="Times New Roman" w:hAnsi="Calibri" w:cs="Calibri"/>
          <w:color w:val="000000"/>
          <w:szCs w:val="22"/>
        </w:rPr>
        <w:t xml:space="preserve">We are not in </w:t>
      </w:r>
      <w:proofErr w:type="spellStart"/>
      <w:r w:rsidRPr="002B6B11">
        <w:rPr>
          <w:rFonts w:ascii="Calibri" w:eastAsia="Times New Roman" w:hAnsi="Calibri" w:cs="Calibri"/>
          <w:color w:val="000000"/>
          <w:szCs w:val="22"/>
        </w:rPr>
        <w:t>favor</w:t>
      </w:r>
      <w:proofErr w:type="spellEnd"/>
      <w:r w:rsidRPr="002B6B11">
        <w:rPr>
          <w:rFonts w:ascii="Calibri" w:eastAsia="Times New Roman" w:hAnsi="Calibri" w:cs="Calibri"/>
          <w:color w:val="000000"/>
          <w:szCs w:val="22"/>
        </w:rPr>
        <w:t xml:space="preserve"> of progressive penalty rates, and we are not in </w:t>
      </w:r>
      <w:proofErr w:type="spellStart"/>
      <w:r w:rsidRPr="002B6B11">
        <w:rPr>
          <w:rFonts w:ascii="Calibri" w:eastAsia="Times New Roman" w:hAnsi="Calibri" w:cs="Calibri"/>
          <w:color w:val="000000"/>
          <w:szCs w:val="22"/>
        </w:rPr>
        <w:t>favor</w:t>
      </w:r>
      <w:proofErr w:type="spellEnd"/>
      <w:r w:rsidRPr="002B6B11">
        <w:rPr>
          <w:rFonts w:ascii="Calibri" w:eastAsia="Times New Roman" w:hAnsi="Calibri" w:cs="Calibri"/>
          <w:color w:val="000000"/>
          <w:szCs w:val="22"/>
        </w:rPr>
        <w:t xml:space="preserve"> of using the value of the settlement fail either.</w:t>
      </w:r>
    </w:p>
    <w:p w14:paraId="01DB313B" w14:textId="77777777" w:rsidR="00745CFC" w:rsidRPr="002B6B11" w:rsidRDefault="00745CFC" w:rsidP="00745CFC">
      <w:pPr>
        <w:spacing w:before="120" w:after="0" w:line="240" w:lineRule="auto"/>
        <w:rPr>
          <w:rFonts w:ascii="Calibri" w:eastAsia="Times New Roman" w:hAnsi="Calibri" w:cs="Calibri"/>
          <w:color w:val="000000"/>
          <w:szCs w:val="22"/>
        </w:rPr>
      </w:pPr>
      <w:r w:rsidRPr="002B6B11">
        <w:rPr>
          <w:rFonts w:ascii="Calibri" w:eastAsia="Times New Roman" w:hAnsi="Calibri" w:cs="Calibri"/>
          <w:color w:val="000000"/>
          <w:szCs w:val="22"/>
        </w:rPr>
        <w:t xml:space="preserve">The interest of using the settlement value as a base for applying different penalty rates remains unclear, as there is currently no evidence that fails are resolved differently depending on the value of the </w:t>
      </w:r>
      <w:proofErr w:type="gramStart"/>
      <w:r w:rsidRPr="002B6B11">
        <w:rPr>
          <w:rFonts w:ascii="Calibri" w:eastAsia="Times New Roman" w:hAnsi="Calibri" w:cs="Calibri"/>
          <w:color w:val="000000"/>
          <w:szCs w:val="22"/>
        </w:rPr>
        <w:t>fail</w:t>
      </w:r>
      <w:proofErr w:type="gramEnd"/>
      <w:r w:rsidRPr="002B6B11">
        <w:rPr>
          <w:rFonts w:ascii="Calibri" w:eastAsia="Times New Roman" w:hAnsi="Calibri" w:cs="Calibri"/>
          <w:color w:val="000000"/>
          <w:szCs w:val="22"/>
        </w:rPr>
        <w:t>. Besides, there are other reasons which make this option not viable:</w:t>
      </w:r>
    </w:p>
    <w:p w14:paraId="50FC46D3" w14:textId="77777777" w:rsidR="00745CFC" w:rsidRPr="002B6B11" w:rsidRDefault="00745CFC" w:rsidP="00745CF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lastRenderedPageBreak/>
        <w:t>Considering the system should remain simple, introducing this distinction will be difficult to explain to clients and may increase the cases of disputes.</w:t>
      </w:r>
    </w:p>
    <w:p w14:paraId="7935F4CD" w14:textId="77777777" w:rsidR="00745CFC" w:rsidRPr="002B6B11" w:rsidRDefault="00745CFC" w:rsidP="00745CF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In the case of partialling (or shaping), every partial settlement may be applied a different rate, implying that the principle of immunization of the intermediaries will be at risk.</w:t>
      </w:r>
    </w:p>
    <w:p w14:paraId="25FD5FC0" w14:textId="77777777" w:rsidR="00745CFC" w:rsidRPr="002B6B11" w:rsidRDefault="00745CFC" w:rsidP="00745CFC">
      <w:pPr>
        <w:pStyle w:val="Paragraphedeliste"/>
        <w:spacing w:before="120" w:after="0" w:line="240" w:lineRule="auto"/>
        <w:ind w:left="173"/>
        <w:rPr>
          <w:rFonts w:ascii="Calibri" w:eastAsia="Times New Roman" w:hAnsi="Calibri" w:cs="Calibri"/>
          <w:color w:val="000000"/>
        </w:rPr>
      </w:pPr>
      <w:r w:rsidRPr="002B6B11">
        <w:rPr>
          <w:rFonts w:ascii="Calibri" w:eastAsia="Times New Roman" w:hAnsi="Calibri" w:cs="Calibri"/>
          <w:color w:val="000000"/>
        </w:rPr>
        <w:t>For instance:</w:t>
      </w:r>
    </w:p>
    <w:p w14:paraId="044F0539" w14:textId="77777777" w:rsidR="00745CFC" w:rsidRPr="002B6B11" w:rsidRDefault="00745CFC" w:rsidP="00745CFC">
      <w:pPr>
        <w:pStyle w:val="Paragraphedeliste"/>
        <w:spacing w:before="120" w:after="0" w:line="240" w:lineRule="auto"/>
        <w:ind w:left="173"/>
        <w:rPr>
          <w:rFonts w:ascii="Calibri" w:eastAsia="Times New Roman" w:hAnsi="Calibri" w:cs="Calibri"/>
          <w:color w:val="000000"/>
        </w:rPr>
      </w:pPr>
      <w:r w:rsidRPr="002B6B11">
        <w:rPr>
          <w:rFonts w:ascii="Calibri" w:eastAsia="Times New Roman" w:hAnsi="Calibri" w:cs="Calibri"/>
          <w:color w:val="000000"/>
        </w:rPr>
        <w:t>A participant receives 100,000 securities valued at €1mln and will deliver 10*10,000 securities to 10 different counterparties, each for €100k. If he does not receive the securities and can’t deliver to its 10 counterparties, and a higher penalty rate applies for instructions below €500k, he will suffer the imbalance.</w:t>
      </w:r>
    </w:p>
    <w:p w14:paraId="6687FF39" w14:textId="77777777" w:rsidR="00745CFC" w:rsidRPr="002B6B11" w:rsidRDefault="00745CFC" w:rsidP="00745CF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If penalties were higher on instructions with lower value, it may discourage partial settlement, a major tool to fluidify settlement.</w:t>
      </w:r>
    </w:p>
    <w:p w14:paraId="0A570B4C" w14:textId="77777777" w:rsidR="00745CFC" w:rsidRPr="002B6B11" w:rsidRDefault="00745CFC" w:rsidP="00745CF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It also fundamentally changes the current mechanism, and will require a significant and long project, at market level, to implement it.</w:t>
      </w:r>
    </w:p>
    <w:p w14:paraId="7853B9D9" w14:textId="21674FD3" w:rsidR="00720942" w:rsidRPr="002B6B11" w:rsidRDefault="00720942" w:rsidP="00720942">
      <w:pPr>
        <w:rPr>
          <w:sz w:val="28"/>
          <w:szCs w:val="24"/>
          <w:lang w:val="pt-PT"/>
        </w:rPr>
      </w:pPr>
    </w:p>
    <w:tbl>
      <w:tblPr>
        <w:tblStyle w:val="Grilledutableau"/>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lastRenderedPageBreak/>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33"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33"/>
    <w:p w14:paraId="076895A2" w14:textId="77777777" w:rsidR="00EC303D" w:rsidRDefault="00EC303D" w:rsidP="00EC303D">
      <w:r>
        <w:t>&lt;ESMA_QUESTION_CSDR_31&gt;</w:t>
      </w:r>
    </w:p>
    <w:p w14:paraId="24D26DDE" w14:textId="77777777" w:rsidR="00051E99" w:rsidRPr="002B6B11" w:rsidRDefault="00051E99" w:rsidP="00051E99">
      <w:pPr>
        <w:spacing w:before="120" w:after="0" w:line="240" w:lineRule="auto"/>
        <w:rPr>
          <w:rFonts w:ascii="Calibri" w:eastAsia="Times New Roman" w:hAnsi="Calibri" w:cs="Calibri"/>
          <w:color w:val="000000"/>
          <w:szCs w:val="22"/>
        </w:rPr>
      </w:pPr>
      <w:permStart w:id="892430093" w:edGrp="everyone"/>
      <w:r w:rsidRPr="002B6B11">
        <w:rPr>
          <w:rFonts w:ascii="Calibri" w:eastAsia="Times New Roman" w:hAnsi="Calibri" w:cs="Calibri"/>
          <w:color w:val="000000"/>
          <w:szCs w:val="22"/>
        </w:rPr>
        <w:t>No additional criteria should be considered for the purpose of setting the cash penalty rates.</w:t>
      </w:r>
    </w:p>
    <w:p w14:paraId="524122E5" w14:textId="13865E0A" w:rsidR="00EC303D" w:rsidRDefault="00EC303D" w:rsidP="00EC303D"/>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4"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4"/>
    <w:p w14:paraId="7F7BB40C" w14:textId="77777777" w:rsidR="008E5525" w:rsidRDefault="008E5525" w:rsidP="008E5525">
      <w:r>
        <w:t>&lt;ESMA_QUESTION_CSDR_32&gt;</w:t>
      </w:r>
    </w:p>
    <w:p w14:paraId="60D35468" w14:textId="77777777" w:rsidR="003749F2" w:rsidRPr="002B6B11" w:rsidRDefault="003749F2" w:rsidP="003749F2">
      <w:pPr>
        <w:spacing w:before="120" w:after="0" w:line="240" w:lineRule="auto"/>
        <w:rPr>
          <w:rFonts w:ascii="Calibri" w:eastAsia="Times New Roman" w:hAnsi="Calibri" w:cs="Calibri"/>
          <w:color w:val="000000"/>
          <w:szCs w:val="22"/>
        </w:rPr>
      </w:pPr>
      <w:permStart w:id="2059342461" w:edGrp="everyone"/>
      <w:r w:rsidRPr="002B6B11">
        <w:rPr>
          <w:rFonts w:ascii="Calibri" w:eastAsia="Times New Roman" w:hAnsi="Calibri" w:cs="Calibri"/>
          <w:color w:val="000000"/>
          <w:szCs w:val="22"/>
        </w:rPr>
        <w:t xml:space="preserve">We are not in </w:t>
      </w:r>
      <w:proofErr w:type="spellStart"/>
      <w:r w:rsidRPr="002B6B11">
        <w:rPr>
          <w:rFonts w:ascii="Calibri" w:eastAsia="Times New Roman" w:hAnsi="Calibri" w:cs="Calibri"/>
          <w:color w:val="000000"/>
          <w:szCs w:val="22"/>
        </w:rPr>
        <w:t>favor</w:t>
      </w:r>
      <w:proofErr w:type="spellEnd"/>
      <w:r w:rsidRPr="002B6B11">
        <w:rPr>
          <w:rFonts w:ascii="Calibri" w:eastAsia="Times New Roman" w:hAnsi="Calibri" w:cs="Calibri"/>
          <w:color w:val="000000"/>
          <w:szCs w:val="22"/>
        </w:rPr>
        <w:t xml:space="preserve"> of this option.</w:t>
      </w:r>
    </w:p>
    <w:p w14:paraId="265A12B8" w14:textId="77777777" w:rsidR="003749F2" w:rsidRPr="002B6B11" w:rsidRDefault="003749F2" w:rsidP="003749F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The definition of “first day of settlement fail” is unclear: should it be considered as the Intended Settlement Date, or the day when it is first detected?</w:t>
      </w:r>
    </w:p>
    <w:p w14:paraId="688CD6C3" w14:textId="77777777" w:rsidR="003749F2" w:rsidRPr="002B6B11" w:rsidRDefault="003749F2" w:rsidP="003749F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lastRenderedPageBreak/>
        <w:t>This question is also related to issues of market data storage raised earlier in the consultation.</w:t>
      </w:r>
    </w:p>
    <w:p w14:paraId="7E17E056" w14:textId="77777777" w:rsidR="003749F2" w:rsidRPr="002B6B11" w:rsidRDefault="003749F2" w:rsidP="003749F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This would represent a significant modification of the methodology, and is, as such, not desirable.</w:t>
      </w:r>
    </w:p>
    <w:p w14:paraId="750639DA" w14:textId="77777777" w:rsidR="003749F2" w:rsidRPr="002B6B11" w:rsidRDefault="003749F2" w:rsidP="003749F2">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2B6B11">
        <w:rPr>
          <w:rFonts w:ascii="Calibri" w:eastAsia="Times New Roman" w:hAnsi="Calibri" w:cs="Calibri"/>
          <w:color w:val="000000"/>
        </w:rPr>
        <w:t>If the market value is not daily adjusted, it puts at risk the principle of immunization.</w:t>
      </w:r>
    </w:p>
    <w:p w14:paraId="0AE64EB8" w14:textId="77777777" w:rsidR="003749F2" w:rsidRPr="002B6B11" w:rsidRDefault="003749F2" w:rsidP="002B6B11">
      <w:pPr>
        <w:spacing w:before="120" w:after="0" w:line="240" w:lineRule="auto"/>
        <w:rPr>
          <w:rFonts w:ascii="Calibri" w:eastAsia="Times New Roman" w:hAnsi="Calibri" w:cs="Calibri"/>
          <w:color w:val="000000"/>
        </w:rPr>
      </w:pPr>
      <w:r w:rsidRPr="002B6B11">
        <w:rPr>
          <w:rFonts w:ascii="Calibri" w:eastAsia="Times New Roman" w:hAnsi="Calibri" w:cs="Calibri"/>
          <w:color w:val="000000"/>
        </w:rPr>
        <w:t>For instance:</w:t>
      </w:r>
    </w:p>
    <w:p w14:paraId="40669953" w14:textId="77777777" w:rsidR="003749F2" w:rsidRPr="002B6B11" w:rsidRDefault="003749F2" w:rsidP="003749F2">
      <w:pPr>
        <w:pStyle w:val="Paragraphedeliste"/>
        <w:spacing w:before="120" w:after="0" w:line="240" w:lineRule="auto"/>
        <w:ind w:left="173"/>
        <w:rPr>
          <w:rFonts w:ascii="Calibri" w:eastAsia="Times New Roman" w:hAnsi="Calibri" w:cs="Calibri"/>
          <w:i/>
          <w:iCs/>
          <w:color w:val="000000"/>
        </w:rPr>
      </w:pPr>
      <w:r w:rsidRPr="002B6B11">
        <w:rPr>
          <w:rFonts w:ascii="Calibri" w:eastAsia="Times New Roman" w:hAnsi="Calibri" w:cs="Calibri"/>
          <w:i/>
          <w:iCs/>
          <w:color w:val="000000"/>
        </w:rPr>
        <w:t>&gt; A CSD participant has to deliver 100 securities.</w:t>
      </w:r>
    </w:p>
    <w:p w14:paraId="3B14CCA2" w14:textId="77777777" w:rsidR="003749F2" w:rsidRPr="002B6B11" w:rsidRDefault="003749F2" w:rsidP="003749F2">
      <w:pPr>
        <w:pStyle w:val="Paragraphedeliste"/>
        <w:spacing w:before="120" w:after="0" w:line="240" w:lineRule="auto"/>
        <w:ind w:left="173"/>
        <w:rPr>
          <w:rFonts w:ascii="Calibri" w:eastAsia="Times New Roman" w:hAnsi="Calibri" w:cs="Calibri"/>
          <w:i/>
          <w:iCs/>
          <w:color w:val="000000"/>
        </w:rPr>
      </w:pPr>
      <w:r w:rsidRPr="002B6B11">
        <w:rPr>
          <w:rFonts w:ascii="Calibri" w:eastAsia="Times New Roman" w:hAnsi="Calibri" w:cs="Calibri"/>
          <w:i/>
          <w:iCs/>
          <w:color w:val="000000"/>
        </w:rPr>
        <w:t>&gt; He does not receive them from another counterparty on ISD and tries to borrow them.</w:t>
      </w:r>
    </w:p>
    <w:p w14:paraId="27FB47A2" w14:textId="77777777" w:rsidR="003749F2" w:rsidRPr="002B6B11" w:rsidRDefault="003749F2" w:rsidP="003749F2">
      <w:pPr>
        <w:pStyle w:val="Paragraphedeliste"/>
        <w:spacing w:before="120" w:after="0" w:line="240" w:lineRule="auto"/>
        <w:ind w:left="173"/>
        <w:rPr>
          <w:rFonts w:ascii="Calibri" w:eastAsia="Times New Roman" w:hAnsi="Calibri" w:cs="Calibri"/>
          <w:i/>
          <w:iCs/>
          <w:color w:val="000000"/>
        </w:rPr>
      </w:pPr>
      <w:r w:rsidRPr="002B6B11">
        <w:rPr>
          <w:rFonts w:ascii="Calibri" w:eastAsia="Times New Roman" w:hAnsi="Calibri" w:cs="Calibri"/>
          <w:i/>
          <w:iCs/>
          <w:color w:val="000000"/>
        </w:rPr>
        <w:t>&gt; He does not find a lender on ISD, and fails to deliver. A penalty is calculated, valued at the market value of the instrument for the fail on ISD, say €10.</w:t>
      </w:r>
    </w:p>
    <w:p w14:paraId="6DF7D117" w14:textId="77777777" w:rsidR="003749F2" w:rsidRPr="002B6B11" w:rsidRDefault="003749F2" w:rsidP="003749F2">
      <w:pPr>
        <w:pStyle w:val="Paragraphedeliste"/>
        <w:spacing w:before="120" w:after="0" w:line="240" w:lineRule="auto"/>
        <w:ind w:left="173"/>
        <w:rPr>
          <w:rFonts w:ascii="Calibri" w:eastAsia="Times New Roman" w:hAnsi="Calibri" w:cs="Calibri"/>
          <w:i/>
          <w:iCs/>
          <w:color w:val="000000"/>
        </w:rPr>
      </w:pPr>
      <w:r w:rsidRPr="002B6B11">
        <w:rPr>
          <w:rFonts w:ascii="Calibri" w:eastAsia="Times New Roman" w:hAnsi="Calibri" w:cs="Calibri"/>
          <w:i/>
          <w:iCs/>
          <w:color w:val="000000"/>
        </w:rPr>
        <w:t>&gt; He finds a lender for 100 securities on ISD+1, for delivery same day, who fails to deliver on time.</w:t>
      </w:r>
    </w:p>
    <w:p w14:paraId="571D44E2" w14:textId="77777777" w:rsidR="003749F2" w:rsidRPr="002B6B11" w:rsidRDefault="003749F2" w:rsidP="003749F2">
      <w:pPr>
        <w:pStyle w:val="Paragraphedeliste"/>
        <w:spacing w:before="120" w:after="0" w:line="240" w:lineRule="auto"/>
        <w:ind w:left="173"/>
        <w:rPr>
          <w:rFonts w:ascii="Calibri" w:eastAsia="Times New Roman" w:hAnsi="Calibri" w:cs="Calibri"/>
          <w:i/>
          <w:iCs/>
          <w:color w:val="000000"/>
        </w:rPr>
      </w:pPr>
      <w:r w:rsidRPr="002B6B11">
        <w:rPr>
          <w:rFonts w:ascii="Calibri" w:eastAsia="Times New Roman" w:hAnsi="Calibri" w:cs="Calibri"/>
          <w:i/>
          <w:iCs/>
          <w:color w:val="000000"/>
        </w:rPr>
        <w:t>&gt; A penalty is calculated for the failing borrow, at the market value at ISD+1, which changed to €9.</w:t>
      </w:r>
    </w:p>
    <w:p w14:paraId="18E870BD" w14:textId="77777777" w:rsidR="003749F2" w:rsidRPr="002B6B11" w:rsidRDefault="003749F2" w:rsidP="003749F2">
      <w:pPr>
        <w:pStyle w:val="Paragraphedeliste"/>
        <w:spacing w:before="120" w:after="0" w:line="240" w:lineRule="auto"/>
        <w:ind w:left="173"/>
        <w:rPr>
          <w:rFonts w:ascii="Calibri" w:eastAsia="Times New Roman" w:hAnsi="Calibri" w:cs="Calibri"/>
          <w:i/>
          <w:iCs/>
          <w:color w:val="000000"/>
        </w:rPr>
      </w:pPr>
      <w:r w:rsidRPr="002B6B11">
        <w:rPr>
          <w:rFonts w:ascii="Calibri" w:eastAsia="Times New Roman" w:hAnsi="Calibri" w:cs="Calibri"/>
          <w:i/>
          <w:iCs/>
          <w:color w:val="000000"/>
        </w:rPr>
        <w:t>&gt; A penalty is also calculated for the failing original instruction, valued with  the market value at ISD (€10).</w:t>
      </w:r>
    </w:p>
    <w:p w14:paraId="2839C5F3" w14:textId="77777777" w:rsidR="003749F2" w:rsidRPr="002B6B11" w:rsidRDefault="003749F2" w:rsidP="003749F2">
      <w:pPr>
        <w:pStyle w:val="Paragraphedeliste"/>
        <w:spacing w:before="120" w:after="0" w:line="240" w:lineRule="auto"/>
        <w:ind w:left="173"/>
        <w:rPr>
          <w:rFonts w:ascii="Calibri" w:eastAsia="Times New Roman" w:hAnsi="Calibri" w:cs="Calibri"/>
          <w:i/>
          <w:iCs/>
          <w:color w:val="000000"/>
        </w:rPr>
      </w:pPr>
      <w:r w:rsidRPr="002B6B11">
        <w:rPr>
          <w:rFonts w:ascii="Calibri" w:eastAsia="Times New Roman" w:hAnsi="Calibri" w:cs="Calibri"/>
          <w:i/>
          <w:iCs/>
          <w:color w:val="000000"/>
        </w:rPr>
        <w:t>The borrower will receive a penalty that does not compensate for the penalty he will pay on ISD+1 for the original transaction, still valued at €10. He is not immunized of the change in market value on ISD+1.</w:t>
      </w:r>
    </w:p>
    <w:p w14:paraId="4B6BB319" w14:textId="77777777" w:rsidR="003749F2" w:rsidRPr="002B6B11" w:rsidRDefault="003749F2" w:rsidP="003749F2">
      <w:pPr>
        <w:pStyle w:val="Paragraphedeliste"/>
        <w:spacing w:before="120" w:after="0" w:line="240" w:lineRule="auto"/>
        <w:ind w:left="173"/>
        <w:rPr>
          <w:rFonts w:ascii="Calibri" w:eastAsia="Times New Roman" w:hAnsi="Calibri" w:cs="Calibri"/>
          <w:i/>
          <w:iCs/>
          <w:color w:val="000000"/>
        </w:rPr>
      </w:pPr>
      <w:r w:rsidRPr="002B6B11">
        <w:rPr>
          <w:rFonts w:ascii="Calibri" w:eastAsia="Times New Roman" w:hAnsi="Calibri" w:cs="Calibri"/>
          <w:i/>
          <w:iCs/>
          <w:color w:val="000000"/>
        </w:rPr>
        <w:t>If the market value of the instrument had changed to €11, he would then unduly benefit on ISD+1 of the change in market value, which is also unfair.</w:t>
      </w:r>
    </w:p>
    <w:p w14:paraId="343819C2" w14:textId="7DC2AC48" w:rsidR="00707682" w:rsidRPr="002B6B11" w:rsidRDefault="003749F2" w:rsidP="003749F2">
      <w:pPr>
        <w:rPr>
          <w:sz w:val="28"/>
          <w:szCs w:val="24"/>
        </w:rPr>
      </w:pPr>
      <w:r w:rsidRPr="002B6B11">
        <w:rPr>
          <w:rFonts w:ascii="Calibri" w:eastAsia="Times New Roman" w:hAnsi="Calibri" w:cs="Calibri"/>
          <w:color w:val="000000"/>
          <w:szCs w:val="22"/>
        </w:rPr>
        <w:t xml:space="preserve">This may </w:t>
      </w:r>
      <w:proofErr w:type="gramStart"/>
      <w:r w:rsidRPr="002B6B11">
        <w:rPr>
          <w:rFonts w:ascii="Calibri" w:eastAsia="Times New Roman" w:hAnsi="Calibri" w:cs="Calibri"/>
          <w:color w:val="000000"/>
          <w:szCs w:val="22"/>
        </w:rPr>
        <w:t>create,</w:t>
      </w:r>
      <w:proofErr w:type="gramEnd"/>
      <w:r w:rsidRPr="002B6B11">
        <w:rPr>
          <w:rFonts w:ascii="Calibri" w:eastAsia="Times New Roman" w:hAnsi="Calibri" w:cs="Calibri"/>
          <w:color w:val="000000"/>
          <w:szCs w:val="22"/>
        </w:rPr>
        <w:t xml:space="preserve"> opportunities for arbitrage that should be avoided, especially with the high penalty rates proposed.</w:t>
      </w:r>
    </w:p>
    <w:tbl>
      <w:tblPr>
        <w:tblStyle w:val="Grilledutableau"/>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lastRenderedPageBreak/>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5" w:name="_Hlk151731837"/>
      <w:r w:rsidRPr="00884554">
        <w:t>How should free of payment (FoP) instructions be valued for the purpose of the application of cash penalties? Please justify your answer and provide examples and data where available.</w:t>
      </w:r>
    </w:p>
    <w:bookmarkEnd w:id="35"/>
    <w:p w14:paraId="5DAB0ADA" w14:textId="77777777" w:rsidR="00683F26" w:rsidRDefault="00683F26">
      <w:r>
        <w:t>&lt;ESMA_QUESTION_CSDR_33&gt;</w:t>
      </w:r>
    </w:p>
    <w:p w14:paraId="05CC3F04" w14:textId="788E0478" w:rsidR="00683F26" w:rsidRPr="006414E9" w:rsidRDefault="00904D90">
      <w:pPr>
        <w:rPr>
          <w:sz w:val="28"/>
          <w:szCs w:val="24"/>
        </w:rPr>
      </w:pPr>
      <w:permStart w:id="9921138" w:edGrp="everyone"/>
      <w:r w:rsidRPr="006414E9">
        <w:rPr>
          <w:rFonts w:ascii="Calibri" w:eastAsia="Times New Roman" w:hAnsi="Calibri" w:cs="Calibri"/>
          <w:color w:val="000000"/>
          <w:szCs w:val="22"/>
        </w:rPr>
        <w:t>Currently, the calculation method for both free of payment instructions and delivery versus payment are aligned. This is the condition to have penalties that are applied uniformly, so there should be no modification in the calculation methodology.</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6" w:name="_Hlk151731838"/>
      <w:r w:rsidRPr="00127028">
        <w:t>Do you think there is a risk that higher penalty rates may lead to participants using less DvP and more FoP settlement instructions? Please justify your answer and provide examples and data where available.</w:t>
      </w:r>
    </w:p>
    <w:bookmarkEnd w:id="36"/>
    <w:p w14:paraId="06620221" w14:textId="77777777" w:rsidR="00683F26" w:rsidRDefault="00683F26">
      <w:r>
        <w:t>&lt;ESMA_QUESTION_CSDR_34&gt;</w:t>
      </w:r>
    </w:p>
    <w:p w14:paraId="2520687C" w14:textId="77777777" w:rsidR="00C85496" w:rsidRPr="006414E9" w:rsidRDefault="00C85496" w:rsidP="00C85496">
      <w:pPr>
        <w:spacing w:before="120" w:after="0" w:line="240" w:lineRule="auto"/>
        <w:rPr>
          <w:rFonts w:ascii="Calibri" w:eastAsia="Times New Roman" w:hAnsi="Calibri" w:cs="Calibri"/>
          <w:color w:val="000000"/>
          <w:szCs w:val="22"/>
        </w:rPr>
      </w:pPr>
      <w:permStart w:id="1386107427" w:edGrp="everyone"/>
      <w:r w:rsidRPr="006414E9">
        <w:rPr>
          <w:rFonts w:ascii="Calibri" w:eastAsia="Times New Roman" w:hAnsi="Calibri" w:cs="Calibri"/>
          <w:color w:val="000000"/>
          <w:szCs w:val="22"/>
        </w:rPr>
        <w:t>Currently, the calculation method for both free of payment instructions and delivery versus payment are aligned.</w:t>
      </w:r>
    </w:p>
    <w:p w14:paraId="78F85665" w14:textId="67551A1D" w:rsidR="00683F26" w:rsidRPr="006414E9" w:rsidRDefault="00C85496" w:rsidP="00C85496">
      <w:pPr>
        <w:rPr>
          <w:sz w:val="28"/>
          <w:szCs w:val="24"/>
        </w:rPr>
      </w:pPr>
      <w:r w:rsidRPr="006414E9">
        <w:rPr>
          <w:rFonts w:ascii="Calibri" w:eastAsia="Times New Roman" w:hAnsi="Calibri" w:cs="Calibri"/>
          <w:color w:val="000000"/>
          <w:szCs w:val="22"/>
        </w:rPr>
        <w:t xml:space="preserve">We do not think there is such </w:t>
      </w:r>
      <w:proofErr w:type="gramStart"/>
      <w:r w:rsidRPr="006414E9">
        <w:rPr>
          <w:rFonts w:ascii="Calibri" w:eastAsia="Times New Roman" w:hAnsi="Calibri" w:cs="Calibri"/>
          <w:color w:val="000000"/>
          <w:szCs w:val="22"/>
        </w:rPr>
        <w:t>risk</w:t>
      </w:r>
      <w:proofErr w:type="gramEnd"/>
      <w:r w:rsidRPr="006414E9">
        <w:rPr>
          <w:rFonts w:ascii="Calibri" w:eastAsia="Times New Roman" w:hAnsi="Calibri" w:cs="Calibri"/>
          <w:color w:val="000000"/>
          <w:szCs w:val="22"/>
        </w:rPr>
        <w:t xml:space="preserve"> anyway, considering that all participants have an interest in keeping the simultaneity of securities and cash settlement. This simultaneity brings security to the </w:t>
      </w:r>
      <w:proofErr w:type="gramStart"/>
      <w:r w:rsidRPr="006414E9">
        <w:rPr>
          <w:rFonts w:ascii="Calibri" w:eastAsia="Times New Roman" w:hAnsi="Calibri" w:cs="Calibri"/>
          <w:color w:val="000000"/>
          <w:szCs w:val="22"/>
        </w:rPr>
        <w:t>process, and</w:t>
      </w:r>
      <w:proofErr w:type="gramEnd"/>
      <w:r w:rsidRPr="006414E9">
        <w:rPr>
          <w:rFonts w:ascii="Calibri" w:eastAsia="Times New Roman" w:hAnsi="Calibri" w:cs="Calibri"/>
          <w:color w:val="000000"/>
          <w:szCs w:val="22"/>
        </w:rPr>
        <w:t xml:space="preserve"> is also the best option from an operational perspective, because it reduces the operational risks involved in separated cash settlement and the processing of </w:t>
      </w:r>
      <w:proofErr w:type="spellStart"/>
      <w:r w:rsidRPr="006414E9">
        <w:rPr>
          <w:rFonts w:ascii="Calibri" w:eastAsia="Times New Roman" w:hAnsi="Calibri" w:cs="Calibri"/>
          <w:color w:val="000000"/>
          <w:szCs w:val="22"/>
        </w:rPr>
        <w:t>FoP</w:t>
      </w:r>
      <w:proofErr w:type="spellEnd"/>
      <w:r w:rsidRPr="006414E9">
        <w:rPr>
          <w:rFonts w:ascii="Calibri" w:eastAsia="Times New Roman" w:hAnsi="Calibri" w:cs="Calibri"/>
          <w:color w:val="000000"/>
          <w:szCs w:val="22"/>
        </w:rPr>
        <w:t xml:space="preserve"> which will usually be manual.</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7" w:name="_Hlk151731839"/>
      <w:r w:rsidRPr="00472FF8">
        <w:lastRenderedPageBreak/>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7"/>
    <w:p w14:paraId="7023BE17" w14:textId="77777777" w:rsidR="00683F26" w:rsidRDefault="00683F26" w:rsidP="00683F26">
      <w:r>
        <w:t>&lt;ESMA_QUESTION_CSDR_35&gt;</w:t>
      </w:r>
    </w:p>
    <w:tbl>
      <w:tblPr>
        <w:tblStyle w:val="Grilledutableau"/>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07899906" w14:textId="77777777" w:rsidR="00C32C0C" w:rsidRPr="006414E9" w:rsidRDefault="00C32C0C" w:rsidP="00C32C0C">
      <w:pPr>
        <w:spacing w:before="120" w:after="0" w:line="240" w:lineRule="auto"/>
        <w:rPr>
          <w:rFonts w:ascii="Calibri" w:eastAsia="Times New Roman" w:hAnsi="Calibri" w:cs="Calibri"/>
          <w:color w:val="000000"/>
          <w:szCs w:val="22"/>
        </w:rPr>
      </w:pPr>
      <w:permStart w:id="2042054973" w:edGrp="everyone"/>
      <w:r w:rsidRPr="006414E9">
        <w:rPr>
          <w:rFonts w:ascii="Calibri" w:eastAsia="Times New Roman" w:hAnsi="Calibri" w:cs="Calibri"/>
          <w:color w:val="000000"/>
          <w:szCs w:val="22"/>
        </w:rPr>
        <w:t>As of today, there is already a first element of differentiation based on liquidity for debt instruments, with separate categories for sovereign debt and other bonds.</w:t>
      </w:r>
    </w:p>
    <w:p w14:paraId="44C03566" w14:textId="77777777" w:rsidR="00C32C0C" w:rsidRPr="006414E9" w:rsidRDefault="00C32C0C" w:rsidP="00C32C0C">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Today, in effect, there is no distinction of the penalties on bonds based on the level of liquidity of the bond, because we understand the information on the level of liquidity is not processed automatically.</w:t>
      </w:r>
    </w:p>
    <w:p w14:paraId="1CCD6911" w14:textId="77777777" w:rsidR="00C32C0C" w:rsidRPr="006414E9" w:rsidRDefault="00C32C0C" w:rsidP="00C32C0C">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We support having reduced penalty rates on illiquid bonds, but this should be based on an automated process:</w:t>
      </w:r>
    </w:p>
    <w:p w14:paraId="0F4470F1" w14:textId="77777777" w:rsidR="00C32C0C" w:rsidRPr="006414E9" w:rsidRDefault="00C32C0C" w:rsidP="00C32C0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The information should be available in FITRS;</w:t>
      </w:r>
    </w:p>
    <w:p w14:paraId="4FAD9721" w14:textId="77777777" w:rsidR="00C32C0C" w:rsidRPr="006414E9" w:rsidRDefault="00C32C0C" w:rsidP="00C32C0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 xml:space="preserve">The information should be relayed by market data providers across the chain so they can be exploited automatically by CSDs and by players who recalculate or control the level of the penalties </w:t>
      </w:r>
      <w:r w:rsidRPr="006414E9">
        <w:rPr>
          <w:rFonts w:ascii="Calibri" w:eastAsia="Times New Roman" w:hAnsi="Calibri" w:cs="Calibri"/>
          <w:color w:val="000000"/>
        </w:rPr>
        <w:lastRenderedPageBreak/>
        <w:t>applied. Using existing distribution channels for this market data will notably ensure transparency in the implementation, which will have a cost anyway.</w:t>
      </w:r>
    </w:p>
    <w:p w14:paraId="518BB510" w14:textId="77777777" w:rsidR="00C32C0C" w:rsidRPr="006414E9" w:rsidRDefault="00C32C0C" w:rsidP="00C32C0C">
      <w:pPr>
        <w:spacing w:before="120" w:after="0" w:line="240" w:lineRule="auto"/>
        <w:ind w:left="-14"/>
        <w:rPr>
          <w:rFonts w:ascii="Calibri" w:eastAsia="Times New Roman" w:hAnsi="Calibri" w:cs="Calibri"/>
          <w:color w:val="000000"/>
          <w:szCs w:val="22"/>
        </w:rPr>
      </w:pPr>
      <w:r w:rsidRPr="006414E9">
        <w:rPr>
          <w:rFonts w:ascii="Calibri" w:eastAsia="Times New Roman" w:hAnsi="Calibri" w:cs="Calibri"/>
          <w:color w:val="000000"/>
          <w:szCs w:val="22"/>
        </w:rPr>
        <w:t>Additionally, this information on the level of liquidity of a bond, made publicly available and relayed by market data providers is also worthy for the larger market.</w:t>
      </w:r>
    </w:p>
    <w:p w14:paraId="244C9DAA" w14:textId="4B75F6CB" w:rsidR="00D57C74" w:rsidRDefault="00D57C74" w:rsidP="00D57C74"/>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8"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8"/>
    <w:p w14:paraId="075BF910" w14:textId="77777777" w:rsidR="00DD5F58" w:rsidRDefault="00DD5F58">
      <w:r>
        <w:t>&lt;ESMA_QUESTION_CSDR_36&gt;</w:t>
      </w:r>
    </w:p>
    <w:p w14:paraId="106221D3" w14:textId="77777777" w:rsidR="004B6022" w:rsidRPr="006414E9" w:rsidRDefault="004B6022" w:rsidP="004B6022">
      <w:pPr>
        <w:spacing w:before="120" w:after="0" w:line="240" w:lineRule="auto"/>
        <w:rPr>
          <w:rFonts w:ascii="Calibri" w:eastAsia="Times New Roman" w:hAnsi="Calibri" w:cs="Calibri"/>
          <w:color w:val="000000"/>
          <w:szCs w:val="22"/>
        </w:rPr>
      </w:pPr>
      <w:permStart w:id="193803223" w:edGrp="everyone"/>
      <w:r w:rsidRPr="006414E9">
        <w:rPr>
          <w:rFonts w:ascii="Calibri" w:eastAsia="Times New Roman" w:hAnsi="Calibri" w:cs="Calibri"/>
          <w:color w:val="000000"/>
          <w:szCs w:val="22"/>
        </w:rPr>
        <w:t>All flexibility considered should abide by the principles laid down earlier in our answers: remain simple, easy to explain, easy and quick to implement, and preserving the principle of immunization of the intermediaries.</w:t>
      </w:r>
    </w:p>
    <w:p w14:paraId="1FB852CD" w14:textId="77777777" w:rsidR="004B6022" w:rsidRPr="006414E9" w:rsidRDefault="004B6022" w:rsidP="004B6022">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As we observe the various options, it appears that only a simple increase in penalty rates can be considered without involving significant implementation costs.</w:t>
      </w:r>
    </w:p>
    <w:p w14:paraId="7D4D5052" w14:textId="77777777" w:rsidR="004B6022" w:rsidRPr="006414E9" w:rsidRDefault="004B6022" w:rsidP="004B6022">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Another option on illiquid instruments would be to sponsor the creation of a securities lending market on illiquid instruments, possibly including clearing by a CCP, which would certainly help solve fails, but which would require confirmed appetite from the market and infrastructures to engage into this.</w:t>
      </w:r>
    </w:p>
    <w:p w14:paraId="6E6E93D5" w14:textId="1A0F4F6E" w:rsidR="00DD5F58" w:rsidRPr="006414E9" w:rsidRDefault="004B6022" w:rsidP="004B6022">
      <w:pPr>
        <w:rPr>
          <w:sz w:val="28"/>
          <w:szCs w:val="24"/>
        </w:rPr>
      </w:pPr>
      <w:r w:rsidRPr="006414E9">
        <w:rPr>
          <w:rFonts w:ascii="Calibri" w:eastAsia="Times New Roman" w:hAnsi="Calibri" w:cs="Calibri"/>
          <w:color w:val="000000"/>
          <w:szCs w:val="22"/>
        </w:rPr>
        <w:t>Alternatively, the regulator may consider excluding from the scope of penalties some bonds highly illiquid, even though they are listed on a trading venue, because adding penalties to an already significant risk of delivery may not be proportionate.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9"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9"/>
    <w:p w14:paraId="0C94806C" w14:textId="77777777" w:rsidR="00DD5F58" w:rsidRDefault="00DD5F58">
      <w:r>
        <w:t>&lt;ESMA_QUESTION_CSDR_37&gt;</w:t>
      </w:r>
    </w:p>
    <w:p w14:paraId="5C6BDBB4" w14:textId="77777777" w:rsidR="00860D37" w:rsidRPr="006414E9" w:rsidRDefault="00860D37" w:rsidP="00860D37">
      <w:pPr>
        <w:spacing w:before="120" w:after="0" w:line="240" w:lineRule="auto"/>
        <w:rPr>
          <w:rFonts w:ascii="Calibri" w:eastAsia="Times New Roman" w:hAnsi="Calibri" w:cs="Calibri"/>
          <w:color w:val="000000"/>
          <w:szCs w:val="22"/>
        </w:rPr>
      </w:pPr>
      <w:permStart w:id="497239485" w:edGrp="everyone"/>
      <w:r w:rsidRPr="006414E9">
        <w:rPr>
          <w:rFonts w:ascii="Calibri" w:eastAsia="Times New Roman" w:hAnsi="Calibri" w:cs="Calibri"/>
          <w:color w:val="000000"/>
          <w:szCs w:val="22"/>
        </w:rPr>
        <w:t xml:space="preserve">The risk of non-settlement is overwhelmingly superior to the benefits one can draw out of cash penalties, so counterparties manage their fails. It bears a cost in itself of potentially funding the </w:t>
      </w:r>
      <w:r w:rsidRPr="006414E9">
        <w:rPr>
          <w:rFonts w:ascii="Calibri" w:eastAsia="Times New Roman" w:hAnsi="Calibri" w:cs="Calibri"/>
          <w:color w:val="000000"/>
          <w:szCs w:val="22"/>
        </w:rPr>
        <w:lastRenderedPageBreak/>
        <w:t xml:space="preserve">securities not delivered, or it may break a chain of transactions, multiplying the effect of the </w:t>
      </w:r>
      <w:proofErr w:type="gramStart"/>
      <w:r w:rsidRPr="006414E9">
        <w:rPr>
          <w:rFonts w:ascii="Calibri" w:eastAsia="Times New Roman" w:hAnsi="Calibri" w:cs="Calibri"/>
          <w:color w:val="000000"/>
          <w:szCs w:val="22"/>
        </w:rPr>
        <w:t>fail</w:t>
      </w:r>
      <w:proofErr w:type="gramEnd"/>
      <w:r w:rsidRPr="006414E9">
        <w:rPr>
          <w:rFonts w:ascii="Calibri" w:eastAsia="Times New Roman" w:hAnsi="Calibri" w:cs="Calibri"/>
          <w:color w:val="000000"/>
          <w:szCs w:val="22"/>
        </w:rPr>
        <w:t xml:space="preserve"> across the chain. </w:t>
      </w:r>
      <w:proofErr w:type="gramStart"/>
      <w:r w:rsidRPr="006414E9">
        <w:rPr>
          <w:rFonts w:ascii="Calibri" w:eastAsia="Times New Roman" w:hAnsi="Calibri" w:cs="Calibri"/>
          <w:color w:val="000000"/>
          <w:szCs w:val="22"/>
        </w:rPr>
        <w:t>With regard to</w:t>
      </w:r>
      <w:proofErr w:type="gramEnd"/>
      <w:r w:rsidRPr="006414E9">
        <w:rPr>
          <w:rFonts w:ascii="Calibri" w:eastAsia="Times New Roman" w:hAnsi="Calibri" w:cs="Calibri"/>
          <w:color w:val="000000"/>
          <w:szCs w:val="22"/>
        </w:rPr>
        <w:t xml:space="preserve"> buy-side players, it could also threaten their ability to remain within the compliance and investment ratios they have to respect.</w:t>
      </w:r>
    </w:p>
    <w:p w14:paraId="30D85F62" w14:textId="77777777" w:rsidR="00860D37" w:rsidRPr="006414E9" w:rsidRDefault="00860D37" w:rsidP="00860D37">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Moreover, it should be noted that asset managers should select brokers who offer a good quality of service, including on settlement.</w:t>
      </w:r>
    </w:p>
    <w:p w14:paraId="380F5E97" w14:textId="77D00804" w:rsidR="00DD5F58" w:rsidRPr="006414E9" w:rsidRDefault="00860D37" w:rsidP="00860D37">
      <w:pPr>
        <w:rPr>
          <w:sz w:val="28"/>
          <w:szCs w:val="24"/>
        </w:rPr>
      </w:pPr>
      <w:r w:rsidRPr="006414E9">
        <w:rPr>
          <w:rFonts w:ascii="Calibri" w:eastAsia="Times New Roman" w:hAnsi="Calibri" w:cs="Calibri"/>
          <w:color w:val="000000"/>
          <w:szCs w:val="22"/>
        </w:rPr>
        <w:t>With regards to bilateral cancellation, it should be noted that there are situations when a counterparty of good faith may refuse to bilaterally cancel, not because it benefits from cash penalties, but because in a chain of transactions it may generate financial risks to bilaterally cancel.</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40"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40"/>
    <w:p w14:paraId="6ACCD9FD" w14:textId="77777777" w:rsidR="00DD5F58" w:rsidRDefault="00DD5F58">
      <w:r>
        <w:t>&lt;ESMA_QUESTION_CSDR_38&gt;</w:t>
      </w:r>
    </w:p>
    <w:p w14:paraId="2665055B" w14:textId="77777777" w:rsidR="009F560D" w:rsidRPr="006414E9" w:rsidRDefault="009F560D" w:rsidP="009F560D">
      <w:pPr>
        <w:spacing w:before="120" w:after="0" w:line="240" w:lineRule="auto"/>
        <w:rPr>
          <w:rFonts w:ascii="Calibri" w:eastAsia="Times New Roman" w:hAnsi="Calibri" w:cs="Calibri"/>
          <w:color w:val="000000"/>
          <w:szCs w:val="22"/>
        </w:rPr>
      </w:pPr>
      <w:permStart w:id="363731969" w:edGrp="everyone"/>
      <w:r w:rsidRPr="006414E9">
        <w:rPr>
          <w:rFonts w:ascii="Calibri" w:eastAsia="Times New Roman" w:hAnsi="Calibri" w:cs="Calibri"/>
          <w:color w:val="000000"/>
          <w:szCs w:val="22"/>
        </w:rPr>
        <w:t>We consider that it would be unfair that the failing party benefits from negative interest parties. At the same time, the solution should not result in significative developments; any solution should remain simple to implement.</w:t>
      </w:r>
    </w:p>
    <w:p w14:paraId="4FD39FA4" w14:textId="570999FB" w:rsidR="00DD5F58" w:rsidRDefault="00DD5F58"/>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41"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41"/>
    <w:p w14:paraId="4BA2F999" w14:textId="77777777" w:rsidR="00DD5F58" w:rsidRDefault="00DD5F58">
      <w:r>
        <w:t>&lt;ESMA_QUESTION_CSDR_39&gt;</w:t>
      </w:r>
    </w:p>
    <w:p w14:paraId="6B43C2CD" w14:textId="77777777" w:rsidR="00B924C8" w:rsidRPr="006414E9" w:rsidRDefault="00B924C8" w:rsidP="00B924C8">
      <w:pPr>
        <w:spacing w:before="120" w:after="0" w:line="240" w:lineRule="auto"/>
        <w:rPr>
          <w:rFonts w:ascii="Calibri" w:eastAsia="Times New Roman" w:hAnsi="Calibri" w:cs="Calibri"/>
          <w:color w:val="000000"/>
          <w:szCs w:val="22"/>
        </w:rPr>
      </w:pPr>
      <w:permStart w:id="395341201" w:edGrp="everyone"/>
      <w:r w:rsidRPr="006414E9">
        <w:rPr>
          <w:rFonts w:ascii="Calibri" w:eastAsia="Times New Roman" w:hAnsi="Calibri" w:cs="Calibri"/>
          <w:color w:val="000000"/>
          <w:szCs w:val="22"/>
        </w:rPr>
        <w:lastRenderedPageBreak/>
        <w:t>The penalty mechanism must apply across the board, not only to a sub-set of CSDs. Doing otherwise would threaten the principle of level playing field and creates undesirable opportunities for arbitrage.</w:t>
      </w:r>
    </w:p>
    <w:p w14:paraId="219533A7" w14:textId="77777777" w:rsidR="00B924C8" w:rsidRPr="006414E9" w:rsidRDefault="00B924C8" w:rsidP="00B924C8">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It would also bring complexity as one would have to consider whether a CSD is subject to penalties or not at the time the trade is negotiated.</w:t>
      </w:r>
    </w:p>
    <w:p w14:paraId="73EB46D6" w14:textId="77777777" w:rsidR="00B924C8" w:rsidRPr="006414E9" w:rsidRDefault="00B924C8" w:rsidP="00B924C8">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 xml:space="preserve">Additionally, it would threaten the principle of immunization, as </w:t>
      </w:r>
      <w:proofErr w:type="gramStart"/>
      <w:r w:rsidRPr="006414E9">
        <w:rPr>
          <w:rFonts w:ascii="Calibri" w:eastAsia="Times New Roman" w:hAnsi="Calibri" w:cs="Calibri"/>
          <w:color w:val="000000"/>
          <w:szCs w:val="22"/>
        </w:rPr>
        <w:t>a number of</w:t>
      </w:r>
      <w:proofErr w:type="gramEnd"/>
      <w:r w:rsidRPr="006414E9">
        <w:rPr>
          <w:rFonts w:ascii="Calibri" w:eastAsia="Times New Roman" w:hAnsi="Calibri" w:cs="Calibri"/>
          <w:color w:val="000000"/>
          <w:szCs w:val="22"/>
        </w:rPr>
        <w:t xml:space="preserve"> instructions are settled cross-CSD, meaning that the intermediary may be put at a disadvantage.</w:t>
      </w:r>
    </w:p>
    <w:p w14:paraId="24097049" w14:textId="77777777" w:rsidR="00B924C8" w:rsidRPr="006414E9" w:rsidRDefault="00B924C8" w:rsidP="00B924C8">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Finally, it will go against the will of a harmonized settlement in Europe brought by CSDR.</w:t>
      </w:r>
    </w:p>
    <w:p w14:paraId="464E4184" w14:textId="43BE0146" w:rsidR="00DD5F58" w:rsidRDefault="00DD5F58"/>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470585FF" w:rsidR="000F5114" w:rsidRPr="006414E9" w:rsidRDefault="00185D07" w:rsidP="000F5114">
      <w:pPr>
        <w:rPr>
          <w:sz w:val="28"/>
          <w:szCs w:val="24"/>
        </w:rPr>
      </w:pPr>
      <w:permStart w:id="1572044397" w:edGrp="everyone"/>
      <w:r w:rsidRPr="006414E9">
        <w:rPr>
          <w:rFonts w:ascii="Calibri" w:eastAsia="Times New Roman" w:hAnsi="Calibri" w:cs="Calibri"/>
          <w:color w:val="000000"/>
          <w:szCs w:val="22"/>
        </w:rPr>
        <w:t xml:space="preserve">We are not in </w:t>
      </w:r>
      <w:proofErr w:type="spellStart"/>
      <w:r w:rsidRPr="006414E9">
        <w:rPr>
          <w:rFonts w:ascii="Calibri" w:eastAsia="Times New Roman" w:hAnsi="Calibri" w:cs="Calibri"/>
          <w:color w:val="000000"/>
          <w:szCs w:val="22"/>
        </w:rPr>
        <w:t>favor</w:t>
      </w:r>
      <w:proofErr w:type="spellEnd"/>
      <w:r w:rsidRPr="006414E9">
        <w:rPr>
          <w:rFonts w:ascii="Calibri" w:eastAsia="Times New Roman" w:hAnsi="Calibri" w:cs="Calibri"/>
          <w:color w:val="000000"/>
          <w:szCs w:val="22"/>
        </w:rPr>
        <w:t xml:space="preserve"> of this option.</w:t>
      </w:r>
    </w:p>
    <w:permEnd w:id="1572044397"/>
    <w:p w14:paraId="20F19BFC" w14:textId="31E0C3B5" w:rsidR="00413D4F" w:rsidRDefault="00621487" w:rsidP="00413D4F">
      <w:r>
        <w:lastRenderedPageBreak/>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632415FC" w14:textId="77777777" w:rsidR="0075690C" w:rsidRPr="006414E9" w:rsidRDefault="0075690C" w:rsidP="00C97FDB">
      <w:pPr>
        <w:spacing w:before="120" w:after="0" w:line="240" w:lineRule="auto"/>
        <w:rPr>
          <w:rFonts w:ascii="Calibri" w:eastAsia="Times New Roman" w:hAnsi="Calibri" w:cs="Calibri"/>
          <w:color w:val="000000"/>
          <w:szCs w:val="22"/>
        </w:rPr>
      </w:pPr>
      <w:permStart w:id="432759641" w:edGrp="everyone"/>
      <w:r w:rsidRPr="006414E9">
        <w:rPr>
          <w:rFonts w:ascii="Calibri" w:eastAsia="Times New Roman" w:hAnsi="Calibri" w:cs="Calibri"/>
          <w:color w:val="000000"/>
          <w:szCs w:val="22"/>
        </w:rPr>
        <w:t xml:space="preserve">As mentioned earlier, we are not in </w:t>
      </w:r>
      <w:proofErr w:type="spellStart"/>
      <w:r w:rsidRPr="006414E9">
        <w:rPr>
          <w:rFonts w:ascii="Calibri" w:eastAsia="Times New Roman" w:hAnsi="Calibri" w:cs="Calibri"/>
          <w:color w:val="000000"/>
          <w:szCs w:val="22"/>
        </w:rPr>
        <w:t>favor</w:t>
      </w:r>
      <w:proofErr w:type="spellEnd"/>
      <w:r w:rsidRPr="006414E9">
        <w:rPr>
          <w:rFonts w:ascii="Calibri" w:eastAsia="Times New Roman" w:hAnsi="Calibri" w:cs="Calibri"/>
          <w:color w:val="000000"/>
          <w:szCs w:val="22"/>
        </w:rPr>
        <w:t xml:space="preserve"> of this option, for the following reasons:</w:t>
      </w:r>
    </w:p>
    <w:p w14:paraId="7A6C4D98" w14:textId="77777777" w:rsidR="0075690C" w:rsidRPr="006414E9" w:rsidRDefault="0075690C" w:rsidP="0075690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Having different rates depending on the type of transaction is contradictory with the penalty mechanism as initially designed, and its immunization principle.</w:t>
      </w:r>
    </w:p>
    <w:p w14:paraId="27E9B363" w14:textId="77777777" w:rsidR="0075690C" w:rsidRPr="006414E9" w:rsidRDefault="0075690C" w:rsidP="0075690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Introducing rates that can vary depending on the transaction type will also mean changes in the current penalty mechanism and thus costs and time to be implemented.</w:t>
      </w:r>
    </w:p>
    <w:p w14:paraId="4B93977C" w14:textId="77777777" w:rsidR="0075690C" w:rsidRPr="006414E9" w:rsidRDefault="0075690C" w:rsidP="0075690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Penalties are applied at the level of the settlement instruction, not the original transaction, which generally speaking does not make the type of transaction a  viable criterion.</w:t>
      </w:r>
    </w:p>
    <w:p w14:paraId="78274490" w14:textId="77777777" w:rsidR="0075690C" w:rsidRPr="006414E9" w:rsidRDefault="0075690C" w:rsidP="0075690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The type of transaction is in most cases not identified at the level of the CSD participant without the participant having the ability to identify whether the categorization is or is not justified.</w:t>
      </w:r>
    </w:p>
    <w:p w14:paraId="157E4452" w14:textId="77777777" w:rsidR="0075690C" w:rsidRPr="006414E9" w:rsidRDefault="0075690C" w:rsidP="0075690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 xml:space="preserve">When there is a netting, it cannot be identified anymore. Using it would mean that all netting mechanisms should integrate that type of transaction, which would represent a major change. </w:t>
      </w:r>
    </w:p>
    <w:p w14:paraId="280FC8F2" w14:textId="77777777" w:rsidR="0075690C" w:rsidRPr="006414E9" w:rsidRDefault="0075690C" w:rsidP="0075690C">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To be certain that penalties depending on the type of transaction could be correctly applied, the type of transaction would need to become a matching criterion, which may, as a side effect (beyond the costs of such implementation for CSDs and other actors), increase the level of unmatched transactions and therefore the level of fails.</w:t>
      </w:r>
    </w:p>
    <w:p w14:paraId="4626B69E" w14:textId="009CA683" w:rsidR="00BE392A" w:rsidRDefault="0075690C" w:rsidP="0067070C">
      <w:r w:rsidRPr="006414E9">
        <w:rPr>
          <w:rFonts w:ascii="Calibri" w:eastAsia="Times New Roman" w:hAnsi="Calibri" w:cs="Calibri"/>
          <w:color w:val="000000"/>
          <w:szCs w:val="22"/>
        </w:rPr>
        <w:t>In the specific case of securities lending and borrowing, it may be damaging, because securities lending is also a way to ensure the delivery of securities for the purpose of settlement.</w:t>
      </w:r>
      <w:r w:rsidR="00185D07" w:rsidRPr="006414E9">
        <w:rPr>
          <w:sz w:val="28"/>
          <w:szCs w:val="24"/>
        </w:rPr>
        <w:t xml:space="preserve"> </w:t>
      </w:r>
      <w:permEnd w:id="432759641"/>
    </w:p>
    <w:tbl>
      <w:tblPr>
        <w:tblStyle w:val="Grilledutableau"/>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lastRenderedPageBreak/>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lastRenderedPageBreak/>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lastRenderedPageBreak/>
              <w:t>TYPE YOUR TEXT HERE</w:t>
            </w:r>
          </w:p>
          <w:permEnd w:id="1051666342"/>
          <w:p w14:paraId="5B6BAB45" w14:textId="77777777" w:rsidR="00413D4F" w:rsidRDefault="00413D4F">
            <w:pPr>
              <w:spacing w:after="0"/>
            </w:pPr>
            <w:r w:rsidRPr="442E5590">
              <w:rPr>
                <w:rFonts w:ascii="Arial" w:eastAsia="Arial" w:hAnsi="Arial" w:cs="Arial"/>
                <w:szCs w:val="22"/>
              </w:rPr>
              <w:lastRenderedPageBreak/>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3B33251A" w14:textId="77777777" w:rsidR="00314DC4" w:rsidRPr="006414E9" w:rsidRDefault="00314DC4" w:rsidP="00314DC4">
      <w:pPr>
        <w:spacing w:before="120" w:after="0" w:line="240" w:lineRule="auto"/>
        <w:rPr>
          <w:rFonts w:ascii="Calibri" w:eastAsia="Times New Roman" w:hAnsi="Calibri" w:cs="Calibri"/>
          <w:color w:val="000000"/>
          <w:szCs w:val="22"/>
        </w:rPr>
      </w:pPr>
      <w:permStart w:id="328298340" w:edGrp="everyone"/>
      <w:proofErr w:type="gramStart"/>
      <w:r w:rsidRPr="006414E9">
        <w:rPr>
          <w:rFonts w:ascii="Calibri" w:eastAsia="Times New Roman" w:hAnsi="Calibri" w:cs="Calibri"/>
          <w:color w:val="000000"/>
          <w:szCs w:val="22"/>
        </w:rPr>
        <w:t>First of all</w:t>
      </w:r>
      <w:proofErr w:type="gramEnd"/>
      <w:r w:rsidRPr="006414E9">
        <w:rPr>
          <w:rFonts w:ascii="Calibri" w:eastAsia="Times New Roman" w:hAnsi="Calibri" w:cs="Calibri"/>
          <w:color w:val="000000"/>
          <w:szCs w:val="22"/>
        </w:rPr>
        <w:t>, it should be noted that, even though stock borrowing is a very efficient way to fluidify settlement, and while an OTC market exists, securities lending is not a service proposed by all CSDs as most CSDs do not have a banking license, and not all trading parties can engage into it – notably UCITS who are not authorized to borrow securities.</w:t>
      </w:r>
    </w:p>
    <w:p w14:paraId="34231DB4" w14:textId="77777777" w:rsidR="00314DC4" w:rsidRPr="006414E9" w:rsidRDefault="00314DC4" w:rsidP="00314DC4">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 xml:space="preserve">The cost of fail should outweigh the cost of not delivering the securities, and that penalty rates should be set at a level that incentivizes the resolution of the </w:t>
      </w:r>
      <w:proofErr w:type="gramStart"/>
      <w:r w:rsidRPr="006414E9">
        <w:rPr>
          <w:rFonts w:ascii="Calibri" w:eastAsia="Times New Roman" w:hAnsi="Calibri" w:cs="Calibri"/>
          <w:color w:val="000000"/>
          <w:szCs w:val="22"/>
        </w:rPr>
        <w:t>fail</w:t>
      </w:r>
      <w:proofErr w:type="gramEnd"/>
      <w:r w:rsidRPr="006414E9">
        <w:rPr>
          <w:rFonts w:ascii="Calibri" w:eastAsia="Times New Roman" w:hAnsi="Calibri" w:cs="Calibri"/>
          <w:color w:val="000000"/>
          <w:szCs w:val="22"/>
        </w:rPr>
        <w:t xml:space="preserve">, and that there should not be arbitrage between the cost of fail and the cost of borrowing, as exists today. Yet, it should not go up to creating a technical </w:t>
      </w:r>
      <w:proofErr w:type="spellStart"/>
      <w:r w:rsidRPr="006414E9">
        <w:rPr>
          <w:rFonts w:ascii="Calibri" w:eastAsia="Times New Roman" w:hAnsi="Calibri" w:cs="Calibri"/>
          <w:color w:val="000000"/>
          <w:szCs w:val="22"/>
        </w:rPr>
        <w:t>dependance</w:t>
      </w:r>
      <w:proofErr w:type="spellEnd"/>
      <w:r w:rsidRPr="006414E9">
        <w:rPr>
          <w:rFonts w:ascii="Calibri" w:eastAsia="Times New Roman" w:hAnsi="Calibri" w:cs="Calibri"/>
          <w:color w:val="000000"/>
          <w:szCs w:val="22"/>
        </w:rPr>
        <w:t xml:space="preserve"> between penalty rates and the cost of stock borrowing. To do so would require a centralized tape of stock borrowing rates, which does not exist today, and would be a major and complex project for the </w:t>
      </w:r>
      <w:proofErr w:type="gramStart"/>
      <w:r w:rsidRPr="006414E9">
        <w:rPr>
          <w:rFonts w:ascii="Calibri" w:eastAsia="Times New Roman" w:hAnsi="Calibri" w:cs="Calibri"/>
          <w:color w:val="000000"/>
          <w:szCs w:val="22"/>
        </w:rPr>
        <w:t>market as a whole, exceeding</w:t>
      </w:r>
      <w:proofErr w:type="gramEnd"/>
      <w:r w:rsidRPr="006414E9">
        <w:rPr>
          <w:rFonts w:ascii="Calibri" w:eastAsia="Times New Roman" w:hAnsi="Calibri" w:cs="Calibri"/>
          <w:color w:val="000000"/>
          <w:szCs w:val="22"/>
        </w:rPr>
        <w:t xml:space="preserve"> by far the scope of penalties under CSDR.</w:t>
      </w:r>
    </w:p>
    <w:p w14:paraId="7EF36DC1" w14:textId="42375244" w:rsidR="003148F1" w:rsidRPr="006414E9" w:rsidRDefault="00314DC4" w:rsidP="00314DC4">
      <w:pPr>
        <w:rPr>
          <w:sz w:val="28"/>
          <w:szCs w:val="24"/>
        </w:rPr>
      </w:pPr>
      <w:r w:rsidRPr="006414E9">
        <w:rPr>
          <w:rFonts w:ascii="Calibri" w:eastAsia="Times New Roman" w:hAnsi="Calibri" w:cs="Calibri"/>
          <w:color w:val="000000"/>
          <w:szCs w:val="22"/>
        </w:rPr>
        <w:t xml:space="preserve">In this respect, there should be some correlation between penalty rates and the cost of stock borrowing, and penalty rates could from time to time be revised if the cost of stock borrowing evolves significantly, but there should not be a technical </w:t>
      </w:r>
      <w:proofErr w:type="spellStart"/>
      <w:r w:rsidRPr="006414E9">
        <w:rPr>
          <w:rFonts w:ascii="Calibri" w:eastAsia="Times New Roman" w:hAnsi="Calibri" w:cs="Calibri"/>
          <w:color w:val="000000"/>
          <w:szCs w:val="22"/>
        </w:rPr>
        <w:t>dependance</w:t>
      </w:r>
      <w:proofErr w:type="spellEnd"/>
      <w:r w:rsidRPr="006414E9">
        <w:rPr>
          <w:rFonts w:ascii="Calibri" w:eastAsia="Times New Roman" w:hAnsi="Calibri" w:cs="Calibri"/>
          <w:color w:val="000000"/>
          <w:szCs w:val="22"/>
        </w:rPr>
        <w:t xml:space="preserve"> between the two.</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w:t>
      </w:r>
      <w:r w:rsidRPr="007E76B8">
        <w:lastRenderedPageBreak/>
        <w:t xml:space="preserve">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38BE5C89" w:rsidR="004A2E54" w:rsidRPr="006414E9" w:rsidRDefault="005D1D69" w:rsidP="004A2E54">
      <w:pPr>
        <w:rPr>
          <w:sz w:val="28"/>
          <w:szCs w:val="24"/>
        </w:rPr>
      </w:pPr>
      <w:permStart w:id="1912501969" w:edGrp="everyone"/>
      <w:r w:rsidRPr="006414E9">
        <w:rPr>
          <w:rFonts w:ascii="Calibri" w:eastAsia="Times New Roman" w:hAnsi="Calibri" w:cs="Calibri"/>
          <w:color w:val="000000"/>
          <w:szCs w:val="22"/>
        </w:rPr>
        <w:t>We believe the option to be considered should be a reasonable increase in penalty rates, without progressivity or convexity.</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210E5A02" w14:textId="77777777" w:rsidR="003755DE" w:rsidRPr="006414E9" w:rsidRDefault="003755DE" w:rsidP="003755DE">
      <w:pPr>
        <w:spacing w:before="120" w:after="0" w:line="240" w:lineRule="auto"/>
        <w:rPr>
          <w:rFonts w:ascii="Calibri" w:eastAsia="Times New Roman" w:hAnsi="Calibri" w:cs="Calibri"/>
          <w:color w:val="000000"/>
          <w:szCs w:val="22"/>
        </w:rPr>
      </w:pPr>
      <w:permStart w:id="1125473364" w:edGrp="everyone"/>
      <w:r w:rsidRPr="006414E9">
        <w:rPr>
          <w:rFonts w:ascii="Calibri" w:eastAsia="Times New Roman" w:hAnsi="Calibri" w:cs="Calibri"/>
          <w:color w:val="000000"/>
          <w:szCs w:val="22"/>
        </w:rPr>
        <w:t xml:space="preserve">We believe as previously mentioned that markets are very different in nature, in terms of market segments &amp; volumes of instruments traded, infrastructures, origine of investors and post-trade processing, and that they usually do not compare to each other well. This is true of the US market, which presents a structure and post-trade features that are so different from the European markets – </w:t>
      </w:r>
      <w:r w:rsidRPr="006414E9">
        <w:rPr>
          <w:rFonts w:ascii="Calibri" w:eastAsia="Times New Roman" w:hAnsi="Calibri" w:cs="Calibri"/>
          <w:color w:val="000000"/>
          <w:szCs w:val="22"/>
        </w:rPr>
        <w:lastRenderedPageBreak/>
        <w:t>and not unified on the contrary to the US and UK markets - that drawing a comparison will not bring worthy results.</w:t>
      </w:r>
    </w:p>
    <w:p w14:paraId="3E9FCD8D" w14:textId="77777777" w:rsidR="003755DE" w:rsidRPr="006414E9" w:rsidRDefault="003755DE" w:rsidP="003755DE">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What can be said of all markets, though, is that some functionalities aimed at improving settlement efficiency such as partial settlement, a sane use of hold &amp; release mechanisms and borrowing programs, are in all cases useful tools to fluidify settlement and improve settlement efficiency.</w:t>
      </w:r>
    </w:p>
    <w:p w14:paraId="65FC942E" w14:textId="139D775D" w:rsidR="00FA151B" w:rsidRPr="006414E9" w:rsidRDefault="003755DE" w:rsidP="003755DE">
      <w:pPr>
        <w:rPr>
          <w:sz w:val="28"/>
          <w:szCs w:val="24"/>
          <w:lang w:val="en-US"/>
        </w:rPr>
      </w:pPr>
      <w:r w:rsidRPr="006414E9">
        <w:rPr>
          <w:rFonts w:ascii="Calibri" w:eastAsia="Times New Roman" w:hAnsi="Calibri" w:cs="Calibri"/>
          <w:color w:val="000000"/>
          <w:szCs w:val="22"/>
        </w:rPr>
        <w:t>Additionally, there is no official data and measure of settlement efficiency across all European infrastructures.</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7B08CD58" w14:textId="77777777" w:rsidR="00292F0A" w:rsidRPr="006414E9" w:rsidRDefault="00292F0A" w:rsidP="00292F0A">
      <w:pPr>
        <w:spacing w:before="120" w:after="0" w:line="240" w:lineRule="auto"/>
        <w:rPr>
          <w:rFonts w:ascii="Calibri" w:eastAsia="Times New Roman" w:hAnsi="Calibri" w:cs="Calibri"/>
          <w:color w:val="000000"/>
          <w:szCs w:val="22"/>
        </w:rPr>
      </w:pPr>
      <w:permStart w:id="1165707336" w:edGrp="everyone"/>
      <w:proofErr w:type="gramStart"/>
      <w:r w:rsidRPr="006414E9">
        <w:rPr>
          <w:rFonts w:ascii="Calibri" w:eastAsia="Times New Roman" w:hAnsi="Calibri" w:cs="Calibri"/>
          <w:color w:val="000000"/>
          <w:szCs w:val="22"/>
        </w:rPr>
        <w:t>As a general rule</w:t>
      </w:r>
      <w:proofErr w:type="gramEnd"/>
      <w:r w:rsidRPr="006414E9">
        <w:rPr>
          <w:rFonts w:ascii="Calibri" w:eastAsia="Times New Roman" w:hAnsi="Calibri" w:cs="Calibri"/>
          <w:color w:val="000000"/>
          <w:szCs w:val="22"/>
        </w:rPr>
        <w:t>, CSD participants are purely intermediaries, and where settlement issues are for not fault of their own, they need to remain immune from the impact of penalties. For this reason, they always pass on penalties to their clients, as they are not the ultimately failing party, which is the target of penalties. To this end, penalties must be passed on all along the chain, not only CSD participants to their clients, which may themselves be an intermediary.</w:t>
      </w:r>
    </w:p>
    <w:p w14:paraId="1BBAAD98" w14:textId="77777777" w:rsidR="00292F0A" w:rsidRPr="006414E9" w:rsidRDefault="00292F0A" w:rsidP="00292F0A">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In the case of the French market, two exceptions were made to this general rule: instructions from retail clients, and the distribution of funds (transfer agency). In both cases, the penalties involved are not significant.</w:t>
      </w:r>
    </w:p>
    <w:p w14:paraId="63A2672D" w14:textId="77777777" w:rsidR="00292F0A" w:rsidRPr="006414E9" w:rsidRDefault="00292F0A" w:rsidP="00292F0A">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For retail clients, it was considered that, because there is a systematic control of the cash and securities balance at the input of the order, settlement issues are never to be blamed on retail clients. For this reason, penalties are not passed on to them.</w:t>
      </w:r>
    </w:p>
    <w:p w14:paraId="685D03B6" w14:textId="77777777" w:rsidR="00292F0A" w:rsidRPr="006414E9" w:rsidRDefault="00292F0A" w:rsidP="00292F0A">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With regards to fund distribution, considering that funds in France are settled at the CSD level, possibly listed on a trading venue, they may be subject to penalties. When transfer agents pay penalties for a failing delivery, funds (and so indirectly the investors) are never at fault.</w:t>
      </w:r>
    </w:p>
    <w:p w14:paraId="4F3E5208" w14:textId="53643934" w:rsidR="00FA151B" w:rsidRPr="006414E9" w:rsidRDefault="00292F0A" w:rsidP="00292F0A">
      <w:pPr>
        <w:rPr>
          <w:sz w:val="28"/>
          <w:szCs w:val="24"/>
        </w:rPr>
      </w:pPr>
      <w:r w:rsidRPr="006414E9">
        <w:rPr>
          <w:rFonts w:ascii="Calibri" w:eastAsia="Times New Roman" w:hAnsi="Calibri" w:cs="Calibri"/>
          <w:color w:val="000000"/>
          <w:szCs w:val="22"/>
        </w:rPr>
        <w:t>We believe these exceptions should remain, as passing on penalties to these clients would not make sense.</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 xml:space="preserve">Do you consider that introducing a minimum penalty across all types of fails would improve settlement efficiency? Is yes, what would be the amount of this </w:t>
      </w:r>
      <w:r w:rsidRPr="00B4451E">
        <w:lastRenderedPageBreak/>
        <w:t>minimum penalty and how should it apply? Please provide examples and data, as well as arguments to justify your answer.</w:t>
      </w:r>
    </w:p>
    <w:p w14:paraId="7003AF23" w14:textId="77777777" w:rsidR="00FA151B" w:rsidRDefault="00FA151B" w:rsidP="00FA151B">
      <w:r>
        <w:t>&lt;ESMA_QUESTION_CSDR_46&gt;</w:t>
      </w:r>
    </w:p>
    <w:p w14:paraId="3456CA2A" w14:textId="77777777" w:rsidR="00DB30A5" w:rsidRPr="006414E9" w:rsidRDefault="00DB30A5" w:rsidP="00DB30A5">
      <w:pPr>
        <w:spacing w:before="120" w:after="0" w:line="240" w:lineRule="auto"/>
        <w:rPr>
          <w:rFonts w:ascii="Calibri" w:eastAsia="Times New Roman" w:hAnsi="Calibri" w:cs="Calibri"/>
          <w:color w:val="000000"/>
          <w:szCs w:val="22"/>
        </w:rPr>
      </w:pPr>
      <w:permStart w:id="695947103" w:edGrp="everyone"/>
      <w:r w:rsidRPr="006414E9">
        <w:rPr>
          <w:rFonts w:ascii="Calibri" w:eastAsia="Times New Roman" w:hAnsi="Calibri" w:cs="Calibri"/>
          <w:color w:val="000000"/>
          <w:szCs w:val="22"/>
        </w:rPr>
        <w:t>We observe today that there are numerous penalties of low amount:</w:t>
      </w:r>
    </w:p>
    <w:p w14:paraId="009672A5" w14:textId="77777777" w:rsidR="00DB30A5" w:rsidRPr="006414E9" w:rsidRDefault="00DB30A5" w:rsidP="00DB30A5">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In ESES CSDs, across 2023, 25% of penalties have an amount below €10.</w:t>
      </w:r>
    </w:p>
    <w:p w14:paraId="26B8DF10" w14:textId="77777777" w:rsidR="00DB30A5" w:rsidRPr="006414E9" w:rsidRDefault="00DB30A5" w:rsidP="00DB30A5">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In Euroclear Bank, across 2023, 24% of penalties have an amount below €10.</w:t>
      </w:r>
    </w:p>
    <w:p w14:paraId="1D52285B" w14:textId="77777777" w:rsidR="00DB30A5" w:rsidRPr="006414E9" w:rsidRDefault="00DB30A5" w:rsidP="00DB30A5">
      <w:pPr>
        <w:spacing w:before="120" w:after="0" w:line="240" w:lineRule="auto"/>
        <w:ind w:left="-14"/>
        <w:rPr>
          <w:rFonts w:ascii="Calibri" w:eastAsia="Times New Roman" w:hAnsi="Calibri" w:cs="Calibri"/>
          <w:color w:val="000000"/>
          <w:szCs w:val="22"/>
        </w:rPr>
      </w:pPr>
      <w:r w:rsidRPr="006414E9">
        <w:rPr>
          <w:rFonts w:ascii="Calibri" w:eastAsia="Times New Roman" w:hAnsi="Calibri" w:cs="Calibri"/>
          <w:color w:val="000000"/>
          <w:szCs w:val="22"/>
        </w:rPr>
        <w:t>At the same time, no correlation can be made between low penalties and the duration of fails. In other words, it is not because a penalty is low, that the failing party is not managing its fails and looking for solutions. As previously mentioned, a settlement fail has a cost which all parties are trying to avoid.</w:t>
      </w:r>
    </w:p>
    <w:p w14:paraId="73E2EB3B" w14:textId="77777777" w:rsidR="00DB30A5" w:rsidRPr="006414E9" w:rsidRDefault="00DB30A5" w:rsidP="00DB30A5">
      <w:pPr>
        <w:spacing w:before="120" w:after="0" w:line="240" w:lineRule="auto"/>
        <w:ind w:left="-14"/>
        <w:rPr>
          <w:rFonts w:ascii="Calibri" w:eastAsia="Times New Roman" w:hAnsi="Calibri" w:cs="Calibri"/>
          <w:color w:val="000000"/>
          <w:szCs w:val="22"/>
        </w:rPr>
      </w:pPr>
      <w:r w:rsidRPr="006414E9">
        <w:rPr>
          <w:rFonts w:ascii="Calibri" w:eastAsia="Times New Roman" w:hAnsi="Calibri" w:cs="Calibri"/>
          <w:color w:val="000000"/>
          <w:szCs w:val="22"/>
        </w:rPr>
        <w:t>For these reasons, we do not believe there is a necessity for a minimum penalty amount.</w:t>
      </w:r>
    </w:p>
    <w:p w14:paraId="63673985" w14:textId="77777777" w:rsidR="00DB30A5" w:rsidRPr="006414E9" w:rsidRDefault="00DB30A5" w:rsidP="00DB30A5">
      <w:pPr>
        <w:spacing w:before="120" w:after="0" w:line="240" w:lineRule="auto"/>
        <w:ind w:left="-14"/>
        <w:rPr>
          <w:rFonts w:ascii="Calibri" w:eastAsia="Times New Roman" w:hAnsi="Calibri" w:cs="Calibri"/>
          <w:color w:val="000000"/>
          <w:szCs w:val="22"/>
        </w:rPr>
      </w:pPr>
      <w:r w:rsidRPr="006414E9">
        <w:rPr>
          <w:rFonts w:ascii="Calibri" w:eastAsia="Times New Roman" w:hAnsi="Calibri" w:cs="Calibri"/>
          <w:color w:val="000000"/>
          <w:szCs w:val="22"/>
        </w:rPr>
        <w:t>But besides, we believe that such option does not respect what we believe are the main principles that need to drive any evolution of the penalty mechanism:</w:t>
      </w:r>
    </w:p>
    <w:p w14:paraId="0A1687F3" w14:textId="77777777" w:rsidR="00DB30A5" w:rsidRPr="006414E9" w:rsidRDefault="00DB30A5" w:rsidP="00DB30A5">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It would be a significant evolution, and would come at a cost of development, not only at CSDs, but also for all the players who recalculate penalties;</w:t>
      </w:r>
    </w:p>
    <w:p w14:paraId="1D6A2695" w14:textId="77777777" w:rsidR="00DB30A5" w:rsidRPr="006414E9" w:rsidRDefault="00DB30A5" w:rsidP="00DB30A5">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It could create an imbalance for intermediaries in the case of partial settlements, and thus would conflict with the principle of immunization;</w:t>
      </w:r>
    </w:p>
    <w:p w14:paraId="0C56E98A" w14:textId="77777777" w:rsidR="00DB30A5" w:rsidRPr="006414E9" w:rsidRDefault="00DB30A5" w:rsidP="00DB30A5">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It would create a distorsion between small orders and large orders, but also between single orders and bloc orders, with an increased cost for small / single orders as compared to others, without economic justification;</w:t>
      </w:r>
    </w:p>
    <w:p w14:paraId="7D4A0A94" w14:textId="77777777" w:rsidR="00DB30A5" w:rsidRPr="006414E9" w:rsidRDefault="00DB30A5" w:rsidP="00DB30A5">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It may have an adverse impact on the use of partial settlement, due to a minimum that may apply to smaller shapes and result in an increased penalty compared to a situation where partialling is not used, which is detrimental to settlement efficiency.</w:t>
      </w:r>
    </w:p>
    <w:p w14:paraId="1C84B97E" w14:textId="77777777" w:rsidR="00DB30A5" w:rsidRPr="006414E9" w:rsidRDefault="00DB30A5" w:rsidP="00DB30A5">
      <w:pPr>
        <w:spacing w:before="120" w:after="0" w:line="240" w:lineRule="auto"/>
        <w:ind w:left="-14"/>
        <w:rPr>
          <w:rFonts w:ascii="Calibri" w:eastAsia="Times New Roman" w:hAnsi="Calibri" w:cs="Calibri"/>
          <w:color w:val="000000"/>
          <w:szCs w:val="22"/>
        </w:rPr>
      </w:pPr>
      <w:r w:rsidRPr="006414E9">
        <w:rPr>
          <w:rFonts w:ascii="Calibri" w:eastAsia="Times New Roman" w:hAnsi="Calibri" w:cs="Calibri"/>
          <w:color w:val="000000"/>
          <w:szCs w:val="22"/>
        </w:rPr>
        <w:t xml:space="preserve">For these reasons, we are not in </w:t>
      </w:r>
      <w:proofErr w:type="spellStart"/>
      <w:r w:rsidRPr="006414E9">
        <w:rPr>
          <w:rFonts w:ascii="Calibri" w:eastAsia="Times New Roman" w:hAnsi="Calibri" w:cs="Calibri"/>
          <w:color w:val="000000"/>
          <w:szCs w:val="22"/>
        </w:rPr>
        <w:t>favor</w:t>
      </w:r>
      <w:proofErr w:type="spellEnd"/>
      <w:r w:rsidRPr="006414E9">
        <w:rPr>
          <w:rFonts w:ascii="Calibri" w:eastAsia="Times New Roman" w:hAnsi="Calibri" w:cs="Calibri"/>
          <w:color w:val="000000"/>
          <w:szCs w:val="22"/>
        </w:rPr>
        <w:t xml:space="preserve"> of a minimum penalty amount.</w:t>
      </w:r>
    </w:p>
    <w:p w14:paraId="5862BB36" w14:textId="234F4D57" w:rsidR="00FA151B" w:rsidRDefault="00FA151B" w:rsidP="00FA151B"/>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1968D055" w14:textId="77777777" w:rsidR="00F507C3" w:rsidRPr="006414E9" w:rsidRDefault="00F507C3" w:rsidP="00F507C3">
      <w:pPr>
        <w:spacing w:before="120" w:after="0" w:line="240" w:lineRule="auto"/>
        <w:rPr>
          <w:rFonts w:ascii="Calibri" w:eastAsia="Times New Roman" w:hAnsi="Calibri" w:cs="Calibri"/>
          <w:color w:val="000000"/>
          <w:szCs w:val="22"/>
        </w:rPr>
      </w:pPr>
      <w:permStart w:id="1544167674" w:edGrp="everyone"/>
      <w:r w:rsidRPr="006414E9">
        <w:rPr>
          <w:rFonts w:ascii="Calibri" w:eastAsia="Times New Roman" w:hAnsi="Calibri" w:cs="Calibri"/>
          <w:color w:val="000000"/>
          <w:szCs w:val="22"/>
        </w:rPr>
        <w:t>The time required would very much depend on the nature of the evolution.</w:t>
      </w:r>
    </w:p>
    <w:p w14:paraId="650D000E" w14:textId="77777777" w:rsidR="00F507C3" w:rsidRPr="006414E9" w:rsidRDefault="00F507C3" w:rsidP="00F507C3">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lastRenderedPageBreak/>
        <w:t>A major change could require up to 4 years, considering that a change in T2S requires 2-3 years minimum.</w:t>
      </w:r>
    </w:p>
    <w:p w14:paraId="3EC7F540" w14:textId="77777777" w:rsidR="00F507C3" w:rsidRPr="006414E9" w:rsidRDefault="00F507C3" w:rsidP="00F507C3">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For smaller changes, at the level of CSD participants or trading parties, any change is subject to budget adoption in summer of year N-1 to start developments in year N, meaning no implementation can be considered for them before year N+1.</w:t>
      </w:r>
    </w:p>
    <w:p w14:paraId="18185BC3" w14:textId="77777777" w:rsidR="00F507C3" w:rsidRPr="006414E9" w:rsidRDefault="00F507C3" w:rsidP="00F507C3">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If the change is limited to an evolution of the penalty rates without further complexity, it could take around 6 months considering it has to go through the governance of all CSDs.</w:t>
      </w:r>
    </w:p>
    <w:p w14:paraId="6AB1AEE9" w14:textId="79851490" w:rsidR="00FA151B" w:rsidRPr="006414E9" w:rsidRDefault="00F507C3" w:rsidP="00F507C3">
      <w:pPr>
        <w:rPr>
          <w:sz w:val="28"/>
          <w:szCs w:val="24"/>
        </w:rPr>
      </w:pPr>
      <w:r w:rsidRPr="006414E9">
        <w:rPr>
          <w:rFonts w:ascii="Calibri" w:eastAsia="Times New Roman" w:hAnsi="Calibri" w:cs="Calibri"/>
          <w:color w:val="000000"/>
          <w:szCs w:val="22"/>
        </w:rPr>
        <w:t xml:space="preserve">It should also be noted that the current regulatory workplan is heavily loaded, with </w:t>
      </w:r>
      <w:proofErr w:type="gramStart"/>
      <w:r w:rsidRPr="006414E9">
        <w:rPr>
          <w:rFonts w:ascii="Calibri" w:eastAsia="Times New Roman" w:hAnsi="Calibri" w:cs="Calibri"/>
          <w:color w:val="000000"/>
          <w:szCs w:val="22"/>
        </w:rPr>
        <w:t>a number of</w:t>
      </w:r>
      <w:proofErr w:type="gramEnd"/>
      <w:r w:rsidRPr="006414E9">
        <w:rPr>
          <w:rFonts w:ascii="Calibri" w:eastAsia="Times New Roman" w:hAnsi="Calibri" w:cs="Calibri"/>
          <w:color w:val="000000"/>
          <w:szCs w:val="22"/>
        </w:rPr>
        <w:t xml:space="preserve"> changes required from banks and financial institutions at a time when budgets are very constrained. Any evolution of the penalty mechanism, </w:t>
      </w:r>
      <w:proofErr w:type="gramStart"/>
      <w:r w:rsidRPr="006414E9">
        <w:rPr>
          <w:rFonts w:ascii="Calibri" w:eastAsia="Times New Roman" w:hAnsi="Calibri" w:cs="Calibri"/>
          <w:color w:val="000000"/>
          <w:szCs w:val="22"/>
        </w:rPr>
        <w:t>in order to</w:t>
      </w:r>
      <w:proofErr w:type="gramEnd"/>
      <w:r w:rsidRPr="006414E9">
        <w:rPr>
          <w:rFonts w:ascii="Calibri" w:eastAsia="Times New Roman" w:hAnsi="Calibri" w:cs="Calibri"/>
          <w:color w:val="000000"/>
          <w:szCs w:val="22"/>
        </w:rPr>
        <w:t xml:space="preserve"> be implemented quickly, would need to be very simple in terms of implementation, and at a limited cost. More significant evolutions would need to be carefully prioritized over other regulatory changes.</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6BCB6987" w:rsidR="00FA151B" w:rsidRPr="006414E9" w:rsidRDefault="00340042" w:rsidP="00FA151B">
      <w:pPr>
        <w:rPr>
          <w:sz w:val="28"/>
          <w:szCs w:val="24"/>
        </w:rPr>
      </w:pPr>
      <w:permStart w:id="633684896" w:edGrp="everyone"/>
      <w:r w:rsidRPr="006414E9">
        <w:rPr>
          <w:rFonts w:ascii="Calibri" w:eastAsia="Times New Roman" w:hAnsi="Calibri" w:cs="Calibri"/>
          <w:color w:val="000000"/>
          <w:szCs w:val="22"/>
        </w:rPr>
        <w:t>This piece of information is not publicly disclosed and cannot be commented by our association.</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4D76FEB0" w14:textId="77777777" w:rsidR="00DC2C19" w:rsidRPr="006414E9" w:rsidRDefault="00DC2C19" w:rsidP="00DC2C19">
      <w:pPr>
        <w:spacing w:before="120" w:after="0" w:line="240" w:lineRule="auto"/>
        <w:rPr>
          <w:rFonts w:ascii="Calibri" w:eastAsia="Times New Roman" w:hAnsi="Calibri" w:cs="Calibri"/>
          <w:color w:val="000000"/>
          <w:szCs w:val="22"/>
        </w:rPr>
      </w:pPr>
      <w:permStart w:id="32193916" w:edGrp="everyone"/>
      <w:r w:rsidRPr="006414E9">
        <w:rPr>
          <w:rFonts w:ascii="Calibri" w:eastAsia="Times New Roman" w:hAnsi="Calibri" w:cs="Calibri"/>
          <w:color w:val="000000"/>
          <w:szCs w:val="22"/>
        </w:rPr>
        <w:t>We do not believe such special penalties would be justified.</w:t>
      </w:r>
    </w:p>
    <w:p w14:paraId="79BA328B" w14:textId="77777777" w:rsidR="006414E9" w:rsidRDefault="006414E9" w:rsidP="00DC2C19">
      <w:pPr>
        <w:spacing w:before="120" w:after="0" w:line="240" w:lineRule="auto"/>
        <w:rPr>
          <w:rFonts w:ascii="Calibri" w:eastAsia="Times New Roman" w:hAnsi="Calibri" w:cs="Calibri"/>
          <w:color w:val="000000"/>
          <w:szCs w:val="22"/>
        </w:rPr>
      </w:pPr>
    </w:p>
    <w:p w14:paraId="6915852B" w14:textId="1605DB49" w:rsidR="00DC2C19" w:rsidRPr="006414E9" w:rsidRDefault="00DC2C19" w:rsidP="00DC2C19">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lastRenderedPageBreak/>
        <w:t xml:space="preserve">For an intermediary, such penalties would not be justified. Considering he is acting on behalf of others, </w:t>
      </w:r>
      <w:proofErr w:type="gramStart"/>
      <w:r w:rsidRPr="006414E9">
        <w:rPr>
          <w:rFonts w:ascii="Calibri" w:eastAsia="Times New Roman" w:hAnsi="Calibri" w:cs="Calibri"/>
          <w:color w:val="000000"/>
          <w:szCs w:val="22"/>
        </w:rPr>
        <w:t>as long as</w:t>
      </w:r>
      <w:proofErr w:type="gramEnd"/>
      <w:r w:rsidRPr="006414E9">
        <w:rPr>
          <w:rFonts w:ascii="Calibri" w:eastAsia="Times New Roman" w:hAnsi="Calibri" w:cs="Calibri"/>
          <w:color w:val="000000"/>
          <w:szCs w:val="22"/>
        </w:rPr>
        <w:t xml:space="preserve"> settlement instructions are sent to the CSD as soon as possible for matching, and cash and securities balances are controlled, imposing special penalties will not help penalizing the ultimately failing party. Moreover, such special penalties cannot be recharged to the clients, which would conflict with the principle of immunization of the intermediaries.</w:t>
      </w:r>
    </w:p>
    <w:p w14:paraId="52475EBE" w14:textId="77777777" w:rsidR="006414E9" w:rsidRDefault="006414E9" w:rsidP="00DC2C19">
      <w:pPr>
        <w:rPr>
          <w:rFonts w:ascii="Calibri" w:eastAsia="Times New Roman" w:hAnsi="Calibri" w:cs="Calibri"/>
          <w:color w:val="000000"/>
          <w:szCs w:val="22"/>
        </w:rPr>
      </w:pPr>
    </w:p>
    <w:p w14:paraId="7A31024D" w14:textId="7731F315" w:rsidR="00FA151B" w:rsidRPr="006414E9" w:rsidRDefault="00DC2C19" w:rsidP="00DC2C19">
      <w:pPr>
        <w:rPr>
          <w:sz w:val="28"/>
          <w:szCs w:val="24"/>
        </w:rPr>
      </w:pPr>
      <w:r w:rsidRPr="006414E9">
        <w:rPr>
          <w:rFonts w:ascii="Calibri" w:eastAsia="Times New Roman" w:hAnsi="Calibri" w:cs="Calibri"/>
          <w:color w:val="000000"/>
          <w:szCs w:val="22"/>
        </w:rPr>
        <w:t xml:space="preserve">For a CSD participant that is a trading party acting on its own account, the same reasoning can be applied. Securities are bought and sold, </w:t>
      </w:r>
      <w:proofErr w:type="gramStart"/>
      <w:r w:rsidRPr="006414E9">
        <w:rPr>
          <w:rFonts w:ascii="Calibri" w:eastAsia="Times New Roman" w:hAnsi="Calibri" w:cs="Calibri"/>
          <w:color w:val="000000"/>
          <w:szCs w:val="22"/>
        </w:rPr>
        <w:t>borrowed</w:t>
      </w:r>
      <w:proofErr w:type="gramEnd"/>
      <w:r w:rsidRPr="006414E9">
        <w:rPr>
          <w:rFonts w:ascii="Calibri" w:eastAsia="Times New Roman" w:hAnsi="Calibri" w:cs="Calibri"/>
          <w:color w:val="000000"/>
          <w:szCs w:val="22"/>
        </w:rPr>
        <w:t xml:space="preserve"> and lent, meaning that most of the time, a lack of securities will be caused by a counterparty failing to deliver in another transaction, or liquidity issues on the instrument that can have a number of reasons outside of the reach of the financial institution (related to market events for instance). Imposing special penalties to them would not have justification, because they may not be the ultimately failing party.</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3E315762" w:rsidR="00FA151B" w:rsidRPr="006414E9" w:rsidRDefault="00714D3F" w:rsidP="00FA151B">
      <w:pPr>
        <w:rPr>
          <w:sz w:val="28"/>
          <w:szCs w:val="24"/>
        </w:rPr>
      </w:pPr>
      <w:permStart w:id="95900870" w:edGrp="everyone"/>
      <w:r w:rsidRPr="006414E9">
        <w:rPr>
          <w:rFonts w:ascii="Calibri" w:eastAsia="Times New Roman" w:hAnsi="Calibri" w:cs="Calibri"/>
          <w:color w:val="000000"/>
          <w:szCs w:val="22"/>
        </w:rPr>
        <w:t>France Post-Marche members do not have the ability to answer this question.</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7277651C" w14:textId="77777777" w:rsidR="00E84E48" w:rsidRPr="006414E9" w:rsidRDefault="00E84E48" w:rsidP="00E84E48">
      <w:pPr>
        <w:spacing w:before="120" w:after="0" w:line="240" w:lineRule="auto"/>
        <w:rPr>
          <w:rFonts w:ascii="Calibri" w:eastAsia="Times New Roman" w:hAnsi="Calibri" w:cs="Calibri"/>
          <w:color w:val="000000"/>
          <w:szCs w:val="22"/>
        </w:rPr>
      </w:pPr>
      <w:permStart w:id="800291382" w:edGrp="everyone"/>
      <w:r w:rsidRPr="006414E9">
        <w:rPr>
          <w:rFonts w:ascii="Calibri" w:eastAsia="Times New Roman" w:hAnsi="Calibri" w:cs="Calibri"/>
          <w:color w:val="000000"/>
          <w:szCs w:val="22"/>
        </w:rPr>
        <w:t>In France, settlement efficiency has been discussed on the market well before the entry into force of the settlement discipline: several associations and working groups have been monitoring the evolution of fail rates since before 2010, and settlement efficiency is being discussed at the CSD User committee.</w:t>
      </w:r>
    </w:p>
    <w:p w14:paraId="696EE818" w14:textId="77777777" w:rsidR="00E84E48" w:rsidRPr="006414E9" w:rsidRDefault="00E84E48" w:rsidP="00E84E48">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 xml:space="preserve">Over the years, this monitoring has triggered numerous discussions on the opportunity to improve settlement efficiency, and resulted in </w:t>
      </w:r>
      <w:proofErr w:type="gramStart"/>
      <w:r w:rsidRPr="006414E9">
        <w:rPr>
          <w:rFonts w:ascii="Calibri" w:eastAsia="Times New Roman" w:hAnsi="Calibri" w:cs="Calibri"/>
          <w:color w:val="000000"/>
          <w:szCs w:val="22"/>
        </w:rPr>
        <w:t>a number of</w:t>
      </w:r>
      <w:proofErr w:type="gramEnd"/>
      <w:r w:rsidRPr="006414E9">
        <w:rPr>
          <w:rFonts w:ascii="Calibri" w:eastAsia="Times New Roman" w:hAnsi="Calibri" w:cs="Calibri"/>
          <w:color w:val="000000"/>
          <w:szCs w:val="22"/>
        </w:rPr>
        <w:t xml:space="preserve"> market practices specifically aimed at improving settlement efficiency, for instance:</w:t>
      </w:r>
    </w:p>
    <w:p w14:paraId="5ECAC38C" w14:textId="77777777" w:rsidR="00E84E48" w:rsidRPr="006414E9" w:rsidRDefault="00E84E48" w:rsidP="00E84E48">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lastRenderedPageBreak/>
        <w:t>Reinforcement of allocation-confirmation requirements;</w:t>
      </w:r>
    </w:p>
    <w:p w14:paraId="23BCC21B" w14:textId="77777777" w:rsidR="00E84E48" w:rsidRPr="006414E9" w:rsidRDefault="00E84E48" w:rsidP="00E84E48">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Use of UNT-FAMT indicator;</w:t>
      </w:r>
    </w:p>
    <w:p w14:paraId="1B6F3D09" w14:textId="77777777" w:rsidR="00E84E48" w:rsidRPr="006414E9" w:rsidRDefault="00E84E48" w:rsidP="00E84E48">
      <w:pPr>
        <w:pStyle w:val="Paragraphedeliste"/>
        <w:numPr>
          <w:ilvl w:val="0"/>
          <w:numId w:val="17"/>
        </w:numPr>
        <w:spacing w:before="120" w:after="0" w:line="240" w:lineRule="auto"/>
        <w:ind w:left="173" w:hanging="187"/>
        <w:jc w:val="left"/>
        <w:rPr>
          <w:rFonts w:ascii="Calibri" w:eastAsia="Times New Roman" w:hAnsi="Calibri" w:cs="Calibri"/>
          <w:color w:val="000000"/>
        </w:rPr>
      </w:pPr>
      <w:r w:rsidRPr="006414E9">
        <w:rPr>
          <w:rFonts w:ascii="Calibri" w:eastAsia="Times New Roman" w:hAnsi="Calibri" w:cs="Calibri"/>
          <w:color w:val="000000"/>
        </w:rPr>
        <w:t>Use of partial settlement indicators, and partial release.</w:t>
      </w:r>
    </w:p>
    <w:p w14:paraId="158530BA" w14:textId="77777777" w:rsidR="00E84E48" w:rsidRPr="006414E9" w:rsidRDefault="00E84E48" w:rsidP="00E84E48">
      <w:pPr>
        <w:spacing w:before="120" w:after="0" w:line="240" w:lineRule="auto"/>
        <w:rPr>
          <w:rFonts w:ascii="Calibri" w:eastAsia="Times New Roman" w:hAnsi="Calibri" w:cs="Calibri"/>
          <w:color w:val="000000"/>
          <w:szCs w:val="22"/>
        </w:rPr>
      </w:pPr>
      <w:r w:rsidRPr="006414E9">
        <w:rPr>
          <w:rFonts w:ascii="Calibri" w:eastAsia="Times New Roman" w:hAnsi="Calibri" w:cs="Calibri"/>
          <w:color w:val="000000"/>
          <w:szCs w:val="22"/>
        </w:rPr>
        <w:t>A dedicated workgroup on settlement efficiency considers on a continuous basis the need for additional market practices.</w:t>
      </w:r>
    </w:p>
    <w:p w14:paraId="5558F34B" w14:textId="3A502058" w:rsidR="00FA151B" w:rsidRPr="006414E9" w:rsidRDefault="00E84E48" w:rsidP="00E84E48">
      <w:pPr>
        <w:rPr>
          <w:sz w:val="28"/>
          <w:szCs w:val="24"/>
        </w:rPr>
      </w:pPr>
      <w:r w:rsidRPr="006414E9">
        <w:rPr>
          <w:rFonts w:ascii="Calibri" w:eastAsia="Times New Roman" w:hAnsi="Calibri" w:cs="Calibri"/>
          <w:color w:val="000000"/>
          <w:szCs w:val="22"/>
        </w:rPr>
        <w:t>To support this monitoring, ESES CSDs and LCH SA circulate on a regula</w:t>
      </w:r>
      <w:r w:rsidR="005F1C98">
        <w:rPr>
          <w:rFonts w:ascii="Calibri" w:eastAsia="Times New Roman" w:hAnsi="Calibri" w:cs="Calibri"/>
          <w:color w:val="000000"/>
          <w:szCs w:val="22"/>
        </w:rPr>
        <w:t xml:space="preserve">r </w:t>
      </w:r>
      <w:r w:rsidRPr="006414E9">
        <w:rPr>
          <w:rFonts w:ascii="Calibri" w:eastAsia="Times New Roman" w:hAnsi="Calibri" w:cs="Calibri"/>
          <w:color w:val="000000"/>
          <w:szCs w:val="22"/>
        </w:rPr>
        <w:t>basis settlement fail statistics (on a monthly or quarterly basis depending on the frequency of the instance).</w:t>
      </w:r>
    </w:p>
    <w:permEnd w:id="800291382"/>
    <w:p w14:paraId="507A6667" w14:textId="77777777" w:rsidR="00FA151B" w:rsidRDefault="00FA151B" w:rsidP="00FA151B">
      <w:r>
        <w:t>&lt;ESMA_QUESTION_CSDR_51&gt;</w:t>
      </w:r>
    </w:p>
    <w:sectPr w:rsidR="00FA151B" w:rsidSect="00AD0B10">
      <w:headerReference w:type="default" r:id="rId28"/>
      <w:footerReference w:type="even" r:id="rId29"/>
      <w:footerReference w:type="default" r:id="rId30"/>
      <w:footerReference w:type="first" r:id="rId31"/>
      <w:pgSz w:w="11906" w:h="16838"/>
      <w:pgMar w:top="1417" w:right="1417" w:bottom="1417" w:left="1417" w:header="862"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BONDUELLE Sylvie SgssCaoPai" w:date="2024-02-28T17:35:00Z" w:initials="BSS">
    <w:p w14:paraId="3AFE058A" w14:textId="77777777" w:rsidR="00EC1CCE" w:rsidRDefault="00EC1CCE" w:rsidP="00AE4430">
      <w:pPr>
        <w:pStyle w:val="Commentaire"/>
        <w:jc w:val="left"/>
      </w:pPr>
      <w:r>
        <w:rPr>
          <w:rStyle w:val="Marquedecommentaire"/>
        </w:rPr>
        <w:annotationRef/>
      </w:r>
      <w:r>
        <w:t>Ou seulement "each CSD to define the value of the threshold" ? Si on considère qu'l en faut tpujours un ...</w:t>
      </w:r>
    </w:p>
  </w:comment>
  <w:comment w:id="26" w:author="BONDUELLE Sylvie SgssCaoPai" w:date="2024-02-28T17:56:00Z" w:initials="BSS">
    <w:p w14:paraId="3BEEAAAC" w14:textId="6A9B3226" w:rsidR="00097B8E" w:rsidRDefault="00097B8E" w:rsidP="00D947BA">
      <w:pPr>
        <w:pStyle w:val="Commentaire"/>
        <w:jc w:val="left"/>
      </w:pPr>
      <w:r>
        <w:rPr>
          <w:rStyle w:val="Marquedecommentaire"/>
        </w:rPr>
        <w:annotationRef/>
      </w:r>
      <w:r>
        <w:t>Normale, la répétition ?</w:t>
      </w:r>
    </w:p>
  </w:comment>
  <w:comment w:id="27" w:author="Gael DAVID" w:date="2024-02-29T10:28:00Z" w:initials="GD">
    <w:p w14:paraId="7BA5136E" w14:textId="77777777" w:rsidR="005F1C98" w:rsidRDefault="005F1C98" w:rsidP="00E244AF">
      <w:pPr>
        <w:pStyle w:val="Commentaire"/>
        <w:jc w:val="left"/>
      </w:pPr>
      <w:r>
        <w:rPr>
          <w:rStyle w:val="Marquedecommentaire"/>
        </w:rPr>
        <w:annotationRef/>
      </w:r>
      <w:r>
        <w:rPr>
          <w:color w:val="181818"/>
        </w:rPr>
        <w:t>Enlevée</w:t>
      </w:r>
    </w:p>
  </w:comment>
  <w:comment w:id="31" w:author="BONDUELLE Sylvie SgssCaoPai" w:date="2024-02-28T19:14:00Z" w:initials="BSS">
    <w:p w14:paraId="3FAF024E" w14:textId="29484FAE" w:rsidR="00D32135" w:rsidRDefault="00D32135" w:rsidP="00D11B40">
      <w:pPr>
        <w:pStyle w:val="Commentaire"/>
        <w:jc w:val="left"/>
      </w:pPr>
      <w:r>
        <w:rPr>
          <w:rStyle w:val="Marquedecommentaire"/>
        </w:rPr>
        <w:annotationRef/>
      </w:r>
      <w:r>
        <w:t>Ajout d'une ligne blanche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E058A" w15:done="0"/>
  <w15:commentEx w15:paraId="3BEEAAAC" w15:done="0"/>
  <w15:commentEx w15:paraId="7BA5136E" w15:paraIdParent="3BEEAAAC" w15:done="0"/>
  <w15:commentEx w15:paraId="3FAF02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ED69" w16cex:dateUtc="2024-02-28T16:35:00Z"/>
  <w16cex:commentExtensible w16cex:durableId="2989F24C" w16cex:dateUtc="2024-02-28T16:56:00Z"/>
  <w16cex:commentExtensible w16cex:durableId="298ADAB0" w16cex:dateUtc="2024-02-29T09:28:00Z"/>
  <w16cex:commentExtensible w16cex:durableId="298A04AC" w16cex:dateUtc="2024-02-28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E058A" w16cid:durableId="2989ED69"/>
  <w16cid:commentId w16cid:paraId="3BEEAAAC" w16cid:durableId="2989F24C"/>
  <w16cid:commentId w16cid:paraId="7BA5136E" w16cid:durableId="298ADAB0"/>
  <w16cid:commentId w16cid:paraId="3FAF024E" w16cid:durableId="298A04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0863" w14:textId="77777777" w:rsidR="0099792A" w:rsidRDefault="0099792A" w:rsidP="007E7997">
      <w:pPr>
        <w:spacing w:line="240" w:lineRule="auto"/>
      </w:pPr>
      <w:r>
        <w:separator/>
      </w:r>
    </w:p>
  </w:endnote>
  <w:endnote w:type="continuationSeparator" w:id="0">
    <w:p w14:paraId="45C192DD" w14:textId="77777777" w:rsidR="0099792A" w:rsidRDefault="0099792A" w:rsidP="007E7997">
      <w:pPr>
        <w:spacing w:line="240" w:lineRule="auto"/>
      </w:pPr>
      <w:r>
        <w:continuationSeparator/>
      </w:r>
    </w:p>
  </w:endnote>
  <w:endnote w:type="continuationNotice" w:id="1">
    <w:p w14:paraId="68FE5B6F" w14:textId="77777777" w:rsidR="0099792A" w:rsidRDefault="00997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A038" w14:textId="77777777" w:rsidR="00371C6C" w:rsidRDefault="00371C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90D3" w14:textId="77777777" w:rsidR="00371C6C" w:rsidRDefault="00371C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B8DD" w14:textId="77777777" w:rsidR="00371C6C" w:rsidRDefault="00371C6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4EF6" w14:textId="77777777" w:rsidR="005F1C98" w:rsidRDefault="005F1C9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F051" w14:textId="77777777" w:rsidR="005F1C98" w:rsidRDefault="005F1C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B1B" w14:textId="77777777" w:rsidR="0099792A" w:rsidRDefault="0099792A" w:rsidP="007E7997">
      <w:pPr>
        <w:spacing w:line="240" w:lineRule="auto"/>
      </w:pPr>
      <w:r>
        <w:separator/>
      </w:r>
    </w:p>
  </w:footnote>
  <w:footnote w:type="continuationSeparator" w:id="0">
    <w:p w14:paraId="1E3EC3FC" w14:textId="77777777" w:rsidR="0099792A" w:rsidRDefault="0099792A" w:rsidP="007E7997">
      <w:pPr>
        <w:spacing w:line="240" w:lineRule="auto"/>
      </w:pPr>
      <w:r>
        <w:continuationSeparator/>
      </w:r>
    </w:p>
  </w:footnote>
  <w:footnote w:type="continuationNotice" w:id="1">
    <w:p w14:paraId="0BC6D3CE" w14:textId="77777777" w:rsidR="0099792A" w:rsidRDefault="009979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E282" w14:textId="77777777" w:rsidR="00371C6C" w:rsidRDefault="00371C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3776" w14:textId="77777777" w:rsidR="00371C6C" w:rsidRDefault="00371C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En-tte"/>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En-tte"/>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D0840"/>
    <w:multiLevelType w:val="hybridMultilevel"/>
    <w:tmpl w:val="3BFE068E"/>
    <w:lvl w:ilvl="0" w:tplc="D5DC14B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272753"/>
    <w:multiLevelType w:val="hybridMultilevel"/>
    <w:tmpl w:val="B14413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3"/>
  </w:num>
  <w:num w:numId="2" w16cid:durableId="270287514">
    <w:abstractNumId w:val="5"/>
  </w:num>
  <w:num w:numId="3" w16cid:durableId="1675497260">
    <w:abstractNumId w:val="11"/>
  </w:num>
  <w:num w:numId="4" w16cid:durableId="1146706333">
    <w:abstractNumId w:val="4"/>
  </w:num>
  <w:num w:numId="5" w16cid:durableId="1502348752">
    <w:abstractNumId w:val="0"/>
  </w:num>
  <w:num w:numId="6" w16cid:durableId="1544101585">
    <w:abstractNumId w:val="7"/>
  </w:num>
  <w:num w:numId="7" w16cid:durableId="896626050">
    <w:abstractNumId w:val="14"/>
  </w:num>
  <w:num w:numId="8" w16cid:durableId="806780153">
    <w:abstractNumId w:val="3"/>
  </w:num>
  <w:num w:numId="9" w16cid:durableId="1677002603">
    <w:abstractNumId w:val="12"/>
  </w:num>
  <w:num w:numId="10" w16cid:durableId="22487393">
    <w:abstractNumId w:val="10"/>
  </w:num>
  <w:num w:numId="11" w16cid:durableId="270942799">
    <w:abstractNumId w:val="9"/>
  </w:num>
  <w:num w:numId="12" w16cid:durableId="10230698">
    <w:abstractNumId w:val="9"/>
    <w:lvlOverride w:ilvl="0">
      <w:startOverride w:val="1"/>
    </w:lvlOverride>
  </w:num>
  <w:num w:numId="13" w16cid:durableId="1914856611">
    <w:abstractNumId w:val="2"/>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595292188">
    <w:abstractNumId w:val="1"/>
  </w:num>
  <w:num w:numId="18" w16cid:durableId="390034000">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NDUELLE Sylvie SgssCaoPai">
    <w15:presenceInfo w15:providerId="AD" w15:userId="S::sylvie.bonduelle@sgss.socgen.com::5a3aff22-f9c9-4c3e-ae2b-1c19c8065d21"/>
  </w15:person>
  <w15:person w15:author="Gael DAVID">
    <w15:presenceInfo w15:providerId="None" w15:userId="Gael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47DF6"/>
    <w:rsid w:val="000504AC"/>
    <w:rsid w:val="000509A0"/>
    <w:rsid w:val="00050C75"/>
    <w:rsid w:val="0005116F"/>
    <w:rsid w:val="000518C1"/>
    <w:rsid w:val="0005199F"/>
    <w:rsid w:val="00051E99"/>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5FB8"/>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2FA"/>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8E2"/>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B8E"/>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0FE"/>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52"/>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5D07"/>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4E9"/>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80"/>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0A"/>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6B11"/>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068"/>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3BAC"/>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DC4"/>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42"/>
    <w:rsid w:val="00340073"/>
    <w:rsid w:val="0034050B"/>
    <w:rsid w:val="00340B10"/>
    <w:rsid w:val="00341B6E"/>
    <w:rsid w:val="00342050"/>
    <w:rsid w:val="003420F9"/>
    <w:rsid w:val="003432FA"/>
    <w:rsid w:val="00343507"/>
    <w:rsid w:val="00343A52"/>
    <w:rsid w:val="00343BB9"/>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6C"/>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9F2"/>
    <w:rsid w:val="00374A8F"/>
    <w:rsid w:val="003755B3"/>
    <w:rsid w:val="003755DE"/>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40D"/>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EB3"/>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022"/>
    <w:rsid w:val="004B60D9"/>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3B7A"/>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0ED"/>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67646"/>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1D69"/>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E2"/>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1C98"/>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4E9"/>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1761"/>
    <w:rsid w:val="0065200A"/>
    <w:rsid w:val="006523C7"/>
    <w:rsid w:val="00652BA9"/>
    <w:rsid w:val="00652D41"/>
    <w:rsid w:val="00652E52"/>
    <w:rsid w:val="00652F59"/>
    <w:rsid w:val="0065332B"/>
    <w:rsid w:val="0065357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1B"/>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6F7E88"/>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4D3F"/>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731"/>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CFC"/>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90C"/>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C20"/>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7FA"/>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D37"/>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61A"/>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01A"/>
    <w:rsid w:val="008852AE"/>
    <w:rsid w:val="00885582"/>
    <w:rsid w:val="008858FE"/>
    <w:rsid w:val="00885E31"/>
    <w:rsid w:val="00885F57"/>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23"/>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D90"/>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92A"/>
    <w:rsid w:val="00997CAB"/>
    <w:rsid w:val="009A0166"/>
    <w:rsid w:val="009A082B"/>
    <w:rsid w:val="009A0F6E"/>
    <w:rsid w:val="009A16E5"/>
    <w:rsid w:val="009A1A9F"/>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60D"/>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183"/>
    <w:rsid w:val="00A36247"/>
    <w:rsid w:val="00A36324"/>
    <w:rsid w:val="00A36497"/>
    <w:rsid w:val="00A365BA"/>
    <w:rsid w:val="00A36CD9"/>
    <w:rsid w:val="00A36D75"/>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3FBB"/>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79"/>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07DF4"/>
    <w:rsid w:val="00B103D7"/>
    <w:rsid w:val="00B10921"/>
    <w:rsid w:val="00B114F0"/>
    <w:rsid w:val="00B11AC2"/>
    <w:rsid w:val="00B11EFB"/>
    <w:rsid w:val="00B123ED"/>
    <w:rsid w:val="00B13011"/>
    <w:rsid w:val="00B13118"/>
    <w:rsid w:val="00B13428"/>
    <w:rsid w:val="00B141CE"/>
    <w:rsid w:val="00B14CC4"/>
    <w:rsid w:val="00B14D0D"/>
    <w:rsid w:val="00B14DFF"/>
    <w:rsid w:val="00B1543E"/>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4C8"/>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29"/>
    <w:rsid w:val="00BD7CB3"/>
    <w:rsid w:val="00BE0853"/>
    <w:rsid w:val="00BE0F24"/>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01B"/>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0C"/>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0F34"/>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035"/>
    <w:rsid w:val="00C81169"/>
    <w:rsid w:val="00C8126F"/>
    <w:rsid w:val="00C8292C"/>
    <w:rsid w:val="00C83F8E"/>
    <w:rsid w:val="00C84820"/>
    <w:rsid w:val="00C84A0F"/>
    <w:rsid w:val="00C84FA0"/>
    <w:rsid w:val="00C85496"/>
    <w:rsid w:val="00C85513"/>
    <w:rsid w:val="00C859F9"/>
    <w:rsid w:val="00C85E79"/>
    <w:rsid w:val="00C85F26"/>
    <w:rsid w:val="00C860B7"/>
    <w:rsid w:val="00C86E3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618"/>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2865"/>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135"/>
    <w:rsid w:val="00D32AF3"/>
    <w:rsid w:val="00D32F2F"/>
    <w:rsid w:val="00D32F68"/>
    <w:rsid w:val="00D330D5"/>
    <w:rsid w:val="00D335C2"/>
    <w:rsid w:val="00D339B2"/>
    <w:rsid w:val="00D33C31"/>
    <w:rsid w:val="00D34457"/>
    <w:rsid w:val="00D348FF"/>
    <w:rsid w:val="00D34DC5"/>
    <w:rsid w:val="00D35257"/>
    <w:rsid w:val="00D35445"/>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0A5"/>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2C19"/>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6C1D"/>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838"/>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2E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4E48"/>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696"/>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CCE"/>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4902"/>
    <w:rsid w:val="00F45314"/>
    <w:rsid w:val="00F453C1"/>
    <w:rsid w:val="00F466FA"/>
    <w:rsid w:val="00F46CD1"/>
    <w:rsid w:val="00F46E7B"/>
    <w:rsid w:val="00F472A3"/>
    <w:rsid w:val="00F47402"/>
    <w:rsid w:val="00F47697"/>
    <w:rsid w:val="00F479AB"/>
    <w:rsid w:val="00F503C2"/>
    <w:rsid w:val="00F507C3"/>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E06"/>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Policepardfau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esma.europa.eu"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omments" Target="comments.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hyperlink" Target="https://www.ecb.europa.eu/paym/intro/publications/html/ecb.t2sar2022.en.html"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813189"/>
    <w:rsid w:val="008222A0"/>
    <w:rsid w:val="00836D47"/>
    <w:rsid w:val="00870701"/>
    <w:rsid w:val="009B6B9C"/>
    <w:rsid w:val="00B22006"/>
    <w:rsid w:val="00DC3796"/>
    <w:rsid w:val="00DC4211"/>
    <w:rsid w:val="00E30D56"/>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40</Pages>
  <Words>11286</Words>
  <Characters>62075</Characters>
  <Application>Microsoft Office Word</Application>
  <DocSecurity>8</DocSecurity>
  <Lines>517</Lines>
  <Paragraphs>146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73215</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Gael DAVID</cp:lastModifiedBy>
  <cp:revision>9</cp:revision>
  <cp:lastPrinted>2023-09-09T00:53:00Z</cp:lastPrinted>
  <dcterms:created xsi:type="dcterms:W3CDTF">2024-02-29T10:17:00Z</dcterms:created>
  <dcterms:modified xsi:type="dcterms:W3CDTF">2024-02-29T12:46:00Z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MSIP_Label_a401b303-ecb1-4a9d-936a-70858c2d9a3e_Enabled">
    <vt:lpwstr>true</vt:lpwstr>
  </property>
  <property fmtid="{D5CDD505-2E9C-101B-9397-08002B2CF9AE}" pid="16" name="MSIP_Label_a401b303-ecb1-4a9d-936a-70858c2d9a3e_SetDate">
    <vt:lpwstr>2024-02-28T16:34:25Z</vt:lpwstr>
  </property>
  <property fmtid="{D5CDD505-2E9C-101B-9397-08002B2CF9AE}" pid="17" name="MSIP_Label_a401b303-ecb1-4a9d-936a-70858c2d9a3e_Method">
    <vt:lpwstr>Privileged</vt:lpwstr>
  </property>
  <property fmtid="{D5CDD505-2E9C-101B-9397-08002B2CF9AE}" pid="18" name="MSIP_Label_a401b303-ecb1-4a9d-936a-70858c2d9a3e_Name">
    <vt:lpwstr>a401b303-ecb1-4a9d-936a-70858c2d9a3e</vt:lpwstr>
  </property>
  <property fmtid="{D5CDD505-2E9C-101B-9397-08002B2CF9AE}" pid="19" name="MSIP_Label_a401b303-ecb1-4a9d-936a-70858c2d9a3e_SiteId">
    <vt:lpwstr>c9a7d621-4bc4-4407-b730-f428e656aa9e</vt:lpwstr>
  </property>
  <property fmtid="{D5CDD505-2E9C-101B-9397-08002B2CF9AE}" pid="20" name="MSIP_Label_a401b303-ecb1-4a9d-936a-70858c2d9a3e_ActionId">
    <vt:lpwstr>83ff26cf-4bba-41a2-b17a-96788a60b21d</vt:lpwstr>
  </property>
  <property fmtid="{D5CDD505-2E9C-101B-9397-08002B2CF9AE}" pid="21" name="MSIP_Label_a401b303-ecb1-4a9d-936a-70858c2d9a3e_ContentBits">
    <vt:lpwstr>0</vt:lpwstr>
  </property>
  <property fmtid="{D5CDD505-2E9C-101B-9397-08002B2CF9AE}" pid="22" name="MSIP_Label_48ed5431-0ab7-4c1b-98f4-d4e50f674d02_Enabled">
    <vt:lpwstr>true</vt:lpwstr>
  </property>
  <property fmtid="{D5CDD505-2E9C-101B-9397-08002B2CF9AE}" pid="23" name="MSIP_Label_48ed5431-0ab7-4c1b-98f4-d4e50f674d02_SetDate">
    <vt:lpwstr>2024-02-29T08:58:53Z</vt:lpwstr>
  </property>
  <property fmtid="{D5CDD505-2E9C-101B-9397-08002B2CF9AE}" pid="24" name="MSIP_Label_48ed5431-0ab7-4c1b-98f4-d4e50f674d02_Method">
    <vt:lpwstr>Privileged</vt:lpwstr>
  </property>
  <property fmtid="{D5CDD505-2E9C-101B-9397-08002B2CF9AE}" pid="25" name="MSIP_Label_48ed5431-0ab7-4c1b-98f4-d4e50f674d02_Name">
    <vt:lpwstr>48ed5431-0ab7-4c1b-98f4-d4e50f674d02</vt:lpwstr>
  </property>
  <property fmtid="{D5CDD505-2E9C-101B-9397-08002B2CF9AE}" pid="26" name="MSIP_Label_48ed5431-0ab7-4c1b-98f4-d4e50f674d02_SiteId">
    <vt:lpwstr>614f9c25-bffa-42c7-86d8-964101f55fa2</vt:lpwstr>
  </property>
  <property fmtid="{D5CDD505-2E9C-101B-9397-08002B2CF9AE}" pid="27" name="MSIP_Label_48ed5431-0ab7-4c1b-98f4-d4e50f674d02_ActionId">
    <vt:lpwstr>0d22a9f5-6943-4e58-a388-c1a199fed07a</vt:lpwstr>
  </property>
  <property fmtid="{D5CDD505-2E9C-101B-9397-08002B2CF9AE}" pid="28" name="MSIP_Label_48ed5431-0ab7-4c1b-98f4-d4e50f674d02_ContentBits">
    <vt:lpwstr>0</vt:lpwstr>
  </property>
</Properties>
</file>