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3BC3FE60" w:rsidR="00635BCA" w:rsidRPr="00557BD2" w:rsidRDefault="00A6607D" w:rsidP="00D21C35">
                <w:r>
                  <w:t>European Fund and Asset Management Association (EFAMA)</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20211ADF" w:rsidR="00635BCA" w:rsidRPr="00557BD2" w:rsidRDefault="00A6607D"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64EB2CEA" w:rsidR="00635BCA" w:rsidRPr="00557BD2" w:rsidRDefault="00A6607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4BABDF63" w:rsidR="00635BCA" w:rsidRPr="00557BD2" w:rsidRDefault="00A6607D" w:rsidP="00D21C35">
                <w:r>
                  <w:t>Belgium</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73AA213C" w:rsidR="005171FF" w:rsidRDefault="00DE65AA" w:rsidP="005171FF">
      <w:pPr>
        <w:rPr>
          <w:b/>
          <w:bCs/>
        </w:rPr>
      </w:pPr>
      <w:permStart w:id="750397953" w:edGrp="everyone"/>
      <w:r w:rsidRPr="00DE65AA">
        <w:rPr>
          <w:b/>
          <w:bCs/>
        </w:rPr>
        <w:t>General remarks</w:t>
      </w:r>
    </w:p>
    <w:p w14:paraId="0711C0A9"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EFAMA is pleased to respond to the consultation on the CSDR Cash Penalty Mechanism</w:t>
      </w:r>
      <w:r w:rsidRPr="000005CC">
        <w:rPr>
          <w:rFonts w:ascii="Arial" w:hAnsi="Arial"/>
        </w:rPr>
        <w:t>.</w:t>
      </w:r>
      <w:r w:rsidRPr="000005CC">
        <w:rPr>
          <w:rFonts w:ascii="Arial" w:hAnsi="Arial"/>
          <w:lang w:val="en-US"/>
        </w:rPr>
        <w:t xml:space="preserve"> We believe there is room to improve the effectiveness and targeted nature of cash penalties and would like to contribute positively to this review. We </w:t>
      </w:r>
      <w:proofErr w:type="gramStart"/>
      <w:r w:rsidRPr="000005CC">
        <w:rPr>
          <w:rFonts w:ascii="Arial" w:hAnsi="Arial"/>
          <w:lang w:val="en-US"/>
        </w:rPr>
        <w:t>are however</w:t>
      </w:r>
      <w:proofErr w:type="gramEnd"/>
      <w:r w:rsidRPr="000005CC">
        <w:rPr>
          <w:rFonts w:ascii="Arial" w:hAnsi="Arial"/>
          <w:lang w:val="en-US"/>
        </w:rPr>
        <w:t xml:space="preserve"> left a little doubtful on the timing, as more conclusive data is only just becoming available.</w:t>
      </w:r>
    </w:p>
    <w:p w14:paraId="4F18BC4E"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The consultation paper mentions a more detailed impact analysis to be published at a later stage.  Data is also requested of CSDs on trends on settlement </w:t>
      </w:r>
      <w:proofErr w:type="gramStart"/>
      <w:r w:rsidRPr="000005CC">
        <w:rPr>
          <w:rFonts w:ascii="Arial" w:hAnsi="Arial"/>
          <w:lang w:val="en-US"/>
        </w:rPr>
        <w:t>fails</w:t>
      </w:r>
      <w:proofErr w:type="gramEnd"/>
      <w:r w:rsidRPr="000005CC">
        <w:rPr>
          <w:rFonts w:ascii="Arial" w:hAnsi="Arial"/>
          <w:lang w:val="en-US"/>
        </w:rPr>
        <w:t xml:space="preserve"> by asset class.  Finally, CSDs are also requested to provide breakdown of data on the level of cash penalties (value and number) by asset type. All stakeholders are also invited to provide views on the level of settlement </w:t>
      </w:r>
      <w:proofErr w:type="gramStart"/>
      <w:r w:rsidRPr="000005CC">
        <w:rPr>
          <w:rFonts w:ascii="Arial" w:hAnsi="Arial"/>
          <w:lang w:val="en-US"/>
        </w:rPr>
        <w:t>fails</w:t>
      </w:r>
      <w:proofErr w:type="gramEnd"/>
      <w:r w:rsidRPr="000005CC">
        <w:rPr>
          <w:rFonts w:ascii="Arial" w:hAnsi="Arial"/>
          <w:lang w:val="en-US"/>
        </w:rPr>
        <w:t xml:space="preserve"> by asset type that they consider appropriate.</w:t>
      </w:r>
    </w:p>
    <w:p w14:paraId="02FCDCEC"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Given the level of data still requested and the fact that appropriate settlement fail rates are still under consideration (and rightfully so), it seems premature to start considering blanket introduction of progressive rates.</w:t>
      </w:r>
    </w:p>
    <w:p w14:paraId="39B40262"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We have tried to compile datasets from various sources to understand the major settlement trends across asset classes.  There is a clear lack of a single source of data to rely on. Given that data is not </w:t>
      </w:r>
      <w:r w:rsidRPr="000005CC">
        <w:rPr>
          <w:rFonts w:ascii="Arial" w:hAnsi="Arial"/>
          <w:lang w:val="en-US"/>
        </w:rPr>
        <w:lastRenderedPageBreak/>
        <w:t>available from ESMA, it means that different market participants are looking at different data sources, making it difficult to make conclusions that are comparable and reliable.</w:t>
      </w:r>
    </w:p>
    <w:p w14:paraId="49CC295E"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This is further complicated by the fact that even the ESMA TRV data is difficult to compare across quarters, as the methodology has recently been revised.</w:t>
      </w:r>
      <w:r w:rsidRPr="000005CC">
        <w:rPr>
          <w:rStyle w:val="FootnoteReference"/>
          <w:rFonts w:ascii="Arial" w:hAnsi="Arial"/>
          <w:lang w:val="en-US"/>
        </w:rPr>
        <w:footnoteReference w:id="2"/>
      </w:r>
    </w:p>
    <w:p w14:paraId="385BDBBB"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Where we have had access to </w:t>
      </w:r>
      <w:proofErr w:type="gramStart"/>
      <w:r w:rsidRPr="000005CC">
        <w:rPr>
          <w:rFonts w:ascii="Arial" w:hAnsi="Arial"/>
          <w:lang w:val="en-US"/>
        </w:rPr>
        <w:t>data</w:t>
      </w:r>
      <w:proofErr w:type="gramEnd"/>
      <w:r w:rsidRPr="000005CC">
        <w:rPr>
          <w:rFonts w:ascii="Arial" w:hAnsi="Arial"/>
          <w:lang w:val="en-US"/>
        </w:rPr>
        <w:t xml:space="preserve"> we note that there is significant improvement </w:t>
      </w:r>
      <w:proofErr w:type="gramStart"/>
      <w:r w:rsidRPr="000005CC">
        <w:rPr>
          <w:rFonts w:ascii="Arial" w:hAnsi="Arial"/>
          <w:lang w:val="en-US"/>
        </w:rPr>
        <w:t>on</w:t>
      </w:r>
      <w:proofErr w:type="gramEnd"/>
      <w:r w:rsidRPr="000005CC">
        <w:rPr>
          <w:rFonts w:ascii="Arial" w:hAnsi="Arial"/>
          <w:lang w:val="en-US"/>
        </w:rPr>
        <w:t xml:space="preserve"> settlement fail rates in the second half of 2023. This points to the earlier quarters being less reliable given that a) H1 2022 the system was not stable yet and coincided with high market volatility b) on the </w:t>
      </w:r>
      <w:proofErr w:type="spellStart"/>
      <w:r w:rsidRPr="000005CC">
        <w:rPr>
          <w:rFonts w:ascii="Arial" w:hAnsi="Arial"/>
          <w:lang w:val="en-US"/>
        </w:rPr>
        <w:t>behavioural</w:t>
      </w:r>
      <w:proofErr w:type="spellEnd"/>
      <w:r w:rsidRPr="000005CC">
        <w:rPr>
          <w:rFonts w:ascii="Arial" w:hAnsi="Arial"/>
          <w:lang w:val="en-US"/>
        </w:rPr>
        <w:t xml:space="preserve"> side, there is a time lag between when a participant is facing high penalties and when decisions are made to upgrade </w:t>
      </w:r>
      <w:proofErr w:type="gramStart"/>
      <w:r w:rsidRPr="000005CC">
        <w:rPr>
          <w:rFonts w:ascii="Arial" w:hAnsi="Arial"/>
          <w:lang w:val="en-US"/>
        </w:rPr>
        <w:t>systems  and</w:t>
      </w:r>
      <w:proofErr w:type="gramEnd"/>
      <w:r w:rsidRPr="000005CC">
        <w:rPr>
          <w:rFonts w:ascii="Arial" w:hAnsi="Arial"/>
          <w:lang w:val="en-US"/>
        </w:rPr>
        <w:t xml:space="preserve">/or instill new processes to avoid </w:t>
      </w:r>
      <w:proofErr w:type="gramStart"/>
      <w:r w:rsidRPr="000005CC">
        <w:rPr>
          <w:rFonts w:ascii="Arial" w:hAnsi="Arial"/>
          <w:lang w:val="en-US"/>
        </w:rPr>
        <w:t>fails</w:t>
      </w:r>
      <w:proofErr w:type="gramEnd"/>
      <w:r w:rsidRPr="000005CC">
        <w:rPr>
          <w:rFonts w:ascii="Arial" w:hAnsi="Arial"/>
          <w:lang w:val="en-US"/>
        </w:rPr>
        <w:t>.</w:t>
      </w:r>
    </w:p>
    <w:p w14:paraId="370973F2"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We would feel more comfortable commenting on further calibration of cash penalties if there was a more reliable and significant look back period to base our recommendations on.  </w:t>
      </w:r>
    </w:p>
    <w:p w14:paraId="00B1CAAF"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In summary </w:t>
      </w:r>
      <w:proofErr w:type="gramStart"/>
      <w:r w:rsidRPr="000005CC">
        <w:rPr>
          <w:rFonts w:ascii="Arial" w:hAnsi="Arial"/>
          <w:lang w:val="en-US"/>
        </w:rPr>
        <w:t>to</w:t>
      </w:r>
      <w:proofErr w:type="gramEnd"/>
      <w:r w:rsidRPr="000005CC">
        <w:rPr>
          <w:rFonts w:ascii="Arial" w:hAnsi="Arial"/>
          <w:lang w:val="en-US"/>
        </w:rPr>
        <w:t xml:space="preserve"> the current consultation questions, we can share the following high-level remarks:</w:t>
      </w:r>
    </w:p>
    <w:p w14:paraId="3FB93ECA" w14:textId="77777777" w:rsidR="00474655" w:rsidRPr="000005CC" w:rsidRDefault="00474655" w:rsidP="00474655">
      <w:pPr>
        <w:pStyle w:val="NormalWeb"/>
        <w:numPr>
          <w:ilvl w:val="0"/>
          <w:numId w:val="18"/>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We believe that careful analysis of all the data available should precede any discussion on alternative methods for calculating cash penalties.  </w:t>
      </w:r>
    </w:p>
    <w:p w14:paraId="40AAB376" w14:textId="77777777" w:rsidR="00474655" w:rsidRPr="000005CC" w:rsidRDefault="00474655" w:rsidP="00474655">
      <w:pPr>
        <w:pStyle w:val="NormalWeb"/>
        <w:numPr>
          <w:ilvl w:val="0"/>
          <w:numId w:val="18"/>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There should also first be </w:t>
      </w:r>
      <w:proofErr w:type="gramStart"/>
      <w:r w:rsidRPr="000005CC">
        <w:rPr>
          <w:rFonts w:ascii="Arial" w:hAnsi="Arial"/>
          <w:lang w:val="en-US"/>
        </w:rPr>
        <w:t>a general consensus</w:t>
      </w:r>
      <w:proofErr w:type="gramEnd"/>
      <w:r w:rsidRPr="000005CC">
        <w:rPr>
          <w:rFonts w:ascii="Arial" w:hAnsi="Arial"/>
          <w:lang w:val="en-US"/>
        </w:rPr>
        <w:t xml:space="preserve"> on the appropriate level of </w:t>
      </w:r>
      <w:proofErr w:type="gramStart"/>
      <w:r w:rsidRPr="000005CC">
        <w:rPr>
          <w:rFonts w:ascii="Arial" w:hAnsi="Arial"/>
          <w:lang w:val="en-US"/>
        </w:rPr>
        <w:t>fails</w:t>
      </w:r>
      <w:proofErr w:type="gramEnd"/>
      <w:r w:rsidRPr="000005CC">
        <w:rPr>
          <w:rFonts w:ascii="Arial" w:hAnsi="Arial"/>
          <w:lang w:val="en-US"/>
        </w:rPr>
        <w:t xml:space="preserve"> per asset and transaction type, before attempting to amend cash penalties calculations. In the absence of agreed hard values, the trends observed since </w:t>
      </w:r>
      <w:proofErr w:type="gramStart"/>
      <w:r w:rsidRPr="000005CC">
        <w:rPr>
          <w:rFonts w:ascii="Arial" w:hAnsi="Arial"/>
          <w:lang w:val="en-US"/>
        </w:rPr>
        <w:t>introduction</w:t>
      </w:r>
      <w:proofErr w:type="gramEnd"/>
      <w:r w:rsidRPr="000005CC">
        <w:rPr>
          <w:rFonts w:ascii="Arial" w:hAnsi="Arial"/>
          <w:lang w:val="en-US"/>
        </w:rPr>
        <w:t xml:space="preserve"> of CPs can be relied on.</w:t>
      </w:r>
    </w:p>
    <w:p w14:paraId="6FB38045" w14:textId="77777777" w:rsidR="00474655" w:rsidRPr="000005CC" w:rsidRDefault="00474655" w:rsidP="00474655">
      <w:pPr>
        <w:pStyle w:val="NormalWeb"/>
        <w:numPr>
          <w:ilvl w:val="0"/>
          <w:numId w:val="18"/>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Where settlement fails are known to be higher, a first level of analysis should establish whether fails are attributable to </w:t>
      </w:r>
      <w:proofErr w:type="spellStart"/>
      <w:r w:rsidRPr="000005CC">
        <w:rPr>
          <w:rFonts w:ascii="Arial" w:hAnsi="Arial"/>
          <w:lang w:val="en-US"/>
        </w:rPr>
        <w:t>behavio</w:t>
      </w:r>
      <w:r>
        <w:rPr>
          <w:rFonts w:ascii="Arial" w:hAnsi="Arial"/>
          <w:lang w:val="en-US"/>
        </w:rPr>
        <w:t>u</w:t>
      </w:r>
      <w:r w:rsidRPr="000005CC">
        <w:rPr>
          <w:rFonts w:ascii="Arial" w:hAnsi="Arial"/>
          <w:lang w:val="en-US"/>
        </w:rPr>
        <w:t>r</w:t>
      </w:r>
      <w:proofErr w:type="spellEnd"/>
      <w:r w:rsidRPr="000005CC">
        <w:rPr>
          <w:rFonts w:ascii="Arial" w:hAnsi="Arial"/>
          <w:lang w:val="en-US"/>
        </w:rPr>
        <w:t xml:space="preserve"> of market participants (and therefore to be addressed by cash penalties), or whether these are a function of structural issues which may require either a different view on desired settlement fail rates, or other types of mitigating measures (but not penalties), or both.</w:t>
      </w:r>
    </w:p>
    <w:p w14:paraId="544CBF11" w14:textId="77777777" w:rsidR="00474655" w:rsidRPr="000005CC" w:rsidRDefault="00474655" w:rsidP="00474655">
      <w:pPr>
        <w:pStyle w:val="NormalWeb"/>
        <w:numPr>
          <w:ilvl w:val="0"/>
          <w:numId w:val="18"/>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Another priority should be to understand the root cause of different types of </w:t>
      </w:r>
      <w:proofErr w:type="gramStart"/>
      <w:r w:rsidRPr="000005CC">
        <w:rPr>
          <w:rFonts w:ascii="Arial" w:hAnsi="Arial"/>
          <w:lang w:val="en-US"/>
        </w:rPr>
        <w:t>fails</w:t>
      </w:r>
      <w:proofErr w:type="gramEnd"/>
      <w:r w:rsidRPr="000005CC">
        <w:rPr>
          <w:rFonts w:ascii="Arial" w:hAnsi="Arial"/>
          <w:lang w:val="en-US"/>
        </w:rPr>
        <w:t xml:space="preserve">, and only propose progressive or higher rates in the strictest targeted manner, where there is a clear case for improving </w:t>
      </w:r>
      <w:proofErr w:type="spellStart"/>
      <w:r w:rsidRPr="000005CC">
        <w:rPr>
          <w:rFonts w:ascii="Arial" w:hAnsi="Arial"/>
          <w:lang w:val="en-US"/>
        </w:rPr>
        <w:t>behavio</w:t>
      </w:r>
      <w:r>
        <w:rPr>
          <w:rFonts w:ascii="Arial" w:hAnsi="Arial"/>
          <w:lang w:val="en-US"/>
        </w:rPr>
        <w:t>u</w:t>
      </w:r>
      <w:r w:rsidRPr="000005CC">
        <w:rPr>
          <w:rFonts w:ascii="Arial" w:hAnsi="Arial"/>
          <w:lang w:val="en-US"/>
        </w:rPr>
        <w:t>r</w:t>
      </w:r>
      <w:proofErr w:type="spellEnd"/>
      <w:r w:rsidRPr="000005CC">
        <w:rPr>
          <w:rFonts w:ascii="Arial" w:hAnsi="Arial"/>
          <w:lang w:val="en-US"/>
        </w:rPr>
        <w:t>.</w:t>
      </w:r>
    </w:p>
    <w:p w14:paraId="1F4ACD83" w14:textId="77777777" w:rsidR="00474655" w:rsidRPr="000005CC" w:rsidRDefault="00474655" w:rsidP="00474655">
      <w:pPr>
        <w:pStyle w:val="NormalWeb"/>
        <w:numPr>
          <w:ilvl w:val="0"/>
          <w:numId w:val="18"/>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Blanket introduction of progressive rates across asset types (even if differentiated) will introduce operational complexity and cost of implementation, with possibly no impact on </w:t>
      </w:r>
      <w:proofErr w:type="gramStart"/>
      <w:r w:rsidRPr="000005CC">
        <w:rPr>
          <w:rFonts w:ascii="Arial" w:hAnsi="Arial"/>
          <w:lang w:val="en-US"/>
        </w:rPr>
        <w:t>fails</w:t>
      </w:r>
      <w:proofErr w:type="gramEnd"/>
      <w:r w:rsidRPr="000005CC">
        <w:rPr>
          <w:rFonts w:ascii="Arial" w:hAnsi="Arial"/>
          <w:lang w:val="en-US"/>
        </w:rPr>
        <w:t xml:space="preserve"> if these are due to structural issues.</w:t>
      </w:r>
    </w:p>
    <w:p w14:paraId="13BAE85E" w14:textId="77777777" w:rsidR="00474655" w:rsidRPr="000005CC" w:rsidRDefault="00474655" w:rsidP="00474655">
      <w:pPr>
        <w:pStyle w:val="NormalWeb"/>
        <w:numPr>
          <w:ilvl w:val="0"/>
          <w:numId w:val="18"/>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The high rates proposed in the progressive rates model (600% or higher in some cases) could distort the market by reducing liquidity.  This would impede rather than improve the smooth and orderly functioning of markets. </w:t>
      </w:r>
    </w:p>
    <w:p w14:paraId="04712675" w14:textId="77777777" w:rsidR="00474655" w:rsidRPr="000005CC" w:rsidRDefault="00474655" w:rsidP="00474655">
      <w:pPr>
        <w:pStyle w:val="NormalWeb"/>
        <w:numPr>
          <w:ilvl w:val="0"/>
          <w:numId w:val="18"/>
        </w:numPr>
        <w:spacing w:before="0" w:beforeAutospacing="0" w:after="240" w:afterAutospacing="0" w:line="276" w:lineRule="auto"/>
        <w:ind w:left="360"/>
        <w:jc w:val="both"/>
        <w:rPr>
          <w:rFonts w:ascii="Arial" w:hAnsi="Arial"/>
          <w:lang w:val="en-US"/>
        </w:rPr>
      </w:pPr>
      <w:r w:rsidRPr="000005CC">
        <w:rPr>
          <w:rFonts w:ascii="Arial" w:hAnsi="Arial"/>
          <w:b/>
          <w:bCs/>
          <w:lang w:val="en-US"/>
        </w:rPr>
        <w:lastRenderedPageBreak/>
        <w:t>Positive impacts of US T1 migration</w:t>
      </w:r>
      <w:r w:rsidRPr="000005CC">
        <w:rPr>
          <w:rFonts w:ascii="Arial" w:hAnsi="Arial"/>
          <w:lang w:val="en-US"/>
        </w:rPr>
        <w:t xml:space="preserve">- market participants in the EU have undertaken investments into systems and processes to support confirmation/allocation and affirmation of US security trades on a T+1 basis.  Some of </w:t>
      </w:r>
      <w:proofErr w:type="gramStart"/>
      <w:r w:rsidRPr="000005CC">
        <w:rPr>
          <w:rFonts w:ascii="Arial" w:hAnsi="Arial"/>
          <w:lang w:val="en-US"/>
        </w:rPr>
        <w:t>this operational uplift</w:t>
      </w:r>
      <w:proofErr w:type="gramEnd"/>
      <w:r w:rsidRPr="000005CC">
        <w:rPr>
          <w:rFonts w:ascii="Arial" w:hAnsi="Arial"/>
          <w:lang w:val="en-US"/>
        </w:rPr>
        <w:t xml:space="preserve"> could improve settlement fail rates in the EU also.  This is another important impact that is still working through firms and has yet to be reflected in the settlement </w:t>
      </w:r>
      <w:proofErr w:type="gramStart"/>
      <w:r w:rsidRPr="000005CC">
        <w:rPr>
          <w:rFonts w:ascii="Arial" w:hAnsi="Arial"/>
          <w:lang w:val="en-US"/>
        </w:rPr>
        <w:t>fail</w:t>
      </w:r>
      <w:proofErr w:type="gramEnd"/>
      <w:r w:rsidRPr="000005CC">
        <w:rPr>
          <w:rFonts w:ascii="Arial" w:hAnsi="Arial"/>
          <w:lang w:val="en-US"/>
        </w:rPr>
        <w:t xml:space="preserve"> data. </w:t>
      </w:r>
    </w:p>
    <w:p w14:paraId="03DD14D9" w14:textId="77777777" w:rsidR="00474655" w:rsidRPr="000005CC" w:rsidRDefault="00474655" w:rsidP="00474655">
      <w:pPr>
        <w:pStyle w:val="NormalWeb"/>
        <w:numPr>
          <w:ilvl w:val="0"/>
          <w:numId w:val="19"/>
        </w:numPr>
        <w:spacing w:before="0" w:beforeAutospacing="0" w:after="240" w:afterAutospacing="0" w:line="276" w:lineRule="auto"/>
        <w:ind w:left="360"/>
        <w:jc w:val="both"/>
        <w:rPr>
          <w:rFonts w:ascii="Arial" w:hAnsi="Arial"/>
          <w:lang w:val="en-US"/>
        </w:rPr>
      </w:pPr>
      <w:r w:rsidRPr="000005CC">
        <w:rPr>
          <w:rFonts w:ascii="Arial" w:hAnsi="Arial"/>
          <w:b/>
          <w:bCs/>
          <w:lang w:val="en-US"/>
        </w:rPr>
        <w:t>Actionably avoidable</w:t>
      </w:r>
      <w:r w:rsidRPr="000005CC">
        <w:rPr>
          <w:rFonts w:ascii="Arial" w:hAnsi="Arial"/>
          <w:lang w:val="en-US"/>
        </w:rPr>
        <w:t xml:space="preserve">- we believe that this is a worthwhile concept that merits further analysis.  </w:t>
      </w:r>
      <w:proofErr w:type="gramStart"/>
      <w:r w:rsidRPr="000005CC">
        <w:rPr>
          <w:rFonts w:ascii="Arial" w:hAnsi="Arial"/>
          <w:lang w:val="en-US"/>
        </w:rPr>
        <w:t>Indeed</w:t>
      </w:r>
      <w:proofErr w:type="gramEnd"/>
      <w:r w:rsidRPr="000005CC">
        <w:rPr>
          <w:rFonts w:ascii="Arial" w:hAnsi="Arial"/>
          <w:lang w:val="en-US"/>
        </w:rPr>
        <w:t xml:space="preserve"> not all settlement </w:t>
      </w:r>
      <w:proofErr w:type="gramStart"/>
      <w:r w:rsidRPr="000005CC">
        <w:rPr>
          <w:rFonts w:ascii="Arial" w:hAnsi="Arial"/>
          <w:lang w:val="en-US"/>
        </w:rPr>
        <w:t>fails</w:t>
      </w:r>
      <w:proofErr w:type="gramEnd"/>
      <w:r w:rsidRPr="000005CC">
        <w:rPr>
          <w:rFonts w:ascii="Arial" w:hAnsi="Arial"/>
          <w:lang w:val="en-US"/>
        </w:rPr>
        <w:t xml:space="preserve"> are equally avoidable, and flexibility where appropriate in the penalty mechanism should be allowed.</w:t>
      </w:r>
    </w:p>
    <w:p w14:paraId="5375811A" w14:textId="77777777" w:rsidR="00474655" w:rsidRPr="000005CC" w:rsidRDefault="00474655" w:rsidP="00474655">
      <w:pPr>
        <w:pStyle w:val="NormalWeb"/>
        <w:spacing w:before="0" w:beforeAutospacing="0" w:after="240" w:afterAutospacing="0" w:line="276" w:lineRule="auto"/>
        <w:ind w:left="360"/>
        <w:jc w:val="both"/>
        <w:rPr>
          <w:rFonts w:ascii="Arial" w:hAnsi="Arial"/>
          <w:b/>
          <w:bCs/>
          <w:lang w:val="en-US"/>
        </w:rPr>
      </w:pPr>
      <w:r w:rsidRPr="000005CC">
        <w:rPr>
          <w:rFonts w:ascii="Arial" w:hAnsi="Arial"/>
          <w:b/>
          <w:bCs/>
          <w:lang w:val="en-US"/>
        </w:rPr>
        <w:t>Minimum cash penalties- Rather than introduce a blanket increase in flat penalty rates, we believe that a proportionate approach to minimizing operational burdens while preserving the deterrent impact of cash penalties would be to introduce a de-minimis value below which the CSD does not post penalties/credits.  Under this approach, any penalties that are calculated by the CSD that come in below a designated threshold, would not be posted and passed on the settlement chain.  The CSD cou</w:t>
      </w:r>
      <w:r>
        <w:rPr>
          <w:rFonts w:ascii="Arial" w:hAnsi="Arial"/>
          <w:b/>
          <w:bCs/>
          <w:lang w:val="en-US"/>
        </w:rPr>
        <w:t>l</w:t>
      </w:r>
      <w:r w:rsidRPr="000005CC">
        <w:rPr>
          <w:rFonts w:ascii="Arial" w:hAnsi="Arial"/>
          <w:b/>
          <w:bCs/>
          <w:lang w:val="en-US"/>
        </w:rPr>
        <w:t>d still report on the ‘penalties’/fails that fall below the threshold without passing them on.</w:t>
      </w:r>
    </w:p>
    <w:p w14:paraId="5DE6AC18" w14:textId="77777777" w:rsidR="00474655" w:rsidRPr="000005CC" w:rsidRDefault="00474655" w:rsidP="00474655">
      <w:pPr>
        <w:pStyle w:val="NormalWeb"/>
        <w:spacing w:before="0" w:beforeAutospacing="0" w:after="240" w:afterAutospacing="0" w:line="276" w:lineRule="auto"/>
        <w:ind w:firstLine="360"/>
        <w:jc w:val="both"/>
        <w:rPr>
          <w:rFonts w:ascii="Arial" w:hAnsi="Arial"/>
        </w:rPr>
      </w:pPr>
      <w:r w:rsidRPr="000005CC">
        <w:rPr>
          <w:rFonts w:ascii="Arial" w:hAnsi="Arial"/>
        </w:rPr>
        <w:t>One large asset manager provided telling figures on a potential threshold.</w:t>
      </w:r>
    </w:p>
    <w:p w14:paraId="7564F2E7" w14:textId="77777777" w:rsidR="00474655" w:rsidRPr="000005CC" w:rsidRDefault="00474655" w:rsidP="00474655">
      <w:pPr>
        <w:pStyle w:val="NormalWeb"/>
        <w:spacing w:before="0" w:beforeAutospacing="0" w:after="240" w:afterAutospacing="0" w:line="276" w:lineRule="auto"/>
        <w:ind w:left="360"/>
        <w:jc w:val="both"/>
        <w:rPr>
          <w:rFonts w:ascii="Arial" w:hAnsi="Arial"/>
        </w:rPr>
      </w:pPr>
      <w:r w:rsidRPr="000005CC">
        <w:rPr>
          <w:rFonts w:ascii="Arial" w:hAnsi="Arial"/>
        </w:rPr>
        <w:t xml:space="preserve">88% of the credits received were below 500USD, and together they represented 17% of the overall value of all </w:t>
      </w:r>
      <w:proofErr w:type="gramStart"/>
      <w:r w:rsidRPr="000005CC">
        <w:rPr>
          <w:rFonts w:ascii="Arial" w:hAnsi="Arial"/>
        </w:rPr>
        <w:t>penalties</w:t>
      </w:r>
      <w:proofErr w:type="gramEnd"/>
    </w:p>
    <w:p w14:paraId="3CC76E1F" w14:textId="77777777" w:rsidR="00474655" w:rsidRPr="000005CC" w:rsidRDefault="00474655" w:rsidP="00474655">
      <w:pPr>
        <w:pStyle w:val="NormalWeb"/>
        <w:spacing w:before="0" w:beforeAutospacing="0" w:after="240" w:afterAutospacing="0" w:line="276" w:lineRule="auto"/>
        <w:ind w:left="360"/>
        <w:jc w:val="both"/>
        <w:rPr>
          <w:rFonts w:ascii="Arial" w:hAnsi="Arial"/>
        </w:rPr>
      </w:pPr>
      <w:r w:rsidRPr="000005CC">
        <w:rPr>
          <w:rFonts w:ascii="Arial" w:hAnsi="Arial"/>
        </w:rPr>
        <w:t>12% of the credits received were above 500USD, but they represented 83% of the overall value of all penalties.</w:t>
      </w:r>
    </w:p>
    <w:p w14:paraId="49D86BCF" w14:textId="77777777" w:rsidR="00474655" w:rsidRPr="000005CC" w:rsidRDefault="00474655" w:rsidP="00474655">
      <w:pPr>
        <w:pStyle w:val="NormalWeb"/>
        <w:spacing w:before="0" w:beforeAutospacing="0" w:after="240" w:afterAutospacing="0" w:line="276" w:lineRule="auto"/>
        <w:ind w:left="360"/>
        <w:jc w:val="both"/>
        <w:rPr>
          <w:rFonts w:ascii="Arial" w:hAnsi="Arial"/>
        </w:rPr>
      </w:pPr>
      <w:r w:rsidRPr="000005CC">
        <w:rPr>
          <w:rFonts w:ascii="Arial" w:hAnsi="Arial"/>
        </w:rPr>
        <w:t>This type of data point suggests that a threshold would have minimal impact on the deterrent aspect of cash penalties while reducing unnecessary operational burden.</w:t>
      </w:r>
    </w:p>
    <w:p w14:paraId="0EACC828" w14:textId="77777777" w:rsidR="00474655" w:rsidRPr="00474655" w:rsidRDefault="00474655" w:rsidP="00474655">
      <w:pPr>
        <w:pStyle w:val="Heading2"/>
        <w:numPr>
          <w:ilvl w:val="0"/>
          <w:numId w:val="0"/>
        </w:numPr>
        <w:rPr>
          <w:rFonts w:ascii="Arial" w:eastAsia="Times New Roman" w:hAnsi="Arial" w:cs="Arial"/>
          <w:bCs/>
          <w:color w:val="auto"/>
          <w:sz w:val="22"/>
          <w:szCs w:val="22"/>
          <w:lang w:val="en-BE" w:eastAsia="en-GB"/>
        </w:rPr>
      </w:pPr>
      <w:r w:rsidRPr="00474655">
        <w:rPr>
          <w:rFonts w:ascii="Arial" w:eastAsia="Times New Roman" w:hAnsi="Arial" w:cs="Arial"/>
          <w:bCs/>
          <w:color w:val="auto"/>
          <w:sz w:val="22"/>
          <w:szCs w:val="22"/>
          <w:lang w:val="en-BE" w:eastAsia="en-GB"/>
        </w:rPr>
        <w:t xml:space="preserve">Data </w:t>
      </w:r>
    </w:p>
    <w:p w14:paraId="158765D9"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rPr>
        <w:t xml:space="preserve">We would </w:t>
      </w:r>
      <w:r w:rsidRPr="000005CC">
        <w:rPr>
          <w:rFonts w:ascii="Arial" w:hAnsi="Arial"/>
          <w:lang w:val="en-US"/>
        </w:rPr>
        <w:t>appreciate access to the</w:t>
      </w:r>
      <w:r w:rsidRPr="000005CC">
        <w:rPr>
          <w:rFonts w:ascii="Arial" w:hAnsi="Arial"/>
        </w:rPr>
        <w:t xml:space="preserve"> full data</w:t>
      </w:r>
      <w:r w:rsidRPr="000005CC">
        <w:rPr>
          <w:rFonts w:ascii="Arial" w:hAnsi="Arial"/>
          <w:lang w:val="en-US"/>
        </w:rPr>
        <w:t>set</w:t>
      </w:r>
      <w:r w:rsidRPr="000005CC">
        <w:rPr>
          <w:rFonts w:ascii="Arial" w:hAnsi="Arial"/>
        </w:rPr>
        <w:t xml:space="preserve"> that ESMA </w:t>
      </w:r>
      <w:r w:rsidRPr="000005CC">
        <w:rPr>
          <w:rFonts w:ascii="Arial" w:hAnsi="Arial"/>
          <w:lang w:val="en-US"/>
        </w:rPr>
        <w:t>has compiled and is basing its recommendations on</w:t>
      </w:r>
      <w:r w:rsidRPr="000005CC">
        <w:rPr>
          <w:rFonts w:ascii="Arial" w:hAnsi="Arial"/>
        </w:rPr>
        <w:t>.</w:t>
      </w:r>
      <w:r w:rsidRPr="000005CC">
        <w:rPr>
          <w:rFonts w:ascii="Arial" w:hAnsi="Arial"/>
          <w:lang w:val="en-US"/>
        </w:rPr>
        <w:t xml:space="preserve">  Ideally, a ‘golden source’ of data should be delivered from the CSDs to ESMA, and this data should be publicly available.  This data should be more granular in terms of transaction and instrument type enabling in-depth assessment of the root causes of settlement </w:t>
      </w:r>
      <w:proofErr w:type="gramStart"/>
      <w:r w:rsidRPr="000005CC">
        <w:rPr>
          <w:rFonts w:ascii="Arial" w:hAnsi="Arial"/>
          <w:lang w:val="en-US"/>
        </w:rPr>
        <w:t>fails</w:t>
      </w:r>
      <w:proofErr w:type="gramEnd"/>
      <w:r w:rsidRPr="000005CC">
        <w:rPr>
          <w:rFonts w:ascii="Arial" w:hAnsi="Arial"/>
          <w:lang w:val="en-US"/>
        </w:rPr>
        <w:t>.</w:t>
      </w:r>
    </w:p>
    <w:p w14:paraId="065AFBF8"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Any reform of the cash penalties framework should only be explored if first an assessment has been undertaken to isolate </w:t>
      </w:r>
      <w:proofErr w:type="gramStart"/>
      <w:r w:rsidRPr="000005CC">
        <w:rPr>
          <w:rFonts w:ascii="Arial" w:hAnsi="Arial"/>
          <w:lang w:val="en-US"/>
        </w:rPr>
        <w:t>fails</w:t>
      </w:r>
      <w:proofErr w:type="gramEnd"/>
      <w:r w:rsidRPr="000005CC">
        <w:rPr>
          <w:rFonts w:ascii="Arial" w:hAnsi="Arial"/>
          <w:lang w:val="en-US"/>
        </w:rPr>
        <w:t xml:space="preserve"> due to:</w:t>
      </w:r>
    </w:p>
    <w:p w14:paraId="6B810D2B" w14:textId="77777777" w:rsidR="00474655" w:rsidRPr="000005CC" w:rsidRDefault="00474655" w:rsidP="00474655">
      <w:pPr>
        <w:pStyle w:val="NormalWeb"/>
        <w:numPr>
          <w:ilvl w:val="0"/>
          <w:numId w:val="21"/>
        </w:numPr>
        <w:spacing w:before="0" w:beforeAutospacing="0" w:after="240" w:afterAutospacing="0" w:line="276" w:lineRule="auto"/>
        <w:jc w:val="both"/>
        <w:rPr>
          <w:rFonts w:ascii="Arial" w:hAnsi="Arial"/>
          <w:lang w:val="en-US"/>
        </w:rPr>
      </w:pPr>
      <w:r w:rsidRPr="000005CC">
        <w:rPr>
          <w:rFonts w:ascii="Arial" w:hAnsi="Arial"/>
          <w:lang w:val="en-US"/>
        </w:rPr>
        <w:t>Structural causes (market fragmentation, market liquidity, cross-border cut-offs, inability to realign positions between different CSDs, market stress conditions)</w:t>
      </w:r>
    </w:p>
    <w:p w14:paraId="50E30DAD" w14:textId="77777777" w:rsidR="00474655" w:rsidRPr="000005CC" w:rsidRDefault="00474655" w:rsidP="00474655">
      <w:pPr>
        <w:pStyle w:val="NormalWeb"/>
        <w:numPr>
          <w:ilvl w:val="0"/>
          <w:numId w:val="21"/>
        </w:numPr>
        <w:spacing w:before="0" w:beforeAutospacing="0" w:after="240" w:afterAutospacing="0" w:line="276" w:lineRule="auto"/>
        <w:jc w:val="both"/>
        <w:rPr>
          <w:rFonts w:ascii="Arial" w:hAnsi="Arial"/>
          <w:lang w:val="en-US"/>
        </w:rPr>
      </w:pPr>
      <w:proofErr w:type="spellStart"/>
      <w:r w:rsidRPr="000005CC">
        <w:rPr>
          <w:rFonts w:ascii="Arial" w:hAnsi="Arial"/>
          <w:lang w:val="en-US"/>
        </w:rPr>
        <w:t>Behavioural</w:t>
      </w:r>
      <w:proofErr w:type="spellEnd"/>
      <w:r w:rsidRPr="000005CC">
        <w:rPr>
          <w:rFonts w:ascii="Arial" w:hAnsi="Arial"/>
          <w:lang w:val="en-US"/>
        </w:rPr>
        <w:t xml:space="preserve"> reasons (problems with SSIs: late instructions, errors due to manual processes, missing securities on broker side and broker opting to fail)</w:t>
      </w:r>
    </w:p>
    <w:p w14:paraId="319084C8"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lastRenderedPageBreak/>
        <w:t>Based on available data, we are observing positive trends, reported in the ESMA VRT on corporate bonds and equity instruments.</w:t>
      </w:r>
    </w:p>
    <w:p w14:paraId="1042CBD2"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It is important that any further calibration of cash penalties avoids a catch-all scenario</w:t>
      </w:r>
      <w:r>
        <w:rPr>
          <w:rFonts w:ascii="Arial" w:hAnsi="Arial"/>
          <w:lang w:val="en-US"/>
        </w:rPr>
        <w:t>.</w:t>
      </w:r>
    </w:p>
    <w:p w14:paraId="6D91DEA0"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We agree in principle that ETFs should be treated as a separate category.</w:t>
      </w:r>
    </w:p>
    <w:p w14:paraId="101687D4"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For ETFs, we should be asking what is the underlying exposure? Some of the underlying securities are </w:t>
      </w:r>
      <w:proofErr w:type="gramStart"/>
      <w:r w:rsidRPr="000005CC">
        <w:rPr>
          <w:rFonts w:ascii="Arial" w:hAnsi="Arial"/>
          <w:lang w:val="en-US"/>
        </w:rPr>
        <w:t>more or less liquid</w:t>
      </w:r>
      <w:proofErr w:type="gramEnd"/>
      <w:r w:rsidRPr="000005CC">
        <w:rPr>
          <w:rFonts w:ascii="Arial" w:hAnsi="Arial"/>
          <w:lang w:val="en-US"/>
        </w:rPr>
        <w:t xml:space="preserve">.  Any change to the framework that treats ETFs as a standalone </w:t>
      </w:r>
      <w:proofErr w:type="gramStart"/>
      <w:r w:rsidRPr="000005CC">
        <w:rPr>
          <w:rFonts w:ascii="Arial" w:hAnsi="Arial"/>
          <w:lang w:val="en-US"/>
        </w:rPr>
        <w:t>category,</w:t>
      </w:r>
      <w:proofErr w:type="gramEnd"/>
      <w:r w:rsidRPr="000005CC">
        <w:rPr>
          <w:rFonts w:ascii="Arial" w:hAnsi="Arial"/>
          <w:lang w:val="en-US"/>
        </w:rPr>
        <w:t xml:space="preserve"> should be calibrated to take account of the liquidity of the underlying assets.</w:t>
      </w:r>
    </w:p>
    <w:p w14:paraId="4B65927A" w14:textId="77777777" w:rsidR="00474655" w:rsidRPr="00474655" w:rsidRDefault="00474655" w:rsidP="00474655">
      <w:pPr>
        <w:pStyle w:val="Heading2"/>
        <w:numPr>
          <w:ilvl w:val="0"/>
          <w:numId w:val="0"/>
        </w:numPr>
        <w:rPr>
          <w:rFonts w:ascii="Arial" w:eastAsia="Times New Roman" w:hAnsi="Arial" w:cs="Arial"/>
          <w:bCs/>
          <w:color w:val="auto"/>
          <w:sz w:val="22"/>
          <w:szCs w:val="22"/>
          <w:lang w:val="en-BE" w:eastAsia="en-GB"/>
        </w:rPr>
      </w:pPr>
      <w:r w:rsidRPr="00474655">
        <w:rPr>
          <w:rFonts w:ascii="Arial" w:eastAsia="Times New Roman" w:hAnsi="Arial" w:cs="Arial"/>
          <w:bCs/>
          <w:color w:val="auto"/>
          <w:sz w:val="22"/>
          <w:szCs w:val="22"/>
          <w:lang w:val="en-BE" w:eastAsia="en-GB"/>
        </w:rPr>
        <w:t>Improving the current infrastructure to reduce fails without necessarily modifying cash penalties (Partial settlement, hold and release)</w:t>
      </w:r>
    </w:p>
    <w:p w14:paraId="12B13095" w14:textId="77777777" w:rsidR="00474655" w:rsidRPr="000005CC" w:rsidRDefault="00474655" w:rsidP="00474655">
      <w:r w:rsidRPr="000005CC">
        <w:t xml:space="preserve">A common issue for funds and asset managers is in accepting manual partials on trades that are already failing. </w:t>
      </w:r>
    </w:p>
    <w:p w14:paraId="32A18AF0" w14:textId="77777777" w:rsidR="00474655" w:rsidRPr="000005CC" w:rsidRDefault="00474655" w:rsidP="00474655">
      <w:r w:rsidRPr="000005CC">
        <w:t xml:space="preserve">Given the buy-side typically have a longer settlement chain, they’re often second in inputting new shapes into the CSD and therefore suffer a late matching penalty, even though they’re agreeing to a partial for a broker that was previously insufficient. </w:t>
      </w:r>
    </w:p>
    <w:p w14:paraId="7A5BE59C" w14:textId="77777777" w:rsidR="00474655" w:rsidRPr="000005CC" w:rsidRDefault="00474655" w:rsidP="00474655">
      <w:r w:rsidRPr="000005CC">
        <w:t xml:space="preserve">We believe that ESMA and CSDs should establish a mechanism whereby the manual </w:t>
      </w:r>
      <w:proofErr w:type="spellStart"/>
      <w:r w:rsidRPr="000005CC">
        <w:t>partialing</w:t>
      </w:r>
      <w:proofErr w:type="spellEnd"/>
      <w:r w:rsidRPr="000005CC">
        <w:t xml:space="preserve"> of already failing trades carries the correct penalty allocation. CSDs could develop a methodology to link the cancelled original trade to the new split shapes, such that the penalty direction remains the same. This will encourage more manual </w:t>
      </w:r>
      <w:proofErr w:type="spellStart"/>
      <w:r w:rsidRPr="000005CC">
        <w:t>partialing</w:t>
      </w:r>
      <w:proofErr w:type="spellEnd"/>
      <w:r w:rsidRPr="000005CC">
        <w:t xml:space="preserve"> of stock. Failing to fix this, disincentivises partials that would have happened prior to cash penalty implementation</w:t>
      </w:r>
      <w:r>
        <w:t>.</w:t>
      </w:r>
    </w:p>
    <w:p w14:paraId="32849C5E" w14:textId="77777777" w:rsidR="00474655" w:rsidRPr="000005CC" w:rsidRDefault="00474655" w:rsidP="00474655">
      <w:proofErr w:type="gramStart"/>
      <w:r w:rsidRPr="000005CC">
        <w:t>Alternatively</w:t>
      </w:r>
      <w:proofErr w:type="gramEnd"/>
      <w:r w:rsidRPr="000005CC">
        <w:t xml:space="preserve"> ESMA should mandate full auto-partial adoption by all CSDs and custodians</w:t>
      </w:r>
      <w:r>
        <w:t>, with any necessary opt-outs.</w:t>
      </w:r>
    </w:p>
    <w:p w14:paraId="246F7E05"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rPr>
        <w:t>One of the I-</w:t>
      </w:r>
      <w:proofErr w:type="spellStart"/>
      <w:r w:rsidRPr="000005CC">
        <w:rPr>
          <w:rFonts w:ascii="Arial" w:hAnsi="Arial"/>
        </w:rPr>
        <w:t>CSDs</w:t>
      </w:r>
      <w:proofErr w:type="spellEnd"/>
      <w:r w:rsidRPr="000005CC">
        <w:rPr>
          <w:rFonts w:ascii="Arial" w:hAnsi="Arial"/>
          <w:lang w:val="en-US"/>
        </w:rPr>
        <w:t xml:space="preserve"> is expected to support hold and release from June. But we are far from industry-wide support among CSDs of hold and release or auto-partial settlement. The same is true for custodians’ support for partial settlement.  Making partial settlement mandatory could be part of the solution</w:t>
      </w:r>
      <w:r>
        <w:rPr>
          <w:rFonts w:ascii="Arial" w:hAnsi="Arial"/>
          <w:lang w:val="en-US"/>
        </w:rPr>
        <w:t xml:space="preserve"> (though opt-outs under certain circumstances should be included)</w:t>
      </w:r>
      <w:r w:rsidRPr="000005CC">
        <w:rPr>
          <w:rFonts w:ascii="Arial" w:hAnsi="Arial"/>
          <w:lang w:val="en-US"/>
        </w:rPr>
        <w:t xml:space="preserve">. </w:t>
      </w:r>
    </w:p>
    <w:p w14:paraId="64423E4F" w14:textId="77777777" w:rsidR="00474655" w:rsidRPr="00474655" w:rsidRDefault="00474655" w:rsidP="00474655">
      <w:pPr>
        <w:pStyle w:val="Heading2"/>
        <w:numPr>
          <w:ilvl w:val="0"/>
          <w:numId w:val="0"/>
        </w:numPr>
        <w:rPr>
          <w:rFonts w:ascii="Arial" w:eastAsia="Times New Roman" w:hAnsi="Arial" w:cs="Arial"/>
          <w:bCs/>
          <w:color w:val="auto"/>
          <w:sz w:val="22"/>
          <w:szCs w:val="22"/>
          <w:lang w:val="en-BE" w:eastAsia="en-GB"/>
        </w:rPr>
      </w:pPr>
      <w:r w:rsidRPr="00474655">
        <w:rPr>
          <w:rFonts w:ascii="Arial" w:eastAsia="Times New Roman" w:hAnsi="Arial" w:cs="Arial"/>
          <w:bCs/>
          <w:color w:val="auto"/>
          <w:sz w:val="22"/>
          <w:szCs w:val="22"/>
          <w:lang w:val="en-BE" w:eastAsia="en-GB"/>
        </w:rPr>
        <w:t xml:space="preserve">Simplicity is </w:t>
      </w:r>
      <w:proofErr w:type="gramStart"/>
      <w:r w:rsidRPr="00474655">
        <w:rPr>
          <w:rFonts w:ascii="Arial" w:eastAsia="Times New Roman" w:hAnsi="Arial" w:cs="Arial"/>
          <w:bCs/>
          <w:color w:val="auto"/>
          <w:sz w:val="22"/>
          <w:szCs w:val="22"/>
          <w:lang w:val="en-BE" w:eastAsia="en-GB"/>
        </w:rPr>
        <w:t>key</w:t>
      </w:r>
      <w:proofErr w:type="gramEnd"/>
    </w:p>
    <w:p w14:paraId="5C5D5B40"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A well-functioning and efficient cash penalties system should be simple to apply. Any reform should not create more work for developers and increase the risk for errors. We should refrain from adding operational complexity.  Our members tend to see progressive penalties as adding implementation costs in terms of complexity of systems, without necessarily reducing fails. And considering that there can be multiple counterparties along a single transaction chain, the pass-on mechanism will make the calculation and accuracy of that penalty charge even more complex and prone to error. This will also lead to increased bilateral claims, increasing costs for the buy-side.</w:t>
      </w:r>
    </w:p>
    <w:p w14:paraId="04829E70"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lastRenderedPageBreak/>
        <w:t xml:space="preserve">We understand the appeal of progressive rates, but in practice we believe that they will constitute a blunt tool which will is unlikely to change </w:t>
      </w:r>
      <w:proofErr w:type="spellStart"/>
      <w:r w:rsidRPr="000005CC">
        <w:rPr>
          <w:rFonts w:ascii="Arial" w:hAnsi="Arial"/>
          <w:lang w:val="en-US"/>
        </w:rPr>
        <w:t>behaviour</w:t>
      </w:r>
      <w:proofErr w:type="spellEnd"/>
      <w:r w:rsidRPr="000005CC">
        <w:rPr>
          <w:rFonts w:ascii="Arial" w:hAnsi="Arial"/>
          <w:lang w:val="en-US"/>
        </w:rPr>
        <w:t xml:space="preserve">, however high the rates.  </w:t>
      </w:r>
    </w:p>
    <w:p w14:paraId="2204EFA7" w14:textId="77777777" w:rsidR="00474655" w:rsidRPr="00474655" w:rsidRDefault="00474655" w:rsidP="00474655">
      <w:pPr>
        <w:pStyle w:val="Heading2"/>
        <w:numPr>
          <w:ilvl w:val="0"/>
          <w:numId w:val="0"/>
        </w:numPr>
        <w:rPr>
          <w:rFonts w:ascii="Arial" w:eastAsia="Times New Roman" w:hAnsi="Arial" w:cs="Arial"/>
          <w:bCs/>
          <w:color w:val="auto"/>
          <w:sz w:val="22"/>
          <w:szCs w:val="22"/>
          <w:lang w:val="en-BE" w:eastAsia="en-GB"/>
        </w:rPr>
      </w:pPr>
      <w:r w:rsidRPr="00474655">
        <w:rPr>
          <w:rFonts w:ascii="Arial" w:eastAsia="Times New Roman" w:hAnsi="Arial" w:cs="Arial"/>
          <w:bCs/>
          <w:color w:val="auto"/>
          <w:sz w:val="22"/>
          <w:szCs w:val="22"/>
          <w:lang w:val="en-BE" w:eastAsia="en-GB"/>
        </w:rPr>
        <w:t xml:space="preserve">Penalty rates: how to discourage fails without creating a cottage industry for service providers around the management of fails </w:t>
      </w:r>
      <w:proofErr w:type="gramStart"/>
      <w:r w:rsidRPr="00474655">
        <w:rPr>
          <w:rFonts w:ascii="Arial" w:eastAsia="Times New Roman" w:hAnsi="Arial" w:cs="Arial"/>
          <w:bCs/>
          <w:color w:val="auto"/>
          <w:sz w:val="22"/>
          <w:szCs w:val="22"/>
          <w:lang w:val="en-BE" w:eastAsia="en-GB"/>
        </w:rPr>
        <w:t>claims</w:t>
      </w:r>
      <w:proofErr w:type="gramEnd"/>
    </w:p>
    <w:p w14:paraId="326A9FA7"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While we have seen some improvements in settlement </w:t>
      </w:r>
      <w:proofErr w:type="gramStart"/>
      <w:r w:rsidRPr="000005CC">
        <w:rPr>
          <w:rFonts w:ascii="Arial" w:hAnsi="Arial"/>
          <w:lang w:val="en-US"/>
        </w:rPr>
        <w:t>fails</w:t>
      </w:r>
      <w:proofErr w:type="gramEnd"/>
      <w:r w:rsidRPr="000005CC">
        <w:rPr>
          <w:rFonts w:ascii="Arial" w:hAnsi="Arial"/>
          <w:lang w:val="en-US"/>
        </w:rPr>
        <w:t xml:space="preserve"> since the introduction of cash penalties, a more finely calibrated regime could improve these further.  In the current interest rate </w:t>
      </w:r>
      <w:proofErr w:type="gramStart"/>
      <w:r w:rsidRPr="000005CC">
        <w:rPr>
          <w:rFonts w:ascii="Arial" w:hAnsi="Arial"/>
          <w:lang w:val="en-US"/>
        </w:rPr>
        <w:t>environment</w:t>
      </w:r>
      <w:proofErr w:type="gramEnd"/>
      <w:r w:rsidRPr="000005CC">
        <w:rPr>
          <w:rFonts w:ascii="Arial" w:hAnsi="Arial"/>
          <w:lang w:val="en-US"/>
        </w:rPr>
        <w:t xml:space="preserve"> it is clear that with the penalties under CSDR ranging from 0.15 to 1.0 bps, there is less of an incentive to prevent a fail, as the remedy (borrowing securities/cash) is subject to much higher rates.</w:t>
      </w:r>
    </w:p>
    <w:p w14:paraId="3F7B962C"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There is a fine balance to be achieved in moving away from a flat rate for penalties.  If penalties are too heavy, the net impact might be reduced liquidity in the market with no visible impact on settlement </w:t>
      </w:r>
      <w:proofErr w:type="gramStart"/>
      <w:r w:rsidRPr="000005CC">
        <w:rPr>
          <w:rFonts w:ascii="Arial" w:hAnsi="Arial"/>
          <w:lang w:val="en-US"/>
        </w:rPr>
        <w:t>fails</w:t>
      </w:r>
      <w:proofErr w:type="gramEnd"/>
      <w:r w:rsidRPr="000005CC">
        <w:rPr>
          <w:rFonts w:ascii="Arial" w:hAnsi="Arial"/>
          <w:lang w:val="en-US"/>
        </w:rPr>
        <w:t>.</w:t>
      </w:r>
    </w:p>
    <w:p w14:paraId="033CDAEC"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A flat rate that is pegged to the funding rate, with perhaps an additional spread no greater than 0,5 bps-above this rate or with a floor, would discourage </w:t>
      </w:r>
      <w:proofErr w:type="gramStart"/>
      <w:r w:rsidRPr="000005CC">
        <w:rPr>
          <w:rFonts w:ascii="Arial" w:hAnsi="Arial"/>
          <w:lang w:val="en-US"/>
        </w:rPr>
        <w:t>fails</w:t>
      </w:r>
      <w:proofErr w:type="gramEnd"/>
      <w:r w:rsidRPr="000005CC">
        <w:rPr>
          <w:rFonts w:ascii="Arial" w:hAnsi="Arial"/>
          <w:lang w:val="en-US"/>
        </w:rPr>
        <w:t xml:space="preserve"> while ensuring that the option to fail is always costlier than to borrow securities. Can we consider a dynamic rate modelled on the US treasury TPMG model where both the impacts of a low or negative interest rate environment are mitigated, and penalty rates are still effective in high interest rate times?</w:t>
      </w:r>
    </w:p>
    <w:p w14:paraId="50A74768"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If a dynamic cash penalty rate is adopted, we would expect ESMA to regularly review </w:t>
      </w:r>
      <w:proofErr w:type="gramStart"/>
      <w:r w:rsidRPr="000005CC">
        <w:rPr>
          <w:rFonts w:ascii="Arial" w:hAnsi="Arial"/>
          <w:lang w:val="en-US"/>
        </w:rPr>
        <w:t>rate</w:t>
      </w:r>
      <w:proofErr w:type="gramEnd"/>
      <w:r w:rsidRPr="000005CC">
        <w:rPr>
          <w:rFonts w:ascii="Arial" w:hAnsi="Arial"/>
          <w:lang w:val="en-US"/>
        </w:rPr>
        <w:t>.</w:t>
      </w:r>
    </w:p>
    <w:p w14:paraId="3C6B390D"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Please also see EFAMA’s response to question 26. </w:t>
      </w:r>
    </w:p>
    <w:p w14:paraId="78787126" w14:textId="77777777" w:rsidR="00474655" w:rsidRPr="00474655" w:rsidRDefault="00474655" w:rsidP="00474655">
      <w:pPr>
        <w:pStyle w:val="Heading2"/>
        <w:numPr>
          <w:ilvl w:val="0"/>
          <w:numId w:val="0"/>
        </w:numPr>
        <w:rPr>
          <w:rFonts w:ascii="Arial" w:eastAsia="Times New Roman" w:hAnsi="Arial" w:cs="Arial"/>
          <w:bCs/>
          <w:color w:val="auto"/>
          <w:sz w:val="22"/>
          <w:szCs w:val="22"/>
          <w:lang w:val="en-BE" w:eastAsia="en-GB"/>
        </w:rPr>
      </w:pPr>
      <w:r w:rsidRPr="00474655">
        <w:rPr>
          <w:rFonts w:ascii="Arial" w:eastAsia="Times New Roman" w:hAnsi="Arial" w:cs="Arial"/>
          <w:bCs/>
          <w:color w:val="auto"/>
          <w:sz w:val="22"/>
          <w:szCs w:val="22"/>
          <w:lang w:val="en-BE" w:eastAsia="en-GB"/>
        </w:rPr>
        <w:t>Separate treatment for ETFs</w:t>
      </w:r>
    </w:p>
    <w:p w14:paraId="3F99BF4F"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On the ETF issuer side, EFAMA members would first and foremost like to review the available data on ETF </w:t>
      </w:r>
      <w:proofErr w:type="gramStart"/>
      <w:r w:rsidRPr="000005CC">
        <w:rPr>
          <w:rFonts w:ascii="Arial" w:hAnsi="Arial"/>
          <w:lang w:val="en-US"/>
        </w:rPr>
        <w:t>fails</w:t>
      </w:r>
      <w:proofErr w:type="gramEnd"/>
      <w:r w:rsidRPr="000005CC">
        <w:rPr>
          <w:rFonts w:ascii="Arial" w:hAnsi="Arial"/>
          <w:lang w:val="en-US"/>
        </w:rPr>
        <w:t xml:space="preserve"> with a view to ensuring that any changes to the cash penalty regime take account of the following:</w:t>
      </w:r>
    </w:p>
    <w:p w14:paraId="084D00F6" w14:textId="77777777" w:rsidR="00474655" w:rsidRPr="000005CC" w:rsidRDefault="00474655" w:rsidP="00474655">
      <w:pPr>
        <w:pStyle w:val="NormalWeb"/>
        <w:numPr>
          <w:ilvl w:val="0"/>
          <w:numId w:val="20"/>
        </w:numPr>
        <w:spacing w:before="0" w:beforeAutospacing="0" w:after="240" w:afterAutospacing="0" w:line="276" w:lineRule="auto"/>
        <w:ind w:left="360"/>
        <w:jc w:val="both"/>
        <w:rPr>
          <w:rFonts w:ascii="Arial" w:hAnsi="Arial"/>
        </w:rPr>
      </w:pPr>
      <w:r w:rsidRPr="000005CC">
        <w:rPr>
          <w:rFonts w:ascii="Arial" w:hAnsi="Arial"/>
        </w:rPr>
        <w:t xml:space="preserve">Detailed analysis and periodic publication of ETF settlement data by EEA </w:t>
      </w:r>
      <w:proofErr w:type="spellStart"/>
      <w:r w:rsidRPr="000005CC">
        <w:rPr>
          <w:rFonts w:ascii="Arial" w:hAnsi="Arial"/>
        </w:rPr>
        <w:t>CSDs</w:t>
      </w:r>
      <w:proofErr w:type="spellEnd"/>
      <w:r w:rsidRPr="000005CC">
        <w:rPr>
          <w:rFonts w:ascii="Arial" w:hAnsi="Arial"/>
        </w:rPr>
        <w:t xml:space="preserve"> must be made mandatory, to identify, delineate and attribute structural limitations versus </w:t>
      </w:r>
      <w:proofErr w:type="spellStart"/>
      <w:r w:rsidRPr="000005CC">
        <w:rPr>
          <w:rFonts w:ascii="Arial" w:hAnsi="Arial"/>
        </w:rPr>
        <w:t>behavioral</w:t>
      </w:r>
      <w:proofErr w:type="spellEnd"/>
      <w:r w:rsidRPr="000005CC">
        <w:rPr>
          <w:rFonts w:ascii="Arial" w:hAnsi="Arial"/>
        </w:rPr>
        <w:t xml:space="preserve"> drivers of ETF settlement.</w:t>
      </w:r>
    </w:p>
    <w:p w14:paraId="0D2A86E2" w14:textId="77777777" w:rsidR="00474655" w:rsidRPr="000005CC" w:rsidRDefault="00474655" w:rsidP="00474655">
      <w:pPr>
        <w:pStyle w:val="NormalWeb"/>
        <w:numPr>
          <w:ilvl w:val="0"/>
          <w:numId w:val="20"/>
        </w:numPr>
        <w:spacing w:before="0" w:beforeAutospacing="0" w:after="240" w:afterAutospacing="0" w:line="276" w:lineRule="auto"/>
        <w:ind w:left="360"/>
        <w:jc w:val="both"/>
        <w:rPr>
          <w:rFonts w:ascii="Arial" w:hAnsi="Arial"/>
        </w:rPr>
      </w:pPr>
      <w:r w:rsidRPr="000005CC">
        <w:rPr>
          <w:rFonts w:ascii="Arial" w:hAnsi="Arial"/>
        </w:rPr>
        <w:t>A more holistic focus on unit-lending markets, inter-operability of EU venues etc. is considered.</w:t>
      </w:r>
    </w:p>
    <w:p w14:paraId="33853158" w14:textId="77777777" w:rsidR="00474655" w:rsidRPr="000005CC" w:rsidRDefault="00474655" w:rsidP="00474655">
      <w:pPr>
        <w:pStyle w:val="NormalWeb"/>
        <w:numPr>
          <w:ilvl w:val="0"/>
          <w:numId w:val="20"/>
        </w:numPr>
        <w:spacing w:before="0" w:beforeAutospacing="0" w:after="240" w:afterAutospacing="0" w:line="276" w:lineRule="auto"/>
        <w:ind w:left="360"/>
        <w:jc w:val="both"/>
        <w:rPr>
          <w:rFonts w:ascii="Arial" w:hAnsi="Arial"/>
        </w:rPr>
      </w:pPr>
      <w:r w:rsidRPr="000005CC">
        <w:rPr>
          <w:rFonts w:ascii="Arial" w:hAnsi="Arial"/>
        </w:rPr>
        <w:t xml:space="preserve">Reflective of the market structure for ETFs where markets are fragmented and a single ETF will settle on </w:t>
      </w:r>
      <w:proofErr w:type="gramStart"/>
      <w:r w:rsidRPr="000005CC">
        <w:rPr>
          <w:rFonts w:ascii="Arial" w:hAnsi="Arial"/>
        </w:rPr>
        <w:t>a large number of</w:t>
      </w:r>
      <w:proofErr w:type="gramEnd"/>
      <w:r w:rsidRPr="000005CC">
        <w:rPr>
          <w:rFonts w:ascii="Arial" w:hAnsi="Arial"/>
        </w:rPr>
        <w:t xml:space="preserve"> </w:t>
      </w:r>
      <w:proofErr w:type="spellStart"/>
      <w:r w:rsidRPr="000005CC">
        <w:rPr>
          <w:rFonts w:ascii="Arial" w:hAnsi="Arial"/>
        </w:rPr>
        <w:t>CSDs</w:t>
      </w:r>
      <w:proofErr w:type="spellEnd"/>
      <w:r w:rsidRPr="000005CC">
        <w:rPr>
          <w:rFonts w:ascii="Arial" w:hAnsi="Arial"/>
        </w:rPr>
        <w:t xml:space="preserve">, </w:t>
      </w:r>
      <w:proofErr w:type="spellStart"/>
      <w:r w:rsidRPr="000005CC">
        <w:rPr>
          <w:rFonts w:ascii="Arial" w:hAnsi="Arial"/>
        </w:rPr>
        <w:t>i.e</w:t>
      </w:r>
      <w:proofErr w:type="spellEnd"/>
      <w:r w:rsidRPr="000005CC">
        <w:rPr>
          <w:rFonts w:ascii="Arial" w:hAnsi="Arial"/>
        </w:rPr>
        <w:t xml:space="preserve"> a single ETF may trade and settle across 10 or more venues/</w:t>
      </w:r>
      <w:proofErr w:type="spellStart"/>
      <w:r w:rsidRPr="000005CC">
        <w:rPr>
          <w:rFonts w:ascii="Arial" w:hAnsi="Arial"/>
        </w:rPr>
        <w:t>CSDs</w:t>
      </w:r>
      <w:proofErr w:type="spellEnd"/>
      <w:r w:rsidRPr="000005CC">
        <w:rPr>
          <w:rFonts w:ascii="Arial" w:hAnsi="Arial"/>
        </w:rPr>
        <w:t>.  This natural fragmentation means an appropriate settlement fail rate may be different to standard equity fail rates.   Where settlement is non-standardised and subject to primary and secondary market trades, a different settlement fail rate should apply.</w:t>
      </w:r>
    </w:p>
    <w:p w14:paraId="17C2BB03" w14:textId="77777777" w:rsidR="00474655" w:rsidRPr="000005CC" w:rsidRDefault="00474655" w:rsidP="00474655">
      <w:pPr>
        <w:pStyle w:val="NormalWeb"/>
        <w:numPr>
          <w:ilvl w:val="0"/>
          <w:numId w:val="20"/>
        </w:numPr>
        <w:spacing w:before="0" w:beforeAutospacing="0" w:after="240" w:afterAutospacing="0" w:line="276" w:lineRule="auto"/>
        <w:ind w:left="360"/>
        <w:jc w:val="both"/>
        <w:rPr>
          <w:rFonts w:ascii="Arial" w:hAnsi="Arial"/>
        </w:rPr>
      </w:pPr>
      <w:r w:rsidRPr="000005CC">
        <w:rPr>
          <w:rFonts w:ascii="Arial" w:hAnsi="Arial"/>
        </w:rPr>
        <w:t xml:space="preserve">Targeting behaviour that can be </w:t>
      </w:r>
      <w:proofErr w:type="gramStart"/>
      <w:r w:rsidRPr="000005CC">
        <w:rPr>
          <w:rFonts w:ascii="Arial" w:hAnsi="Arial"/>
        </w:rPr>
        <w:t>actually deterred</w:t>
      </w:r>
      <w:proofErr w:type="gramEnd"/>
      <w:r w:rsidRPr="000005CC">
        <w:rPr>
          <w:rFonts w:ascii="Arial" w:hAnsi="Arial"/>
        </w:rPr>
        <w:t xml:space="preserve"> through cash penalties. Developing the concept of avoidable and intentional </w:t>
      </w:r>
      <w:proofErr w:type="gramStart"/>
      <w:r w:rsidRPr="000005CC">
        <w:rPr>
          <w:rFonts w:ascii="Arial" w:hAnsi="Arial"/>
        </w:rPr>
        <w:t>fails, and</w:t>
      </w:r>
      <w:proofErr w:type="gramEnd"/>
      <w:r w:rsidRPr="000005CC">
        <w:rPr>
          <w:rFonts w:ascii="Arial" w:hAnsi="Arial"/>
        </w:rPr>
        <w:t xml:space="preserve"> ensuring that cash penalties are not applied in a punitive and incremental way precisely where they will have only negative impacts: where fails are due to </w:t>
      </w:r>
      <w:r w:rsidRPr="000005CC">
        <w:rPr>
          <w:rFonts w:ascii="Arial" w:hAnsi="Arial"/>
        </w:rPr>
        <w:lastRenderedPageBreak/>
        <w:t xml:space="preserve">structural limitations, a punitive CP regime will only increase the trading cost and reduce liquidity in that asset class. </w:t>
      </w:r>
    </w:p>
    <w:p w14:paraId="248D24DA" w14:textId="77777777" w:rsidR="00474655" w:rsidRPr="000005CC" w:rsidRDefault="00474655" w:rsidP="00474655">
      <w:pPr>
        <w:pStyle w:val="NormalWeb"/>
        <w:numPr>
          <w:ilvl w:val="0"/>
          <w:numId w:val="17"/>
        </w:numPr>
        <w:spacing w:before="0" w:beforeAutospacing="0" w:after="240" w:afterAutospacing="0" w:line="276" w:lineRule="auto"/>
        <w:ind w:left="360"/>
        <w:jc w:val="both"/>
        <w:rPr>
          <w:rFonts w:ascii="Arial" w:hAnsi="Arial"/>
          <w:lang w:val="en-US"/>
        </w:rPr>
      </w:pPr>
      <w:r w:rsidRPr="000005CC">
        <w:rPr>
          <w:rFonts w:ascii="Arial" w:hAnsi="Arial"/>
          <w:lang w:val="en-US"/>
        </w:rPr>
        <w:t>Not having a detrimental impact on market liquidity, particularly for thinly traded or newly launched ETFs, or ETFs with earlier primary cut-off times.</w:t>
      </w:r>
    </w:p>
    <w:p w14:paraId="55CB92F7" w14:textId="77777777" w:rsidR="00474655" w:rsidRPr="000005CC" w:rsidRDefault="00474655" w:rsidP="00474655">
      <w:pPr>
        <w:pStyle w:val="NormalWeb"/>
        <w:numPr>
          <w:ilvl w:val="0"/>
          <w:numId w:val="17"/>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Penalty rates should be calibrated such that they incentivize the liquidity providers to make the necessary investments to avoid </w:t>
      </w:r>
      <w:proofErr w:type="gramStart"/>
      <w:r w:rsidRPr="000005CC">
        <w:rPr>
          <w:rFonts w:ascii="Arial" w:hAnsi="Arial"/>
          <w:lang w:val="en-US"/>
        </w:rPr>
        <w:t>fails</w:t>
      </w:r>
      <w:proofErr w:type="gramEnd"/>
      <w:r w:rsidRPr="000005CC">
        <w:rPr>
          <w:rFonts w:ascii="Arial" w:hAnsi="Arial"/>
          <w:lang w:val="en-US"/>
        </w:rPr>
        <w:t xml:space="preserve"> and the associated costs, without permanently removing liquidity from the market.</w:t>
      </w:r>
    </w:p>
    <w:p w14:paraId="7DD1EA6A" w14:textId="77777777" w:rsidR="00474655" w:rsidRPr="000005CC" w:rsidRDefault="00474655" w:rsidP="00474655">
      <w:pPr>
        <w:pStyle w:val="NormalWeb"/>
        <w:numPr>
          <w:ilvl w:val="0"/>
          <w:numId w:val="17"/>
        </w:numPr>
        <w:spacing w:before="0" w:beforeAutospacing="0" w:after="240" w:afterAutospacing="0" w:line="276" w:lineRule="auto"/>
        <w:ind w:left="360"/>
        <w:jc w:val="both"/>
        <w:rPr>
          <w:rFonts w:ascii="Arial" w:hAnsi="Arial"/>
          <w:lang w:val="en-US"/>
        </w:rPr>
      </w:pPr>
      <w:r w:rsidRPr="000005CC">
        <w:rPr>
          <w:rFonts w:ascii="Arial" w:hAnsi="Arial"/>
          <w:lang w:val="en-US"/>
        </w:rPr>
        <w:t xml:space="preserve">Not increasing </w:t>
      </w:r>
      <w:proofErr w:type="gramStart"/>
      <w:r w:rsidRPr="000005CC">
        <w:rPr>
          <w:rFonts w:ascii="Arial" w:hAnsi="Arial"/>
          <w:lang w:val="en-US"/>
        </w:rPr>
        <w:t>spreads, and</w:t>
      </w:r>
      <w:proofErr w:type="gramEnd"/>
      <w:r w:rsidRPr="000005CC">
        <w:rPr>
          <w:rFonts w:ascii="Arial" w:hAnsi="Arial"/>
          <w:lang w:val="en-US"/>
        </w:rPr>
        <w:t xml:space="preserve"> hurting the global competitiveness of this market.</w:t>
      </w:r>
    </w:p>
    <w:p w14:paraId="791AD8CB"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While some further calibration of cash penalties on ETFs may be in order, a more holistic analysis should be undertaken to see how settlement flexibility is appropriate for this asset class, and how best to target ‘actionably avoidable’ fails.  </w:t>
      </w:r>
    </w:p>
    <w:p w14:paraId="15FBE05B" w14:textId="77777777" w:rsidR="00474655" w:rsidRPr="00474655" w:rsidRDefault="00474655" w:rsidP="00474655">
      <w:pPr>
        <w:pStyle w:val="Heading2"/>
        <w:numPr>
          <w:ilvl w:val="0"/>
          <w:numId w:val="0"/>
        </w:numPr>
        <w:rPr>
          <w:rFonts w:ascii="Arial" w:eastAsia="Times New Roman" w:hAnsi="Arial" w:cs="Arial"/>
          <w:bCs/>
          <w:color w:val="auto"/>
          <w:sz w:val="22"/>
          <w:szCs w:val="22"/>
          <w:lang w:val="en-BE" w:eastAsia="en-GB"/>
        </w:rPr>
      </w:pPr>
      <w:r w:rsidRPr="00474655">
        <w:rPr>
          <w:rFonts w:ascii="Arial" w:eastAsia="Times New Roman" w:hAnsi="Arial" w:cs="Arial"/>
          <w:bCs/>
          <w:color w:val="auto"/>
          <w:sz w:val="22"/>
          <w:szCs w:val="22"/>
          <w:lang w:val="en-BE" w:eastAsia="en-GB"/>
        </w:rPr>
        <w:t>Shortening the Settlement Cycle in Europe</w:t>
      </w:r>
    </w:p>
    <w:p w14:paraId="7ADAB93A" w14:textId="77777777" w:rsidR="00474655" w:rsidRPr="000005CC" w:rsidRDefault="00474655" w:rsidP="00474655">
      <w:pPr>
        <w:pStyle w:val="xmsonormal"/>
        <w:spacing w:after="240"/>
        <w:jc w:val="both"/>
        <w:rPr>
          <w:rFonts w:eastAsia="Times New Roman"/>
          <w:color w:val="auto"/>
          <w:lang w:val="en-US" w:eastAsia="en-GB"/>
        </w:rPr>
      </w:pPr>
      <w:r w:rsidRPr="000005CC">
        <w:rPr>
          <w:rFonts w:eastAsia="Times New Roman"/>
          <w:color w:val="auto"/>
          <w:lang w:val="en-US" w:eastAsia="en-GB"/>
        </w:rPr>
        <w:t xml:space="preserve">Looking ahead to the EU’s possible move to shorten the settlement cycle to T1, we would like to warn against a complex and </w:t>
      </w:r>
      <w:proofErr w:type="spellStart"/>
      <w:r w:rsidRPr="000005CC">
        <w:rPr>
          <w:rFonts w:eastAsia="Times New Roman"/>
          <w:color w:val="auto"/>
          <w:lang w:val="en-US" w:eastAsia="en-GB"/>
        </w:rPr>
        <w:t>operationaly</w:t>
      </w:r>
      <w:proofErr w:type="spellEnd"/>
      <w:r w:rsidRPr="000005CC">
        <w:rPr>
          <w:rFonts w:eastAsia="Times New Roman"/>
          <w:color w:val="auto"/>
          <w:lang w:val="en-US" w:eastAsia="en-GB"/>
        </w:rPr>
        <w:t xml:space="preserve"> heavy adjustment to cash penalties, at the same time as the EU might be preparing for a shorter settlement cycle.</w:t>
      </w:r>
    </w:p>
    <w:p w14:paraId="3400F2C9" w14:textId="77777777" w:rsidR="00474655" w:rsidRPr="00474655" w:rsidRDefault="00474655" w:rsidP="00474655">
      <w:pPr>
        <w:pStyle w:val="Heading2"/>
        <w:numPr>
          <w:ilvl w:val="0"/>
          <w:numId w:val="0"/>
        </w:numPr>
        <w:rPr>
          <w:rFonts w:ascii="Arial" w:eastAsia="Times New Roman" w:hAnsi="Arial" w:cs="Arial"/>
          <w:bCs/>
          <w:color w:val="auto"/>
          <w:sz w:val="22"/>
          <w:szCs w:val="22"/>
          <w:lang w:val="en-BE" w:eastAsia="en-GB"/>
        </w:rPr>
      </w:pPr>
      <w:proofErr w:type="spellStart"/>
      <w:r w:rsidRPr="00474655">
        <w:rPr>
          <w:rFonts w:ascii="Arial" w:eastAsia="Times New Roman" w:hAnsi="Arial" w:cs="Arial"/>
          <w:bCs/>
          <w:color w:val="auto"/>
          <w:sz w:val="22"/>
          <w:szCs w:val="22"/>
          <w:lang w:val="en-BE" w:eastAsia="en-GB"/>
        </w:rPr>
        <w:t>Deminimis</w:t>
      </w:r>
      <w:proofErr w:type="spellEnd"/>
      <w:r w:rsidRPr="00474655">
        <w:rPr>
          <w:rFonts w:ascii="Arial" w:eastAsia="Times New Roman" w:hAnsi="Arial" w:cs="Arial"/>
          <w:bCs/>
          <w:color w:val="auto"/>
          <w:sz w:val="22"/>
          <w:szCs w:val="22"/>
          <w:lang w:val="en-BE" w:eastAsia="en-GB"/>
        </w:rPr>
        <w:t xml:space="preserve"> threshold</w:t>
      </w:r>
    </w:p>
    <w:p w14:paraId="236EE7A8"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The buy-side has had to absorb the high costs of processing cash penalties and claims.  In </w:t>
      </w:r>
      <w:proofErr w:type="gramStart"/>
      <w:r w:rsidRPr="000005CC">
        <w:rPr>
          <w:rFonts w:ascii="Arial" w:hAnsi="Arial"/>
          <w:lang w:val="en-US"/>
        </w:rPr>
        <w:t>fact,  in</w:t>
      </w:r>
      <w:proofErr w:type="gramEnd"/>
      <w:r w:rsidRPr="000005CC">
        <w:rPr>
          <w:rFonts w:ascii="Arial" w:hAnsi="Arial"/>
          <w:lang w:val="en-US"/>
        </w:rPr>
        <w:t xml:space="preserve"> some jurisdictions buy-side firms are actually giving up penalties to custodians, given the high running costs of operationalizing penalties and the very small amounts that penalties actually represent.  </w:t>
      </w:r>
    </w:p>
    <w:p w14:paraId="70B9DB50"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There are numerous scenarios under which the CSD books the penalty in the wrong direction, causing the failing party to have to investigate and challenge the claim.</w:t>
      </w:r>
      <w:r w:rsidRPr="000005CC">
        <w:rPr>
          <w:rStyle w:val="FootnoteReference"/>
          <w:rFonts w:ascii="Arial" w:hAnsi="Arial"/>
          <w:lang w:val="en-US"/>
        </w:rPr>
        <w:footnoteReference w:id="3"/>
      </w:r>
      <w:r w:rsidRPr="000005CC">
        <w:rPr>
          <w:rFonts w:ascii="Arial" w:hAnsi="Arial"/>
          <w:lang w:val="en-US"/>
        </w:rPr>
        <w:t xml:space="preserve">  Higher penalty rates, whether progressive or flat, would cause an increase in claims, as more penalties would exceed the industry standard of 500 USD for investigation.  We would like to see ESMA </w:t>
      </w:r>
      <w:proofErr w:type="spellStart"/>
      <w:r w:rsidRPr="000005CC">
        <w:rPr>
          <w:rFonts w:ascii="Arial" w:hAnsi="Arial"/>
          <w:lang w:val="en-US"/>
        </w:rPr>
        <w:t>prioritise</w:t>
      </w:r>
      <w:proofErr w:type="spellEnd"/>
      <w:r w:rsidRPr="000005CC">
        <w:rPr>
          <w:rFonts w:ascii="Arial" w:hAnsi="Arial"/>
          <w:lang w:val="en-US"/>
        </w:rPr>
        <w:t xml:space="preserve"> this </w:t>
      </w:r>
      <w:proofErr w:type="gramStart"/>
      <w:r w:rsidRPr="000005CC">
        <w:rPr>
          <w:rFonts w:ascii="Arial" w:hAnsi="Arial"/>
          <w:lang w:val="en-US"/>
        </w:rPr>
        <w:t>area, and</w:t>
      </w:r>
      <w:proofErr w:type="gramEnd"/>
      <w:r w:rsidRPr="000005CC">
        <w:rPr>
          <w:rFonts w:ascii="Arial" w:hAnsi="Arial"/>
          <w:lang w:val="en-US"/>
        </w:rPr>
        <w:t xml:space="preserve"> explore ways in which cash penalty accuracy can be improved, to remove this additional cost borne by market participants.</w:t>
      </w:r>
    </w:p>
    <w:p w14:paraId="251F909D" w14:textId="77777777" w:rsidR="00474655" w:rsidRPr="000005CC"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t xml:space="preserve">The buy-side has previously articulated ideas around a </w:t>
      </w:r>
      <w:proofErr w:type="spellStart"/>
      <w:r w:rsidRPr="000005CC">
        <w:rPr>
          <w:rFonts w:ascii="Arial" w:hAnsi="Arial"/>
          <w:lang w:val="en-US"/>
        </w:rPr>
        <w:t>deminimis</w:t>
      </w:r>
      <w:proofErr w:type="spellEnd"/>
      <w:r w:rsidRPr="000005CC">
        <w:rPr>
          <w:rFonts w:ascii="Arial" w:hAnsi="Arial"/>
          <w:lang w:val="en-US"/>
        </w:rPr>
        <w:t xml:space="preserve"> threshold.  There is an important distinction to be made here.  The buy-side is supportive of a </w:t>
      </w:r>
      <w:proofErr w:type="spellStart"/>
      <w:r w:rsidRPr="000005CC">
        <w:rPr>
          <w:rFonts w:ascii="Arial" w:hAnsi="Arial"/>
          <w:lang w:val="en-US"/>
        </w:rPr>
        <w:t>deminimis</w:t>
      </w:r>
      <w:proofErr w:type="spellEnd"/>
      <w:r w:rsidRPr="000005CC">
        <w:rPr>
          <w:rFonts w:ascii="Arial" w:hAnsi="Arial"/>
          <w:lang w:val="en-US"/>
        </w:rPr>
        <w:t xml:space="preserve"> threshold, under which no cash penalties are generated and no debits flow through the system for amounts under a certain threshold.  ESMA’s proposal appears to </w:t>
      </w:r>
      <w:proofErr w:type="gramStart"/>
      <w:r w:rsidRPr="000005CC">
        <w:rPr>
          <w:rFonts w:ascii="Arial" w:hAnsi="Arial"/>
          <w:lang w:val="en-US"/>
        </w:rPr>
        <w:t>want</w:t>
      </w:r>
      <w:proofErr w:type="gramEnd"/>
      <w:r w:rsidRPr="000005CC">
        <w:rPr>
          <w:rFonts w:ascii="Arial" w:hAnsi="Arial"/>
          <w:lang w:val="en-US"/>
        </w:rPr>
        <w:t xml:space="preserve"> to introduce higher rates starting on intended settlement date, followed by progressive rates.  </w:t>
      </w:r>
    </w:p>
    <w:p w14:paraId="3B763160" w14:textId="05AC55BE" w:rsidR="00DE65AA" w:rsidRPr="00474655" w:rsidRDefault="00474655" w:rsidP="00474655">
      <w:pPr>
        <w:pStyle w:val="NormalWeb"/>
        <w:spacing w:before="0" w:beforeAutospacing="0" w:after="240" w:afterAutospacing="0" w:line="276" w:lineRule="auto"/>
        <w:jc w:val="both"/>
        <w:rPr>
          <w:rFonts w:ascii="Arial" w:hAnsi="Arial"/>
          <w:lang w:val="en-US"/>
        </w:rPr>
      </w:pPr>
      <w:r w:rsidRPr="000005CC">
        <w:rPr>
          <w:rFonts w:ascii="Arial" w:hAnsi="Arial"/>
          <w:lang w:val="en-US"/>
        </w:rPr>
        <w:lastRenderedPageBreak/>
        <w:t xml:space="preserve">We support a revised approach where penalties under a certain threshold are simply written off and do not flow through the settlement chain.   This needlessly takes up resources, without any clear deterrent effect.  This is without prejudice to a potential increase in a flat-rate cash penalty which is pegged to a funding rate.  We would also recommend that a liability analysis, checking of all settlement </w:t>
      </w:r>
      <w:proofErr w:type="gramStart"/>
      <w:r w:rsidRPr="000005CC">
        <w:rPr>
          <w:rFonts w:ascii="Arial" w:hAnsi="Arial"/>
          <w:lang w:val="en-US"/>
        </w:rPr>
        <w:t>fails</w:t>
      </w:r>
      <w:proofErr w:type="gramEnd"/>
      <w:r w:rsidRPr="000005CC">
        <w:rPr>
          <w:rFonts w:ascii="Arial" w:hAnsi="Arial"/>
          <w:lang w:val="en-US"/>
        </w:rPr>
        <w:t xml:space="preserve"> can still take place at the CSD level to spot out any systematically failing counterparties who happen to fall under the threshold most of the time.</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77777777" w:rsidR="005171FF" w:rsidRDefault="005171FF" w:rsidP="005171FF">
      <w:permStart w:id="1747127182" w:edGrp="everyone"/>
      <w:r>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77777777" w:rsidR="005171FF" w:rsidRDefault="005171FF" w:rsidP="005171FF">
      <w:permStart w:id="510220754" w:edGrp="everyone"/>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0412353D" w14:textId="77777777" w:rsidR="00EA0D0D" w:rsidRDefault="00EA0D0D">
      <w:permStart w:id="1425227802" w:edGrp="everyone"/>
      <w:r>
        <w:t>TYPE YOUR TEXT HERE</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77777777" w:rsidR="00EA0D0D" w:rsidRDefault="00EA0D0D">
      <w:permStart w:id="165553507" w:edGrp="everyone"/>
      <w:r>
        <w:t>TYPE YOUR TEXT HERE</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lastRenderedPageBreak/>
        <w:t>&lt;ESMA_QUESTION_CSDR_8&gt;</w:t>
      </w:r>
    </w:p>
    <w:p w14:paraId="636A0594" w14:textId="77777777" w:rsidR="00EA0D0D" w:rsidRDefault="00EA0D0D">
      <w:permStart w:id="804142208" w:edGrp="everyone"/>
      <w:r>
        <w:t>TYPE YOUR TEXT HERE</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77777777" w:rsidR="00EA0D0D" w:rsidRDefault="00EA0D0D">
      <w:permStart w:id="1025510098" w:edGrp="everyone"/>
      <w:r>
        <w:t>TYPE YOUR TEXT HERE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738C3FC7" w14:textId="77777777" w:rsidR="00EA0D0D" w:rsidRDefault="00EA0D0D">
      <w:permStart w:id="68043086" w:edGrp="everyone"/>
      <w:r>
        <w:t>TYPE YOUR TEXT HERE</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77777777" w:rsidR="00EA0D0D" w:rsidRDefault="00EA0D0D">
      <w:permStart w:id="1297758787" w:edGrp="everyone"/>
      <w: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lastRenderedPageBreak/>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w:t>
      </w:r>
      <w:r w:rsidRPr="00C045DA">
        <w:lastRenderedPageBreak/>
        <w:t xml:space="preserve">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39FBC67B" w14:textId="77777777" w:rsidR="00480F3D" w:rsidRDefault="00480F3D">
      <w:permStart w:id="1522626052" w:edGrp="everyone"/>
      <w:r>
        <w:t>TYPE YOUR TEXT HERE</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 xml:space="preserve">In your view, is the current CSDR penalty mechanism deterrent and proportionate? Does it effectively discourage settlement fails and incentivise </w:t>
      </w:r>
      <w:r w:rsidRPr="00E8434C">
        <w:lastRenderedPageBreak/>
        <w:t>their rapid resolution? Please provide data and arguments to justify your answer.</w:t>
      </w:r>
    </w:p>
    <w:bookmarkEnd w:id="15"/>
    <w:p w14:paraId="4A2B257D" w14:textId="77777777" w:rsidR="00480F3D" w:rsidRDefault="00480F3D">
      <w:r>
        <w:t>&lt;ESMA_QUESTION_CSDR_16&gt;</w:t>
      </w:r>
    </w:p>
    <w:p w14:paraId="744A0C9D" w14:textId="77777777" w:rsidR="00480F3D" w:rsidRDefault="00480F3D">
      <w:permStart w:id="1340627845" w:edGrp="everyone"/>
      <w:r>
        <w:t>TYPE YOUR TEXT HERE</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06FB94CF" w14:textId="77777777" w:rsidR="00474655" w:rsidRPr="000005CC" w:rsidRDefault="00474655" w:rsidP="00474655">
      <w:pPr>
        <w:spacing w:after="240"/>
      </w:pPr>
      <w:permStart w:id="1267808287" w:edGrp="everyone"/>
      <w:r w:rsidRPr="000005CC">
        <w:t xml:space="preserve">The vast majority of settlement fails are caused by brokers/dealers, and not by the fund industry, as we are typically on the </w:t>
      </w:r>
      <w:proofErr w:type="gramStart"/>
      <w:r w:rsidRPr="000005CC">
        <w:t>long-side</w:t>
      </w:r>
      <w:proofErr w:type="gramEnd"/>
      <w:r w:rsidRPr="000005CC">
        <w:t xml:space="preserve"> only.</w:t>
      </w:r>
    </w:p>
    <w:p w14:paraId="7C888789" w14:textId="77777777" w:rsidR="00474655" w:rsidRPr="000005CC" w:rsidRDefault="00474655" w:rsidP="00474655">
      <w:pPr>
        <w:spacing w:after="240"/>
      </w:pPr>
      <w:r w:rsidRPr="000005CC">
        <w:t>As asset managers, the main reasons for failing to deliver securities is generally because of Standard Settlement Instructions (SSI) mismatches or differences on economic data (data quality being a high prerogative for settlement efficiency). Another reason could also be because of positions that need to be realigned from one market to another due to a split of positions.</w:t>
      </w:r>
    </w:p>
    <w:p w14:paraId="1CC497C5" w14:textId="77777777" w:rsidR="00474655" w:rsidRPr="000005CC" w:rsidRDefault="00474655" w:rsidP="00474655">
      <w:pPr>
        <w:spacing w:after="240"/>
      </w:pPr>
      <w:r w:rsidRPr="000005CC">
        <w:t xml:space="preserve">The main reason for failure to deliver cash on the other hand is because of the failure of a funding trade higher up the chain leaving no cash available. </w:t>
      </w:r>
    </w:p>
    <w:p w14:paraId="4FE648FE" w14:textId="23122041" w:rsidR="00480F3D" w:rsidRDefault="00474655">
      <w:r w:rsidRPr="000005CC">
        <w:t xml:space="preserve">It should however be noted that asset managers are generally recipient of positive penalties, and the principal cause of a trade failing is usually when the broker is short because of a lack of securities. </w:t>
      </w:r>
      <w:permEnd w:id="1267808287"/>
      <w:r w:rsidR="00480F3D">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68A45E9B" w14:textId="77777777" w:rsidR="00480F3D" w:rsidRDefault="00480F3D">
      <w:permStart w:id="1836331667" w:edGrp="everyone"/>
      <w:r>
        <w:t>TYPE YOUR TEXT HERE</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75F12042" w14:textId="77777777" w:rsidR="00480F3D" w:rsidRDefault="00480F3D">
      <w:permStart w:id="1744390137" w:edGrp="everyone"/>
      <w:r>
        <w:t>TYPE YOUR TEXT HERE</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24700A0A" w14:textId="77777777" w:rsidR="00480F3D" w:rsidRDefault="00480F3D">
      <w:permStart w:id="652349975" w:edGrp="everyone"/>
      <w:r>
        <w:t>TYPE YOUR TEXT HERE</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lastRenderedPageBreak/>
        <w:t>&lt;ESMA_QUESTION_CSDR_22&gt;</w:t>
      </w:r>
    </w:p>
    <w:p w14:paraId="1AD606AF" w14:textId="77777777" w:rsidR="00480F3D" w:rsidRDefault="00480F3D">
      <w:permStart w:id="47388266" w:edGrp="everyone"/>
      <w:r>
        <w:t>TYPE YOUR TEXT HERE</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77777777" w:rsidR="00480F3D" w:rsidRDefault="00480F3D">
      <w:permStart w:id="67503824" w:edGrp="everyone"/>
      <w:r>
        <w:t>TYPE YOUR TEXT HERE</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33D95FC4" w14:textId="77777777" w:rsidR="00480F3D" w:rsidRDefault="00480F3D">
      <w:permStart w:id="1652955813" w:edGrp="everyone"/>
      <w:r>
        <w:t>TYPE YOUR TEXT HERE</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5A67EBAC" w14:textId="77777777" w:rsidR="00480F3D" w:rsidRDefault="00480F3D">
      <w:permStart w:id="1767178405" w:edGrp="everyone"/>
      <w:r>
        <w:t>TYPE YOUR TEXT HERE</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3BF332A5" w14:textId="77777777" w:rsidR="00474655" w:rsidRPr="000005CC" w:rsidRDefault="00474655" w:rsidP="00474655">
      <w:pPr>
        <w:spacing w:after="240"/>
      </w:pPr>
      <w:permStart w:id="514209699" w:edGrp="everyone"/>
      <w:r w:rsidRPr="000005CC">
        <w:t>Progressive rates were not welcomed by the EFAMA membership due to:</w:t>
      </w:r>
    </w:p>
    <w:p w14:paraId="7BEABE14" w14:textId="77777777" w:rsidR="00474655" w:rsidRPr="000005CC" w:rsidRDefault="00474655" w:rsidP="00474655">
      <w:pPr>
        <w:pStyle w:val="ListParagraph"/>
        <w:numPr>
          <w:ilvl w:val="0"/>
          <w:numId w:val="17"/>
        </w:numPr>
        <w:spacing w:after="240"/>
        <w:ind w:left="447" w:hanging="425"/>
        <w:rPr>
          <w:rFonts w:ascii="Arial" w:hAnsi="Arial" w:cs="Arial"/>
          <w:sz w:val="20"/>
          <w:szCs w:val="20"/>
        </w:rPr>
      </w:pPr>
      <w:r w:rsidRPr="000005CC">
        <w:rPr>
          <w:rFonts w:ascii="Arial" w:hAnsi="Arial" w:cs="Arial"/>
          <w:sz w:val="20"/>
          <w:szCs w:val="20"/>
        </w:rPr>
        <w:t>Lack of a use-case, i.e would they really contribute to a further reduction in fails</w:t>
      </w:r>
      <w:r>
        <w:rPr>
          <w:rFonts w:ascii="Arial" w:hAnsi="Arial" w:cs="Arial"/>
          <w:sz w:val="20"/>
          <w:szCs w:val="20"/>
        </w:rPr>
        <w:t>.</w:t>
      </w:r>
    </w:p>
    <w:p w14:paraId="778AF2CF" w14:textId="77777777" w:rsidR="00474655" w:rsidRPr="000005CC" w:rsidRDefault="00474655" w:rsidP="00474655">
      <w:pPr>
        <w:pStyle w:val="ListParagraph"/>
        <w:numPr>
          <w:ilvl w:val="0"/>
          <w:numId w:val="17"/>
        </w:numPr>
        <w:spacing w:after="240"/>
        <w:ind w:left="447" w:hanging="425"/>
        <w:rPr>
          <w:rFonts w:ascii="Arial" w:hAnsi="Arial" w:cs="Arial"/>
          <w:sz w:val="20"/>
          <w:szCs w:val="20"/>
        </w:rPr>
      </w:pPr>
      <w:r w:rsidRPr="000005CC">
        <w:rPr>
          <w:rFonts w:ascii="Arial" w:hAnsi="Arial" w:cs="Arial"/>
          <w:sz w:val="20"/>
          <w:szCs w:val="20"/>
        </w:rPr>
        <w:t>Related to the point above, we are lacking quality, granular public data on settlement fails and the underlying causes.</w:t>
      </w:r>
    </w:p>
    <w:p w14:paraId="2891DE9F" w14:textId="77777777" w:rsidR="00474655" w:rsidRPr="000005CC" w:rsidRDefault="00474655" w:rsidP="00474655">
      <w:pPr>
        <w:pStyle w:val="ListParagraph"/>
        <w:numPr>
          <w:ilvl w:val="0"/>
          <w:numId w:val="17"/>
        </w:numPr>
        <w:spacing w:after="240"/>
        <w:ind w:left="447" w:hanging="425"/>
        <w:rPr>
          <w:rFonts w:ascii="Arial" w:hAnsi="Arial" w:cs="Arial"/>
          <w:sz w:val="20"/>
          <w:szCs w:val="20"/>
        </w:rPr>
      </w:pPr>
      <w:r w:rsidRPr="000005CC">
        <w:rPr>
          <w:rFonts w:ascii="Arial" w:hAnsi="Arial" w:cs="Arial"/>
          <w:sz w:val="20"/>
          <w:szCs w:val="20"/>
        </w:rPr>
        <w:t>We believe that the existing framework may still have some positive impact to deliver.  The look-back period today is not long enough</w:t>
      </w:r>
      <w:r>
        <w:rPr>
          <w:rFonts w:ascii="Arial" w:hAnsi="Arial" w:cs="Arial"/>
          <w:sz w:val="20"/>
          <w:szCs w:val="20"/>
        </w:rPr>
        <w:t>.</w:t>
      </w:r>
    </w:p>
    <w:p w14:paraId="7F163121" w14:textId="77777777" w:rsidR="00474655" w:rsidRPr="000005CC" w:rsidRDefault="00474655" w:rsidP="00474655">
      <w:pPr>
        <w:pStyle w:val="ListParagraph"/>
        <w:numPr>
          <w:ilvl w:val="0"/>
          <w:numId w:val="17"/>
        </w:numPr>
        <w:spacing w:after="240"/>
        <w:ind w:left="447" w:hanging="425"/>
        <w:rPr>
          <w:rFonts w:ascii="Arial" w:hAnsi="Arial" w:cs="Arial"/>
          <w:sz w:val="20"/>
          <w:szCs w:val="20"/>
        </w:rPr>
      </w:pPr>
      <w:r w:rsidRPr="000005CC">
        <w:rPr>
          <w:rFonts w:ascii="Arial" w:hAnsi="Arial" w:cs="Arial"/>
          <w:sz w:val="20"/>
          <w:szCs w:val="20"/>
        </w:rPr>
        <w:t>Cost of implementation and undue complexity makes the system more prone to error, and claims handling</w:t>
      </w:r>
      <w:r>
        <w:rPr>
          <w:rFonts w:ascii="Arial" w:hAnsi="Arial" w:cs="Arial"/>
          <w:sz w:val="20"/>
          <w:szCs w:val="20"/>
        </w:rPr>
        <w:t>.</w:t>
      </w:r>
    </w:p>
    <w:p w14:paraId="1167C81C" w14:textId="77777777" w:rsidR="00474655" w:rsidRPr="000005CC" w:rsidRDefault="00474655" w:rsidP="00474655">
      <w:pPr>
        <w:spacing w:after="240"/>
      </w:pPr>
      <w:r w:rsidRPr="000005CC">
        <w:t>What can be useful,</w:t>
      </w:r>
      <w:r>
        <w:t xml:space="preserve"> </w:t>
      </w:r>
      <w:r w:rsidRPr="000005CC">
        <w:t xml:space="preserve">and to some degree is already occurring due to the US T1 move, is the </w:t>
      </w:r>
      <w:proofErr w:type="spellStart"/>
      <w:r w:rsidRPr="000005CC">
        <w:t>updake</w:t>
      </w:r>
      <w:proofErr w:type="spellEnd"/>
      <w:r w:rsidRPr="000005CC">
        <w:t xml:space="preserve"> of greater automation, the harmonisation of platforms and the instantaneous exchange of data. </w:t>
      </w:r>
    </w:p>
    <w:p w14:paraId="55749D3B" w14:textId="77777777" w:rsidR="00474655" w:rsidRPr="000005CC" w:rsidRDefault="00474655" w:rsidP="00474655">
      <w:pPr>
        <w:spacing w:after="240"/>
      </w:pPr>
      <w:r w:rsidRPr="000005CC">
        <w:t xml:space="preserve">Furthermore, for any mechanism to work effectively it needs to be flexible in terms of the rates applied. For instance, we must be able to react quickly in case of new market conditions and if we observe that the rate applied are disproportionate given the objective to be achieved.  </w:t>
      </w:r>
    </w:p>
    <w:p w14:paraId="75C0D013" w14:textId="77777777" w:rsidR="00474655" w:rsidRPr="000005CC" w:rsidRDefault="00474655" w:rsidP="00474655">
      <w:pPr>
        <w:spacing w:after="240"/>
      </w:pPr>
      <w:r w:rsidRPr="000005CC">
        <w:t xml:space="preserve">Finally, and as proposed in our introduction, if in-depth analysis of settlement fail data does show a need to reform the cash penalties regime, we believe that a dynamic rate pegged to the market funding rate should be considered.  Although asset managers do not borrow, for rates to be sufficiently dissuasive for some parties, a probable change could be to link them to the cost of borrowing securities (slightly higher). </w:t>
      </w:r>
    </w:p>
    <w:p w14:paraId="00FB5B79" w14:textId="77777777" w:rsidR="00474655" w:rsidRPr="000005CC" w:rsidRDefault="00474655" w:rsidP="00474655">
      <w:pPr>
        <w:spacing w:after="240"/>
      </w:pPr>
      <w:r w:rsidRPr="000005CC">
        <w:t>Please see our comments under General Remarks also.</w:t>
      </w:r>
    </w:p>
    <w:p w14:paraId="45F0DA18" w14:textId="77777777" w:rsidR="00474655" w:rsidRPr="000005CC" w:rsidRDefault="00474655" w:rsidP="00474655">
      <w:pPr>
        <w:spacing w:after="240"/>
      </w:pPr>
      <w:r w:rsidRPr="000005CC">
        <w:rPr>
          <w:b/>
          <w:bCs/>
        </w:rPr>
        <w:t>A</w:t>
      </w:r>
      <w:r>
        <w:rPr>
          <w:b/>
          <w:bCs/>
        </w:rPr>
        <w:t>s</w:t>
      </w:r>
      <w:r w:rsidRPr="000005CC">
        <w:rPr>
          <w:b/>
          <w:bCs/>
        </w:rPr>
        <w:t xml:space="preserve"> mentioned in our introduction, we support revisions to the framework that would treat ETFs as standalone category for the application of fail penalties – </w:t>
      </w:r>
    </w:p>
    <w:p w14:paraId="43EB99D8" w14:textId="77777777" w:rsidR="00474655" w:rsidRPr="000005CC" w:rsidRDefault="00474655" w:rsidP="00474655">
      <w:pPr>
        <w:pStyle w:val="ListParagraph"/>
        <w:numPr>
          <w:ilvl w:val="0"/>
          <w:numId w:val="28"/>
        </w:numPr>
        <w:spacing w:after="240"/>
        <w:ind w:left="360"/>
        <w:rPr>
          <w:rFonts w:ascii="Arial" w:eastAsia="Times New Roman" w:hAnsi="Arial" w:cs="Arial"/>
          <w:sz w:val="20"/>
          <w:szCs w:val="20"/>
          <w:lang w:val="en-BE"/>
        </w:rPr>
      </w:pPr>
      <w:r w:rsidRPr="000005CC">
        <w:rPr>
          <w:rFonts w:ascii="Arial" w:eastAsia="Times New Roman" w:hAnsi="Arial" w:cs="Arial"/>
          <w:sz w:val="20"/>
          <w:szCs w:val="20"/>
          <w:lang w:val="en-BE"/>
        </w:rPr>
        <w:lastRenderedPageBreak/>
        <w:t xml:space="preserve">We also </w:t>
      </w:r>
      <w:r w:rsidRPr="000005CC">
        <w:rPr>
          <w:rFonts w:ascii="Arial" w:eastAsia="Times New Roman" w:hAnsi="Arial" w:cs="Arial"/>
          <w:sz w:val="20"/>
          <w:szCs w:val="20"/>
          <w:u w:val="single"/>
          <w:lang w:val="en-BE"/>
        </w:rPr>
        <w:t>support ESMA’s proposal to increase the current settlement penalty charges</w:t>
      </w:r>
      <w:r w:rsidRPr="000005CC">
        <w:rPr>
          <w:rFonts w:ascii="Arial" w:eastAsia="Times New Roman" w:hAnsi="Arial" w:cs="Arial"/>
          <w:sz w:val="20"/>
          <w:szCs w:val="20"/>
          <w:lang w:val="en-BE"/>
        </w:rPr>
        <w:t xml:space="preserve">, as an effective disincentive against “actionably avoidable” fails. </w:t>
      </w:r>
    </w:p>
    <w:p w14:paraId="4079D194" w14:textId="77777777" w:rsidR="00474655" w:rsidRPr="000005CC" w:rsidRDefault="00474655" w:rsidP="00474655">
      <w:pPr>
        <w:pStyle w:val="ListParagraph"/>
        <w:numPr>
          <w:ilvl w:val="1"/>
          <w:numId w:val="29"/>
        </w:numPr>
        <w:spacing w:after="240"/>
        <w:ind w:left="1080"/>
        <w:rPr>
          <w:rFonts w:ascii="Arial" w:eastAsia="Times New Roman" w:hAnsi="Arial" w:cs="Arial"/>
          <w:sz w:val="20"/>
          <w:szCs w:val="20"/>
          <w:lang w:val="en-BE"/>
        </w:rPr>
      </w:pPr>
      <w:r w:rsidRPr="000005CC">
        <w:rPr>
          <w:rFonts w:ascii="Arial" w:eastAsia="Times New Roman" w:hAnsi="Arial" w:cs="Arial"/>
          <w:sz w:val="20"/>
          <w:szCs w:val="20"/>
          <w:lang w:val="en-BE"/>
        </w:rPr>
        <w:t xml:space="preserve">However, we believe the potential costs associated with the proposed charges is disproportionately higher than the perceived benefits. </w:t>
      </w:r>
    </w:p>
    <w:p w14:paraId="1C69FA01" w14:textId="77777777" w:rsidR="00474655" w:rsidRPr="000005CC" w:rsidRDefault="00474655" w:rsidP="00474655">
      <w:pPr>
        <w:pStyle w:val="ListParagraph"/>
        <w:numPr>
          <w:ilvl w:val="0"/>
          <w:numId w:val="28"/>
        </w:numPr>
        <w:spacing w:after="240"/>
        <w:ind w:left="360"/>
        <w:rPr>
          <w:rFonts w:ascii="Arial" w:eastAsia="Times New Roman" w:hAnsi="Arial" w:cs="Arial"/>
          <w:sz w:val="20"/>
          <w:szCs w:val="20"/>
          <w:lang w:val="en-BE"/>
        </w:rPr>
      </w:pPr>
      <w:r w:rsidRPr="000005CC">
        <w:rPr>
          <w:rFonts w:ascii="Arial" w:eastAsia="Times New Roman" w:hAnsi="Arial" w:cs="Arial"/>
          <w:sz w:val="20"/>
          <w:szCs w:val="20"/>
          <w:lang w:val="en-BE"/>
        </w:rPr>
        <w:t xml:space="preserve">We recommend ETF fail penalties must be benchmarked to the current overnight interbank financing rate (such as ESTR) along with a small spread or a floor. This rate must be calibrated based on joint discussion between ESMA and brokers. </w:t>
      </w:r>
    </w:p>
    <w:p w14:paraId="28A8A6AC" w14:textId="77777777" w:rsidR="00474655" w:rsidRPr="000005CC" w:rsidRDefault="00474655" w:rsidP="00474655">
      <w:pPr>
        <w:pStyle w:val="ListParagraph"/>
        <w:numPr>
          <w:ilvl w:val="1"/>
          <w:numId w:val="29"/>
        </w:numPr>
        <w:spacing w:after="240"/>
        <w:ind w:left="1080"/>
        <w:rPr>
          <w:rFonts w:ascii="Arial" w:eastAsia="Times New Roman" w:hAnsi="Arial" w:cs="Arial"/>
          <w:sz w:val="20"/>
          <w:szCs w:val="20"/>
          <w:lang w:val="en-BE"/>
        </w:rPr>
      </w:pPr>
      <w:r w:rsidRPr="000005CC">
        <w:rPr>
          <w:rFonts w:ascii="Arial" w:eastAsia="Times New Roman" w:hAnsi="Arial" w:cs="Arial"/>
          <w:sz w:val="20"/>
          <w:szCs w:val="20"/>
          <w:lang w:val="en-BE"/>
        </w:rPr>
        <w:t xml:space="preserve">We discourage the use of any other benchmark such as ETF stock borrow charges. </w:t>
      </w:r>
    </w:p>
    <w:p w14:paraId="690ED1B3" w14:textId="77777777" w:rsidR="00474655" w:rsidRPr="000005CC" w:rsidRDefault="00474655" w:rsidP="00474655">
      <w:pPr>
        <w:pStyle w:val="ListParagraph"/>
        <w:numPr>
          <w:ilvl w:val="0"/>
          <w:numId w:val="28"/>
        </w:numPr>
        <w:spacing w:after="240"/>
        <w:ind w:left="360"/>
        <w:rPr>
          <w:rFonts w:ascii="Arial" w:eastAsia="Times New Roman" w:hAnsi="Arial" w:cs="Arial"/>
          <w:sz w:val="20"/>
          <w:szCs w:val="20"/>
          <w:lang w:val="en-BE"/>
        </w:rPr>
      </w:pPr>
      <w:r w:rsidRPr="000005CC">
        <w:rPr>
          <w:rFonts w:ascii="Arial" w:eastAsia="Times New Roman" w:hAnsi="Arial" w:cs="Arial"/>
          <w:sz w:val="20"/>
          <w:szCs w:val="20"/>
          <w:lang w:val="en-BE"/>
        </w:rPr>
        <w:t xml:space="preserve">We </w:t>
      </w:r>
      <w:r w:rsidRPr="000005CC">
        <w:rPr>
          <w:rFonts w:ascii="Arial" w:eastAsia="Times New Roman" w:hAnsi="Arial" w:cs="Arial"/>
          <w:sz w:val="20"/>
          <w:szCs w:val="20"/>
          <w:u w:val="single"/>
          <w:lang w:val="en-BE"/>
        </w:rPr>
        <w:t>do not support the proposal for progressive penalties in the ETF category either</w:t>
      </w:r>
      <w:r w:rsidRPr="000005CC">
        <w:rPr>
          <w:rFonts w:ascii="Arial" w:eastAsia="Times New Roman" w:hAnsi="Arial" w:cs="Arial"/>
          <w:sz w:val="20"/>
          <w:szCs w:val="20"/>
          <w:lang w:val="en-BE"/>
        </w:rPr>
        <w:t xml:space="preserve">. </w:t>
      </w:r>
    </w:p>
    <w:p w14:paraId="788FA939" w14:textId="77777777" w:rsidR="00474655" w:rsidRPr="000005CC" w:rsidRDefault="00474655" w:rsidP="00474655">
      <w:pPr>
        <w:pStyle w:val="ListParagraph"/>
        <w:numPr>
          <w:ilvl w:val="1"/>
          <w:numId w:val="30"/>
        </w:numPr>
        <w:spacing w:after="240"/>
        <w:ind w:left="1080"/>
        <w:rPr>
          <w:rFonts w:ascii="Arial" w:eastAsia="Times New Roman" w:hAnsi="Arial" w:cs="Arial"/>
          <w:sz w:val="20"/>
          <w:szCs w:val="20"/>
          <w:lang w:val="en-BE"/>
        </w:rPr>
      </w:pPr>
      <w:r w:rsidRPr="000005CC">
        <w:rPr>
          <w:rFonts w:ascii="Arial" w:eastAsia="Times New Roman" w:hAnsi="Arial" w:cs="Arial"/>
          <w:sz w:val="20"/>
          <w:szCs w:val="20"/>
          <w:lang w:val="en-BE"/>
        </w:rPr>
        <w:t xml:space="preserve">Our analysis </w:t>
      </w:r>
      <w:proofErr w:type="gramStart"/>
      <w:r w:rsidRPr="000005CC">
        <w:rPr>
          <w:rFonts w:ascii="Arial" w:eastAsia="Times New Roman" w:hAnsi="Arial" w:cs="Arial"/>
          <w:sz w:val="20"/>
          <w:szCs w:val="20"/>
          <w:lang w:val="en-BE"/>
        </w:rPr>
        <w:t>suggest</w:t>
      </w:r>
      <w:proofErr w:type="gramEnd"/>
      <w:r w:rsidRPr="000005CC">
        <w:rPr>
          <w:rFonts w:ascii="Arial" w:eastAsia="Times New Roman" w:hAnsi="Arial" w:cs="Arial"/>
          <w:sz w:val="20"/>
          <w:szCs w:val="20"/>
          <w:lang w:val="en-BE"/>
        </w:rPr>
        <w:t xml:space="preserve"> a high volume of ETF orders are settled within 3-4 days of trade execution and progressive increase in penalties are unlikely to have any meaningful impact on expediting settlement. </w:t>
      </w:r>
    </w:p>
    <w:p w14:paraId="3A5BF0CF" w14:textId="77777777" w:rsidR="00474655" w:rsidRPr="000005CC" w:rsidRDefault="00474655" w:rsidP="00474655">
      <w:pPr>
        <w:pStyle w:val="ListParagraph"/>
        <w:numPr>
          <w:ilvl w:val="1"/>
          <w:numId w:val="30"/>
        </w:numPr>
        <w:spacing w:after="240"/>
        <w:ind w:left="1080"/>
        <w:rPr>
          <w:rFonts w:ascii="Arial" w:eastAsia="Times New Roman" w:hAnsi="Arial" w:cs="Arial"/>
          <w:sz w:val="20"/>
          <w:szCs w:val="20"/>
          <w:lang w:val="en-BE"/>
        </w:rPr>
      </w:pPr>
      <w:r w:rsidRPr="000005CC">
        <w:rPr>
          <w:rFonts w:ascii="Arial" w:eastAsia="Times New Roman" w:hAnsi="Arial" w:cs="Arial"/>
          <w:sz w:val="20"/>
          <w:szCs w:val="20"/>
          <w:lang w:val="en-BE"/>
        </w:rPr>
        <w:t xml:space="preserve">Instead, we recommend ESMA to have a </w:t>
      </w:r>
      <w:r w:rsidRPr="000005CC">
        <w:rPr>
          <w:rFonts w:ascii="Arial" w:eastAsia="Times New Roman" w:hAnsi="Arial" w:cs="Arial"/>
          <w:sz w:val="20"/>
          <w:szCs w:val="20"/>
          <w:u w:val="single"/>
          <w:lang w:val="en-BE"/>
        </w:rPr>
        <w:t>flat rate</w:t>
      </w:r>
      <w:r w:rsidRPr="000005CC">
        <w:rPr>
          <w:rFonts w:ascii="Arial" w:eastAsia="Times New Roman" w:hAnsi="Arial" w:cs="Arial"/>
          <w:sz w:val="20"/>
          <w:szCs w:val="20"/>
          <w:lang w:val="en-BE"/>
        </w:rPr>
        <w:t xml:space="preserve"> of penalty. </w:t>
      </w:r>
    </w:p>
    <w:p w14:paraId="74320DD6" w14:textId="77777777" w:rsidR="00474655" w:rsidRPr="000005CC" w:rsidRDefault="00474655" w:rsidP="00474655">
      <w:pPr>
        <w:pStyle w:val="ListParagraph"/>
        <w:numPr>
          <w:ilvl w:val="0"/>
          <w:numId w:val="28"/>
        </w:numPr>
        <w:spacing w:after="240"/>
        <w:ind w:left="360"/>
        <w:rPr>
          <w:rFonts w:ascii="Arial" w:eastAsia="Times New Roman" w:hAnsi="Arial" w:cs="Arial"/>
          <w:sz w:val="20"/>
          <w:szCs w:val="20"/>
          <w:lang w:val="en-BE"/>
        </w:rPr>
      </w:pPr>
      <w:r w:rsidRPr="000005CC">
        <w:rPr>
          <w:rFonts w:ascii="Arial" w:eastAsia="Times New Roman" w:hAnsi="Arial" w:cs="Arial"/>
          <w:sz w:val="20"/>
          <w:szCs w:val="20"/>
          <w:lang w:val="en-BE"/>
        </w:rPr>
        <w:t xml:space="preserve">A more detailed analysis of ETF settlement fails must be carried out to understand and delineate various issues underlying ETF settlement fails. </w:t>
      </w:r>
    </w:p>
    <w:p w14:paraId="3F49C660" w14:textId="77777777" w:rsidR="00474655" w:rsidRPr="000005CC" w:rsidRDefault="00474655" w:rsidP="00474655">
      <w:pPr>
        <w:pStyle w:val="ListParagraph"/>
        <w:numPr>
          <w:ilvl w:val="1"/>
          <w:numId w:val="31"/>
        </w:numPr>
        <w:spacing w:after="240"/>
        <w:ind w:left="1080"/>
        <w:rPr>
          <w:rFonts w:ascii="Arial" w:eastAsia="Times New Roman" w:hAnsi="Arial" w:cs="Arial"/>
          <w:sz w:val="20"/>
          <w:szCs w:val="20"/>
          <w:lang w:val="en-BE"/>
        </w:rPr>
      </w:pPr>
      <w:r w:rsidRPr="000005CC">
        <w:rPr>
          <w:rFonts w:ascii="Arial" w:eastAsia="Times New Roman" w:hAnsi="Arial" w:cs="Arial"/>
          <w:sz w:val="20"/>
          <w:szCs w:val="20"/>
          <w:lang w:val="en-BE"/>
        </w:rPr>
        <w:t xml:space="preserve">To this effect, we recommend that ESMA make public the current mandatory reporting of ETF settlement data by EU </w:t>
      </w:r>
      <w:proofErr w:type="spellStart"/>
      <w:r w:rsidRPr="000005CC">
        <w:rPr>
          <w:rFonts w:ascii="Arial" w:eastAsia="Times New Roman" w:hAnsi="Arial" w:cs="Arial"/>
          <w:sz w:val="20"/>
          <w:szCs w:val="20"/>
          <w:lang w:val="en-BE"/>
        </w:rPr>
        <w:t>CSDs</w:t>
      </w:r>
      <w:proofErr w:type="spellEnd"/>
      <w:r w:rsidRPr="000005CC">
        <w:rPr>
          <w:rFonts w:ascii="Arial" w:eastAsia="Times New Roman" w:hAnsi="Arial" w:cs="Arial"/>
          <w:sz w:val="20"/>
          <w:szCs w:val="20"/>
          <w:lang w:val="en-BE"/>
        </w:rPr>
        <w:t xml:space="preserve">. </w:t>
      </w:r>
    </w:p>
    <w:p w14:paraId="0C4C1FA1" w14:textId="77777777" w:rsidR="00474655" w:rsidRPr="000005CC" w:rsidRDefault="00474655" w:rsidP="00474655">
      <w:pPr>
        <w:pStyle w:val="ListParagraph"/>
        <w:numPr>
          <w:ilvl w:val="0"/>
          <w:numId w:val="28"/>
        </w:numPr>
        <w:spacing w:after="240"/>
        <w:ind w:left="360"/>
        <w:rPr>
          <w:rFonts w:ascii="Arial" w:eastAsia="Times New Roman" w:hAnsi="Arial" w:cs="Arial"/>
          <w:sz w:val="20"/>
          <w:szCs w:val="20"/>
          <w:lang w:val="en-BE"/>
        </w:rPr>
      </w:pPr>
      <w:r w:rsidRPr="000005CC">
        <w:rPr>
          <w:rFonts w:ascii="Arial" w:eastAsia="Times New Roman" w:hAnsi="Arial" w:cs="Arial"/>
          <w:sz w:val="20"/>
          <w:szCs w:val="20"/>
          <w:lang w:val="en-BE"/>
        </w:rPr>
        <w:t xml:space="preserve">We also recommend a </w:t>
      </w:r>
      <w:r w:rsidRPr="000005CC">
        <w:rPr>
          <w:rFonts w:ascii="Arial" w:eastAsia="Times New Roman" w:hAnsi="Arial" w:cs="Arial"/>
          <w:sz w:val="20"/>
          <w:szCs w:val="20"/>
          <w:u w:val="single"/>
          <w:lang w:val="en-BE"/>
        </w:rPr>
        <w:t>periodic review</w:t>
      </w:r>
      <w:r w:rsidRPr="000005CC">
        <w:rPr>
          <w:rFonts w:ascii="Arial" w:eastAsia="Times New Roman" w:hAnsi="Arial" w:cs="Arial"/>
          <w:sz w:val="20"/>
          <w:szCs w:val="20"/>
          <w:lang w:val="en-BE"/>
        </w:rPr>
        <w:t xml:space="preserve"> – every 6 or 12 months – of the settlement efficiency and the impact (and any changes) to current penalty regime. </w:t>
      </w:r>
    </w:p>
    <w:p w14:paraId="5F66134A" w14:textId="77777777" w:rsidR="00474655" w:rsidRDefault="00474655" w:rsidP="00474655">
      <w:pPr>
        <w:pStyle w:val="ListParagraph"/>
        <w:numPr>
          <w:ilvl w:val="1"/>
          <w:numId w:val="32"/>
        </w:numPr>
        <w:spacing w:after="0"/>
        <w:ind w:left="1077" w:hanging="357"/>
      </w:pPr>
      <w:r w:rsidRPr="000005CC">
        <w:rPr>
          <w:rFonts w:ascii="Arial" w:eastAsia="Times New Roman" w:hAnsi="Arial" w:cs="Arial"/>
          <w:sz w:val="20"/>
          <w:szCs w:val="20"/>
          <w:lang w:val="en-BE"/>
        </w:rPr>
        <w:t xml:space="preserve">Such a review will also help ESMA calibrate an appropriate roadmap to accelerating the settlement cycle for EU capital markets. </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lastRenderedPageBreak/>
        <w:t>&lt;ESMA_QUESTION_CSDR_27&gt;</w:t>
      </w:r>
    </w:p>
    <w:p w14:paraId="17757935" w14:textId="77777777" w:rsidR="00480F3D" w:rsidRDefault="00480F3D">
      <w:permStart w:id="873400905" w:edGrp="everyone"/>
      <w:r>
        <w:t>TYPE YOUR TEXT HERE</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lastRenderedPageBreak/>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5DAF49E2" w:rsidR="008D18FF" w:rsidRDefault="008D18FF" w:rsidP="00413D4F">
      <w:permStart w:id="1752653492" w:edGrp="everyone"/>
      <w:r>
        <w:t>TYPE YOUR TEXT HERE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1F1F54E1" w:rsidR="007D7BB4" w:rsidRPr="00BD3B92" w:rsidRDefault="007D7BB4" w:rsidP="00413D4F">
      <w:permStart w:id="503064745" w:edGrp="everyone"/>
      <w:r>
        <w:t>TYPE YOUR TEXT HERE</w:t>
      </w:r>
      <w:permEnd w:id="503064745"/>
    </w:p>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77777777" w:rsidR="00720942" w:rsidRDefault="00720942" w:rsidP="00720942">
      <w:permStart w:id="1764259019" w:edGrp="everyone"/>
      <w:r>
        <w:t>TYPE YOUR TEXT HERE</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 xml:space="preserve">Progressive penalty rates – based on the length and value of the </w:t>
            </w:r>
            <w:r w:rsidRPr="442E5590">
              <w:rPr>
                <w:rFonts w:ascii="Arial" w:eastAsia="Arial" w:hAnsi="Arial" w:cs="Arial"/>
                <w:b/>
                <w:bCs/>
                <w:szCs w:val="22"/>
              </w:rPr>
              <w:lastRenderedPageBreak/>
              <w:t>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lastRenderedPageBreak/>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77777777" w:rsidR="00EC303D" w:rsidRDefault="00EC303D" w:rsidP="00EC303D">
      <w:permStart w:id="892430093" w:edGrp="everyone"/>
      <w:r>
        <w:t>TYPE YOUR TEXT HERE</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lastRenderedPageBreak/>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343819C2" w14:textId="77777777" w:rsidR="00707682" w:rsidRDefault="00707682" w:rsidP="00707682">
      <w:permStart w:id="2059342461" w:edGrp="everyone"/>
      <w:r>
        <w:t>TYPE YOUR TEXT HERE</w:t>
      </w: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lastRenderedPageBreak/>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05CC3F04" w14:textId="77777777" w:rsidR="00683F26" w:rsidRDefault="00683F26">
      <w:permStart w:id="9921138" w:edGrp="everyone"/>
      <w:r>
        <w:t>TYPE YOUR TEXT HERE</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8F85665" w14:textId="77777777" w:rsidR="00683F26" w:rsidRDefault="00683F26">
      <w:permStart w:id="1386107427" w:edGrp="everyone"/>
      <w:r>
        <w:t>TYPE YOUR TEXT HERE</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lastRenderedPageBreak/>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77777777" w:rsidR="00D57C74" w:rsidRDefault="00D57C74" w:rsidP="00D57C74">
      <w:permStart w:id="2042054973" w:edGrp="everyone"/>
      <w:r>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6324CDB6" w14:textId="77777777" w:rsidR="00474655" w:rsidRDefault="00474655" w:rsidP="00474655">
      <w:pPr>
        <w:spacing w:after="240"/>
      </w:pPr>
      <w:permStart w:id="497239485" w:edGrp="everyone"/>
      <w:r w:rsidRPr="000005CC">
        <w:t xml:space="preserve">As previously stated, the level of penalty rates should take this into </w:t>
      </w:r>
      <w:proofErr w:type="gramStart"/>
      <w:r w:rsidRPr="000005CC">
        <w:t>consideration, and</w:t>
      </w:r>
      <w:proofErr w:type="gramEnd"/>
      <w:r w:rsidRPr="000005CC">
        <w:t xml:space="preserve"> should be supplemented by broader market changes that help to ensure that parties are not incentivised to delay settlement.</w:t>
      </w:r>
    </w:p>
    <w:p w14:paraId="15F4ADB7" w14:textId="77777777" w:rsidR="00474655" w:rsidRPr="000005CC" w:rsidRDefault="00474655" w:rsidP="00474655">
      <w:pPr>
        <w:spacing w:after="240"/>
      </w:pPr>
      <w:r w:rsidRPr="000005CC">
        <w:lastRenderedPageBreak/>
        <w:t>We can understand the proposed logic behind the question.  However, funds even if they are often the net receiver of penalties, have an over-riding interest in seeing an improvement in settlement efficiency.  In practice, we do not expect to see such behaviour:</w:t>
      </w:r>
    </w:p>
    <w:p w14:paraId="66B8FCDA" w14:textId="77777777" w:rsidR="00474655" w:rsidRPr="000005CC" w:rsidRDefault="00474655" w:rsidP="00474655">
      <w:pPr>
        <w:pStyle w:val="ListParagraph"/>
        <w:numPr>
          <w:ilvl w:val="0"/>
          <w:numId w:val="17"/>
        </w:numPr>
        <w:spacing w:after="240"/>
        <w:ind w:left="447" w:hanging="425"/>
        <w:rPr>
          <w:rFonts w:ascii="Arial" w:hAnsi="Arial" w:cs="Arial"/>
          <w:sz w:val="20"/>
          <w:szCs w:val="20"/>
        </w:rPr>
      </w:pPr>
      <w:r w:rsidRPr="000005CC">
        <w:rPr>
          <w:rFonts w:ascii="Arial" w:hAnsi="Arial" w:cs="Arial"/>
          <w:sz w:val="20"/>
          <w:szCs w:val="20"/>
        </w:rPr>
        <w:t>MiFID II’s best execution regime requires firms to take all reasonable steps to obtain the best possible result for their clients taking into account notably, price, costs, speed and likelihood of execution and settlement of the order (</w:t>
      </w:r>
      <w:r w:rsidRPr="00E268E7">
        <w:rPr>
          <w:rFonts w:ascii="Arial" w:hAnsi="Arial" w:cs="Arial"/>
          <w:sz w:val="20"/>
          <w:szCs w:val="20"/>
        </w:rPr>
        <w:t>MiFID II, art. 27</w:t>
      </w:r>
      <w:r w:rsidRPr="000005CC">
        <w:rPr>
          <w:rFonts w:ascii="Arial" w:hAnsi="Arial" w:cs="Arial"/>
          <w:sz w:val="20"/>
          <w:szCs w:val="20"/>
        </w:rPr>
        <w:t>)</w:t>
      </w:r>
    </w:p>
    <w:p w14:paraId="61C919F3" w14:textId="77777777" w:rsidR="00474655" w:rsidRPr="000005CC" w:rsidRDefault="00474655" w:rsidP="00474655">
      <w:pPr>
        <w:pStyle w:val="ListParagraph"/>
        <w:numPr>
          <w:ilvl w:val="0"/>
          <w:numId w:val="17"/>
        </w:numPr>
        <w:spacing w:after="240"/>
        <w:ind w:left="447" w:hanging="425"/>
        <w:rPr>
          <w:rFonts w:ascii="Arial" w:hAnsi="Arial" w:cs="Arial"/>
          <w:sz w:val="20"/>
          <w:szCs w:val="20"/>
        </w:rPr>
      </w:pPr>
      <w:r w:rsidRPr="000005CC">
        <w:rPr>
          <w:rFonts w:ascii="Arial" w:hAnsi="Arial" w:cs="Arial"/>
          <w:sz w:val="20"/>
          <w:szCs w:val="20"/>
        </w:rPr>
        <w:t>Ultimately, such behaviour could lead to some brokers exiting the market, which would be to the detriment of asset managers and available liquidity.</w:t>
      </w:r>
    </w:p>
    <w:p w14:paraId="7AF5688C" w14:textId="77777777" w:rsidR="00474655" w:rsidRDefault="00474655" w:rsidP="00474655">
      <w:pPr>
        <w:pStyle w:val="ListParagraph"/>
        <w:numPr>
          <w:ilvl w:val="0"/>
          <w:numId w:val="17"/>
        </w:numPr>
        <w:spacing w:after="0"/>
        <w:ind w:left="448" w:hanging="425"/>
      </w:pPr>
      <w:r w:rsidRPr="000005CC">
        <w:rPr>
          <w:rFonts w:ascii="Arial" w:hAnsi="Arial" w:cs="Arial"/>
          <w:sz w:val="20"/>
          <w:szCs w:val="20"/>
        </w:rPr>
        <w:t>There is still an operational burden connected on the management company to process penalties and claims</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77777777" w:rsidR="00DD5F58" w:rsidRDefault="00DD5F58">
      <w:permStart w:id="395341201" w:edGrp="everyone"/>
      <w:r>
        <w:lastRenderedPageBreak/>
        <w:t>TYPE YOUR TEXT HERE</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w:t>
      </w:r>
      <w:r w:rsidRPr="007A0A46">
        <w:lastRenderedPageBreak/>
        <w:t xml:space="preserve">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77777777" w:rsidR="003148F1" w:rsidRDefault="003148F1">
      <w:permStart w:id="328298340" w:edGrp="everyone"/>
      <w:r>
        <w:t>TYPE YOUR TEXT HERE</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lastRenderedPageBreak/>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77777777" w:rsidR="004A2E54" w:rsidRDefault="004A2E54" w:rsidP="004A2E54">
      <w:permStart w:id="1912501969" w:edGrp="everyone"/>
      <w:r>
        <w:t>TYPE YOUR TEXT HERE</w:t>
      </w:r>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33EEABF1" w14:textId="77777777" w:rsidR="00474655" w:rsidRPr="000005CC" w:rsidRDefault="00474655" w:rsidP="00474655">
      <w:pPr>
        <w:spacing w:after="240"/>
      </w:pPr>
      <w:permStart w:id="1125473364" w:edGrp="everyone"/>
      <w:r w:rsidRPr="000005CC">
        <w:t xml:space="preserve">Cross market comparisons are very difficult to make. In the US, the trading, </w:t>
      </w:r>
      <w:proofErr w:type="gramStart"/>
      <w:r w:rsidRPr="000005CC">
        <w:t>clearing</w:t>
      </w:r>
      <w:proofErr w:type="gramEnd"/>
      <w:r w:rsidRPr="000005CC">
        <w:t xml:space="preserve"> and settlement is concentrated in a few financial market infrastructures, and there is no regime in </w:t>
      </w:r>
      <w:r w:rsidRPr="000005CC">
        <w:lastRenderedPageBreak/>
        <w:t xml:space="preserve">force comparable to the CSDR. In Europe on the other hand, we have many CSDs, CCPs, currencies, a principle of irrevocability, which complexifies the whole settlement process. It is also quite complicated to conduct a clear assessment of the current settlement efficiency as there is no universal methodology.  </w:t>
      </w:r>
    </w:p>
    <w:p w14:paraId="25CD8AB8" w14:textId="4C6A1795" w:rsidR="00FA151B" w:rsidRDefault="00474655" w:rsidP="00FA151B">
      <w:r w:rsidRPr="000005CC">
        <w:t xml:space="preserve">However, this conclusion points to the need to rationalise our market to make it simpler, more interconnected and automate our processes as far as possible.  In Europe, we still rely too much on counterparties proactively communicating and agreeing the place of settlement to reduce the likelihood of any </w:t>
      </w:r>
      <w:proofErr w:type="gramStart"/>
      <w:r w:rsidRPr="000005CC">
        <w:t>mismatches.</w:t>
      </w:r>
      <w:permEnd w:id="1125473364"/>
      <w:r w:rsidR="00FA151B">
        <w:t>&lt;</w:t>
      </w:r>
      <w:proofErr w:type="gramEnd"/>
      <w:r w:rsidR="00FA151B">
        <w: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77777777" w:rsidR="00FA151B" w:rsidRDefault="00FA151B" w:rsidP="00FA151B">
      <w:permStart w:id="1165707336" w:edGrp="everyone"/>
      <w:r>
        <w:t>TYPE YOUR TEXT HERE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3C084561" w14:textId="77777777" w:rsidR="00474655" w:rsidRPr="000005CC" w:rsidRDefault="00474655" w:rsidP="00474655">
      <w:pPr>
        <w:spacing w:after="240"/>
      </w:pPr>
      <w:permStart w:id="695947103" w:edGrp="everyone"/>
      <w:r w:rsidRPr="000005CC">
        <w:t xml:space="preserve">Minimum value cash penalties-. We do not support a ‘minimum penalty of this sort.  We believe that setting minimum penalty rates across all types of fails is not a good idea as it doesn’t </w:t>
      </w:r>
      <w:proofErr w:type="gramStart"/>
      <w:r w:rsidRPr="000005CC">
        <w:t>take into account</w:t>
      </w:r>
      <w:proofErr w:type="gramEnd"/>
      <w:r w:rsidRPr="000005CC">
        <w:t xml:space="preserve"> the size of the trade i.e. big or small orders, block trades and individual trades. It would incur big development for a hypothetical purpose. Moreover, setting a minimum penalty rate completely ignores the root cause of the </w:t>
      </w:r>
      <w:proofErr w:type="gramStart"/>
      <w:r w:rsidRPr="000005CC">
        <w:t>fail</w:t>
      </w:r>
      <w:proofErr w:type="gramEnd"/>
      <w:r w:rsidRPr="000005CC">
        <w:t xml:space="preserve">. </w:t>
      </w:r>
    </w:p>
    <w:p w14:paraId="245A67CB" w14:textId="77777777" w:rsidR="00474655" w:rsidRPr="000005CC" w:rsidRDefault="00474655" w:rsidP="00474655">
      <w:pPr>
        <w:spacing w:after="240"/>
        <w:rPr>
          <w:b/>
          <w:bCs/>
        </w:rPr>
      </w:pPr>
      <w:r w:rsidRPr="000005CC">
        <w:rPr>
          <w:b/>
          <w:bCs/>
        </w:rPr>
        <w:t>A de-minimis threshold set at CSD level</w:t>
      </w:r>
      <w:proofErr w:type="gramStart"/>
      <w:r w:rsidRPr="000005CC">
        <w:rPr>
          <w:b/>
          <w:bCs/>
        </w:rPr>
        <w:t>-  We</w:t>
      </w:r>
      <w:proofErr w:type="gramEnd"/>
      <w:r w:rsidRPr="000005CC">
        <w:rPr>
          <w:b/>
          <w:bCs/>
        </w:rPr>
        <w:t xml:space="preserve"> would welcome an alternative approach with a de-minimis at which the CSD withholds cash penalties where the value of a cash penalty does not reach a certain value (e.g. nothing below a given value is posted)</w:t>
      </w:r>
    </w:p>
    <w:p w14:paraId="3B4C8A26" w14:textId="77777777" w:rsidR="00474655" w:rsidRPr="000005CC" w:rsidRDefault="00474655" w:rsidP="00474655">
      <w:pPr>
        <w:spacing w:after="240"/>
      </w:pPr>
      <w:r w:rsidRPr="000005CC">
        <w:lastRenderedPageBreak/>
        <w:t>ESMA should explore a model whereby for immaterial cash penalties, the CSDs withhold the credit and debit to CSD participants given the operational cost of processing such small values would likely exceed the value of the penalty itself.</w:t>
      </w:r>
    </w:p>
    <w:p w14:paraId="025C9E83" w14:textId="77777777" w:rsidR="00474655" w:rsidRPr="000005CC" w:rsidRDefault="00474655" w:rsidP="00474655">
      <w:pPr>
        <w:spacing w:after="240"/>
      </w:pPr>
      <w:r w:rsidRPr="000005CC">
        <w:t xml:space="preserve">We appreciate the challenges in </w:t>
      </w:r>
      <w:proofErr w:type="gramStart"/>
      <w:r w:rsidRPr="000005CC">
        <w:t>this, but</w:t>
      </w:r>
      <w:proofErr w:type="gramEnd"/>
      <w:r w:rsidRPr="000005CC">
        <w:t xml:space="preserve"> think blocking low value penalties would satisfy the proportionality element of the CSDR consultation. </w:t>
      </w:r>
    </w:p>
    <w:p w14:paraId="5EB4FD3A" w14:textId="60572683" w:rsidR="00FA151B" w:rsidRDefault="00474655" w:rsidP="00FA151B">
      <w:r w:rsidRPr="000005CC">
        <w:t xml:space="preserve">We support the analysis and conclusions contributed by the IA in this </w:t>
      </w:r>
      <w:proofErr w:type="gramStart"/>
      <w:r w:rsidRPr="000005CC">
        <w:t>regard.</w:t>
      </w:r>
      <w:permEnd w:id="695947103"/>
      <w:r w:rsidR="00FA151B">
        <w:t>&lt;</w:t>
      </w:r>
      <w:proofErr w:type="gramEnd"/>
      <w:r w:rsidR="00FA151B">
        <w: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739338D4" w14:textId="77777777" w:rsidR="00474655" w:rsidRDefault="00474655" w:rsidP="00474655">
      <w:permStart w:id="1544167674" w:edGrp="everyone"/>
      <w:r w:rsidRPr="000005CC">
        <w:t xml:space="preserve">We cannot provide estimates on the time it will take to implement changes unless we know the nature of the changes to be implemented.  However, </w:t>
      </w:r>
      <w:proofErr w:type="gramStart"/>
      <w:r w:rsidRPr="000005CC">
        <w:t>it is clear that a</w:t>
      </w:r>
      <w:proofErr w:type="gramEnd"/>
      <w:r w:rsidRPr="000005CC">
        <w:t xml:space="preserve"> simple penalty mechanism like we have today is preferable.  It is easily understood, </w:t>
      </w:r>
      <w:proofErr w:type="gramStart"/>
      <w:r w:rsidRPr="000005CC">
        <w:t>implemented</w:t>
      </w:r>
      <w:proofErr w:type="gramEnd"/>
      <w:r w:rsidRPr="000005CC">
        <w:t xml:space="preserve"> and reviewed. Any future change to the penalty regime should be properly sequenced to avoid clashing with other potential changes (</w:t>
      </w:r>
      <w:proofErr w:type="spellStart"/>
      <w:r w:rsidRPr="000005CC">
        <w:t>i.e</w:t>
      </w:r>
      <w:proofErr w:type="spellEnd"/>
      <w:r w:rsidRPr="000005CC">
        <w:t xml:space="preserve"> EU shortening of the settlement cycle, and to give firms sufficient time to upgrade systems and processes.</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lastRenderedPageBreak/>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77777777" w:rsidR="00FA151B" w:rsidRDefault="00FA151B" w:rsidP="00FA151B">
      <w:permStart w:id="32193916" w:edGrp="everyone"/>
      <w:r>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77777777" w:rsidR="00FA151B" w:rsidRDefault="00FA151B" w:rsidP="00FA151B">
      <w:permStart w:id="800291382" w:edGrp="everyone"/>
      <w:r>
        <w:t>TYPE YOUR TEXT HERE</w:t>
      </w:r>
    </w:p>
    <w:permEnd w:id="800291382"/>
    <w:p w14:paraId="507A6667" w14:textId="77777777" w:rsidR="00FA151B" w:rsidRDefault="00FA151B" w:rsidP="00FA151B">
      <w:r>
        <w:t>&lt;ESMA_QUESTION_CSDR_51&gt;</w:t>
      </w:r>
    </w:p>
    <w:sectPr w:rsidR="00FA151B"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06BD" w14:textId="77777777" w:rsidR="00C670ED" w:rsidRDefault="00C670ED" w:rsidP="007E7997">
      <w:pPr>
        <w:spacing w:line="240" w:lineRule="auto"/>
      </w:pPr>
      <w:r>
        <w:separator/>
      </w:r>
    </w:p>
  </w:endnote>
  <w:endnote w:type="continuationSeparator" w:id="0">
    <w:p w14:paraId="6CDE69A2" w14:textId="77777777" w:rsidR="00C670ED" w:rsidRDefault="00C670ED" w:rsidP="007E7997">
      <w:pPr>
        <w:spacing w:line="240" w:lineRule="auto"/>
      </w:pPr>
      <w:r>
        <w:continuationSeparator/>
      </w:r>
    </w:p>
  </w:endnote>
  <w:endnote w:type="continuationNotice" w:id="1">
    <w:p w14:paraId="04B3AD90" w14:textId="77777777" w:rsidR="00C670ED" w:rsidRDefault="00C67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F8C4" w14:textId="77777777" w:rsidR="00C670ED" w:rsidRDefault="00C670ED" w:rsidP="007E7997">
      <w:pPr>
        <w:spacing w:line="240" w:lineRule="auto"/>
      </w:pPr>
      <w:r>
        <w:separator/>
      </w:r>
    </w:p>
  </w:footnote>
  <w:footnote w:type="continuationSeparator" w:id="0">
    <w:p w14:paraId="783423C7" w14:textId="77777777" w:rsidR="00C670ED" w:rsidRDefault="00C670ED" w:rsidP="007E7997">
      <w:pPr>
        <w:spacing w:line="240" w:lineRule="auto"/>
      </w:pPr>
      <w:r>
        <w:continuationSeparator/>
      </w:r>
    </w:p>
  </w:footnote>
  <w:footnote w:type="continuationNotice" w:id="1">
    <w:p w14:paraId="4D3C85F0" w14:textId="77777777" w:rsidR="00C670ED" w:rsidRDefault="00C670ED">
      <w:pPr>
        <w:spacing w:after="0" w:line="240" w:lineRule="auto"/>
      </w:pPr>
    </w:p>
  </w:footnote>
  <w:footnote w:id="2">
    <w:p w14:paraId="3CDABFCB" w14:textId="77777777" w:rsidR="00474655" w:rsidRPr="009B174D" w:rsidRDefault="00474655" w:rsidP="00474655">
      <w:pPr>
        <w:pStyle w:val="FootnoteText"/>
        <w:rPr>
          <w:lang w:val="en-US"/>
        </w:rPr>
      </w:pPr>
      <w:r>
        <w:rPr>
          <w:rStyle w:val="FootnoteReference"/>
        </w:rPr>
        <w:footnoteRef/>
      </w:r>
      <w:r>
        <w:t xml:space="preserve"> </w:t>
      </w:r>
      <w:hyperlink r:id="rId1" w:history="1">
        <w:r>
          <w:rPr>
            <w:rStyle w:val="Hyperlink"/>
          </w:rPr>
          <w:t>ESMA50-524821-3107 Report on Trends, Risks and Vulnerabilities, n.1, 2024 (europa.eu)</w:t>
        </w:r>
      </w:hyperlink>
    </w:p>
  </w:footnote>
  <w:footnote w:id="3">
    <w:p w14:paraId="2EFCAE95" w14:textId="77777777" w:rsidR="00474655" w:rsidRPr="00927219" w:rsidRDefault="00474655" w:rsidP="00474655">
      <w:pPr>
        <w:pStyle w:val="FootnoteText"/>
        <w:rPr>
          <w:lang w:val="en-US"/>
        </w:rPr>
      </w:pPr>
      <w:r>
        <w:rPr>
          <w:rStyle w:val="FootnoteReference"/>
        </w:rPr>
        <w:footnoteRef/>
      </w:r>
      <w:r>
        <w:t xml:space="preserve"> </w:t>
      </w:r>
      <w:hyperlink r:id="rId2" w:history="1">
        <w:r w:rsidRPr="0028043B">
          <w:rPr>
            <w:rStyle w:val="Hyperlink"/>
          </w:rPr>
          <w:t>www.afme.eu/Portals/0/CSDR%20Settlement%20Discipline%20-%20Bilateral%20Penalty%20Claims%20August%202021.pdf</w:t>
        </w:r>
      </w:hyperlink>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5A1B43"/>
    <w:multiLevelType w:val="hybridMultilevel"/>
    <w:tmpl w:val="23D03068"/>
    <w:lvl w:ilvl="0" w:tplc="C9DA6504">
      <w:start w:val="1"/>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F324082"/>
    <w:multiLevelType w:val="hybridMultilevel"/>
    <w:tmpl w:val="186653D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0C7415"/>
    <w:multiLevelType w:val="hybridMultilevel"/>
    <w:tmpl w:val="63C266EE"/>
    <w:lvl w:ilvl="0" w:tplc="48565E7C">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37D2AE3"/>
    <w:multiLevelType w:val="hybridMultilevel"/>
    <w:tmpl w:val="11A079E4"/>
    <w:lvl w:ilvl="0" w:tplc="FDD46228">
      <w:numFmt w:val="bullet"/>
      <w:lvlText w:val="-"/>
      <w:lvlJc w:val="left"/>
      <w:pPr>
        <w:ind w:left="360" w:hanging="360"/>
      </w:pPr>
      <w:rPr>
        <w:rFonts w:ascii="Arial" w:eastAsia="Times New Roma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60317C50"/>
    <w:multiLevelType w:val="hybridMultilevel"/>
    <w:tmpl w:val="A58452C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073F5"/>
    <w:multiLevelType w:val="multilevel"/>
    <w:tmpl w:val="A4F4C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1421525">
    <w:abstractNumId w:val="16"/>
  </w:num>
  <w:num w:numId="2" w16cid:durableId="270287514">
    <w:abstractNumId w:val="5"/>
  </w:num>
  <w:num w:numId="3" w16cid:durableId="1675497260">
    <w:abstractNumId w:val="12"/>
  </w:num>
  <w:num w:numId="4" w16cid:durableId="1146706333">
    <w:abstractNumId w:val="3"/>
  </w:num>
  <w:num w:numId="5" w16cid:durableId="1502348752">
    <w:abstractNumId w:val="0"/>
  </w:num>
  <w:num w:numId="6" w16cid:durableId="1544101585">
    <w:abstractNumId w:val="7"/>
  </w:num>
  <w:num w:numId="7" w16cid:durableId="896626050">
    <w:abstractNumId w:val="17"/>
  </w:num>
  <w:num w:numId="8" w16cid:durableId="806780153">
    <w:abstractNumId w:val="2"/>
  </w:num>
  <w:num w:numId="9" w16cid:durableId="1677002603">
    <w:abstractNumId w:val="15"/>
  </w:num>
  <w:num w:numId="10" w16cid:durableId="22487393">
    <w:abstractNumId w:val="11"/>
  </w:num>
  <w:num w:numId="11" w16cid:durableId="270942799">
    <w:abstractNumId w:val="10"/>
  </w:num>
  <w:num w:numId="12" w16cid:durableId="10230698">
    <w:abstractNumId w:val="10"/>
    <w:lvlOverride w:ilvl="0">
      <w:startOverride w:val="1"/>
    </w:lvlOverride>
  </w:num>
  <w:num w:numId="13" w16cid:durableId="1914856611">
    <w:abstractNumId w:val="1"/>
  </w:num>
  <w:num w:numId="14" w16cid:durableId="297614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9"/>
  </w:num>
  <w:num w:numId="17" w16cid:durableId="647248201">
    <w:abstractNumId w:val="8"/>
  </w:num>
  <w:num w:numId="18" w16cid:durableId="38357852">
    <w:abstractNumId w:val="14"/>
  </w:num>
  <w:num w:numId="19" w16cid:durableId="345637151">
    <w:abstractNumId w:val="6"/>
  </w:num>
  <w:num w:numId="20" w16cid:durableId="467432900">
    <w:abstractNumId w:val="4"/>
  </w:num>
  <w:num w:numId="21" w16cid:durableId="1924100306">
    <w:abstractNumId w:val="13"/>
  </w:num>
  <w:num w:numId="22" w16cid:durableId="710038132">
    <w:abstractNumId w:val="16"/>
  </w:num>
  <w:num w:numId="23" w16cid:durableId="603849105">
    <w:abstractNumId w:val="16"/>
  </w:num>
  <w:num w:numId="24" w16cid:durableId="2080322009">
    <w:abstractNumId w:val="16"/>
  </w:num>
  <w:num w:numId="25" w16cid:durableId="341399926">
    <w:abstractNumId w:val="16"/>
  </w:num>
  <w:num w:numId="26" w16cid:durableId="1574200526">
    <w:abstractNumId w:val="16"/>
  </w:num>
  <w:num w:numId="27" w16cid:durableId="1902863468">
    <w:abstractNumId w:val="16"/>
  </w:num>
  <w:num w:numId="28" w16cid:durableId="146938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45443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447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9536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446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3F5F"/>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55"/>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07D"/>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6FC"/>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5AA"/>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unhideWhenUsed/>
    <w:rsid w:val="00474655"/>
    <w:pPr>
      <w:spacing w:before="100" w:beforeAutospacing="1" w:after="100" w:afterAutospacing="1" w:line="240" w:lineRule="auto"/>
      <w:jc w:val="left"/>
    </w:pPr>
    <w:rPr>
      <w:rFonts w:ascii="Times New Roman" w:eastAsia="Times New Roman" w:hAnsi="Times New Roman" w:cs="Arial"/>
      <w:color w:val="auto"/>
      <w:sz w:val="20"/>
      <w:lang w:val="en-BE" w:eastAsia="en-GB"/>
    </w:rPr>
  </w:style>
  <w:style w:type="paragraph" w:customStyle="1" w:styleId="xmsonormal">
    <w:name w:val="x_msonormal"/>
    <w:basedOn w:val="Normal"/>
    <w:rsid w:val="00474655"/>
    <w:pPr>
      <w:spacing w:after="0"/>
      <w:jc w:val="left"/>
    </w:pPr>
    <w:rPr>
      <w:rFonts w:ascii="Arial" w:eastAsiaTheme="minorHAnsi" w:hAnsi="Arial" w:cs="Arial"/>
      <w:color w:val="000000"/>
      <w:sz w:val="20"/>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fme.eu/Portals/0/CSDR%20Settlement%20Discipline%20-%20Bilateral%20Penalty%20Claims%20August%202021.pdf" TargetMode="External"/><Relationship Id="rId1" Type="http://schemas.openxmlformats.org/officeDocument/2006/relationships/hyperlink" Target="https://www.esma.europa.eu/sites/default/files/2024-01/ESMA50-524821-3107_TRV_1-24_risk_monit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9B6B9C"/>
    <w:rsid w:val="00B22006"/>
    <w:rsid w:val="00D77232"/>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34</Pages>
  <Words>8275</Words>
  <Characters>43527</Characters>
  <Application>Microsoft Office Word</Application>
  <DocSecurity>8</DocSecurity>
  <Lines>659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51515</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Isabelle Van Acker</cp:lastModifiedBy>
  <cp:revision>4</cp:revision>
  <cp:lastPrinted>2023-09-09T00:53:00Z</cp:lastPrinted>
  <dcterms:created xsi:type="dcterms:W3CDTF">2024-02-29T09:35:00Z</dcterms:created>
  <dcterms:modified xsi:type="dcterms:W3CDTF">2024-02-29T13:47:00Z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