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26B3D4E7" w14:textId="77777777" w:rsidR="00FB1528" w:rsidRDefault="00C008BC" w:rsidP="00D21C35">
                <w:r>
                  <w:t>Euroclear Group</w:t>
                </w:r>
              </w:p>
              <w:p w14:paraId="76683ED7" w14:textId="092334F8" w:rsidR="00635BCA" w:rsidRPr="00557BD2" w:rsidRDefault="00302B29" w:rsidP="00D21C35">
                <w:r>
                  <w:t>Euroclear Bank / Euroclear Belgium / Euroclear France / Euroclear Nederland / Euroclear Finland / Euroclear Sweden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391C2419" w:rsidR="00635BCA" w:rsidRPr="00557BD2" w:rsidRDefault="00E81098" w:rsidP="00D21C35">
                <w:r>
                  <w:t xml:space="preserve">CSDs </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2130220E" w:rsidR="00635BCA" w:rsidRPr="00557BD2" w:rsidRDefault="009B2F46" w:rsidP="00D21C35">
                <w:r>
                  <w:t>Belgium,</w:t>
                </w:r>
                <w:r w:rsidR="00636595">
                  <w:t xml:space="preserve"> France, </w:t>
                </w:r>
                <w:r w:rsidR="00A8482E">
                  <w:t>Nederland, Finland, Sweden</w:t>
                </w:r>
                <w:r>
                  <w:t xml:space="preserve"> </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49E335B" w14:textId="77777777" w:rsidR="00173710" w:rsidRPr="00472EF0" w:rsidRDefault="00173710" w:rsidP="00173710">
      <w:pPr>
        <w:rPr>
          <w:color w:val="auto"/>
        </w:rPr>
      </w:pPr>
      <w:permStart w:id="750397953" w:edGrp="everyone"/>
      <w:r w:rsidRPr="00472EF0">
        <w:rPr>
          <w:color w:val="auto"/>
        </w:rPr>
        <w:t xml:space="preserve">As a preamble, Euroclear </w:t>
      </w:r>
      <w:r>
        <w:rPr>
          <w:color w:val="auto"/>
        </w:rPr>
        <w:t xml:space="preserve">Group </w:t>
      </w:r>
      <w:r w:rsidRPr="00472EF0">
        <w:rPr>
          <w:color w:val="auto"/>
        </w:rPr>
        <w:t xml:space="preserve">would like to underline that we are committed to improve settlement efficiency and that any amendment of the penalties mechanism to reach this objective is welcome to the extent that there is a fair balance between the costs and the benefits (i.e., proportionality). </w:t>
      </w:r>
    </w:p>
    <w:p w14:paraId="6424FA9B" w14:textId="77777777" w:rsidR="00173710" w:rsidRPr="00472EF0" w:rsidRDefault="00173710" w:rsidP="00173710">
      <w:pPr>
        <w:rPr>
          <w:color w:val="auto"/>
        </w:rPr>
      </w:pPr>
      <w:r w:rsidRPr="00472EF0">
        <w:rPr>
          <w:color w:val="auto"/>
        </w:rPr>
        <w:t xml:space="preserve">Option 1 would have a structural impact on our penalties mechanism as we would need to implement a new methodology for the currencies for which there is no official interest rate for overnight credit. In addition, the proposal to convert to Euro, use the ECB marginal lending facility interest rate and convert back to Euro does not make any sense from our perspective.  While the number of penalties calculated with a non-Euro cash rate by EB is around 3.5%, the Danish and Bulgarian currencies only represent 0.02% of these penalties (around 9 penalties / day). Considering the low volumes of penalties failing into this specific category, and that Bulgaria would join the Euro zone in 2024-2025, we do not see a balance between the costs and the benefits of such option. </w:t>
      </w:r>
    </w:p>
    <w:p w14:paraId="79AEF042" w14:textId="77777777" w:rsidR="00173710" w:rsidRPr="00472EF0" w:rsidRDefault="00173710" w:rsidP="00173710">
      <w:pPr>
        <w:rPr>
          <w:color w:val="auto"/>
        </w:rPr>
      </w:pPr>
      <w:r w:rsidRPr="00472EF0">
        <w:rPr>
          <w:color w:val="auto"/>
        </w:rPr>
        <w:lastRenderedPageBreak/>
        <w:t>Options 2 &amp; 3 do not seem to have a technical impact</w:t>
      </w:r>
      <w:r>
        <w:rPr>
          <w:color w:val="auto"/>
        </w:rPr>
        <w:t xml:space="preserve"> but </w:t>
      </w:r>
      <w:r w:rsidRPr="00472EF0">
        <w:rPr>
          <w:color w:val="auto"/>
        </w:rPr>
        <w:t>more an operational one</w:t>
      </w:r>
      <w:r>
        <w:rPr>
          <w:color w:val="auto"/>
        </w:rPr>
        <w:t>,</w:t>
      </w:r>
      <w:r w:rsidRPr="00472EF0">
        <w:rPr>
          <w:color w:val="auto"/>
        </w:rPr>
        <w:t xml:space="preserve"> which would require a change in our static data. These options are feasible but would require a consistent implementation across CSDs, thus, we are urging ESMA (or any other stakeholder) to provide the rates to be used by all EEA CSDs to ensure a single source of data. </w:t>
      </w:r>
    </w:p>
    <w:p w14:paraId="47442004" w14:textId="77777777" w:rsidR="00173710" w:rsidRPr="00472EF0" w:rsidRDefault="00173710" w:rsidP="00173710">
      <w:pPr>
        <w:rPr>
          <w:color w:val="auto"/>
        </w:rPr>
      </w:pPr>
      <w:r w:rsidRPr="00472EF0">
        <w:rPr>
          <w:color w:val="auto"/>
        </w:rPr>
        <w:t xml:space="preserve">Option 4 is adding another layer of complexity (with the progressive rates) and is impacting all currencies. It would mean a complete review of current methodology, with the introduction of a new criterion of duration, thus a significant cost. As per our statistics, the cash discount rate is used to calculate </w:t>
      </w:r>
      <w:r>
        <w:rPr>
          <w:color w:val="auto"/>
        </w:rPr>
        <w:t xml:space="preserve">around </w:t>
      </w:r>
      <w:r w:rsidRPr="00472EF0">
        <w:rPr>
          <w:color w:val="auto"/>
        </w:rPr>
        <w:t>10% of our penalties which are mostly Receipt versus payments (RVP) being matched late (LMFP). The high cost of introducing progressive rates to tackle only 10% of the total number of penalties does not seem a fair balance between costs and benefits</w:t>
      </w:r>
      <w:r>
        <w:rPr>
          <w:color w:val="auto"/>
        </w:rPr>
        <w:t xml:space="preserve">, </w:t>
      </w:r>
      <w:proofErr w:type="gramStart"/>
      <w:r>
        <w:rPr>
          <w:color w:val="auto"/>
        </w:rPr>
        <w:t>all the more</w:t>
      </w:r>
      <w:proofErr w:type="gramEnd"/>
      <w:r>
        <w:rPr>
          <w:color w:val="auto"/>
        </w:rPr>
        <w:t xml:space="preserve"> so as, </w:t>
      </w:r>
      <w:r w:rsidRPr="00472EF0">
        <w:rPr>
          <w:color w:val="auto"/>
        </w:rPr>
        <w:t>there is already a proportionality when it comes to the usage of the cash discount rate to calculate penalties</w:t>
      </w:r>
      <w:r>
        <w:rPr>
          <w:color w:val="auto"/>
        </w:rPr>
        <w:t xml:space="preserve"> (shown with the increase of the interest rates)</w:t>
      </w:r>
      <w:r w:rsidRPr="00472EF0">
        <w:rPr>
          <w:color w:val="auto"/>
        </w:rPr>
        <w:t xml:space="preserve">.  </w:t>
      </w:r>
    </w:p>
    <w:p w14:paraId="1B8D2607" w14:textId="77777777" w:rsidR="00173710" w:rsidRPr="00472EF0" w:rsidRDefault="00173710" w:rsidP="00173710">
      <w:pPr>
        <w:rPr>
          <w:color w:val="auto"/>
        </w:rPr>
      </w:pPr>
      <w:r w:rsidRPr="00472EF0">
        <w:rPr>
          <w:color w:val="auto"/>
        </w:rPr>
        <w:t xml:space="preserve">As a conclusion, Euroclear </w:t>
      </w:r>
      <w:r>
        <w:rPr>
          <w:color w:val="auto"/>
        </w:rPr>
        <w:t xml:space="preserve">Group </w:t>
      </w:r>
      <w:r w:rsidRPr="00472EF0">
        <w:rPr>
          <w:color w:val="auto"/>
        </w:rPr>
        <w:t xml:space="preserve">favours any option which would allow to keep current methodology and only change the static data used. We are willing to apply any rate which would be provided by ESMA but urge ESMA to carefully consider the rates to be applied to limit the impacts on the liquidity and to maintain a competitive European market. </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161F8D0A" w14:textId="77777777" w:rsidR="00290FFE" w:rsidRPr="00EB5C5F" w:rsidRDefault="00290FFE" w:rsidP="00290FFE">
      <w:pPr>
        <w:rPr>
          <w:color w:val="auto"/>
        </w:rPr>
      </w:pPr>
      <w:permStart w:id="1747127182" w:edGrp="everyone"/>
      <w:r w:rsidRPr="00472EF0">
        <w:rPr>
          <w:color w:val="auto"/>
        </w:rPr>
        <w:t xml:space="preserve">Euroclear </w:t>
      </w:r>
      <w:r>
        <w:rPr>
          <w:color w:val="auto"/>
        </w:rPr>
        <w:t xml:space="preserve">Group </w:t>
      </w:r>
      <w:r w:rsidRPr="00472EF0">
        <w:rPr>
          <w:color w:val="auto"/>
        </w:rPr>
        <w:t>favours any option which would allow to keep current methodology (no progressive rates) and only change the static data used. We are willing to apply any rate which would be provided by ESMA but urge ESMA to carefully consider the rates to be applied to limit the impacts on the liquidity and to maintain a competitive European market.</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76A8588F" w14:textId="77777777" w:rsidR="003D5653" w:rsidRPr="00472EF0" w:rsidRDefault="003D5653" w:rsidP="003D5653">
      <w:pPr>
        <w:rPr>
          <w:color w:val="auto"/>
        </w:rPr>
      </w:pPr>
      <w:permStart w:id="510220754" w:edGrp="everyone"/>
      <w:r w:rsidRPr="00472EF0">
        <w:rPr>
          <w:color w:val="auto"/>
        </w:rPr>
        <w:lastRenderedPageBreak/>
        <w:t>Only options 2 &amp; 3 are proportionate as they avoid structural impacts on our penalties</w:t>
      </w:r>
      <w:r>
        <w:rPr>
          <w:color w:val="auto"/>
        </w:rPr>
        <w:t>’</w:t>
      </w:r>
      <w:r w:rsidRPr="00472EF0">
        <w:rPr>
          <w:color w:val="auto"/>
        </w:rPr>
        <w:t xml:space="preserve"> mechanism</w:t>
      </w:r>
      <w:r>
        <w:rPr>
          <w:color w:val="auto"/>
        </w:rPr>
        <w:t>s</w:t>
      </w:r>
      <w:r w:rsidRPr="00472EF0">
        <w:rPr>
          <w:color w:val="auto"/>
        </w:rPr>
        <w:t xml:space="preserve">. As the penalties calculated with the Danish rate only represent 0.02% of our penalties (0 for the Bulgarian rate), any impact on our methodology would not represent a fair balance between costs and benefits. </w:t>
      </w:r>
    </w:p>
    <w:p w14:paraId="787F7D79" w14:textId="000F70BC" w:rsidR="005171FF" w:rsidRPr="003D5653" w:rsidRDefault="003D5653" w:rsidP="005171FF">
      <w:pPr>
        <w:rPr>
          <w:color w:val="auto"/>
        </w:rPr>
      </w:pPr>
      <w:r w:rsidRPr="00472EF0">
        <w:rPr>
          <w:color w:val="auto"/>
        </w:rPr>
        <w:t>Option 4 would lead to an increase from *10 to *30 of the penalties amounts based on the cash discount rates. It seems counterintuitive to apply so huge penalties (not obvious that they would indeed improve the global settlement efficiency) and on top of hugely impacting the liquidity, it would also jeopardise European CSDs competitivity.</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1EE857FA" w14:textId="77777777" w:rsidR="00872A3D" w:rsidRPr="00472EF0" w:rsidRDefault="00872A3D" w:rsidP="00872A3D">
            <w:pPr>
              <w:rPr>
                <w:rFonts w:ascii="Arial" w:eastAsia="Arial" w:hAnsi="Arial" w:cs="Arial"/>
                <w:color w:val="auto"/>
                <w:szCs w:val="22"/>
              </w:rPr>
            </w:pPr>
            <w:permStart w:id="165365734" w:edGrp="everyone"/>
            <w:r w:rsidRPr="00472EF0">
              <w:rPr>
                <w:rFonts w:ascii="Arial" w:eastAsia="Arial" w:hAnsi="Arial" w:cs="Arial"/>
                <w:color w:val="auto"/>
                <w:szCs w:val="22"/>
              </w:rPr>
              <w:t xml:space="preserve">We do not know if any of these options would benefit the global settlement efficiency. </w:t>
            </w:r>
          </w:p>
          <w:p w14:paraId="630E2D73" w14:textId="5283D4A8" w:rsidR="00413D4F" w:rsidRDefault="00872A3D" w:rsidP="00BD3B92">
            <w:r w:rsidRPr="00472EF0">
              <w:rPr>
                <w:rFonts w:ascii="Arial" w:eastAsia="Arial" w:hAnsi="Arial" w:cs="Arial"/>
                <w:color w:val="auto"/>
                <w:szCs w:val="22"/>
              </w:rPr>
              <w:t xml:space="preserve">On the other hand, we fear that applying so huge penalties would make European CSDs not competitive. </w:t>
            </w:r>
            <w:permEnd w:id="165365734"/>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3F0003B3" w14:textId="77777777" w:rsidR="003F6CC0" w:rsidRPr="00472EF0" w:rsidRDefault="003F6CC0" w:rsidP="003F6CC0">
            <w:pPr>
              <w:rPr>
                <w:rFonts w:ascii="Arial" w:eastAsia="Arial" w:hAnsi="Arial" w:cs="Arial"/>
                <w:color w:val="auto"/>
                <w:szCs w:val="22"/>
              </w:rPr>
            </w:pPr>
            <w:permStart w:id="809387420" w:edGrp="everyone"/>
            <w:r w:rsidRPr="00472EF0">
              <w:rPr>
                <w:rFonts w:ascii="Arial" w:eastAsia="Arial" w:hAnsi="Arial" w:cs="Arial"/>
                <w:color w:val="auto"/>
                <w:szCs w:val="22"/>
              </w:rPr>
              <w:t xml:space="preserve">10% of the penalties are using a cash discount rate.  </w:t>
            </w:r>
          </w:p>
          <w:p w14:paraId="7E9AB63A" w14:textId="77777777" w:rsidR="003F6CC0" w:rsidRPr="00472EF0" w:rsidRDefault="003F6CC0" w:rsidP="003F6CC0">
            <w:pPr>
              <w:rPr>
                <w:rFonts w:ascii="Arial" w:eastAsia="Arial" w:hAnsi="Arial" w:cs="Arial"/>
                <w:color w:val="auto"/>
                <w:szCs w:val="22"/>
              </w:rPr>
            </w:pPr>
            <w:r w:rsidRPr="00472EF0">
              <w:rPr>
                <w:rFonts w:ascii="Arial" w:eastAsia="Arial" w:hAnsi="Arial" w:cs="Arial"/>
                <w:color w:val="auto"/>
                <w:szCs w:val="22"/>
              </w:rPr>
              <w:t xml:space="preserve">0.02% of the penalties are on Danish currency.  </w:t>
            </w:r>
          </w:p>
          <w:p w14:paraId="31F27FDA" w14:textId="104DC4DC" w:rsidR="00413D4F" w:rsidRDefault="003F6CC0" w:rsidP="00BD3B92">
            <w:r w:rsidRPr="00472EF0">
              <w:rPr>
                <w:rFonts w:ascii="Arial" w:eastAsia="Arial" w:hAnsi="Arial" w:cs="Arial"/>
                <w:color w:val="auto"/>
                <w:szCs w:val="22"/>
              </w:rPr>
              <w:t>0% of the penalties are on Bulgarian currency.</w:t>
            </w:r>
            <w:permEnd w:id="809387420"/>
          </w:p>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16FB8982" w14:textId="77777777" w:rsidR="007E1847" w:rsidRPr="00472EF0" w:rsidRDefault="00413D4F" w:rsidP="007E1847">
            <w:pPr>
              <w:rPr>
                <w:rFonts w:ascii="Arial" w:eastAsia="Arial" w:hAnsi="Arial" w:cs="Arial"/>
                <w:color w:val="auto"/>
                <w:szCs w:val="22"/>
              </w:rPr>
            </w:pPr>
            <w:r w:rsidRPr="442E5590">
              <w:rPr>
                <w:rFonts w:ascii="Arial" w:eastAsia="Arial" w:hAnsi="Arial" w:cs="Arial"/>
                <w:szCs w:val="22"/>
              </w:rPr>
              <w:t xml:space="preserve"> </w:t>
            </w:r>
            <w:permStart w:id="877034238" w:edGrp="everyone"/>
            <w:r w:rsidR="007E1847" w:rsidRPr="00472EF0">
              <w:rPr>
                <w:rFonts w:ascii="Arial" w:eastAsia="Arial" w:hAnsi="Arial" w:cs="Arial"/>
                <w:color w:val="auto"/>
                <w:szCs w:val="22"/>
              </w:rPr>
              <w:t>Option 1: Small to medium one-off costs</w:t>
            </w:r>
          </w:p>
          <w:p w14:paraId="4AD6EC0F" w14:textId="77777777" w:rsidR="007E1847" w:rsidRPr="00472EF0" w:rsidRDefault="007E1847" w:rsidP="007E1847">
            <w:pPr>
              <w:rPr>
                <w:rFonts w:ascii="Arial" w:eastAsia="Arial" w:hAnsi="Arial" w:cs="Arial"/>
                <w:color w:val="auto"/>
                <w:szCs w:val="22"/>
              </w:rPr>
            </w:pPr>
            <w:r w:rsidRPr="00472EF0">
              <w:rPr>
                <w:rFonts w:ascii="Arial" w:eastAsia="Arial" w:hAnsi="Arial" w:cs="Arial"/>
                <w:color w:val="auto"/>
                <w:szCs w:val="22"/>
              </w:rPr>
              <w:lastRenderedPageBreak/>
              <w:t>Option 2 &amp; 3: Low one-off costs</w:t>
            </w:r>
          </w:p>
          <w:p w14:paraId="7AA7D876" w14:textId="322ADF41" w:rsidR="00BD3B92" w:rsidRDefault="007E1847" w:rsidP="00BD3B92">
            <w:r w:rsidRPr="00472EF0">
              <w:rPr>
                <w:rFonts w:ascii="Arial" w:eastAsia="Arial" w:hAnsi="Arial" w:cs="Arial"/>
                <w:color w:val="auto"/>
                <w:szCs w:val="22"/>
              </w:rPr>
              <w:t>Option 4: Very high one-off costs</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1975526" w14:textId="28B750D1" w:rsidR="00413D4F" w:rsidRDefault="007B30C0" w:rsidP="00BD3B92">
            <w:permStart w:id="457866365" w:edGrp="everyone"/>
            <w:r w:rsidRPr="00472EF0">
              <w:rPr>
                <w:rFonts w:ascii="Arial" w:eastAsia="Arial" w:hAnsi="Arial" w:cs="Arial"/>
                <w:color w:val="auto"/>
                <w:szCs w:val="22"/>
              </w:rPr>
              <w:t xml:space="preserve">A similar magnitude of one-off costs is to be planned on T2S side, each CSD side and participants’ side. </w:t>
            </w:r>
            <w:permEnd w:id="457866365"/>
          </w:p>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7A21B9A7" w14:textId="77777777" w:rsidR="00BD35F4" w:rsidRPr="00472EF0" w:rsidRDefault="00BD35F4" w:rsidP="00BD35F4">
      <w:pPr>
        <w:rPr>
          <w:color w:val="auto"/>
        </w:rPr>
      </w:pPr>
      <w:permStart w:id="1746417266" w:edGrp="everyone"/>
      <w:r w:rsidRPr="00472EF0">
        <w:rPr>
          <w:color w:val="auto"/>
        </w:rPr>
        <w:t xml:space="preserve">Euroclear </w:t>
      </w:r>
      <w:r>
        <w:rPr>
          <w:color w:val="auto"/>
        </w:rPr>
        <w:t xml:space="preserve">Group </w:t>
      </w:r>
      <w:r w:rsidRPr="00472EF0">
        <w:rPr>
          <w:color w:val="auto"/>
        </w:rPr>
        <w:t>penalties engine</w:t>
      </w:r>
      <w:r>
        <w:rPr>
          <w:color w:val="auto"/>
        </w:rPr>
        <w:t>s</w:t>
      </w:r>
      <w:r w:rsidRPr="00472EF0">
        <w:rPr>
          <w:color w:val="auto"/>
        </w:rPr>
        <w:t xml:space="preserve"> </w:t>
      </w:r>
      <w:r w:rsidRPr="00472EF0">
        <w:rPr>
          <w:b/>
          <w:bCs/>
          <w:color w:val="auto"/>
        </w:rPr>
        <w:t>do not face any issue with the accumulation of reference data</w:t>
      </w:r>
      <w:r w:rsidRPr="00472EF0">
        <w:rPr>
          <w:color w:val="auto"/>
        </w:rPr>
        <w:t xml:space="preserve"> used to calculate LMFPs. </w:t>
      </w:r>
      <w:r>
        <w:rPr>
          <w:color w:val="auto"/>
        </w:rPr>
        <w:t>All our own engines</w:t>
      </w:r>
      <w:r w:rsidRPr="00472EF0">
        <w:rPr>
          <w:color w:val="auto"/>
        </w:rPr>
        <w:t xml:space="preserve"> use a retention period of 92 days in the past (as mentioned in ECSDA penalties framework). </w:t>
      </w:r>
    </w:p>
    <w:p w14:paraId="29289F48" w14:textId="6959C777" w:rsidR="00EA0D0D" w:rsidRPr="00BD35F4" w:rsidRDefault="00BD35F4">
      <w:pPr>
        <w:rPr>
          <w:color w:val="auto"/>
        </w:rPr>
      </w:pPr>
      <w:r w:rsidRPr="00472EF0">
        <w:rPr>
          <w:color w:val="auto"/>
        </w:rPr>
        <w:t xml:space="preserve">For ESES CSDs </w:t>
      </w:r>
      <w:r>
        <w:rPr>
          <w:color w:val="auto"/>
        </w:rPr>
        <w:t xml:space="preserve">&amp; Euroclear Finland, </w:t>
      </w:r>
      <w:r w:rsidRPr="00472EF0">
        <w:rPr>
          <w:color w:val="auto"/>
        </w:rPr>
        <w:t>which are using T2S penalties mechanism, the issue and data are already provided in the consultation paper</w:t>
      </w:r>
      <w:r>
        <w:rPr>
          <w:color w:val="auto"/>
        </w:rPr>
        <w:t xml:space="preserve"> and further detailed in ECB answers on this consultation</w:t>
      </w:r>
      <w:r w:rsidRPr="00472EF0">
        <w:rPr>
          <w:color w:val="auto"/>
        </w:rPr>
        <w:t>.</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3FAF0345" w14:textId="77777777" w:rsidR="00FB4A7F" w:rsidRPr="00472EF0" w:rsidRDefault="00FB4A7F" w:rsidP="00FB4A7F">
      <w:pPr>
        <w:rPr>
          <w:color w:val="auto"/>
        </w:rPr>
      </w:pPr>
      <w:permStart w:id="1425227802" w:edGrp="everyone"/>
      <w:r w:rsidRPr="00472EF0">
        <w:rPr>
          <w:color w:val="auto"/>
        </w:rPr>
        <w:t>As a group of CSDs, we do not have a view on the underlying reason for late matching which lies with our participants and / or their final clients.</w:t>
      </w:r>
    </w:p>
    <w:p w14:paraId="381D5791" w14:textId="77777777" w:rsidR="00FB4A7F" w:rsidRPr="00472EF0" w:rsidRDefault="00FB4A7F" w:rsidP="00FB4A7F">
      <w:pPr>
        <w:rPr>
          <w:i/>
          <w:iCs/>
          <w:color w:val="auto"/>
        </w:rPr>
      </w:pPr>
      <w:r w:rsidRPr="00472EF0">
        <w:rPr>
          <w:color w:val="auto"/>
        </w:rPr>
        <w:t>For reference, ECSDA published its settlement efficiency considerations in November 2023, where a section covers the case of late matching. “</w:t>
      </w:r>
      <w:r w:rsidRPr="00472EF0">
        <w:rPr>
          <w:i/>
          <w:iCs/>
          <w:color w:val="auto"/>
        </w:rPr>
        <w:t xml:space="preserve">Based on a survey sent to the CSDs participants, the causes of late matching are: </w:t>
      </w:r>
    </w:p>
    <w:p w14:paraId="58B525EC" w14:textId="77777777" w:rsidR="00FB4A7F" w:rsidRPr="00472EF0" w:rsidRDefault="00FB4A7F" w:rsidP="00FB4A7F">
      <w:pPr>
        <w:pStyle w:val="ListParagraph"/>
      </w:pPr>
      <w:r w:rsidRPr="00472EF0">
        <w:t xml:space="preserve">The need for correction of an instruction that is necessary to match the counterparty instruction or wrong SSIs sent by their underlying client, </w:t>
      </w:r>
    </w:p>
    <w:p w14:paraId="387CBD2E" w14:textId="77777777" w:rsidR="00FB4A7F" w:rsidRPr="00472EF0" w:rsidRDefault="00FB4A7F" w:rsidP="00FB4A7F">
      <w:pPr>
        <w:pStyle w:val="ListParagraph"/>
      </w:pPr>
      <w:r w:rsidRPr="00472EF0">
        <w:t>Missing information from the client to submit the instruction,</w:t>
      </w:r>
    </w:p>
    <w:p w14:paraId="24725D83" w14:textId="77777777" w:rsidR="00FB4A7F" w:rsidRPr="00472EF0" w:rsidRDefault="00FB4A7F" w:rsidP="00FB4A7F">
      <w:pPr>
        <w:pStyle w:val="ListParagraph"/>
      </w:pPr>
      <w:r w:rsidRPr="00472EF0">
        <w:t>Missing information from the counterparty,</w:t>
      </w:r>
    </w:p>
    <w:p w14:paraId="527A2F39" w14:textId="77777777" w:rsidR="00FB4A7F" w:rsidRPr="00472EF0" w:rsidRDefault="00FB4A7F" w:rsidP="00FB4A7F">
      <w:pPr>
        <w:pStyle w:val="ListParagraph"/>
      </w:pPr>
      <w:r w:rsidRPr="00472EF0">
        <w:t xml:space="preserve">Dependencies on the internal processes, including ensuring the availability of securities, credit controls and approvals or other checks, </w:t>
      </w:r>
    </w:p>
    <w:p w14:paraId="3472863C" w14:textId="77777777" w:rsidR="00FB4A7F" w:rsidRPr="00472EF0" w:rsidRDefault="00FB4A7F" w:rsidP="00FB4A7F">
      <w:pPr>
        <w:pStyle w:val="ListParagraph"/>
      </w:pPr>
      <w:r w:rsidRPr="00472EF0">
        <w:t>Finally, in some cases, operational errors were also reported to be behind the late matching fails.</w:t>
      </w:r>
    </w:p>
    <w:p w14:paraId="28946E2F" w14:textId="77777777" w:rsidR="00FB4A7F" w:rsidRPr="00BB605C" w:rsidRDefault="00FB4A7F" w:rsidP="00FB4A7F">
      <w:pPr>
        <w:rPr>
          <w:color w:val="auto"/>
        </w:rPr>
      </w:pPr>
      <w:r w:rsidRPr="00472EF0">
        <w:rPr>
          <w:i/>
          <w:iCs/>
          <w:color w:val="auto"/>
        </w:rPr>
        <w:t>Regarding the possible improvements, participants highlighted that in some cases, further use of partial release/settlement could help to avoid re-instructing a previous settlement instruction and hence avoid late matching.</w:t>
      </w:r>
      <w:r w:rsidRPr="00BB605C">
        <w:rPr>
          <w:i/>
          <w:iCs/>
          <w:color w:val="auto"/>
        </w:rPr>
        <w:t xml:space="preserve"> </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589ECF9D" w14:textId="77777777" w:rsidR="00DC2AFC" w:rsidRPr="00472EF0" w:rsidRDefault="00DC2AFC" w:rsidP="002E6B45">
      <w:pPr>
        <w:rPr>
          <w:color w:val="auto"/>
        </w:rPr>
      </w:pPr>
      <w:permStart w:id="165553507" w:edGrp="everyone"/>
      <w:r w:rsidRPr="00472EF0">
        <w:rPr>
          <w:color w:val="auto"/>
        </w:rPr>
        <w:lastRenderedPageBreak/>
        <w:t xml:space="preserve">We agree for a threshold to be defined, beyond which more recent reference data shall be used. </w:t>
      </w:r>
    </w:p>
    <w:p w14:paraId="5F8FAE9F" w14:textId="77777777" w:rsidR="00DC2AFC" w:rsidRPr="00472EF0" w:rsidRDefault="00DC2AFC" w:rsidP="002E6B45">
      <w:pPr>
        <w:rPr>
          <w:color w:val="auto"/>
        </w:rPr>
      </w:pPr>
      <w:r w:rsidRPr="00472EF0">
        <w:rPr>
          <w:color w:val="auto"/>
        </w:rPr>
        <w:t>We currently have various retention periods depending on the penalties calculating engine</w:t>
      </w:r>
      <w:r>
        <w:rPr>
          <w:color w:val="auto"/>
        </w:rPr>
        <w:t>s</w:t>
      </w:r>
      <w:r w:rsidRPr="00472EF0">
        <w:rPr>
          <w:color w:val="auto"/>
        </w:rPr>
        <w:t xml:space="preserve">: 40 days for T2S platform and 92 days for Euroclear </w:t>
      </w:r>
      <w:r>
        <w:rPr>
          <w:color w:val="auto"/>
        </w:rPr>
        <w:t>penalties engines</w:t>
      </w:r>
      <w:r w:rsidRPr="00472EF0">
        <w:rPr>
          <w:color w:val="auto"/>
        </w:rPr>
        <w:t xml:space="preserve">. We haven’t faced any issue, due to this non-harmonised approach, in our penalties management. </w:t>
      </w:r>
    </w:p>
    <w:p w14:paraId="262AFBE1" w14:textId="77777777" w:rsidR="00DC2AFC" w:rsidRPr="00472EF0" w:rsidRDefault="00DC2AFC" w:rsidP="002E6B45">
      <w:pPr>
        <w:rPr>
          <w:color w:val="auto"/>
        </w:rPr>
      </w:pPr>
      <w:r w:rsidRPr="00472EF0">
        <w:rPr>
          <w:color w:val="auto"/>
        </w:rPr>
        <w:t>Several factors can justify that it is not an issue to have different retention periods across CSDs / penalties engines:</w:t>
      </w:r>
    </w:p>
    <w:p w14:paraId="5A0DB2B7" w14:textId="77777777" w:rsidR="00DC2AFC" w:rsidRPr="00472EF0" w:rsidRDefault="00DC2AFC" w:rsidP="002E6B45">
      <w:pPr>
        <w:pStyle w:val="ListParagraph"/>
      </w:pPr>
      <w:r w:rsidRPr="00472EF0">
        <w:t>There is a single CSD / engine calculating the penalty for a fail;</w:t>
      </w:r>
    </w:p>
    <w:p w14:paraId="5A8DF75D" w14:textId="77777777" w:rsidR="00DC2AFC" w:rsidRPr="00472EF0" w:rsidRDefault="00DC2AFC" w:rsidP="002E6B45">
      <w:pPr>
        <w:pStyle w:val="ListParagraph"/>
      </w:pPr>
      <w:r w:rsidRPr="00472EF0">
        <w:t>The number of LMFPs going beyond 40 days is low (0.02%) and marginal going beyond 92 days (0.004%);</w:t>
      </w:r>
    </w:p>
    <w:p w14:paraId="13577F4F" w14:textId="77777777" w:rsidR="00DC2AFC" w:rsidRPr="00472EF0" w:rsidRDefault="00DC2AFC" w:rsidP="002E6B45">
      <w:pPr>
        <w:pStyle w:val="ListParagraph"/>
      </w:pPr>
      <w:r w:rsidRPr="00472EF0">
        <w:t>The daily prices used for the penalty’s calculation do not change drastically from one day to the other.</w:t>
      </w:r>
    </w:p>
    <w:p w14:paraId="35BB126B" w14:textId="77777777" w:rsidR="00DC2AFC" w:rsidRDefault="00DC2AFC">
      <w:pPr>
        <w:rPr>
          <w:color w:val="auto"/>
        </w:rPr>
      </w:pPr>
      <w:r w:rsidRPr="00472EF0">
        <w:rPr>
          <w:color w:val="auto"/>
        </w:rPr>
        <w:t>We support the definition of a threshold which could be set to either 40 or 92 days, depending on the capacity constraints of the system used by the CSD.</w:t>
      </w:r>
      <w:r w:rsidRPr="00BE7DAB">
        <w:rPr>
          <w:color w:val="auto"/>
        </w:rPr>
        <w:t xml:space="preserve"> </w:t>
      </w:r>
    </w:p>
    <w:permEnd w:id="165553507"/>
    <w:p w14:paraId="06844C06" w14:textId="4E55340F"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1FFD188C" w14:textId="77777777" w:rsidR="00BE7D8B" w:rsidRPr="00472EF0" w:rsidRDefault="00BE7D8B" w:rsidP="002E6B45">
      <w:pPr>
        <w:rPr>
          <w:color w:val="auto"/>
        </w:rPr>
      </w:pPr>
      <w:permStart w:id="804142208" w:edGrp="everyone"/>
      <w:r w:rsidRPr="00472EF0">
        <w:rPr>
          <w:color w:val="auto"/>
        </w:rPr>
        <w:lastRenderedPageBreak/>
        <w:t xml:space="preserve">While we agree with the principle to define a threshold beyond which more recent reference data shall be used, we consider that this threshold could have </w:t>
      </w:r>
      <w:r w:rsidRPr="00472EF0">
        <w:rPr>
          <w:b/>
          <w:bCs/>
          <w:color w:val="auto"/>
        </w:rPr>
        <w:t>various values</w:t>
      </w:r>
      <w:r w:rsidRPr="00472EF0">
        <w:rPr>
          <w:color w:val="auto"/>
        </w:rPr>
        <w:t>:</w:t>
      </w:r>
    </w:p>
    <w:p w14:paraId="4BA37BC4" w14:textId="77777777" w:rsidR="00BE7D8B" w:rsidRPr="00472EF0" w:rsidRDefault="00BE7D8B" w:rsidP="002E6B45">
      <w:pPr>
        <w:pStyle w:val="ListParagraph"/>
      </w:pPr>
      <w:r w:rsidRPr="00472EF0">
        <w:rPr>
          <w:b/>
        </w:rPr>
        <w:t>92 days</w:t>
      </w:r>
      <w:r w:rsidRPr="00472EF0">
        <w:t xml:space="preserve"> (as defined in ECSDA penalties framework) for the CSDs which do not face any issue with the accumulation of data – it would be unfair for these CSDs to have to adapt to T2S constraints while they can cope with current volumes of data. </w:t>
      </w:r>
      <w:r w:rsidRPr="00472EF0">
        <w:br/>
        <w:t>For Euroclear Bank</w:t>
      </w:r>
      <w:r>
        <w:t xml:space="preserve"> and Euroclear Sweden</w:t>
      </w:r>
      <w:r w:rsidRPr="00472EF0">
        <w:t xml:space="preserve">, it would mean impacts on several penalties’ programs (including the re-calculation tool) which would amount to several hundreds of mandays, to only cover 0.01% of the penalties (LMFP between 40 &amp; 92 days). EB statistics show that 0.003% of the LMFP go beyond 92 days. </w:t>
      </w:r>
    </w:p>
    <w:p w14:paraId="59CFDDED" w14:textId="77777777" w:rsidR="00BE7D8B" w:rsidRPr="00472EF0" w:rsidRDefault="00BE7D8B" w:rsidP="002E6B45">
      <w:pPr>
        <w:rPr>
          <w:color w:val="auto"/>
        </w:rPr>
      </w:pPr>
      <w:r w:rsidRPr="00472EF0">
        <w:rPr>
          <w:color w:val="auto"/>
        </w:rPr>
        <w:t>AND</w:t>
      </w:r>
    </w:p>
    <w:p w14:paraId="1681B121" w14:textId="77777777" w:rsidR="00BE7D8B" w:rsidRPr="00472EF0" w:rsidRDefault="00BE7D8B" w:rsidP="002E6B45">
      <w:pPr>
        <w:pStyle w:val="ListParagraph"/>
      </w:pPr>
      <w:r w:rsidRPr="00472EF0">
        <w:rPr>
          <w:b/>
        </w:rPr>
        <w:t>40 days</w:t>
      </w:r>
      <w:r w:rsidRPr="00472EF0">
        <w:t xml:space="preserve"> (to tackle the specific case of T2S platform). T2S CSDs do not have any business case to approve the change request on the extended retention period in T2S (to 92 days). Considering the low volumes of penalties at stake (0.03%) and the very high cost to implement &amp; maintain a 92 days retention period (nearly 1M€ of one-off costs), it is not worth to invest in this change, all the more so as, we have various other priorities to tackle in T2S platform (for instance, ECMS project).   </w:t>
      </w:r>
    </w:p>
    <w:p w14:paraId="1549DC43" w14:textId="77777777" w:rsidR="00BE7D8B" w:rsidRDefault="00BE7D8B">
      <w:pPr>
        <w:rPr>
          <w:color w:val="auto"/>
        </w:rPr>
      </w:pPr>
      <w:r>
        <w:rPr>
          <w:color w:val="auto"/>
        </w:rPr>
        <w:t xml:space="preserve">Euroclear Group </w:t>
      </w:r>
      <w:r w:rsidRPr="00472EF0">
        <w:rPr>
          <w:color w:val="auto"/>
        </w:rPr>
        <w:t xml:space="preserve">CSDs consider that while it is mandatory to calculate a penalty for any day of fail (even going beyond 40 or 92 days), the reference data used for this calculation can be set to </w:t>
      </w:r>
      <w:r>
        <w:rPr>
          <w:color w:val="auto"/>
        </w:rPr>
        <w:t xml:space="preserve">any </w:t>
      </w:r>
      <w:r w:rsidRPr="00472EF0">
        <w:rPr>
          <w:color w:val="auto"/>
        </w:rPr>
        <w:t>earlier date.</w:t>
      </w:r>
    </w:p>
    <w:permEnd w:id="804142208"/>
    <w:p w14:paraId="7564E617" w14:textId="568707FA"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00C86432" w14:textId="77777777" w:rsidR="004545F2" w:rsidRPr="00B362B2" w:rsidRDefault="004545F2" w:rsidP="002E6B45">
      <w:pPr>
        <w:rPr>
          <w:color w:val="auto"/>
        </w:rPr>
      </w:pPr>
      <w:permStart w:id="1025510098" w:edGrp="everyone"/>
      <w:r w:rsidRPr="00B362B2">
        <w:rPr>
          <w:color w:val="auto"/>
        </w:rPr>
        <w:t xml:space="preserve">The concept of a single CSD per financial instrument is only valid when a common settlement platform is used (i.e., for T2S platform). </w:t>
      </w:r>
    </w:p>
    <w:p w14:paraId="22B8954D" w14:textId="77777777" w:rsidR="004545F2" w:rsidRDefault="004545F2" w:rsidP="002E6B45">
      <w:pPr>
        <w:rPr>
          <w:color w:val="auto"/>
        </w:rPr>
      </w:pPr>
      <w:r w:rsidRPr="00B362B2">
        <w:rPr>
          <w:color w:val="auto"/>
        </w:rPr>
        <w:t>When there is no common settlement platform, each CSD is using its own data.  Which means that within the EU it is possible that different prices might be used for a single ISIN (i.e., a price for CBL, another one for T2S and another one for EB).</w:t>
      </w:r>
      <w:r w:rsidRPr="00A464D7">
        <w:rPr>
          <w:color w:val="auto"/>
        </w:rPr>
        <w:t xml:space="preserve"> </w:t>
      </w:r>
      <w:r>
        <w:rPr>
          <w:color w:val="auto"/>
        </w:rPr>
        <w:t xml:space="preserve"> </w:t>
      </w:r>
    </w:p>
    <w:p w14:paraId="3C3581E9" w14:textId="77777777" w:rsidR="004545F2" w:rsidRDefault="004545F2">
      <w:pPr>
        <w:rPr>
          <w:color w:val="auto"/>
        </w:rPr>
      </w:pPr>
      <w:r>
        <w:rPr>
          <w:color w:val="auto"/>
        </w:rPr>
        <w:lastRenderedPageBreak/>
        <w:t xml:space="preserve">Having a single price used by all CSDs could only be achieved if a golden source is made available to all CSDs. </w:t>
      </w:r>
    </w:p>
    <w:permEnd w:id="1025510098"/>
    <w:p w14:paraId="1DA3FC11" w14:textId="035DAFFF"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6CA0782F" w14:textId="77777777" w:rsidR="00983976" w:rsidRPr="00144E1C" w:rsidRDefault="00983976" w:rsidP="00983976">
      <w:permStart w:id="68043086" w:edGrp="everyone"/>
      <w:r w:rsidRPr="005E49CC">
        <w:t>The use of the oldest data stored should be used to calculate any penalty going beyond this date in the past.</w:t>
      </w:r>
      <w:r>
        <w:t xml:space="preserve"> </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1DA6BBF0" w14:textId="77777777" w:rsidR="000F3D8F" w:rsidRPr="00070DBA" w:rsidRDefault="000F3D8F" w:rsidP="000F3D8F">
      <w:pPr>
        <w:rPr>
          <w:color w:val="auto"/>
        </w:rPr>
      </w:pPr>
      <w:permStart w:id="1297758787" w:edGrp="everyone"/>
      <w:r w:rsidRPr="005E49CC">
        <w:rPr>
          <w:color w:val="auto"/>
        </w:rPr>
        <w:t>Another solution to avoid 'old' fails could be to reject, from the settlement system, any intended settlement date going too far in the past (difference between current date and the intended settlement date above a defined threshold). This option is already implemented by some CSDs.</w:t>
      </w:r>
      <w:r w:rsidRPr="00070DBA">
        <w:rPr>
          <w:color w:val="auto"/>
        </w:rPr>
        <w:t xml:space="preserve"> </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2EBF6BFA" w14:textId="1F6283CD" w:rsidR="00EA0D0D" w:rsidRDefault="000C2D63">
      <w:permStart w:id="1762339064" w:edGrp="everyone"/>
      <w:r w:rsidRPr="005E49CC">
        <w:rPr>
          <w:color w:val="auto"/>
        </w:rPr>
        <w:lastRenderedPageBreak/>
        <w:t>We agree that there should be proportionality between the data needed to calculate penalties while maintaining an efficient settlement system and a simple penalties mechanism.</w:t>
      </w:r>
      <w:r w:rsidRPr="00921D4A">
        <w:rPr>
          <w:color w:val="auto"/>
        </w:rPr>
        <w:t xml:space="preserve"> </w:t>
      </w:r>
      <w:permEnd w:id="1762339064"/>
      <w:r w:rsidR="00EA0D0D">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471E49A6" w:rsidR="00413D4F" w:rsidRDefault="00413D4F" w:rsidP="00BD3B92">
            <w:r w:rsidRPr="442E5590">
              <w:rPr>
                <w:rFonts w:ascii="Arial" w:eastAsia="Arial" w:hAnsi="Arial" w:cs="Arial"/>
                <w:szCs w:val="22"/>
              </w:rPr>
              <w:t xml:space="preserve"> </w:t>
            </w:r>
            <w:permStart w:id="1625559099" w:edGrp="everyone"/>
            <w:r w:rsidR="003F6D5F" w:rsidRPr="005E49CC">
              <w:rPr>
                <w:rFonts w:ascii="Arial" w:eastAsia="Arial" w:hAnsi="Arial" w:cs="Arial"/>
                <w:color w:val="auto"/>
                <w:szCs w:val="22"/>
              </w:rPr>
              <w:t>Euroclear penalties engine</w:t>
            </w:r>
            <w:r w:rsidR="003F6D5F">
              <w:rPr>
                <w:rFonts w:ascii="Arial" w:eastAsia="Arial" w:hAnsi="Arial" w:cs="Arial"/>
                <w:color w:val="auto"/>
                <w:szCs w:val="22"/>
              </w:rPr>
              <w:t>s</w:t>
            </w:r>
            <w:r w:rsidR="003F6D5F" w:rsidRPr="005E49CC">
              <w:rPr>
                <w:rFonts w:ascii="Arial" w:eastAsia="Arial" w:hAnsi="Arial" w:cs="Arial"/>
                <w:color w:val="auto"/>
                <w:szCs w:val="22"/>
              </w:rPr>
              <w:t xml:space="preserve"> do not face any issue with the accumulation of data, thus any change would come with a cost without bringing any benefit. </w:t>
            </w:r>
            <w:r w:rsidR="003F6D5F" w:rsidRPr="005E49CC">
              <w:rPr>
                <w:color w:val="auto"/>
              </w:rPr>
              <w:t xml:space="preserve"> </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FCB2C0E" w14:textId="77777777" w:rsidR="00896840" w:rsidRPr="005E49CC" w:rsidRDefault="00413D4F" w:rsidP="00896840">
            <w:pPr>
              <w:rPr>
                <w:rFonts w:ascii="Arial" w:eastAsia="Arial" w:hAnsi="Arial" w:cs="Arial"/>
                <w:color w:val="auto"/>
                <w:szCs w:val="22"/>
              </w:rPr>
            </w:pPr>
            <w:r w:rsidRPr="442E5590">
              <w:rPr>
                <w:rFonts w:ascii="Arial" w:eastAsia="Arial" w:hAnsi="Arial" w:cs="Arial"/>
                <w:szCs w:val="22"/>
              </w:rPr>
              <w:t xml:space="preserve"> </w:t>
            </w:r>
            <w:permStart w:id="1544710690" w:edGrp="everyone"/>
            <w:r w:rsidR="00896840" w:rsidRPr="005E49CC">
              <w:rPr>
                <w:rFonts w:ascii="Arial" w:eastAsia="Arial" w:hAnsi="Arial" w:cs="Arial"/>
                <w:color w:val="auto"/>
                <w:szCs w:val="22"/>
              </w:rPr>
              <w:t>LMFPs going beyond 40 days = 0.02%</w:t>
            </w:r>
          </w:p>
          <w:p w14:paraId="036B0D60" w14:textId="106605DB" w:rsidR="00413D4F" w:rsidRDefault="00896840" w:rsidP="00BD3B92">
            <w:r w:rsidRPr="005E49CC">
              <w:rPr>
                <w:rFonts w:ascii="Arial" w:eastAsia="Arial" w:hAnsi="Arial" w:cs="Arial"/>
                <w:color w:val="auto"/>
                <w:szCs w:val="22"/>
              </w:rPr>
              <w:t>LMFPs going beyond 92 days = 0.004%</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w:t>
      </w:r>
      <w:r w:rsidRPr="00C045DA">
        <w:lastRenderedPageBreak/>
        <w:t xml:space="preserve">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5F6A94A8" w14:textId="77777777" w:rsidR="005B061E" w:rsidRDefault="005B061E" w:rsidP="005B061E">
      <w:pPr>
        <w:rPr>
          <w:color w:val="auto"/>
        </w:rPr>
      </w:pPr>
      <w:permStart w:id="1522626052" w:edGrp="everyone"/>
      <w:r w:rsidRPr="00E06F4F">
        <w:rPr>
          <w:color w:val="auto"/>
        </w:rPr>
        <w:t xml:space="preserve">While we have seen an improvement in efficiency since 2023, we cannot say </w:t>
      </w:r>
      <w:proofErr w:type="gramStart"/>
      <w:r w:rsidRPr="00E06F4F">
        <w:rPr>
          <w:color w:val="auto"/>
        </w:rPr>
        <w:t>whether or not</w:t>
      </w:r>
      <w:proofErr w:type="gramEnd"/>
      <w:r w:rsidRPr="00E06F4F">
        <w:rPr>
          <w:color w:val="auto"/>
        </w:rPr>
        <w:t xml:space="preserve"> it is linked to the implementation of CSDR penalties</w:t>
      </w:r>
      <w:r>
        <w:rPr>
          <w:color w:val="auto"/>
        </w:rPr>
        <w:t xml:space="preserve">. </w:t>
      </w:r>
    </w:p>
    <w:p w14:paraId="16D5E65F" w14:textId="77777777" w:rsidR="005B061E" w:rsidRPr="00E06F4F" w:rsidRDefault="005B061E" w:rsidP="005B061E">
      <w:pPr>
        <w:rPr>
          <w:color w:val="auto"/>
        </w:rPr>
      </w:pPr>
      <w:r>
        <w:rPr>
          <w:color w:val="auto"/>
        </w:rPr>
        <w:t>Several Euroclear CSDs faced significant changes in</w:t>
      </w:r>
      <w:r w:rsidRPr="00E06F4F" w:rsidDel="00415806">
        <w:rPr>
          <w:color w:val="auto"/>
        </w:rPr>
        <w:t xml:space="preserve"> the </w:t>
      </w:r>
      <w:r>
        <w:rPr>
          <w:color w:val="auto"/>
        </w:rPr>
        <w:t>past years:</w:t>
      </w:r>
      <w:r w:rsidRPr="00E06F4F" w:rsidDel="000916C7">
        <w:rPr>
          <w:color w:val="auto"/>
        </w:rPr>
        <w:t xml:space="preserve"> </w:t>
      </w:r>
      <w:r>
        <w:rPr>
          <w:color w:val="auto"/>
        </w:rPr>
        <w:t xml:space="preserve">The penalty regime of </w:t>
      </w:r>
      <w:r w:rsidRPr="00E06F4F">
        <w:rPr>
          <w:color w:val="auto"/>
        </w:rPr>
        <w:t>Euroclear France</w:t>
      </w:r>
      <w:r>
        <w:rPr>
          <w:color w:val="auto"/>
        </w:rPr>
        <w:t xml:space="preserve"> was replaced by CSDR one, Euroclear Sweden implemented various optimisation tools during 2021 and beginning of 2022 (improve partial functionality, partial </w:t>
      </w:r>
      <w:r>
        <w:rPr>
          <w:color w:val="auto"/>
        </w:rPr>
        <w:lastRenderedPageBreak/>
        <w:t>settlement on omnibus accounts and extension of DVP settlement window) and Euroclear Finland joined T2S platform in September 2023</w:t>
      </w:r>
      <w:r w:rsidRPr="00E06F4F">
        <w:rPr>
          <w:color w:val="auto"/>
        </w:rPr>
        <w:t>.</w:t>
      </w:r>
    </w:p>
    <w:p w14:paraId="26F38F39" w14:textId="77777777" w:rsidR="005B061E" w:rsidRPr="00AD66BE" w:rsidRDefault="005B061E" w:rsidP="005B061E">
      <w:pPr>
        <w:rPr>
          <w:color w:val="auto"/>
        </w:rPr>
      </w:pPr>
      <w:r w:rsidRPr="00937138">
        <w:rPr>
          <w:b/>
          <w:bCs/>
          <w:noProof/>
          <w:color w:val="auto"/>
          <w:u w:val="single"/>
          <w14:ligatures w14:val="standardContextual"/>
        </w:rPr>
        <w:drawing>
          <wp:anchor distT="0" distB="0" distL="114300" distR="114300" simplePos="0" relativeHeight="251660288" behindDoc="0" locked="0" layoutInCell="1" allowOverlap="1" wp14:anchorId="0F1FC2D2" wp14:editId="50819F3F">
            <wp:simplePos x="0" y="0"/>
            <wp:positionH relativeFrom="column">
              <wp:posOffset>3090545</wp:posOffset>
            </wp:positionH>
            <wp:positionV relativeFrom="paragraph">
              <wp:posOffset>488950</wp:posOffset>
            </wp:positionV>
            <wp:extent cx="3409950" cy="2755900"/>
            <wp:effectExtent l="0" t="0" r="0" b="6350"/>
            <wp:wrapTopAndBottom/>
            <wp:docPr id="5" name="Picture 5"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number of peop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9950" cy="2755900"/>
                    </a:xfrm>
                    <a:prstGeom prst="rect">
                      <a:avLst/>
                    </a:prstGeom>
                    <a:noFill/>
                  </pic:spPr>
                </pic:pic>
              </a:graphicData>
            </a:graphic>
            <wp14:sizeRelH relativeFrom="margin">
              <wp14:pctWidth>0</wp14:pctWidth>
            </wp14:sizeRelH>
          </wp:anchor>
        </w:drawing>
      </w:r>
      <w:r w:rsidRPr="00937138">
        <w:rPr>
          <w:b/>
          <w:bCs/>
          <w:noProof/>
          <w:color w:val="auto"/>
          <w:u w:val="single"/>
          <w14:ligatures w14:val="standardContextual"/>
        </w:rPr>
        <w:drawing>
          <wp:anchor distT="0" distB="0" distL="114300" distR="114300" simplePos="0" relativeHeight="251661312" behindDoc="0" locked="0" layoutInCell="1" allowOverlap="1" wp14:anchorId="17C70D21" wp14:editId="4A4F6B47">
            <wp:simplePos x="0" y="0"/>
            <wp:positionH relativeFrom="column">
              <wp:posOffset>-320040</wp:posOffset>
            </wp:positionH>
            <wp:positionV relativeFrom="paragraph">
              <wp:posOffset>488950</wp:posOffset>
            </wp:positionV>
            <wp:extent cx="3286125" cy="2755900"/>
            <wp:effectExtent l="0" t="0" r="9525" b="6350"/>
            <wp:wrapSquare wrapText="bothSides"/>
            <wp:docPr id="4" name="Picture 4"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peop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6125" cy="2755900"/>
                    </a:xfrm>
                    <a:prstGeom prst="rect">
                      <a:avLst/>
                    </a:prstGeom>
                    <a:noFill/>
                  </pic:spPr>
                </pic:pic>
              </a:graphicData>
            </a:graphic>
            <wp14:sizeRelH relativeFrom="margin">
              <wp14:pctWidth>0</wp14:pctWidth>
            </wp14:sizeRelH>
          </wp:anchor>
        </w:drawing>
      </w:r>
      <w:r w:rsidRPr="00937138">
        <w:rPr>
          <w:b/>
          <w:bCs/>
          <w:color w:val="auto"/>
          <w:u w:val="single"/>
        </w:rPr>
        <w:t>For ESES CSDs,</w:t>
      </w:r>
      <w:r w:rsidRPr="00E06F4F">
        <w:rPr>
          <w:color w:val="auto"/>
        </w:rPr>
        <w:t xml:space="preserve"> based on legacy settlement efficiency data, we notice the following </w:t>
      </w:r>
      <w:r>
        <w:rPr>
          <w:color w:val="auto"/>
        </w:rPr>
        <w:t>in</w:t>
      </w:r>
      <w:r w:rsidRPr="00E06F4F">
        <w:rPr>
          <w:color w:val="auto"/>
        </w:rPr>
        <w:t>efficiency rates since 2019:</w:t>
      </w:r>
    </w:p>
    <w:p w14:paraId="68CA46D6" w14:textId="77777777" w:rsidR="005B061E" w:rsidRDefault="005B061E" w:rsidP="005B061E">
      <w:pPr>
        <w:rPr>
          <w:color w:val="FF00FF"/>
        </w:rPr>
      </w:pPr>
      <w:r>
        <w:rPr>
          <w:noProof/>
          <w14:ligatures w14:val="standardContextual"/>
        </w:rPr>
        <w:t xml:space="preserve">Efficiency is improving since 2022 but still above 2019 rates in volume.  </w:t>
      </w:r>
    </w:p>
    <w:p w14:paraId="330C645F" w14:textId="77777777" w:rsidR="005B061E" w:rsidRDefault="005B061E" w:rsidP="005B061E">
      <w:pPr>
        <w:rPr>
          <w:noProof/>
        </w:rPr>
      </w:pPr>
      <w:r w:rsidRPr="00A04EDC">
        <w:rPr>
          <w:b/>
          <w:bCs/>
          <w:color w:val="auto"/>
          <w:u w:val="single"/>
        </w:rPr>
        <w:t>For Euroclear Bank</w:t>
      </w:r>
      <w:r w:rsidRPr="00B705CD">
        <w:rPr>
          <w:color w:val="auto"/>
        </w:rPr>
        <w:t xml:space="preserve">, based on legacy settlement efficiency data, we notice the following efficiency rates </w:t>
      </w:r>
      <w:r w:rsidRPr="25AEEECC">
        <w:rPr>
          <w:color w:val="auto"/>
        </w:rPr>
        <w:t xml:space="preserve">in </w:t>
      </w:r>
      <w:r>
        <w:rPr>
          <w:color w:val="auto"/>
        </w:rPr>
        <w:t xml:space="preserve">volume &amp; </w:t>
      </w:r>
      <w:r w:rsidRPr="25AEEECC">
        <w:rPr>
          <w:color w:val="auto"/>
        </w:rPr>
        <w:t>value since</w:t>
      </w:r>
      <w:r w:rsidRPr="68E64585">
        <w:rPr>
          <w:color w:val="auto"/>
        </w:rPr>
        <w:t xml:space="preserve"> </w:t>
      </w:r>
      <w:r w:rsidRPr="32D0A25B">
        <w:rPr>
          <w:color w:val="auto"/>
        </w:rPr>
        <w:t>2019</w:t>
      </w:r>
      <w:r w:rsidRPr="36906A93">
        <w:rPr>
          <w:color w:val="auto"/>
        </w:rPr>
        <w:t>:</w:t>
      </w:r>
    </w:p>
    <w:p w14:paraId="7D73682D" w14:textId="77777777" w:rsidR="005B061E" w:rsidRDefault="005B061E" w:rsidP="005B061E">
      <w:pPr>
        <w:ind w:left="-567"/>
      </w:pPr>
      <w:r>
        <w:rPr>
          <w:noProof/>
        </w:rPr>
        <w:drawing>
          <wp:inline distT="0" distB="0" distL="0" distR="0" wp14:anchorId="63D356C9" wp14:editId="3DB54E9C">
            <wp:extent cx="6858000" cy="2468245"/>
            <wp:effectExtent l="0" t="0" r="0" b="8255"/>
            <wp:docPr id="1672239680" name="Picture 1672239680" descr="A graph showing the growth of the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39680" name="Picture 1672239680" descr="A graph showing the growth of the company&#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72179" cy="2473348"/>
                    </a:xfrm>
                    <a:prstGeom prst="rect">
                      <a:avLst/>
                    </a:prstGeom>
                  </pic:spPr>
                </pic:pic>
              </a:graphicData>
            </a:graphic>
          </wp:inline>
        </w:drawing>
      </w:r>
    </w:p>
    <w:p w14:paraId="4F70741E" w14:textId="77777777" w:rsidR="005B061E" w:rsidRDefault="005B061E" w:rsidP="005B061E">
      <w:r>
        <w:t xml:space="preserve">Efficiency has improved since 2022, reaching higher levels than in 2019. </w:t>
      </w:r>
    </w:p>
    <w:p w14:paraId="282380C9" w14:textId="77777777" w:rsidR="005B061E" w:rsidRDefault="005B061E" w:rsidP="005B061E">
      <w:pPr>
        <w:rPr>
          <w:color w:val="auto"/>
        </w:rPr>
      </w:pPr>
      <w:r w:rsidRPr="006229AC">
        <w:rPr>
          <w:b/>
          <w:bCs/>
          <w:u w:val="single"/>
        </w:rPr>
        <w:lastRenderedPageBreak/>
        <w:t xml:space="preserve">For </w:t>
      </w:r>
      <w:r w:rsidRPr="006229AC">
        <w:rPr>
          <w:b/>
          <w:bCs/>
          <w:color w:val="auto"/>
          <w:u w:val="single"/>
        </w:rPr>
        <w:t>Euroclear Finland</w:t>
      </w:r>
      <w:r w:rsidRPr="005A8CC5">
        <w:rPr>
          <w:color w:val="auto"/>
        </w:rPr>
        <w:t xml:space="preserve">, based on legacy settlement efficiency data, we notice the following </w:t>
      </w:r>
      <w:r>
        <w:rPr>
          <w:color w:val="auto"/>
        </w:rPr>
        <w:t>in</w:t>
      </w:r>
      <w:r w:rsidRPr="005A8CC5">
        <w:rPr>
          <w:color w:val="auto"/>
        </w:rPr>
        <w:t>efficiency rates since 2019:</w:t>
      </w:r>
      <w:r w:rsidRPr="00CE3101">
        <w:rPr>
          <w:noProof/>
        </w:rPr>
        <w:t xml:space="preserve"> </w:t>
      </w:r>
    </w:p>
    <w:p w14:paraId="75106958" w14:textId="77777777" w:rsidR="005B061E" w:rsidRDefault="005B061E" w:rsidP="005B061E">
      <w:pPr>
        <w:rPr>
          <w:color w:val="auto"/>
        </w:rPr>
      </w:pPr>
      <w:r>
        <w:rPr>
          <w:noProof/>
        </w:rPr>
        <w:drawing>
          <wp:inline distT="0" distB="0" distL="0" distR="0" wp14:anchorId="6F959E98" wp14:editId="59F22AF2">
            <wp:extent cx="3359292" cy="2218982"/>
            <wp:effectExtent l="0" t="0" r="0" b="0"/>
            <wp:docPr id="1631728053" name="Picture 1631728053"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40764" name="Picture 596840764" descr="A graph with a line and a li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359292" cy="2218982"/>
                    </a:xfrm>
                    <a:prstGeom prst="rect">
                      <a:avLst/>
                    </a:prstGeom>
                  </pic:spPr>
                </pic:pic>
              </a:graphicData>
            </a:graphic>
          </wp:inline>
        </w:drawing>
      </w:r>
    </w:p>
    <w:p w14:paraId="11A65C5E" w14:textId="77777777" w:rsidR="005B061E" w:rsidRPr="00652224" w:rsidRDefault="005B061E" w:rsidP="005B061E">
      <w:pPr>
        <w:rPr>
          <w:color w:val="auto"/>
        </w:rPr>
      </w:pPr>
      <w:r w:rsidRPr="005A8CC5">
        <w:rPr>
          <w:color w:val="auto"/>
        </w:rPr>
        <w:t xml:space="preserve">Efficiency is improving since 2022. However, there was additional market turbulence during 2021-2022, so part of the improvement could result from market </w:t>
      </w:r>
      <w:proofErr w:type="gramStart"/>
      <w:r w:rsidRPr="005A8CC5">
        <w:rPr>
          <w:color w:val="auto"/>
        </w:rPr>
        <w:t>returning back</w:t>
      </w:r>
      <w:proofErr w:type="gramEnd"/>
      <w:r w:rsidRPr="005A8CC5">
        <w:rPr>
          <w:color w:val="auto"/>
        </w:rPr>
        <w:t xml:space="preserve"> to normal.</w:t>
      </w:r>
    </w:p>
    <w:p w14:paraId="36323E51" w14:textId="77777777" w:rsidR="005B061E" w:rsidRPr="001810C5" w:rsidRDefault="005B061E" w:rsidP="005B061E">
      <w:pPr>
        <w:rPr>
          <w:color w:val="auto"/>
        </w:rPr>
      </w:pPr>
      <w:r w:rsidRPr="006229AC">
        <w:rPr>
          <w:b/>
          <w:bCs/>
          <w:noProof/>
          <w:u w:val="single"/>
          <w14:ligatures w14:val="standardContextual"/>
        </w:rPr>
        <w:drawing>
          <wp:anchor distT="0" distB="0" distL="114300" distR="114300" simplePos="0" relativeHeight="251662336" behindDoc="0" locked="0" layoutInCell="1" allowOverlap="1" wp14:anchorId="3A667E53" wp14:editId="09090C06">
            <wp:simplePos x="0" y="0"/>
            <wp:positionH relativeFrom="column">
              <wp:posOffset>-386080</wp:posOffset>
            </wp:positionH>
            <wp:positionV relativeFrom="paragraph">
              <wp:posOffset>389255</wp:posOffset>
            </wp:positionV>
            <wp:extent cx="3352800" cy="2029460"/>
            <wp:effectExtent l="0" t="0" r="0" b="8890"/>
            <wp:wrapTopAndBottom/>
            <wp:docPr id="417751789" name="Chart 417751789">
              <a:extLst xmlns:a="http://schemas.openxmlformats.org/drawingml/2006/main">
                <a:ext uri="{FF2B5EF4-FFF2-40B4-BE49-F238E27FC236}">
                  <a16:creationId xmlns:a16="http://schemas.microsoft.com/office/drawing/2014/main" id="{24337BD2-40F7-148E-3D23-DB3073C2C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6229AC">
        <w:rPr>
          <w:b/>
          <w:bCs/>
          <w:noProof/>
          <w:u w:val="single"/>
          <w14:ligatures w14:val="standardContextual"/>
        </w:rPr>
        <w:drawing>
          <wp:anchor distT="0" distB="0" distL="114300" distR="114300" simplePos="0" relativeHeight="251663360" behindDoc="0" locked="0" layoutInCell="1" allowOverlap="1" wp14:anchorId="3B1EFBCD" wp14:editId="2EAEB51A">
            <wp:simplePos x="0" y="0"/>
            <wp:positionH relativeFrom="column">
              <wp:posOffset>3204845</wp:posOffset>
            </wp:positionH>
            <wp:positionV relativeFrom="paragraph">
              <wp:posOffset>370205</wp:posOffset>
            </wp:positionV>
            <wp:extent cx="3295650" cy="2047240"/>
            <wp:effectExtent l="0" t="0" r="0" b="10160"/>
            <wp:wrapTopAndBottom/>
            <wp:docPr id="2" name="Chart 2">
              <a:extLst xmlns:a="http://schemas.openxmlformats.org/drawingml/2006/main">
                <a:ext uri="{FF2B5EF4-FFF2-40B4-BE49-F238E27FC236}">
                  <a16:creationId xmlns:a16="http://schemas.microsoft.com/office/drawing/2014/main" id="{6744F872-AA35-1489-DAE9-97F5520757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6229AC">
        <w:rPr>
          <w:b/>
          <w:bCs/>
          <w:color w:val="auto"/>
          <w:u w:val="single"/>
        </w:rPr>
        <w:t>For Euroclear Sweden</w:t>
      </w:r>
      <w:r w:rsidRPr="001810C5">
        <w:rPr>
          <w:color w:val="auto"/>
        </w:rPr>
        <w:t xml:space="preserve">, based on legacy settlement efficiency data, we notice the following </w:t>
      </w:r>
      <w:r>
        <w:rPr>
          <w:color w:val="auto"/>
        </w:rPr>
        <w:t>in</w:t>
      </w:r>
      <w:r w:rsidRPr="001810C5">
        <w:rPr>
          <w:color w:val="auto"/>
        </w:rPr>
        <w:t xml:space="preserve">efficiency rates since 2019: </w:t>
      </w:r>
    </w:p>
    <w:p w14:paraId="408D7DCC" w14:textId="77777777" w:rsidR="005B061E" w:rsidRPr="0027115D" w:rsidRDefault="005B061E" w:rsidP="005B061E">
      <w:pPr>
        <w:rPr>
          <w:color w:val="auto"/>
        </w:rPr>
      </w:pPr>
      <w:r>
        <w:t xml:space="preserve">  </w:t>
      </w:r>
      <w:r w:rsidRPr="0027115D">
        <w:rPr>
          <w:color w:val="auto"/>
        </w:rPr>
        <w:t>Efficiency is improving since 2019 in volume and since 2021 in value.</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lastRenderedPageBreak/>
        <w:t>&lt;ESMA_QUESTION_CSDR_16&gt;</w:t>
      </w:r>
    </w:p>
    <w:p w14:paraId="0B3A6297" w14:textId="77777777" w:rsidR="00E970C1" w:rsidRPr="00E06F4F" w:rsidRDefault="00E970C1" w:rsidP="00E970C1">
      <w:pPr>
        <w:rPr>
          <w:color w:val="auto"/>
        </w:rPr>
      </w:pPr>
      <w:permStart w:id="1340627845" w:edGrp="everyone"/>
      <w:r w:rsidRPr="00E06F4F">
        <w:rPr>
          <w:color w:val="auto"/>
        </w:rPr>
        <w:t>CSDR penalties mechanism</w:t>
      </w:r>
      <w:r>
        <w:rPr>
          <w:color w:val="auto"/>
        </w:rPr>
        <w:t>s</w:t>
      </w:r>
      <w:r w:rsidRPr="00E06F4F">
        <w:rPr>
          <w:color w:val="auto"/>
        </w:rPr>
        <w:t xml:space="preserve"> require for the failing participant to pay the penalties to the one suffering the fail. Since entry into force, figures show that most clients are benefiting from a netting effect, meaning that they pay and receive penalties (the gross value of penalties is not what is actually paid by the participants). While this netting effect is fair (as allows the ones in the middle of the chain to be flat), it might reduce the appetite of participants to reduce their settlement fails. To have a more targeted mechanism, it could be considered to exclude, at least, the intra-company movements from the penalties scope. </w:t>
      </w:r>
    </w:p>
    <w:p w14:paraId="59E4DFA5" w14:textId="77777777" w:rsidR="00E970C1" w:rsidRPr="00E06F4F" w:rsidRDefault="00E970C1" w:rsidP="00E970C1">
      <w:pPr>
        <w:rPr>
          <w:color w:val="auto"/>
        </w:rPr>
      </w:pPr>
      <w:r w:rsidRPr="00E06F4F">
        <w:rPr>
          <w:color w:val="auto"/>
        </w:rPr>
        <w:t xml:space="preserve">If one is receiving penalties, it might not be incentivised to use the optimisation tools available to solve the fail (i.e., partial). Moving to a mandatory partial settlement (the receiver not being allowed to opt out) could help in reducing the fails. </w:t>
      </w:r>
    </w:p>
    <w:p w14:paraId="3C649DE6" w14:textId="77777777" w:rsidR="00E970C1" w:rsidRPr="007C56D4" w:rsidRDefault="00E970C1" w:rsidP="00E970C1">
      <w:pPr>
        <w:rPr>
          <w:color w:val="auto"/>
        </w:rPr>
      </w:pPr>
      <w:r w:rsidRPr="00E06F4F">
        <w:rPr>
          <w:color w:val="auto"/>
        </w:rPr>
        <w:t>In case of higher interest rates, the total cost of a fail is also higher, thus participants are incentivised to use optimisation tools such as the borrowing of securities.</w:t>
      </w:r>
      <w:r>
        <w:rPr>
          <w:color w:val="auto"/>
        </w:rPr>
        <w:t xml:space="preserve"> </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2624475C" w14:textId="77777777" w:rsidR="00960989" w:rsidRPr="00E06F4F" w:rsidRDefault="00960989" w:rsidP="00960989">
      <w:pPr>
        <w:rPr>
          <w:color w:val="auto"/>
        </w:rPr>
      </w:pPr>
      <w:permStart w:id="1267808287" w:edGrp="everyone"/>
      <w:r>
        <w:rPr>
          <w:color w:val="auto"/>
        </w:rPr>
        <w:t xml:space="preserve">Euroclear </w:t>
      </w:r>
      <w:r w:rsidRPr="00E06F4F">
        <w:rPr>
          <w:color w:val="auto"/>
        </w:rPr>
        <w:t xml:space="preserve">CSDs do not know the underlying reasons for fails apart from fail to deliver securities and fail to deliver cash or on hold. Underlying reason for fail stands on the participants’ and their clients’ side. </w:t>
      </w:r>
    </w:p>
    <w:p w14:paraId="58D2627F" w14:textId="77777777" w:rsidR="00960989" w:rsidRPr="00E06F4F" w:rsidRDefault="00960989" w:rsidP="00960989">
      <w:pPr>
        <w:rPr>
          <w:color w:val="auto"/>
        </w:rPr>
      </w:pPr>
      <w:r w:rsidRPr="00E06F4F">
        <w:rPr>
          <w:color w:val="auto"/>
        </w:rPr>
        <w:t xml:space="preserve">ECSDA published its settlement efficiency considerations in November 2023, where a section covers the causes of settlement fails. </w:t>
      </w:r>
    </w:p>
    <w:p w14:paraId="1A198652" w14:textId="77777777" w:rsidR="00960989" w:rsidRPr="00E06F4F" w:rsidRDefault="00960989" w:rsidP="00960989">
      <w:pPr>
        <w:rPr>
          <w:i/>
          <w:iCs/>
          <w:color w:val="auto"/>
        </w:rPr>
      </w:pPr>
      <w:r w:rsidRPr="00E06F4F">
        <w:rPr>
          <w:i/>
          <w:iCs/>
          <w:color w:val="auto"/>
        </w:rPr>
        <w:t xml:space="preserve">Based on a survey sent to the CSDs participants, the </w:t>
      </w:r>
      <w:proofErr w:type="gramStart"/>
      <w:r w:rsidRPr="00E06F4F">
        <w:rPr>
          <w:i/>
          <w:iCs/>
          <w:color w:val="auto"/>
        </w:rPr>
        <w:t>causes</w:t>
      </w:r>
      <w:proofErr w:type="gramEnd"/>
      <w:r w:rsidRPr="00E06F4F">
        <w:rPr>
          <w:i/>
          <w:iCs/>
          <w:color w:val="auto"/>
        </w:rPr>
        <w:t xml:space="preserve"> of settlement fails are: </w:t>
      </w:r>
    </w:p>
    <w:p w14:paraId="6042A5A5" w14:textId="77777777" w:rsidR="00960989" w:rsidRPr="00E06F4F" w:rsidRDefault="00960989" w:rsidP="00960989">
      <w:pPr>
        <w:ind w:left="720"/>
        <w:rPr>
          <w:i/>
          <w:iCs/>
          <w:color w:val="auto"/>
        </w:rPr>
      </w:pPr>
      <w:r w:rsidRPr="00E06F4F">
        <w:rPr>
          <w:rFonts w:ascii="Cambria Math" w:hAnsi="Cambria Math" w:cs="Cambria Math"/>
          <w:i/>
          <w:iCs/>
          <w:color w:val="auto"/>
        </w:rPr>
        <w:t>◼</w:t>
      </w:r>
      <w:r w:rsidRPr="00E06F4F">
        <w:rPr>
          <w:i/>
          <w:iCs/>
          <w:color w:val="auto"/>
        </w:rPr>
        <w:t xml:space="preserve"> Lack of securities = awaited delivery of corresponding securities through a related transaction or a realignment in another market / securities lending not possible / internal position management needed / internal booking action needed.</w:t>
      </w:r>
    </w:p>
    <w:p w14:paraId="77D98B12" w14:textId="77777777" w:rsidR="00960989" w:rsidRPr="00E06F4F" w:rsidRDefault="00960989" w:rsidP="00960989">
      <w:pPr>
        <w:ind w:left="720"/>
        <w:rPr>
          <w:i/>
          <w:iCs/>
          <w:color w:val="auto"/>
        </w:rPr>
      </w:pPr>
      <w:r w:rsidRPr="00E06F4F">
        <w:rPr>
          <w:rFonts w:ascii="Cambria Math" w:hAnsi="Cambria Math" w:cs="Cambria Math"/>
          <w:i/>
          <w:iCs/>
          <w:color w:val="auto"/>
        </w:rPr>
        <w:t>◼</w:t>
      </w:r>
      <w:r w:rsidRPr="00E06F4F">
        <w:rPr>
          <w:i/>
          <w:iCs/>
          <w:color w:val="auto"/>
        </w:rPr>
        <w:t xml:space="preserve"> Lack of cash = marginal occurrences</w:t>
      </w:r>
    </w:p>
    <w:p w14:paraId="6FB93376" w14:textId="77777777" w:rsidR="00960989" w:rsidRPr="003C339F" w:rsidRDefault="00960989" w:rsidP="00960989">
      <w:pPr>
        <w:ind w:left="720"/>
        <w:rPr>
          <w:i/>
          <w:iCs/>
          <w:color w:val="auto"/>
        </w:rPr>
      </w:pPr>
      <w:r w:rsidRPr="00E06F4F">
        <w:rPr>
          <w:rFonts w:ascii="Cambria Math" w:hAnsi="Cambria Math" w:cs="Cambria Math"/>
          <w:i/>
          <w:iCs/>
          <w:color w:val="auto"/>
        </w:rPr>
        <w:lastRenderedPageBreak/>
        <w:t>◼</w:t>
      </w:r>
      <w:r w:rsidRPr="00E06F4F">
        <w:rPr>
          <w:i/>
          <w:iCs/>
          <w:color w:val="auto"/>
        </w:rPr>
        <w:t xml:space="preserve"> On hold = set by default at an account or a transaction level / no sufficient provision / management of the underlying customer positions</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2F2A5045" w14:textId="77777777" w:rsidR="008E1E02" w:rsidRPr="00E06F4F" w:rsidRDefault="008E1E02" w:rsidP="008E1E02">
      <w:pPr>
        <w:rPr>
          <w:color w:val="auto"/>
        </w:rPr>
      </w:pPr>
      <w:permStart w:id="1836331667" w:edGrp="everyone"/>
      <w:r w:rsidRPr="00E06F4F">
        <w:rPr>
          <w:color w:val="auto"/>
        </w:rPr>
        <w:t xml:space="preserve">Euroclear </w:t>
      </w:r>
      <w:r>
        <w:rPr>
          <w:color w:val="auto"/>
        </w:rPr>
        <w:t xml:space="preserve">Group </w:t>
      </w:r>
      <w:r w:rsidRPr="00E06F4F">
        <w:rPr>
          <w:color w:val="auto"/>
        </w:rPr>
        <w:t>is of the opinion that partial settlement and partial release are efficient tools to limit the settlement fails</w:t>
      </w:r>
      <w:r>
        <w:rPr>
          <w:color w:val="auto"/>
        </w:rPr>
        <w:t xml:space="preserve"> (as shown by Euroclear Sweden data)</w:t>
      </w:r>
      <w:r w:rsidRPr="00E06F4F">
        <w:rPr>
          <w:color w:val="auto"/>
        </w:rPr>
        <w:t xml:space="preserve">. </w:t>
      </w:r>
    </w:p>
    <w:p w14:paraId="055641CF" w14:textId="77777777" w:rsidR="008E1E02" w:rsidRPr="0091028E" w:rsidRDefault="008E1E02" w:rsidP="008E1E02">
      <w:pPr>
        <w:rPr>
          <w:color w:val="auto"/>
        </w:rPr>
      </w:pPr>
      <w:r w:rsidRPr="00E06F4F">
        <w:rPr>
          <w:color w:val="auto"/>
        </w:rPr>
        <w:t>We could also consider introducing shaping, but a deeper analysis might be needed to check the balance between costs and benefits.</w:t>
      </w:r>
      <w:r w:rsidRPr="0091028E">
        <w:rPr>
          <w:color w:val="auto"/>
        </w:rPr>
        <w:t xml:space="preserve"> </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7ACC11A2" w14:textId="77777777" w:rsidR="005933B5" w:rsidRDefault="005933B5" w:rsidP="005933B5">
      <w:pPr>
        <w:rPr>
          <w:color w:val="auto"/>
        </w:rPr>
      </w:pPr>
      <w:permStart w:id="1744390137" w:edGrp="everyone"/>
      <w:r>
        <w:rPr>
          <w:color w:val="auto"/>
        </w:rPr>
        <w:t xml:space="preserve">One aspect of efficiency </w:t>
      </w:r>
      <w:r w:rsidRPr="00CB364D">
        <w:rPr>
          <w:color w:val="auto"/>
        </w:rPr>
        <w:t>is linked to the liquidity of the underlying instrument. If an instrument is illiquid, it can fail for several days as neither borrowing nor partial can solve the fail.</w:t>
      </w:r>
    </w:p>
    <w:p w14:paraId="01CD76C1" w14:textId="77777777" w:rsidR="005933B5" w:rsidRDefault="005933B5" w:rsidP="005933B5">
      <w:pPr>
        <w:rPr>
          <w:color w:val="auto"/>
          <w:lang w:eastAsia="zh-CN"/>
        </w:rPr>
      </w:pPr>
      <w:r>
        <w:t xml:space="preserve">On top of that, some instruments are structurally different thus their efficiency cannot be compared to others – it is the case for the ETFS which are different from DEBT or SHRS. </w:t>
      </w:r>
      <w:r>
        <w:rPr>
          <w:color w:val="auto"/>
        </w:rPr>
        <w:t xml:space="preserve"> </w:t>
      </w:r>
    </w:p>
    <w:p w14:paraId="42518A2D" w14:textId="6284352C" w:rsidR="005933B5" w:rsidRPr="004E6C56" w:rsidRDefault="005933B5" w:rsidP="005933B5">
      <w:pPr>
        <w:rPr>
          <w:color w:val="auto"/>
        </w:rPr>
      </w:pPr>
      <w:r>
        <w:rPr>
          <w:color w:val="auto"/>
        </w:rPr>
        <w:t xml:space="preserve">As efficiency can differ from one asset type to another, it would make sense to have different penalties rates for them. We thus agree to have a dedicated penalty rate for ETFS. </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lastRenderedPageBreak/>
        <w:t>&lt;ESMA_QUESTION_CSDR_20&gt;</w:t>
      </w:r>
    </w:p>
    <w:p w14:paraId="1CC44789" w14:textId="77777777" w:rsidR="00B10463" w:rsidRPr="00E06F4F" w:rsidRDefault="00B10463" w:rsidP="00B10463">
      <w:pPr>
        <w:rPr>
          <w:color w:val="auto"/>
        </w:rPr>
      </w:pPr>
      <w:permStart w:id="652349975" w:edGrp="everyone"/>
      <w:r w:rsidRPr="00E06F4F">
        <w:rPr>
          <w:color w:val="auto"/>
        </w:rPr>
        <w:t xml:space="preserve">Euroclear </w:t>
      </w:r>
      <w:r>
        <w:rPr>
          <w:color w:val="auto"/>
        </w:rPr>
        <w:t xml:space="preserve">Group </w:t>
      </w:r>
      <w:r w:rsidRPr="00E06F4F">
        <w:rPr>
          <w:color w:val="auto"/>
        </w:rPr>
        <w:t xml:space="preserve">considers that the penalty rates by asset type could be </w:t>
      </w:r>
      <w:r>
        <w:rPr>
          <w:color w:val="auto"/>
        </w:rPr>
        <w:t>changed</w:t>
      </w:r>
      <w:r w:rsidRPr="00E06F4F">
        <w:rPr>
          <w:color w:val="auto"/>
        </w:rPr>
        <w:t>. It might help to improve efficiency, without structurally changing current methodology used in the penalties’ mechanism</w:t>
      </w:r>
      <w:r>
        <w:rPr>
          <w:color w:val="auto"/>
        </w:rPr>
        <w:t>s</w:t>
      </w:r>
      <w:r w:rsidRPr="00E06F4F">
        <w:rPr>
          <w:color w:val="auto"/>
        </w:rPr>
        <w:t xml:space="preserve">. </w:t>
      </w:r>
    </w:p>
    <w:p w14:paraId="30F90CB1" w14:textId="77777777" w:rsidR="00B10463" w:rsidRPr="003C320A" w:rsidRDefault="00B10463" w:rsidP="00B10463">
      <w:pPr>
        <w:rPr>
          <w:color w:val="auto"/>
        </w:rPr>
      </w:pPr>
      <w:r w:rsidRPr="00E06F4F">
        <w:rPr>
          <w:color w:val="auto"/>
        </w:rPr>
        <w:t>A specific rate for ETFS could be introduced using current methodology in place (i.e., specific CFI code of ETFS to be linked to a dedicated penalty rate).</w:t>
      </w:r>
      <w:r w:rsidRPr="003C320A">
        <w:rPr>
          <w:color w:val="auto"/>
        </w:rPr>
        <w:t xml:space="preserve"> </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442C00A4" w14:textId="77777777" w:rsidR="000F1DD3" w:rsidRPr="00E44FBF" w:rsidRDefault="000F1DD3" w:rsidP="000F1DD3">
      <w:pPr>
        <w:rPr>
          <w:b/>
          <w:bCs/>
          <w:u w:val="single"/>
        </w:rPr>
      </w:pPr>
      <w:permStart w:id="1111646572" w:edGrp="everyone"/>
      <w:r w:rsidRPr="00E44FBF">
        <w:rPr>
          <w:b/>
          <w:bCs/>
          <w:u w:val="single"/>
        </w:rPr>
        <w:t>Breakdown of penalties by asset type</w:t>
      </w:r>
    </w:p>
    <w:p w14:paraId="67216553" w14:textId="77777777" w:rsidR="000F1DD3" w:rsidRPr="002216FA" w:rsidRDefault="000F1DD3" w:rsidP="000F1DD3">
      <w:r w:rsidRPr="0001126D">
        <w:rPr>
          <w:b/>
          <w:bCs/>
        </w:rPr>
        <w:t>Euroclear Bank –</w:t>
      </w:r>
      <w:r>
        <w:rPr>
          <w:b/>
          <w:bCs/>
        </w:rPr>
        <w:t xml:space="preserve"> </w:t>
      </w:r>
      <w:r w:rsidRPr="0001126D">
        <w:rPr>
          <w:b/>
          <w:bCs/>
        </w:rPr>
        <w:t>2023</w:t>
      </w:r>
      <w:r>
        <w:rPr>
          <w:b/>
          <w:bCs/>
        </w:rPr>
        <w:t>:</w:t>
      </w:r>
    </w:p>
    <w:p w14:paraId="07390184" w14:textId="77777777" w:rsidR="000F1DD3" w:rsidRPr="002216FA" w:rsidRDefault="000F1DD3" w:rsidP="000F1DD3">
      <w:pPr>
        <w:pStyle w:val="ListParagraph"/>
      </w:pPr>
      <w:r w:rsidRPr="002216FA">
        <w:t>Volume = 59% DEBT + 16% SOVR + 16% ETFS + 9% SHRS – SECU &amp; MMKT are marginal</w:t>
      </w:r>
    </w:p>
    <w:p w14:paraId="30FBC8B2" w14:textId="77777777" w:rsidR="000F1DD3" w:rsidRPr="002216FA" w:rsidRDefault="000F1DD3" w:rsidP="000F1DD3">
      <w:pPr>
        <w:pStyle w:val="ListParagraph"/>
      </w:pPr>
      <w:r w:rsidRPr="002216FA">
        <w:t>Value = 46% SOVR + 40% DEBT + 8% SHRS + 6% ETFS – SECU &amp; MMKT are marginal</w:t>
      </w:r>
    </w:p>
    <w:p w14:paraId="464F20CB" w14:textId="77777777" w:rsidR="000F1DD3" w:rsidRPr="0001126D" w:rsidRDefault="000F1DD3" w:rsidP="000F1DD3">
      <w:pPr>
        <w:rPr>
          <w:b/>
          <w:bCs/>
        </w:rPr>
      </w:pPr>
      <w:r w:rsidRPr="0001126D">
        <w:rPr>
          <w:b/>
          <w:bCs/>
        </w:rPr>
        <w:t>ESES CSDs –</w:t>
      </w:r>
      <w:r>
        <w:rPr>
          <w:b/>
          <w:bCs/>
        </w:rPr>
        <w:t xml:space="preserve"> </w:t>
      </w:r>
      <w:r w:rsidRPr="0001126D">
        <w:rPr>
          <w:b/>
          <w:bCs/>
        </w:rPr>
        <w:t>2023:</w:t>
      </w:r>
    </w:p>
    <w:p w14:paraId="64A9D433" w14:textId="77777777" w:rsidR="000F1DD3" w:rsidRPr="002216FA" w:rsidRDefault="000F1DD3" w:rsidP="000F1DD3">
      <w:pPr>
        <w:pStyle w:val="ListParagraph"/>
      </w:pPr>
      <w:r w:rsidRPr="002216FA">
        <w:t>Volume = 61% SHRS + 18% ETFS + 11% DEBT + 6% SOVR + 3% SECU + 1% UCIT</w:t>
      </w:r>
    </w:p>
    <w:p w14:paraId="623E9B2A" w14:textId="77777777" w:rsidR="000F1DD3" w:rsidRPr="002216FA" w:rsidRDefault="000F1DD3" w:rsidP="000F1DD3">
      <w:pPr>
        <w:pStyle w:val="ListParagraph"/>
      </w:pPr>
      <w:r w:rsidRPr="002216FA">
        <w:t>Value = 49% SHRS + 18% DEBT + 17% SOVR + 9% UCIT + 7% ETFS</w:t>
      </w:r>
    </w:p>
    <w:p w14:paraId="16D39704" w14:textId="77777777" w:rsidR="000F1DD3" w:rsidRPr="001A298B" w:rsidRDefault="000F1DD3" w:rsidP="000F1DD3">
      <w:pPr>
        <w:rPr>
          <w:b/>
          <w:bCs/>
        </w:rPr>
      </w:pPr>
      <w:r w:rsidRPr="001A298B">
        <w:rPr>
          <w:b/>
          <w:bCs/>
        </w:rPr>
        <w:t>Euroclear Finland –</w:t>
      </w:r>
      <w:r>
        <w:rPr>
          <w:b/>
          <w:bCs/>
        </w:rPr>
        <w:t xml:space="preserve"> </w:t>
      </w:r>
      <w:r w:rsidRPr="001A298B">
        <w:rPr>
          <w:b/>
          <w:bCs/>
        </w:rPr>
        <w:t>2023:</w:t>
      </w:r>
    </w:p>
    <w:p w14:paraId="4E55387D" w14:textId="77777777" w:rsidR="000F1DD3" w:rsidRDefault="000F1DD3" w:rsidP="000F1DD3">
      <w:pPr>
        <w:pStyle w:val="ListParagraph"/>
      </w:pPr>
      <w:r>
        <w:t xml:space="preserve">Volume = 91% SHRS + 4.5% SOVR + 3.5% DEBT + 1% ETF  + 0,3% CERT </w:t>
      </w:r>
    </w:p>
    <w:p w14:paraId="3664EA8D" w14:textId="77777777" w:rsidR="000F1DD3" w:rsidRDefault="000F1DD3" w:rsidP="000F1DD3">
      <w:pPr>
        <w:pStyle w:val="ListParagraph"/>
      </w:pPr>
      <w:r>
        <w:lastRenderedPageBreak/>
        <w:t>Value = 55% SHRS + 35% SOVR + 5,7% DEBT + 4% CERT + 0,3% ETF</w:t>
      </w:r>
    </w:p>
    <w:p w14:paraId="58870694" w14:textId="77777777" w:rsidR="000F1DD3" w:rsidRPr="001A298B" w:rsidRDefault="000F1DD3" w:rsidP="000F1DD3">
      <w:pPr>
        <w:rPr>
          <w:b/>
        </w:rPr>
      </w:pPr>
      <w:r>
        <w:rPr>
          <w:rFonts w:asciiTheme="majorHAnsi" w:hAnsiTheme="majorHAnsi" w:cstheme="majorHAnsi"/>
          <w:b/>
          <w:color w:val="auto"/>
          <w:szCs w:val="22"/>
          <w:lang w:val="pt-PT"/>
        </w:rPr>
        <w:t>Euroclear</w:t>
      </w:r>
      <w:r w:rsidRPr="001A298B">
        <w:rPr>
          <w:b/>
        </w:rPr>
        <w:t xml:space="preserve"> Sweden –</w:t>
      </w:r>
      <w:r>
        <w:rPr>
          <w:b/>
        </w:rPr>
        <w:t xml:space="preserve"> </w:t>
      </w:r>
      <w:r w:rsidRPr="001A298B">
        <w:rPr>
          <w:b/>
        </w:rPr>
        <w:t>December 2023:</w:t>
      </w:r>
    </w:p>
    <w:p w14:paraId="4F14300F" w14:textId="77777777" w:rsidR="000F1DD3" w:rsidRDefault="000F1DD3" w:rsidP="000F1DD3">
      <w:pPr>
        <w:pStyle w:val="ListParagraph"/>
      </w:pPr>
      <w:r w:rsidRPr="001A298B">
        <w:t>Volume = 89% SHRS + 6% DEBT + 2% SECU + 2% ETFS + 1% SOVR</w:t>
      </w:r>
    </w:p>
    <w:p w14:paraId="5484968D" w14:textId="77777777" w:rsidR="000F1DD3" w:rsidRPr="001A298B" w:rsidRDefault="000F1DD3" w:rsidP="000F1DD3">
      <w:pPr>
        <w:pStyle w:val="ListParagraph"/>
      </w:pPr>
      <w:r>
        <w:t>Value = 92% SHRS + 4% SOVR + 2% ETFS + 1% SECU + 1% DEBT</w:t>
      </w:r>
    </w:p>
    <w:p w14:paraId="7D9076A9" w14:textId="77777777" w:rsidR="000F1DD3" w:rsidRPr="00C2545C" w:rsidRDefault="000F1DD3" w:rsidP="000F1DD3">
      <w:pPr>
        <w:rPr>
          <w:b/>
          <w:bCs/>
        </w:rPr>
      </w:pPr>
      <w:r w:rsidRPr="00C2545C">
        <w:rPr>
          <w:b/>
          <w:bCs/>
        </w:rPr>
        <w:t>Average duration of fails (as mentioned in ESMA reporting)</w:t>
      </w:r>
      <w:r>
        <w:rPr>
          <w:b/>
          <w:bCs/>
        </w:rPr>
        <w:t xml:space="preserve"> for December 2023</w:t>
      </w:r>
      <w:r w:rsidRPr="00C2545C">
        <w:rPr>
          <w:b/>
          <w:bCs/>
        </w:rPr>
        <w:t>:</w:t>
      </w:r>
    </w:p>
    <w:p w14:paraId="2A2530A0" w14:textId="77777777" w:rsidR="000F1DD3" w:rsidRDefault="000F1DD3" w:rsidP="000F1DD3">
      <w:pPr>
        <w:pStyle w:val="ListParagraph"/>
      </w:pPr>
      <w:r>
        <w:t>Euroclear Bank= 3 days</w:t>
      </w:r>
    </w:p>
    <w:p w14:paraId="6FC72E15" w14:textId="77777777" w:rsidR="000F1DD3" w:rsidRDefault="000F1DD3" w:rsidP="000F1DD3">
      <w:pPr>
        <w:pStyle w:val="ListParagraph"/>
      </w:pPr>
      <w:r>
        <w:t>Euroclear Belgium = 1.3 days</w:t>
      </w:r>
    </w:p>
    <w:p w14:paraId="473FD22A" w14:textId="77777777" w:rsidR="000F1DD3" w:rsidRDefault="000F1DD3" w:rsidP="000F1DD3">
      <w:pPr>
        <w:pStyle w:val="ListParagraph"/>
      </w:pPr>
      <w:r>
        <w:t>Euroclear France = 1.7 days</w:t>
      </w:r>
    </w:p>
    <w:p w14:paraId="766E7CE1" w14:textId="77777777" w:rsidR="000F1DD3" w:rsidRDefault="000F1DD3" w:rsidP="000F1DD3">
      <w:pPr>
        <w:pStyle w:val="ListParagraph"/>
      </w:pPr>
      <w:r>
        <w:t>Euroclear Nederland = 2 days</w:t>
      </w:r>
    </w:p>
    <w:p w14:paraId="07B9CBF6" w14:textId="77777777" w:rsidR="000F1DD3" w:rsidRDefault="000F1DD3" w:rsidP="000F1DD3">
      <w:pPr>
        <w:pStyle w:val="ListParagraph"/>
      </w:pPr>
      <w:r>
        <w:t>Euroclear Finland = 1,2 days</w:t>
      </w:r>
    </w:p>
    <w:p w14:paraId="7DD25888" w14:textId="77777777" w:rsidR="000F1DD3" w:rsidRPr="00931557" w:rsidRDefault="000F1DD3" w:rsidP="000F1DD3">
      <w:pPr>
        <w:pStyle w:val="ListParagraph"/>
      </w:pPr>
      <w:r>
        <w:t>Euroclear Sweden = 1.8 days</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6911E4F5" w14:textId="77777777" w:rsidR="00EF32E6" w:rsidRPr="004B51F0" w:rsidRDefault="00EF32E6" w:rsidP="00EF32E6">
      <w:pPr>
        <w:rPr>
          <w:color w:val="auto"/>
        </w:rPr>
      </w:pPr>
      <w:permStart w:id="47388266" w:edGrp="everyone"/>
      <w:r w:rsidRPr="00DB2BE8">
        <w:rPr>
          <w:color w:val="auto"/>
        </w:rPr>
        <w:t xml:space="preserve">We do not know if introducing progressive penalty rates that increase with the length of the fail would </w:t>
      </w:r>
      <w:proofErr w:type="gramStart"/>
      <w:r w:rsidRPr="00DB2BE8">
        <w:rPr>
          <w:color w:val="auto"/>
        </w:rPr>
        <w:t>actually help</w:t>
      </w:r>
      <w:proofErr w:type="gramEnd"/>
      <w:r w:rsidRPr="00DB2BE8">
        <w:rPr>
          <w:color w:val="auto"/>
        </w:rPr>
        <w:t xml:space="preserve"> to improve efficiency.</w:t>
      </w:r>
      <w:r w:rsidRPr="004B51F0">
        <w:rPr>
          <w:color w:val="auto"/>
        </w:rPr>
        <w:t xml:space="preserve"> </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lastRenderedPageBreak/>
        <w:t>&lt;ESMA_QUESTION_CSDR_23&gt;</w:t>
      </w:r>
    </w:p>
    <w:p w14:paraId="24F79040" w14:textId="77777777" w:rsidR="00637860" w:rsidRPr="00E94E6B" w:rsidRDefault="00637860" w:rsidP="00637860">
      <w:pPr>
        <w:rPr>
          <w:color w:val="auto"/>
        </w:rPr>
      </w:pPr>
      <w:permStart w:id="67503824" w:edGrp="everyone"/>
      <w:r w:rsidRPr="003D47B2">
        <w:rPr>
          <w:color w:val="auto"/>
        </w:rPr>
        <w:t>Convexity</w:t>
      </w:r>
      <w:r>
        <w:rPr>
          <w:color w:val="auto"/>
        </w:rPr>
        <w:t xml:space="preserve"> would </w:t>
      </w:r>
      <w:r w:rsidRPr="003D47B2">
        <w:rPr>
          <w:color w:val="auto"/>
        </w:rPr>
        <w:t>bring another layer of complexity in the penalties’ mechanism</w:t>
      </w:r>
      <w:r>
        <w:rPr>
          <w:color w:val="auto"/>
        </w:rPr>
        <w:t>s</w:t>
      </w:r>
      <w:r w:rsidRPr="003D47B2">
        <w:rPr>
          <w:color w:val="auto"/>
        </w:rPr>
        <w:t xml:space="preserve">, for unknown benefits. </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0711E454" w14:textId="77777777" w:rsidR="0069276A" w:rsidRPr="00E94E6B" w:rsidRDefault="0069276A" w:rsidP="0069276A">
      <w:pPr>
        <w:rPr>
          <w:color w:val="auto"/>
        </w:rPr>
      </w:pPr>
      <w:permStart w:id="1652955813" w:edGrp="everyone"/>
      <w:r w:rsidRPr="003D47B2">
        <w:rPr>
          <w:color w:val="auto"/>
        </w:rPr>
        <w:t>Convexity</w:t>
      </w:r>
      <w:r>
        <w:rPr>
          <w:color w:val="auto"/>
        </w:rPr>
        <w:t xml:space="preserve"> would </w:t>
      </w:r>
      <w:r w:rsidRPr="003D47B2">
        <w:rPr>
          <w:color w:val="auto"/>
        </w:rPr>
        <w:t>bring another layer of complexity in the penalties’ mechanism</w:t>
      </w:r>
      <w:r>
        <w:rPr>
          <w:color w:val="auto"/>
        </w:rPr>
        <w:t>s</w:t>
      </w:r>
      <w:r w:rsidRPr="003D47B2">
        <w:rPr>
          <w:color w:val="auto"/>
        </w:rPr>
        <w:t>, for unknown benefits</w:t>
      </w:r>
      <w:r>
        <w:rPr>
          <w:color w:val="auto"/>
        </w:rPr>
        <w:t>. Fails on illiquid financial instruments would not be solved with higher penalty rates if the securities are not available on the market.</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3E0FFF7A" w14:textId="77777777" w:rsidR="00F963C2" w:rsidRPr="00144E1C" w:rsidRDefault="00F963C2" w:rsidP="00F963C2">
      <w:permStart w:id="1767178405" w:edGrp="everyone"/>
      <w:r w:rsidRPr="00385687">
        <w:t>We do not see what the benefit would be and fear it would be counterproductive and move settlement away from the CSDs.</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 xml:space="preserve">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w:t>
      </w:r>
      <w:r w:rsidRPr="00782578">
        <w:lastRenderedPageBreak/>
        <w:t>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257B370A" w14:textId="77777777" w:rsidR="00A13377" w:rsidRPr="003637DB" w:rsidRDefault="00A13377" w:rsidP="00A13377">
      <w:pPr>
        <w:rPr>
          <w:color w:val="auto"/>
        </w:rPr>
      </w:pPr>
      <w:permStart w:id="514209699" w:edGrp="everyone"/>
      <w:r w:rsidRPr="003637DB">
        <w:rPr>
          <w:color w:val="auto"/>
        </w:rPr>
        <w:t xml:space="preserve">From a technical perspective, a change of the penalties rates could be done in the short term (within 6 months), to the extent that there is no change in current methodology. We are flexible in changing the penalty rates. </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30434755" w14:textId="77777777" w:rsidR="00187662" w:rsidRPr="006060BB" w:rsidRDefault="00187662" w:rsidP="00187662">
      <w:pPr>
        <w:rPr>
          <w:color w:val="auto"/>
        </w:rPr>
      </w:pPr>
      <w:permStart w:id="873400905" w:edGrp="everyone"/>
      <w:r w:rsidRPr="006060BB">
        <w:rPr>
          <w:color w:val="auto"/>
        </w:rPr>
        <w:t xml:space="preserve">Option 1 is based on current rules to define the penalty rate to be applied (i.e., based on the CFI code of the financial instrument) to which an ETFS category could be added with a small-medium impact. </w:t>
      </w:r>
    </w:p>
    <w:p w14:paraId="20144D57" w14:textId="77777777" w:rsidR="00187662" w:rsidRPr="006060BB" w:rsidRDefault="00187662" w:rsidP="00187662">
      <w:pPr>
        <w:rPr>
          <w:color w:val="auto"/>
        </w:rPr>
      </w:pPr>
      <w:r w:rsidRPr="006060BB">
        <w:rPr>
          <w:color w:val="auto"/>
        </w:rPr>
        <w:t xml:space="preserve">Option 2, while streamlining the number of categories (only 3), would require a full review of current methodology with significant costs. </w:t>
      </w:r>
    </w:p>
    <w:p w14:paraId="45E7C4B1" w14:textId="77777777" w:rsidR="00187662" w:rsidRPr="006060BB" w:rsidRDefault="00187662" w:rsidP="00187662">
      <w:pPr>
        <w:rPr>
          <w:color w:val="auto"/>
        </w:rPr>
      </w:pPr>
      <w:r w:rsidRPr="006060BB">
        <w:rPr>
          <w:color w:val="auto"/>
        </w:rPr>
        <w:t xml:space="preserve">When it comes to the introduction of the progressive rates (on both options), the impact on current methodology is even more significant as adding a new criterion to define a penalty rate. It would bring complexity in the technical systems </w:t>
      </w:r>
      <w:proofErr w:type="gramStart"/>
      <w:r w:rsidRPr="006060BB">
        <w:rPr>
          <w:color w:val="auto"/>
        </w:rPr>
        <w:t>and also</w:t>
      </w:r>
      <w:proofErr w:type="gramEnd"/>
      <w:r w:rsidRPr="006060BB">
        <w:rPr>
          <w:color w:val="auto"/>
        </w:rPr>
        <w:t xml:space="preserve"> in educating the Industry without any clear view on the benefits to be brought. </w:t>
      </w:r>
    </w:p>
    <w:p w14:paraId="67719C15" w14:textId="77777777" w:rsidR="00187662" w:rsidRPr="006060BB" w:rsidRDefault="00187662" w:rsidP="00187662">
      <w:pPr>
        <w:rPr>
          <w:color w:val="auto"/>
        </w:rPr>
      </w:pPr>
      <w:r w:rsidRPr="006060BB">
        <w:rPr>
          <w:color w:val="auto"/>
        </w:rPr>
        <w:t>Euroclear</w:t>
      </w:r>
      <w:r>
        <w:rPr>
          <w:color w:val="auto"/>
        </w:rPr>
        <w:t xml:space="preserve"> Group</w:t>
      </w:r>
      <w:r w:rsidRPr="006060BB">
        <w:rPr>
          <w:color w:val="auto"/>
        </w:rPr>
        <w:t xml:space="preserve"> is of the opinion that a simple and lean penalties mechanism is the main principle to be followed and consider that current methodology is as easy as it can be when fulfilling all SDR requirements. </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5B980E1" w14:textId="77777777" w:rsidR="00E16674" w:rsidRPr="000655D6" w:rsidRDefault="00413D4F" w:rsidP="00E16674">
            <w:pPr>
              <w:rPr>
                <w:color w:val="auto"/>
              </w:rPr>
            </w:pPr>
            <w:r w:rsidRPr="442E5590">
              <w:rPr>
                <w:rFonts w:ascii="Arial" w:eastAsia="Arial" w:hAnsi="Arial" w:cs="Arial"/>
                <w:szCs w:val="22"/>
              </w:rPr>
              <w:t xml:space="preserve"> </w:t>
            </w:r>
            <w:permStart w:id="228684711" w:edGrp="everyone"/>
            <w:r w:rsidR="00E16674" w:rsidRPr="000655D6">
              <w:rPr>
                <w:color w:val="auto"/>
              </w:rPr>
              <w:t>Small to medium one-off costs to add a new category for ETFS</w:t>
            </w:r>
          </w:p>
          <w:p w14:paraId="00B5E2C9" w14:textId="0891F748" w:rsidR="00BD3B92" w:rsidRDefault="00E16674" w:rsidP="00BD3B92">
            <w:r w:rsidRPr="000655D6">
              <w:rPr>
                <w:color w:val="auto"/>
              </w:rPr>
              <w:t>High one-off costs to add a criterion for progressive rates</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B029DAB" w:rsidR="00BD3B92" w:rsidRPr="00B57501" w:rsidRDefault="00413D4F" w:rsidP="00BD3B92">
            <w:pPr>
              <w:rPr>
                <w:color w:val="auto"/>
              </w:rPr>
            </w:pPr>
            <w:r w:rsidRPr="442E5590">
              <w:rPr>
                <w:rFonts w:ascii="Arial" w:eastAsia="Arial" w:hAnsi="Arial" w:cs="Arial"/>
                <w:szCs w:val="22"/>
              </w:rPr>
              <w:t xml:space="preserve"> </w:t>
            </w:r>
            <w:permStart w:id="706441771" w:edGrp="everyone"/>
            <w:r w:rsidR="00B57501" w:rsidRPr="000655D6">
              <w:rPr>
                <w:color w:val="auto"/>
              </w:rPr>
              <w:t xml:space="preserve">Similar size of impacts would be faced by T2S, other market infrastructures (i.e., CCPs…) and by our participants. </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lastRenderedPageBreak/>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32075CF3" w:rsidR="00BD3B92" w:rsidRDefault="00413D4F" w:rsidP="00BD3B92">
            <w:r w:rsidRPr="442E5590">
              <w:rPr>
                <w:rFonts w:ascii="Arial" w:eastAsia="Arial" w:hAnsi="Arial" w:cs="Arial"/>
                <w:szCs w:val="22"/>
              </w:rPr>
              <w:t xml:space="preserve"> </w:t>
            </w:r>
            <w:permStart w:id="1403484159" w:edGrp="everyone"/>
            <w:r w:rsidR="00486618" w:rsidRPr="000655D6">
              <w:rPr>
                <w:color w:val="auto"/>
              </w:rPr>
              <w:t>Very high one-off costs to add the criterion for progressive rates and introduce the convexity.</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5ED6A186" w:rsidR="00BD3B92" w:rsidRDefault="00413D4F" w:rsidP="00BD3B92">
            <w:r w:rsidRPr="442E5590">
              <w:rPr>
                <w:rFonts w:ascii="Arial" w:eastAsia="Arial" w:hAnsi="Arial" w:cs="Arial"/>
                <w:szCs w:val="22"/>
              </w:rPr>
              <w:t xml:space="preserve"> </w:t>
            </w:r>
            <w:permStart w:id="924598514" w:edGrp="everyone"/>
            <w:r w:rsidR="009C5EFB" w:rsidRPr="000655D6">
              <w:rPr>
                <w:color w:val="auto"/>
              </w:rPr>
              <w:t>Similar size of impacts would be faced by T2S, other market infrastructures (i.e., CCPs…) and by our participants.</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5DAF49E2" w:rsidR="008D18FF" w:rsidRDefault="008D18FF" w:rsidP="00413D4F">
      <w:permStart w:id="1752653492" w:edGrp="everyone"/>
      <w:r>
        <w:t>TYPE YOUR TEXT HERE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2002472A" w14:textId="77777777" w:rsidR="006B647E" w:rsidRDefault="006B647E" w:rsidP="002E6B45">
      <w:permStart w:id="503064745" w:edGrp="everyone"/>
      <w:r>
        <w:t xml:space="preserve">We already have a specific penalty rate for most asset types (based on the CFI codes) and are also checking the liquidity indicator for shares. Adding more granularity or changing the </w:t>
      </w:r>
      <w:r>
        <w:lastRenderedPageBreak/>
        <w:t xml:space="preserve">breakdown would be complex, hard to understand and there is no evidence that it will reach the objective of improving efficiency. </w:t>
      </w:r>
    </w:p>
    <w:p w14:paraId="1270CBD6" w14:textId="77777777" w:rsidR="006B647E" w:rsidRPr="002A0715" w:rsidRDefault="006B647E" w:rsidP="002E6B45">
      <w:r>
        <w:t xml:space="preserve">For shares, the liquidity indicator is retrieved from ESMA database (FITRS). For debt instruments, the liquidity is closely linked to the asset type:  SOVR is liquid, while DEBT is illiquid. We do not see the need to add any additional criteria to define the liquidity of bond instruments. </w:t>
      </w:r>
    </w:p>
    <w:p w14:paraId="0C487F5A" w14:textId="77777777" w:rsidR="006B647E" w:rsidRPr="00E00FCC" w:rsidRDefault="006B647E" w:rsidP="002E6B45">
      <w:pPr>
        <w:rPr>
          <w:color w:val="auto"/>
        </w:rPr>
      </w:pPr>
      <w:r>
        <w:rPr>
          <w:color w:val="auto"/>
        </w:rPr>
        <w:t>While the transaction type is a key element to differentiate the transactions specificities (for instance, traded vs not traded), it does not seem adequate to use it to define a penalty rate. The transaction type</w:t>
      </w:r>
      <w:r w:rsidRPr="00E00FCC">
        <w:rPr>
          <w:color w:val="auto"/>
        </w:rPr>
        <w:t xml:space="preserve"> is not a matching criterion,</w:t>
      </w:r>
      <w:r>
        <w:rPr>
          <w:color w:val="auto"/>
        </w:rPr>
        <w:t xml:space="preserve"> and w</w:t>
      </w:r>
      <w:r w:rsidRPr="00E00FCC">
        <w:rPr>
          <w:color w:val="auto"/>
        </w:rPr>
        <w:t xml:space="preserve">e already notice inconsistencies </w:t>
      </w:r>
      <w:r>
        <w:rPr>
          <w:color w:val="auto"/>
        </w:rPr>
        <w:t xml:space="preserve">in its </w:t>
      </w:r>
      <w:r w:rsidRPr="00E00FCC">
        <w:rPr>
          <w:color w:val="auto"/>
        </w:rPr>
        <w:t xml:space="preserve">current usage </w:t>
      </w:r>
      <w:r>
        <w:rPr>
          <w:color w:val="auto"/>
        </w:rPr>
        <w:t xml:space="preserve">by our participants. A </w:t>
      </w:r>
      <w:r w:rsidRPr="00E00FCC">
        <w:rPr>
          <w:color w:val="auto"/>
        </w:rPr>
        <w:t xml:space="preserve">dedicated penalty rate for each of them could worsen the situation (also negatively impacting the regulatory reporting we are providing to our NCAs). </w:t>
      </w:r>
    </w:p>
    <w:p w14:paraId="7F70CB81" w14:textId="3A423F75" w:rsidR="007D7BB4" w:rsidRPr="00BD3B92" w:rsidRDefault="006B647E" w:rsidP="00413D4F">
      <w:r w:rsidRPr="00DB0C34">
        <w:rPr>
          <w:color w:val="auto"/>
        </w:rPr>
        <w:t>We suggest seeing if a</w:t>
      </w:r>
      <w:r>
        <w:rPr>
          <w:color w:val="auto"/>
        </w:rPr>
        <w:t xml:space="preserve"> change</w:t>
      </w:r>
      <w:r w:rsidRPr="00DB0C34">
        <w:rPr>
          <w:color w:val="auto"/>
        </w:rPr>
        <w:t xml:space="preserve"> of rates could have a positive effect before changing structurally the penalties mechanism</w:t>
      </w:r>
      <w:r>
        <w:rPr>
          <w:color w:val="auto"/>
        </w:rPr>
        <w:t>s</w:t>
      </w:r>
      <w:r w:rsidRPr="00DB0C34">
        <w:rPr>
          <w:color w:val="auto"/>
        </w:rPr>
        <w:t xml:space="preserve">. </w:t>
      </w:r>
      <w:permEnd w:id="503064745"/>
    </w:p>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w:t>
      </w:r>
      <w:r w:rsidRPr="00A403E0">
        <w:lastRenderedPageBreak/>
        <w:t xml:space="preserve">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04B61BE4" w:rsidR="00720942" w:rsidRDefault="000220A3" w:rsidP="00720942">
      <w:permStart w:id="1764259019" w:edGrp="everyone"/>
      <w:r w:rsidRPr="0019450B">
        <w:rPr>
          <w:color w:val="auto"/>
        </w:rPr>
        <w:t xml:space="preserve">This approach is adding another layer of complexity which is not acceptable for </w:t>
      </w:r>
      <w:r>
        <w:rPr>
          <w:color w:val="auto"/>
        </w:rPr>
        <w:t>Euroclear Group</w:t>
      </w:r>
      <w:r w:rsidRPr="0019450B">
        <w:rPr>
          <w:color w:val="auto"/>
        </w:rPr>
        <w:t>. In addition, we have no evidence whatsoever that this proposal would improve current situation.</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lastRenderedPageBreak/>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77777777" w:rsidR="00EC303D" w:rsidRDefault="00EC303D" w:rsidP="00EC303D">
      <w:permStart w:id="892430093" w:edGrp="everyone"/>
      <w:r>
        <w:t>TYPE YOUR TEXT HERE</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46DE1362" w14:textId="77777777" w:rsidR="009F37A1" w:rsidRPr="00C92162" w:rsidRDefault="009F37A1" w:rsidP="009F37A1">
      <w:pPr>
        <w:rPr>
          <w:color w:val="auto"/>
        </w:rPr>
      </w:pPr>
      <w:permStart w:id="2059342461" w:edGrp="everyone"/>
      <w:r w:rsidRPr="00BD76E3">
        <w:rPr>
          <w:color w:val="auto"/>
        </w:rPr>
        <w:t>This proposal would have been more than welcome before implementation of current mechanism</w:t>
      </w:r>
      <w:r>
        <w:rPr>
          <w:color w:val="auto"/>
        </w:rPr>
        <w:t>s</w:t>
      </w:r>
      <w:r w:rsidRPr="00BD76E3">
        <w:rPr>
          <w:color w:val="auto"/>
        </w:rPr>
        <w:t xml:space="preserve"> as it would have simplified the process. Now that the methodology is already in place, any change to it (even a simplification) would come with a significant cost. </w:t>
      </w: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 xml:space="preserve">Use the market value of the financial instruments on the first day of the settlement fail as a basis for the </w:t>
            </w:r>
            <w:r>
              <w:rPr>
                <w:b/>
                <w:bCs/>
              </w:rPr>
              <w:lastRenderedPageBreak/>
              <w:t>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lastRenderedPageBreak/>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18E762DA" w14:textId="77777777" w:rsidR="000C5180" w:rsidRPr="00241506" w:rsidRDefault="000C5180" w:rsidP="000C5180">
      <w:pPr>
        <w:rPr>
          <w:color w:val="auto"/>
        </w:rPr>
      </w:pPr>
      <w:permStart w:id="9921138" w:edGrp="everyone"/>
      <w:r w:rsidRPr="00241506">
        <w:rPr>
          <w:color w:val="auto"/>
        </w:rPr>
        <w:t xml:space="preserve">Penalties on Free of payment (FOP) instructions are currently based on the value of the security. The formula used is Security Penalty Rate*Reference Price*Quantity (which is the same formula than the one used to calculate penalties on deliveries versus payment). FOP &amp; DPV are valued in the same way. This logic is consistent and must not be changed. </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1F81C730" w14:textId="77777777" w:rsidR="00CC19E5" w:rsidRPr="007F2820" w:rsidRDefault="00CC19E5" w:rsidP="00CC19E5">
      <w:pPr>
        <w:rPr>
          <w:color w:val="auto"/>
        </w:rPr>
      </w:pPr>
      <w:permStart w:id="1386107427" w:edGrp="everyone"/>
      <w:r w:rsidRPr="007F2820">
        <w:rPr>
          <w:color w:val="auto"/>
        </w:rPr>
        <w:lastRenderedPageBreak/>
        <w:t>The formula to calculate penalties on DVP and FOP is the same, thus we do not see any risk on participants using less DVP. In addition, a DVP allows for a simultaneous exchange of securities and cash thus is an efficient risk management tool which will not be challenged with penalties.</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387AAAAE" w14:textId="77777777" w:rsidR="00ED3373" w:rsidRDefault="00ED3373" w:rsidP="002E6B45">
      <w:permStart w:id="2042054973" w:edGrp="everyone"/>
      <w:r>
        <w:lastRenderedPageBreak/>
        <w:t xml:space="preserve">For bonds, the liquidity is closely linked to the asset type itself:  SOVR is liquid, while DEBT is illiquid. We do not see the need to add any additional criterion to define the liquidity of bond instruments. </w:t>
      </w:r>
    </w:p>
    <w:p w14:paraId="3833353D" w14:textId="77777777" w:rsidR="005108BC" w:rsidRDefault="00ED3373" w:rsidP="00413D4F">
      <w:r>
        <w:t>If a liquidity indicator would be introduced for bonds, we urge ESMA to use the existing FITRS databased (already used for shares) to derive the liquidity indicator. Any other feed to derive the liquidity indicator would be a significant change for CSDs.</w:t>
      </w:r>
      <w:r w:rsidR="005108BC">
        <w:t xml:space="preserve"> </w:t>
      </w:r>
      <w:r>
        <w:t xml:space="preserve"> </w:t>
      </w:r>
    </w:p>
    <w:permEnd w:id="2042054973"/>
    <w:p w14:paraId="08D15F66" w14:textId="0165C495"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7117F770" w14:textId="77777777" w:rsidR="00E5672A" w:rsidRDefault="00E5672A" w:rsidP="00E5672A">
      <w:permStart w:id="497239485" w:edGrp="everyone"/>
      <w:r>
        <w:t xml:space="preserve">Parties that end up with net long cash positions are not incentivised to do partial settlement. One solution might be to make partial settlement mandatory. </w:t>
      </w:r>
    </w:p>
    <w:p w14:paraId="3F7C6F96" w14:textId="77777777" w:rsidR="00E5672A" w:rsidRPr="00484AE2" w:rsidRDefault="00E5672A" w:rsidP="00E5672A">
      <w:r>
        <w:t xml:space="preserve">Another option could be to incentivise bilateral cancellation, but more discussion would be needed around it.  </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 xml:space="preserve">How could the parameters for the calculation of cash penalties take into account the effect that low or negative interest rates could have on the </w:t>
      </w:r>
      <w:r w:rsidRPr="00A279BC">
        <w:lastRenderedPageBreak/>
        <w:t>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2146A967" w14:textId="77777777" w:rsidR="0016120A" w:rsidRPr="00144E1C" w:rsidRDefault="0016120A" w:rsidP="0016120A">
      <w:permStart w:id="363731969" w:edGrp="everyone"/>
      <w:r w:rsidRPr="0018482B">
        <w:rPr>
          <w:color w:val="auto"/>
        </w:rPr>
        <w:t>We are flexible in changing the penalty rates</w:t>
      </w:r>
      <w:r>
        <w:rPr>
          <w:color w:val="auto"/>
        </w:rPr>
        <w:t>.</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5805D5C6" w14:textId="77777777" w:rsidR="00D71723" w:rsidRDefault="00D71723" w:rsidP="00D71723">
      <w:pPr>
        <w:rPr>
          <w:color w:val="auto"/>
        </w:rPr>
      </w:pPr>
      <w:permStart w:id="395341201" w:edGrp="everyone"/>
      <w:r w:rsidRPr="001162FA">
        <w:rPr>
          <w:color w:val="auto"/>
        </w:rPr>
        <w:t xml:space="preserve">Applying the penalty mechanism only at the level of the CSDs with higher settlement fail rates would create an unlevel playing field across European CSDs which should not be ESMA’s intention. </w:t>
      </w:r>
    </w:p>
    <w:p w14:paraId="72E6E844" w14:textId="77777777" w:rsidR="00D71723" w:rsidRDefault="00D71723" w:rsidP="00D71723">
      <w:pPr>
        <w:rPr>
          <w:color w:val="auto"/>
        </w:rPr>
      </w:pPr>
      <w:r>
        <w:rPr>
          <w:color w:val="auto"/>
        </w:rPr>
        <w:t xml:space="preserve">It is important to note that some securities flow across different CSDs, thus the penalties mechanisms need to distribute the penalties across all mechanisms and all participants. </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lastRenderedPageBreak/>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D783026" w14:textId="77777777" w:rsidR="003E6E3A" w:rsidRDefault="003E6E3A" w:rsidP="003E6E3A">
      <w:pPr>
        <w:rPr>
          <w:color w:val="auto"/>
        </w:rPr>
      </w:pPr>
      <w:permStart w:id="432759641" w:edGrp="everyone"/>
      <w:r w:rsidRPr="00AE62DC">
        <w:rPr>
          <w:color w:val="auto"/>
        </w:rPr>
        <w:t>While the transaction type is a key element to differentiate the transactions specificities (for instance, traded vs not traded), it does not seem adequate to use it to define a penalty rate</w:t>
      </w:r>
      <w:r>
        <w:rPr>
          <w:color w:val="auto"/>
        </w:rPr>
        <w:t xml:space="preserve"> as it is not a matching criterion</w:t>
      </w:r>
      <w:r w:rsidRPr="00AE62DC">
        <w:rPr>
          <w:color w:val="auto"/>
        </w:rPr>
        <w:t>.</w:t>
      </w:r>
      <w:r>
        <w:rPr>
          <w:color w:val="auto"/>
        </w:rPr>
        <w:t xml:space="preserve"> It would really be disruptive for the transaction type to be a matching criterion. </w:t>
      </w:r>
    </w:p>
    <w:permEnd w:id="432759641"/>
    <w:p w14:paraId="4626B69E" w14:textId="68772444" w:rsidR="00BE392A" w:rsidRDefault="00BE392A" w:rsidP="0067070C"/>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lastRenderedPageBreak/>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47C9EA38" w14:textId="77777777" w:rsidR="001263EC" w:rsidRPr="00F716B5" w:rsidRDefault="001263EC" w:rsidP="001263EC">
      <w:pPr>
        <w:rPr>
          <w:color w:val="auto"/>
        </w:rPr>
      </w:pPr>
      <w:permStart w:id="328298340" w:edGrp="everyone"/>
      <w:r w:rsidRPr="00F716B5">
        <w:rPr>
          <w:color w:val="auto"/>
        </w:rPr>
        <w:t xml:space="preserve">As a reminder, </w:t>
      </w:r>
      <w:r w:rsidRPr="00260866">
        <w:rPr>
          <w:color w:val="auto"/>
        </w:rPr>
        <w:t>not all CSDs offer lending programs</w:t>
      </w:r>
      <w:r w:rsidRPr="00F716B5">
        <w:rPr>
          <w:color w:val="auto"/>
        </w:rPr>
        <w:t xml:space="preserve">. Applying higher penalty rates to incentivise borrowing would make sense, but comparing both is not practically feasible. Establishing a reference level of borrowing fees is too complex in addition to the fact that the fees are only a part of the total costs for a borrower. </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w:t>
      </w:r>
      <w:r w:rsidRPr="007E76B8">
        <w:lastRenderedPageBreak/>
        <w:t xml:space="preserve">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77777777" w:rsidR="004A2E54" w:rsidRDefault="004A2E54" w:rsidP="004A2E54">
      <w:permStart w:id="1912501969" w:edGrp="everyone"/>
      <w:r>
        <w:t>TYPE YOUR TEXT HERE</w:t>
      </w:r>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3FC6FF14" w14:textId="77777777" w:rsidR="0050421B" w:rsidRPr="00144E1C" w:rsidRDefault="0050421B" w:rsidP="0050421B">
      <w:permStart w:id="1125473364" w:edGrp="everyone"/>
      <w:r>
        <w:t>As per ESMA meeting held in September 2023 on settlement efficiency, it was made clear that we cannot compare the methodologies across CSDs (for instance, the US only provide efficiency on the cleared activity).</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77777777" w:rsidR="00FA151B" w:rsidRDefault="00FA151B" w:rsidP="00FA151B">
      <w:permStart w:id="1165707336" w:edGrp="everyone"/>
      <w:r>
        <w:t>TYPE YOUR TEXT HERE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18F1A98C" w14:textId="77777777" w:rsidR="003B5FB8" w:rsidRPr="008C4F1C" w:rsidRDefault="003B5FB8" w:rsidP="003B5FB8">
      <w:pPr>
        <w:rPr>
          <w:color w:val="auto"/>
        </w:rPr>
      </w:pPr>
      <w:permStart w:id="695947103" w:edGrp="everyone"/>
      <w:r w:rsidRPr="008C4F1C">
        <w:rPr>
          <w:color w:val="auto"/>
        </w:rPr>
        <w:t xml:space="preserve">Euroclear often hears from its participants that some penalties amounts are so low that they create more costs (workload) in reconciling them than the benefit they bring. This statement is confirmed with Euroclear Group CSDs data which show that most of the penalties are below 100€ (see hereunder our data of December 2023). </w:t>
      </w:r>
    </w:p>
    <w:tbl>
      <w:tblPr>
        <w:tblStyle w:val="TableGrid"/>
        <w:tblW w:w="0" w:type="auto"/>
        <w:tblLook w:val="04A0" w:firstRow="1" w:lastRow="0" w:firstColumn="1" w:lastColumn="0" w:noHBand="0" w:noVBand="1"/>
      </w:tblPr>
      <w:tblGrid>
        <w:gridCol w:w="1849"/>
        <w:gridCol w:w="1888"/>
        <w:gridCol w:w="1813"/>
        <w:gridCol w:w="1622"/>
        <w:gridCol w:w="1888"/>
      </w:tblGrid>
      <w:tr w:rsidR="003B5FB8" w:rsidRPr="00A97460" w14:paraId="6308D7A6" w14:textId="77777777" w:rsidTr="002E6B45">
        <w:tc>
          <w:tcPr>
            <w:tcW w:w="1849" w:type="dxa"/>
          </w:tcPr>
          <w:p w14:paraId="0A02210D" w14:textId="77777777" w:rsidR="003B5FB8" w:rsidRPr="00A97460" w:rsidRDefault="003B5FB8" w:rsidP="002E6B45">
            <w:pPr>
              <w:spacing w:after="0"/>
              <w:rPr>
                <w:color w:val="auto"/>
                <w:szCs w:val="22"/>
              </w:rPr>
            </w:pPr>
          </w:p>
        </w:tc>
        <w:tc>
          <w:tcPr>
            <w:tcW w:w="1888" w:type="dxa"/>
          </w:tcPr>
          <w:p w14:paraId="0EBAA440" w14:textId="77777777" w:rsidR="003B5FB8" w:rsidRPr="00A97460" w:rsidRDefault="003B5FB8" w:rsidP="002E6B45">
            <w:pPr>
              <w:spacing w:after="0"/>
              <w:rPr>
                <w:b/>
                <w:color w:val="auto"/>
                <w:szCs w:val="22"/>
              </w:rPr>
            </w:pPr>
            <w:r w:rsidRPr="00A97460">
              <w:rPr>
                <w:b/>
                <w:color w:val="auto"/>
                <w:szCs w:val="22"/>
              </w:rPr>
              <w:t>Euroclear Bank</w:t>
            </w:r>
          </w:p>
        </w:tc>
        <w:tc>
          <w:tcPr>
            <w:tcW w:w="1813" w:type="dxa"/>
          </w:tcPr>
          <w:p w14:paraId="293BEB64" w14:textId="77777777" w:rsidR="003B5FB8" w:rsidRPr="00A97460" w:rsidRDefault="003B5FB8" w:rsidP="002E6B45">
            <w:pPr>
              <w:spacing w:after="0"/>
              <w:rPr>
                <w:b/>
                <w:color w:val="auto"/>
                <w:szCs w:val="22"/>
              </w:rPr>
            </w:pPr>
            <w:r w:rsidRPr="00A97460">
              <w:rPr>
                <w:b/>
                <w:color w:val="auto"/>
                <w:szCs w:val="22"/>
              </w:rPr>
              <w:t>ESES CSDs</w:t>
            </w:r>
          </w:p>
        </w:tc>
        <w:tc>
          <w:tcPr>
            <w:tcW w:w="1622" w:type="dxa"/>
          </w:tcPr>
          <w:p w14:paraId="7AC22162" w14:textId="77777777" w:rsidR="003B5FB8" w:rsidRPr="00A97460" w:rsidRDefault="003B5FB8" w:rsidP="002E6B45">
            <w:pPr>
              <w:spacing w:after="0"/>
              <w:rPr>
                <w:b/>
                <w:color w:val="auto"/>
                <w:szCs w:val="22"/>
              </w:rPr>
            </w:pPr>
            <w:r w:rsidRPr="00A97460">
              <w:rPr>
                <w:b/>
                <w:color w:val="auto"/>
                <w:szCs w:val="22"/>
              </w:rPr>
              <w:t>Euroclear Finland</w:t>
            </w:r>
          </w:p>
        </w:tc>
        <w:tc>
          <w:tcPr>
            <w:tcW w:w="1888" w:type="dxa"/>
          </w:tcPr>
          <w:p w14:paraId="0487A670" w14:textId="77777777" w:rsidR="003B5FB8" w:rsidRPr="00A97460" w:rsidRDefault="003B5FB8" w:rsidP="002E6B45">
            <w:pPr>
              <w:spacing w:after="0"/>
              <w:rPr>
                <w:b/>
                <w:color w:val="auto"/>
                <w:szCs w:val="22"/>
              </w:rPr>
            </w:pPr>
            <w:r w:rsidRPr="00A97460">
              <w:rPr>
                <w:b/>
                <w:color w:val="auto"/>
                <w:szCs w:val="22"/>
              </w:rPr>
              <w:t>Euroclear Sweden</w:t>
            </w:r>
          </w:p>
        </w:tc>
      </w:tr>
      <w:tr w:rsidR="003B5FB8" w:rsidRPr="00A97460" w14:paraId="065A024E" w14:textId="77777777" w:rsidTr="002E6B45">
        <w:tc>
          <w:tcPr>
            <w:tcW w:w="1849" w:type="dxa"/>
          </w:tcPr>
          <w:p w14:paraId="6545E7A6" w14:textId="77777777" w:rsidR="003B5FB8" w:rsidRPr="00A97460" w:rsidRDefault="003B5FB8" w:rsidP="002E6B45">
            <w:pPr>
              <w:spacing w:after="0"/>
              <w:rPr>
                <w:color w:val="auto"/>
                <w:szCs w:val="22"/>
              </w:rPr>
            </w:pPr>
            <w:r w:rsidRPr="00A97460">
              <w:rPr>
                <w:color w:val="auto"/>
                <w:szCs w:val="22"/>
              </w:rPr>
              <w:t>&lt; 10€</w:t>
            </w:r>
          </w:p>
        </w:tc>
        <w:tc>
          <w:tcPr>
            <w:tcW w:w="1888" w:type="dxa"/>
          </w:tcPr>
          <w:p w14:paraId="45D4BE2B" w14:textId="77777777" w:rsidR="003B5FB8" w:rsidRPr="00A97460" w:rsidRDefault="003B5FB8" w:rsidP="002E6B45">
            <w:pPr>
              <w:spacing w:after="0"/>
              <w:rPr>
                <w:color w:val="auto"/>
                <w:szCs w:val="22"/>
              </w:rPr>
            </w:pPr>
            <w:r w:rsidRPr="00A97460">
              <w:rPr>
                <w:color w:val="auto"/>
                <w:szCs w:val="22"/>
              </w:rPr>
              <w:t>23.7%</w:t>
            </w:r>
          </w:p>
        </w:tc>
        <w:tc>
          <w:tcPr>
            <w:tcW w:w="1813" w:type="dxa"/>
          </w:tcPr>
          <w:p w14:paraId="0D9062EC" w14:textId="77777777" w:rsidR="003B5FB8" w:rsidRPr="00A97460" w:rsidRDefault="003B5FB8" w:rsidP="002E6B45">
            <w:pPr>
              <w:spacing w:after="0"/>
              <w:rPr>
                <w:color w:val="auto"/>
                <w:szCs w:val="22"/>
              </w:rPr>
            </w:pPr>
            <w:r w:rsidRPr="00A97460">
              <w:rPr>
                <w:color w:val="auto"/>
                <w:szCs w:val="22"/>
              </w:rPr>
              <w:t>24.8%</w:t>
            </w:r>
          </w:p>
        </w:tc>
        <w:tc>
          <w:tcPr>
            <w:tcW w:w="1622" w:type="dxa"/>
          </w:tcPr>
          <w:p w14:paraId="772FAF67" w14:textId="77777777" w:rsidR="003B5FB8" w:rsidRPr="00F35500" w:rsidRDefault="003B5FB8" w:rsidP="002E6B45">
            <w:pPr>
              <w:spacing w:after="0"/>
              <w:ind w:left="-20" w:right="-20"/>
              <w:rPr>
                <w:rFonts w:ascii="Calibri" w:eastAsia="Calibri" w:hAnsi="Calibri" w:cs="Calibri"/>
                <w:color w:val="auto"/>
                <w:szCs w:val="22"/>
              </w:rPr>
            </w:pPr>
            <w:r w:rsidRPr="00F35500">
              <w:rPr>
                <w:rFonts w:ascii="Calibri" w:eastAsia="Calibri" w:hAnsi="Calibri" w:cs="Calibri"/>
                <w:color w:val="auto"/>
                <w:szCs w:val="22"/>
              </w:rPr>
              <w:t>67,5 %</w:t>
            </w:r>
          </w:p>
        </w:tc>
        <w:tc>
          <w:tcPr>
            <w:tcW w:w="1888" w:type="dxa"/>
          </w:tcPr>
          <w:p w14:paraId="7B69010B" w14:textId="77777777" w:rsidR="003B5FB8" w:rsidRPr="00A97460" w:rsidRDefault="003B5FB8" w:rsidP="002E6B45">
            <w:pPr>
              <w:spacing w:after="0"/>
              <w:rPr>
                <w:color w:val="auto"/>
                <w:szCs w:val="22"/>
              </w:rPr>
            </w:pPr>
            <w:r>
              <w:rPr>
                <w:color w:val="auto"/>
                <w:szCs w:val="22"/>
              </w:rPr>
              <w:t>34.7%</w:t>
            </w:r>
          </w:p>
        </w:tc>
      </w:tr>
      <w:tr w:rsidR="003B5FB8" w:rsidRPr="00A97460" w14:paraId="2C69732C" w14:textId="77777777" w:rsidTr="002E6B45">
        <w:tc>
          <w:tcPr>
            <w:tcW w:w="1849" w:type="dxa"/>
          </w:tcPr>
          <w:p w14:paraId="46170ED3" w14:textId="77777777" w:rsidR="003B5FB8" w:rsidRPr="00A97460" w:rsidRDefault="003B5FB8" w:rsidP="002E6B45">
            <w:pPr>
              <w:spacing w:after="0"/>
              <w:rPr>
                <w:color w:val="auto"/>
                <w:szCs w:val="22"/>
              </w:rPr>
            </w:pPr>
            <w:r w:rsidRPr="00A97460">
              <w:rPr>
                <w:color w:val="auto"/>
                <w:szCs w:val="22"/>
              </w:rPr>
              <w:t>10€ - 100€</w:t>
            </w:r>
          </w:p>
        </w:tc>
        <w:tc>
          <w:tcPr>
            <w:tcW w:w="1888" w:type="dxa"/>
          </w:tcPr>
          <w:p w14:paraId="7DA0A019" w14:textId="77777777" w:rsidR="003B5FB8" w:rsidRPr="00A97460" w:rsidRDefault="003B5FB8" w:rsidP="002E6B45">
            <w:pPr>
              <w:spacing w:after="0"/>
              <w:rPr>
                <w:color w:val="auto"/>
                <w:szCs w:val="22"/>
              </w:rPr>
            </w:pPr>
            <w:r w:rsidRPr="00A97460">
              <w:rPr>
                <w:color w:val="auto"/>
                <w:szCs w:val="22"/>
              </w:rPr>
              <w:t>66.9%</w:t>
            </w:r>
          </w:p>
        </w:tc>
        <w:tc>
          <w:tcPr>
            <w:tcW w:w="1813" w:type="dxa"/>
          </w:tcPr>
          <w:p w14:paraId="162ACB0E" w14:textId="77777777" w:rsidR="003B5FB8" w:rsidRPr="00A97460" w:rsidRDefault="003B5FB8" w:rsidP="002E6B45">
            <w:pPr>
              <w:spacing w:after="0"/>
              <w:rPr>
                <w:color w:val="auto"/>
                <w:szCs w:val="22"/>
              </w:rPr>
            </w:pPr>
            <w:r w:rsidRPr="00A97460">
              <w:rPr>
                <w:color w:val="auto"/>
                <w:szCs w:val="22"/>
              </w:rPr>
              <w:t>48.5%</w:t>
            </w:r>
          </w:p>
        </w:tc>
        <w:tc>
          <w:tcPr>
            <w:tcW w:w="1622" w:type="dxa"/>
          </w:tcPr>
          <w:p w14:paraId="02BCA830" w14:textId="77777777" w:rsidR="003B5FB8" w:rsidRPr="00F35500" w:rsidRDefault="003B5FB8" w:rsidP="002E6B45">
            <w:pPr>
              <w:spacing w:after="0"/>
              <w:ind w:left="-20" w:right="-20"/>
              <w:rPr>
                <w:rFonts w:ascii="Calibri" w:eastAsia="Calibri" w:hAnsi="Calibri" w:cs="Calibri"/>
                <w:color w:val="auto"/>
                <w:szCs w:val="22"/>
              </w:rPr>
            </w:pPr>
            <w:r w:rsidRPr="00F35500">
              <w:rPr>
                <w:rFonts w:ascii="Calibri" w:eastAsia="Calibri" w:hAnsi="Calibri" w:cs="Calibri"/>
                <w:color w:val="auto"/>
                <w:szCs w:val="22"/>
              </w:rPr>
              <w:t>22,1 %</w:t>
            </w:r>
          </w:p>
        </w:tc>
        <w:tc>
          <w:tcPr>
            <w:tcW w:w="1888" w:type="dxa"/>
          </w:tcPr>
          <w:p w14:paraId="1A8CF396" w14:textId="77777777" w:rsidR="003B5FB8" w:rsidRPr="00A97460" w:rsidRDefault="003B5FB8" w:rsidP="002E6B45">
            <w:pPr>
              <w:spacing w:after="0"/>
              <w:rPr>
                <w:color w:val="auto"/>
                <w:szCs w:val="22"/>
              </w:rPr>
            </w:pPr>
            <w:r>
              <w:rPr>
                <w:color w:val="auto"/>
                <w:szCs w:val="22"/>
              </w:rPr>
              <w:t>64%</w:t>
            </w:r>
          </w:p>
        </w:tc>
      </w:tr>
      <w:tr w:rsidR="003B5FB8" w:rsidRPr="00A97460" w14:paraId="5EB12D09" w14:textId="77777777" w:rsidTr="002E6B45">
        <w:tc>
          <w:tcPr>
            <w:tcW w:w="1849" w:type="dxa"/>
          </w:tcPr>
          <w:p w14:paraId="647439DF" w14:textId="77777777" w:rsidR="003B5FB8" w:rsidRPr="00A97460" w:rsidRDefault="003B5FB8" w:rsidP="002E6B45">
            <w:pPr>
              <w:spacing w:after="0"/>
              <w:rPr>
                <w:color w:val="auto"/>
                <w:szCs w:val="22"/>
              </w:rPr>
            </w:pPr>
            <w:r w:rsidRPr="00A97460">
              <w:rPr>
                <w:color w:val="auto"/>
                <w:szCs w:val="22"/>
              </w:rPr>
              <w:t>100€ - 1k€</w:t>
            </w:r>
          </w:p>
        </w:tc>
        <w:tc>
          <w:tcPr>
            <w:tcW w:w="1888" w:type="dxa"/>
          </w:tcPr>
          <w:p w14:paraId="59DD0683" w14:textId="77777777" w:rsidR="003B5FB8" w:rsidRPr="00A97460" w:rsidRDefault="003B5FB8" w:rsidP="002E6B45">
            <w:pPr>
              <w:spacing w:after="0"/>
              <w:rPr>
                <w:color w:val="auto"/>
                <w:szCs w:val="22"/>
              </w:rPr>
            </w:pPr>
            <w:r w:rsidRPr="00A97460">
              <w:rPr>
                <w:color w:val="auto"/>
                <w:szCs w:val="22"/>
              </w:rPr>
              <w:t>8.4%</w:t>
            </w:r>
          </w:p>
        </w:tc>
        <w:tc>
          <w:tcPr>
            <w:tcW w:w="1813" w:type="dxa"/>
          </w:tcPr>
          <w:p w14:paraId="0F4FBC04" w14:textId="77777777" w:rsidR="003B5FB8" w:rsidRPr="00A97460" w:rsidRDefault="003B5FB8" w:rsidP="002E6B45">
            <w:pPr>
              <w:spacing w:after="0"/>
              <w:rPr>
                <w:color w:val="auto"/>
                <w:szCs w:val="22"/>
              </w:rPr>
            </w:pPr>
            <w:r w:rsidRPr="00A97460">
              <w:rPr>
                <w:color w:val="auto"/>
                <w:szCs w:val="22"/>
              </w:rPr>
              <w:t>26.3%</w:t>
            </w:r>
          </w:p>
        </w:tc>
        <w:tc>
          <w:tcPr>
            <w:tcW w:w="1622" w:type="dxa"/>
          </w:tcPr>
          <w:p w14:paraId="00EC9290" w14:textId="77777777" w:rsidR="003B5FB8" w:rsidRPr="00F35500" w:rsidRDefault="003B5FB8" w:rsidP="002E6B45">
            <w:pPr>
              <w:spacing w:after="0"/>
              <w:ind w:left="-20" w:right="-20"/>
              <w:rPr>
                <w:rFonts w:ascii="Calibri" w:eastAsia="Calibri" w:hAnsi="Calibri" w:cs="Calibri"/>
                <w:color w:val="auto"/>
                <w:szCs w:val="22"/>
              </w:rPr>
            </w:pPr>
            <w:r w:rsidRPr="00F35500">
              <w:rPr>
                <w:rFonts w:ascii="Calibri" w:eastAsia="Calibri" w:hAnsi="Calibri" w:cs="Calibri"/>
                <w:color w:val="auto"/>
                <w:szCs w:val="22"/>
              </w:rPr>
              <w:t>9,4 %</w:t>
            </w:r>
          </w:p>
        </w:tc>
        <w:tc>
          <w:tcPr>
            <w:tcW w:w="1888" w:type="dxa"/>
          </w:tcPr>
          <w:p w14:paraId="0EBF5F21" w14:textId="77777777" w:rsidR="003B5FB8" w:rsidRPr="00A97460" w:rsidRDefault="003B5FB8" w:rsidP="002E6B45">
            <w:pPr>
              <w:spacing w:after="0"/>
              <w:rPr>
                <w:color w:val="auto"/>
                <w:szCs w:val="22"/>
              </w:rPr>
            </w:pPr>
            <w:r>
              <w:rPr>
                <w:color w:val="auto"/>
                <w:szCs w:val="22"/>
              </w:rPr>
              <w:t>1.3%</w:t>
            </w:r>
          </w:p>
        </w:tc>
      </w:tr>
      <w:tr w:rsidR="003B5FB8" w:rsidRPr="00A97460" w14:paraId="7666FF1C" w14:textId="77777777" w:rsidTr="002E6B45">
        <w:tc>
          <w:tcPr>
            <w:tcW w:w="1849" w:type="dxa"/>
          </w:tcPr>
          <w:p w14:paraId="4E199284" w14:textId="77777777" w:rsidR="003B5FB8" w:rsidRPr="00A97460" w:rsidRDefault="003B5FB8" w:rsidP="002E6B45">
            <w:pPr>
              <w:spacing w:after="0"/>
              <w:rPr>
                <w:color w:val="auto"/>
                <w:szCs w:val="22"/>
              </w:rPr>
            </w:pPr>
            <w:r w:rsidRPr="00A97460">
              <w:rPr>
                <w:color w:val="auto"/>
                <w:szCs w:val="22"/>
              </w:rPr>
              <w:t>1k€ - 10k€</w:t>
            </w:r>
          </w:p>
        </w:tc>
        <w:tc>
          <w:tcPr>
            <w:tcW w:w="1888" w:type="dxa"/>
          </w:tcPr>
          <w:p w14:paraId="4616A4D3" w14:textId="77777777" w:rsidR="003B5FB8" w:rsidRPr="00A97460" w:rsidRDefault="003B5FB8" w:rsidP="002E6B45">
            <w:pPr>
              <w:spacing w:after="0"/>
              <w:rPr>
                <w:color w:val="auto"/>
                <w:szCs w:val="22"/>
              </w:rPr>
            </w:pPr>
            <w:r w:rsidRPr="00A97460">
              <w:rPr>
                <w:color w:val="auto"/>
                <w:szCs w:val="22"/>
              </w:rPr>
              <w:t>0.9%</w:t>
            </w:r>
          </w:p>
        </w:tc>
        <w:tc>
          <w:tcPr>
            <w:tcW w:w="1813" w:type="dxa"/>
          </w:tcPr>
          <w:p w14:paraId="6DBE0871" w14:textId="77777777" w:rsidR="003B5FB8" w:rsidRPr="00A97460" w:rsidRDefault="003B5FB8" w:rsidP="002E6B45">
            <w:pPr>
              <w:spacing w:after="0"/>
              <w:rPr>
                <w:color w:val="auto"/>
                <w:szCs w:val="22"/>
              </w:rPr>
            </w:pPr>
            <w:r w:rsidRPr="00A97460">
              <w:rPr>
                <w:color w:val="auto"/>
                <w:szCs w:val="22"/>
              </w:rPr>
              <w:t>0.3%</w:t>
            </w:r>
          </w:p>
        </w:tc>
        <w:tc>
          <w:tcPr>
            <w:tcW w:w="1622" w:type="dxa"/>
          </w:tcPr>
          <w:p w14:paraId="2E56D66E" w14:textId="77777777" w:rsidR="003B5FB8" w:rsidRPr="00F35500" w:rsidRDefault="003B5FB8" w:rsidP="002E6B45">
            <w:pPr>
              <w:spacing w:after="0"/>
              <w:ind w:left="-20" w:right="-20"/>
              <w:rPr>
                <w:rFonts w:ascii="Calibri" w:eastAsia="Calibri" w:hAnsi="Calibri" w:cs="Calibri"/>
                <w:color w:val="auto"/>
                <w:szCs w:val="22"/>
              </w:rPr>
            </w:pPr>
            <w:r w:rsidRPr="00F35500">
              <w:rPr>
                <w:rFonts w:ascii="Calibri" w:eastAsia="Calibri" w:hAnsi="Calibri" w:cs="Calibri"/>
                <w:color w:val="auto"/>
                <w:szCs w:val="22"/>
              </w:rPr>
              <w:t>0,9 %</w:t>
            </w:r>
          </w:p>
        </w:tc>
        <w:tc>
          <w:tcPr>
            <w:tcW w:w="1888" w:type="dxa"/>
          </w:tcPr>
          <w:p w14:paraId="546D0BB5" w14:textId="77777777" w:rsidR="003B5FB8" w:rsidRPr="00A97460" w:rsidRDefault="003B5FB8" w:rsidP="002E6B45">
            <w:pPr>
              <w:spacing w:after="0"/>
              <w:rPr>
                <w:color w:val="auto"/>
                <w:szCs w:val="22"/>
              </w:rPr>
            </w:pPr>
            <w:r>
              <w:rPr>
                <w:color w:val="auto"/>
                <w:szCs w:val="22"/>
              </w:rPr>
              <w:t>0.01%</w:t>
            </w:r>
          </w:p>
        </w:tc>
      </w:tr>
      <w:tr w:rsidR="003B5FB8" w:rsidRPr="00A97460" w14:paraId="0782F3E6" w14:textId="77777777" w:rsidTr="002E6B45">
        <w:tc>
          <w:tcPr>
            <w:tcW w:w="1849" w:type="dxa"/>
          </w:tcPr>
          <w:p w14:paraId="6855C5A3" w14:textId="77777777" w:rsidR="003B5FB8" w:rsidRPr="00A97460" w:rsidRDefault="003B5FB8" w:rsidP="002E6B45">
            <w:pPr>
              <w:spacing w:after="0"/>
              <w:rPr>
                <w:color w:val="auto"/>
                <w:szCs w:val="22"/>
              </w:rPr>
            </w:pPr>
            <w:r w:rsidRPr="00A97460">
              <w:rPr>
                <w:color w:val="auto"/>
                <w:szCs w:val="22"/>
              </w:rPr>
              <w:t>10k€ - 100k€</w:t>
            </w:r>
          </w:p>
        </w:tc>
        <w:tc>
          <w:tcPr>
            <w:tcW w:w="1888" w:type="dxa"/>
          </w:tcPr>
          <w:p w14:paraId="3D8BF0C8" w14:textId="77777777" w:rsidR="003B5FB8" w:rsidRPr="00A97460" w:rsidRDefault="003B5FB8" w:rsidP="002E6B45">
            <w:pPr>
              <w:spacing w:after="0"/>
              <w:rPr>
                <w:color w:val="auto"/>
                <w:szCs w:val="22"/>
              </w:rPr>
            </w:pPr>
            <w:r w:rsidRPr="00A97460">
              <w:rPr>
                <w:color w:val="auto"/>
                <w:szCs w:val="22"/>
              </w:rPr>
              <w:t>0.0%</w:t>
            </w:r>
          </w:p>
        </w:tc>
        <w:tc>
          <w:tcPr>
            <w:tcW w:w="1813" w:type="dxa"/>
          </w:tcPr>
          <w:p w14:paraId="3CA0F815" w14:textId="77777777" w:rsidR="003B5FB8" w:rsidRPr="00A97460" w:rsidRDefault="003B5FB8" w:rsidP="002E6B45">
            <w:pPr>
              <w:spacing w:after="0"/>
              <w:rPr>
                <w:color w:val="auto"/>
                <w:szCs w:val="22"/>
              </w:rPr>
            </w:pPr>
            <w:r w:rsidRPr="00A97460">
              <w:rPr>
                <w:color w:val="auto"/>
                <w:szCs w:val="22"/>
              </w:rPr>
              <w:t>0.0%</w:t>
            </w:r>
          </w:p>
        </w:tc>
        <w:tc>
          <w:tcPr>
            <w:tcW w:w="1622" w:type="dxa"/>
          </w:tcPr>
          <w:p w14:paraId="065A05CA" w14:textId="77777777" w:rsidR="003B5FB8" w:rsidRPr="00F35500" w:rsidRDefault="003B5FB8" w:rsidP="002E6B45">
            <w:pPr>
              <w:spacing w:after="0"/>
              <w:ind w:left="-20" w:right="-20"/>
              <w:rPr>
                <w:rFonts w:ascii="Calibri" w:eastAsia="Calibri" w:hAnsi="Calibri" w:cs="Calibri"/>
                <w:color w:val="auto"/>
                <w:szCs w:val="22"/>
              </w:rPr>
            </w:pPr>
            <w:r w:rsidRPr="00F35500">
              <w:rPr>
                <w:rFonts w:ascii="Calibri" w:eastAsia="Calibri" w:hAnsi="Calibri" w:cs="Calibri"/>
                <w:color w:val="auto"/>
                <w:szCs w:val="22"/>
              </w:rPr>
              <w:t>0,1 %</w:t>
            </w:r>
          </w:p>
        </w:tc>
        <w:tc>
          <w:tcPr>
            <w:tcW w:w="1888" w:type="dxa"/>
          </w:tcPr>
          <w:p w14:paraId="469CC6C9" w14:textId="77777777" w:rsidR="003B5FB8" w:rsidRPr="00A97460" w:rsidRDefault="003B5FB8" w:rsidP="002E6B45">
            <w:pPr>
              <w:spacing w:after="0"/>
              <w:rPr>
                <w:color w:val="auto"/>
                <w:szCs w:val="22"/>
              </w:rPr>
            </w:pPr>
            <w:r>
              <w:rPr>
                <w:color w:val="auto"/>
                <w:szCs w:val="22"/>
              </w:rPr>
              <w:t>0.0%</w:t>
            </w:r>
          </w:p>
        </w:tc>
      </w:tr>
      <w:tr w:rsidR="003B5FB8" w:rsidRPr="00A97460" w14:paraId="2B94EE9B" w14:textId="77777777" w:rsidTr="002E6B45">
        <w:tc>
          <w:tcPr>
            <w:tcW w:w="1849" w:type="dxa"/>
          </w:tcPr>
          <w:p w14:paraId="45D38117" w14:textId="77777777" w:rsidR="003B5FB8" w:rsidRPr="00A97460" w:rsidRDefault="003B5FB8" w:rsidP="002E6B45">
            <w:pPr>
              <w:spacing w:after="0"/>
              <w:rPr>
                <w:color w:val="auto"/>
                <w:szCs w:val="22"/>
              </w:rPr>
            </w:pPr>
            <w:r w:rsidRPr="00A97460">
              <w:rPr>
                <w:color w:val="auto"/>
                <w:szCs w:val="22"/>
              </w:rPr>
              <w:t>Average amount / penalty</w:t>
            </w:r>
          </w:p>
        </w:tc>
        <w:tc>
          <w:tcPr>
            <w:tcW w:w="1888" w:type="dxa"/>
          </w:tcPr>
          <w:p w14:paraId="5E0C3495" w14:textId="77777777" w:rsidR="003B5FB8" w:rsidRPr="00A97460" w:rsidRDefault="003B5FB8" w:rsidP="002E6B45">
            <w:pPr>
              <w:spacing w:after="0"/>
              <w:rPr>
                <w:color w:val="auto"/>
                <w:szCs w:val="22"/>
              </w:rPr>
            </w:pPr>
            <w:r w:rsidRPr="00A97460">
              <w:rPr>
                <w:color w:val="auto"/>
                <w:szCs w:val="22"/>
              </w:rPr>
              <w:t>66.76€</w:t>
            </w:r>
          </w:p>
        </w:tc>
        <w:tc>
          <w:tcPr>
            <w:tcW w:w="1813" w:type="dxa"/>
          </w:tcPr>
          <w:p w14:paraId="154A212E" w14:textId="77777777" w:rsidR="003B5FB8" w:rsidRPr="00A97460" w:rsidRDefault="003B5FB8" w:rsidP="002E6B45">
            <w:pPr>
              <w:spacing w:after="0"/>
              <w:rPr>
                <w:color w:val="auto"/>
                <w:szCs w:val="22"/>
              </w:rPr>
            </w:pPr>
            <w:r w:rsidRPr="00A97460">
              <w:rPr>
                <w:color w:val="auto"/>
                <w:szCs w:val="22"/>
              </w:rPr>
              <w:t>80.17€</w:t>
            </w:r>
          </w:p>
        </w:tc>
        <w:tc>
          <w:tcPr>
            <w:tcW w:w="1622" w:type="dxa"/>
          </w:tcPr>
          <w:p w14:paraId="57E7AE83" w14:textId="77777777" w:rsidR="003B5FB8" w:rsidRPr="00F35500" w:rsidRDefault="003B5FB8" w:rsidP="002E6B45">
            <w:pPr>
              <w:spacing w:after="0"/>
              <w:ind w:left="-20" w:right="-20"/>
              <w:rPr>
                <w:rFonts w:ascii="Calibri" w:eastAsia="Calibri" w:hAnsi="Calibri" w:cs="Calibri"/>
                <w:color w:val="auto"/>
                <w:szCs w:val="22"/>
              </w:rPr>
            </w:pPr>
          </w:p>
        </w:tc>
        <w:tc>
          <w:tcPr>
            <w:tcW w:w="1888" w:type="dxa"/>
          </w:tcPr>
          <w:p w14:paraId="6E1EB865" w14:textId="77777777" w:rsidR="003B5FB8" w:rsidRPr="00A97460" w:rsidRDefault="003B5FB8" w:rsidP="002E6B45">
            <w:pPr>
              <w:spacing w:after="0"/>
              <w:rPr>
                <w:color w:val="auto"/>
                <w:szCs w:val="22"/>
              </w:rPr>
            </w:pPr>
            <w:r>
              <w:rPr>
                <w:color w:val="auto"/>
                <w:szCs w:val="22"/>
              </w:rPr>
              <w:t>18.6€</w:t>
            </w:r>
          </w:p>
        </w:tc>
      </w:tr>
    </w:tbl>
    <w:p w14:paraId="0B928A27" w14:textId="77777777" w:rsidR="003B5FB8" w:rsidRDefault="003B5FB8" w:rsidP="003B5FB8">
      <w:pPr>
        <w:rPr>
          <w:color w:val="FF00FF"/>
        </w:rPr>
      </w:pPr>
    </w:p>
    <w:p w14:paraId="0FCAA57B" w14:textId="77777777" w:rsidR="003B5FB8" w:rsidRPr="00A97460" w:rsidRDefault="003B5FB8" w:rsidP="003B5FB8">
      <w:pPr>
        <w:rPr>
          <w:color w:val="auto"/>
        </w:rPr>
      </w:pPr>
      <w:r w:rsidRPr="00A97460">
        <w:rPr>
          <w:color w:val="auto"/>
        </w:rPr>
        <w:t xml:space="preserve">While introducing a minimum penalty is a sensible idea, it would require a structural review of our current methodology (introduction of a new rule to apply a minimum penalty in case the calculated amount is below a specific threshold). This change would come with a cost with unknown benefits on the settlement efficiency. </w:t>
      </w:r>
    </w:p>
    <w:permEnd w:id="695947103"/>
    <w:p w14:paraId="5EB4FD3A" w14:textId="77777777" w:rsidR="00FA151B" w:rsidRDefault="00FA151B" w:rsidP="00FA151B">
      <w:r>
        <w:lastRenderedPageBreak/>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189A1803" w14:textId="77777777" w:rsidR="0093648F" w:rsidRPr="00255C05" w:rsidRDefault="0093648F" w:rsidP="0093648F">
      <w:pPr>
        <w:rPr>
          <w:color w:val="auto"/>
        </w:rPr>
      </w:pPr>
      <w:permStart w:id="1544167674" w:edGrp="everyone"/>
      <w:r w:rsidRPr="00255C05">
        <w:rPr>
          <w:color w:val="auto"/>
        </w:rPr>
        <w:t>For a light change, such as the sole amendment of current penalties rates</w:t>
      </w:r>
      <w:r w:rsidRPr="00255C05" w:rsidDel="00DF0723">
        <w:rPr>
          <w:color w:val="auto"/>
        </w:rPr>
        <w:t xml:space="preserve"> </w:t>
      </w:r>
      <w:r w:rsidRPr="00255C05">
        <w:rPr>
          <w:color w:val="auto"/>
        </w:rPr>
        <w:t>(static data change), we could consider an implementation within 6 months (including draft the requirements, make the changes and perform testing).</w:t>
      </w:r>
    </w:p>
    <w:p w14:paraId="6A97E8E7" w14:textId="77777777" w:rsidR="0093648F" w:rsidRPr="00541DEB" w:rsidRDefault="0093648F" w:rsidP="0093648F">
      <w:pPr>
        <w:rPr>
          <w:color w:val="auto"/>
        </w:rPr>
      </w:pPr>
      <w:r w:rsidRPr="00541DEB">
        <w:rPr>
          <w:color w:val="auto"/>
        </w:rPr>
        <w:t xml:space="preserve">For a medium impact change which, while impacting current methodology, would not drastically change the principles in place, we could consider an implementation within 2 years once the requirements are clearly defined. It would be the case, for instance, of adding a new category for ETFS (to the extent that the same rule is used – based on a CFI code). On top of the actions needed mentioned for a light change, it would also require planning for budget (and potentially make arbitrage with other priorities) and to ensure our markets readiness. </w:t>
      </w:r>
    </w:p>
    <w:p w14:paraId="60CEE080" w14:textId="77777777" w:rsidR="0093648F" w:rsidRPr="00541DEB" w:rsidRDefault="0093648F" w:rsidP="0093648F">
      <w:pPr>
        <w:rPr>
          <w:color w:val="auto"/>
        </w:rPr>
      </w:pPr>
      <w:r w:rsidRPr="00541DEB">
        <w:rPr>
          <w:color w:val="auto"/>
        </w:rPr>
        <w:t xml:space="preserve">For a structural change impacting current methodology, such as setting progressive rates, introducing a convexity, or amending current categories used, we would need 3 to 4 years to perform the change. On top of the steps defined for a medium change, we would also need to assess the impacts on Euroclear strategy (arbitrage amongst all initiatives); create an internal program to follow closely the progress; review our contractual documentation; review the recharged costs to our participants; train our participants and perform a dry run / testing for a longer period. </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843D9F" w14:textId="77777777" w:rsidR="005E1D44" w:rsidRPr="00771BCB" w:rsidRDefault="005E1D44" w:rsidP="005E1D44">
      <w:pPr>
        <w:rPr>
          <w:color w:val="auto"/>
        </w:rPr>
      </w:pPr>
      <w:permStart w:id="633684896" w:edGrp="everyone"/>
      <w:r w:rsidRPr="00771BCB">
        <w:rPr>
          <w:color w:val="auto"/>
        </w:rPr>
        <w:t xml:space="preserve">While a few participants have been detected as failing consistently and systematically, they do not have a significant impact on our SSS. </w:t>
      </w:r>
    </w:p>
    <w:permEnd w:id="633684896"/>
    <w:p w14:paraId="63C62F16" w14:textId="77777777" w:rsidR="00FA151B" w:rsidRDefault="00FA151B" w:rsidP="00FA151B">
      <w:r>
        <w:lastRenderedPageBreak/>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2453C22E" w14:textId="77777777" w:rsidR="00093F87" w:rsidRPr="00771BCB" w:rsidRDefault="00093F87" w:rsidP="00093F87">
      <w:permStart w:id="32193916" w:edGrp="everyone"/>
      <w:r w:rsidRPr="00771BCB">
        <w:t xml:space="preserve">Euroclear </w:t>
      </w:r>
      <w:r>
        <w:t>Group</w:t>
      </w:r>
      <w:r w:rsidRPr="00771BCB">
        <w:t xml:space="preserve"> is of the opinion that additional penalties or more severe penalty rates are not justified as they would not bring any benefit. The participants with high settlement fail rates do not systematically impact our SSS. </w:t>
      </w:r>
    </w:p>
    <w:p w14:paraId="3C4D30D5" w14:textId="77777777" w:rsidR="00093F87" w:rsidRPr="00771BCB" w:rsidRDefault="00093F87" w:rsidP="00093F87">
      <w:r w:rsidRPr="00771BCB">
        <w:t xml:space="preserve">If additional penalties would be considered, the formula used to apply those would need to be carefully considered, </w:t>
      </w:r>
      <w:proofErr w:type="gramStart"/>
      <w:r w:rsidRPr="00771BCB">
        <w:t>taking into account</w:t>
      </w:r>
      <w:proofErr w:type="gramEnd"/>
      <w:r w:rsidRPr="00771BCB">
        <w:t xml:space="preserve"> the size of the CSD, in order to ensure a level playing field across European CSDs.  </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2097DE6C" w14:textId="77777777" w:rsidR="00575981" w:rsidRPr="00771BCB" w:rsidRDefault="00575981" w:rsidP="00575981">
      <w:pPr>
        <w:rPr>
          <w:color w:val="auto"/>
        </w:rPr>
      </w:pPr>
      <w:permStart w:id="95900870" w:edGrp="everyone"/>
      <w:r w:rsidRPr="00771BCB">
        <w:rPr>
          <w:color w:val="auto"/>
        </w:rPr>
        <w:t xml:space="preserve">For EB, we haven’t implemented working arrangements as our top 10 participants are small clients failing due to sanctions. On the other hand, we implemented a working group with our biggest clients to work on improving efficiency. </w:t>
      </w:r>
    </w:p>
    <w:p w14:paraId="7D3C931F" w14:textId="77777777" w:rsidR="00575981" w:rsidRPr="00771BCB" w:rsidRDefault="00575981" w:rsidP="00575981">
      <w:pPr>
        <w:rPr>
          <w:color w:val="auto"/>
        </w:rPr>
      </w:pPr>
      <w:r w:rsidRPr="00771BCB">
        <w:rPr>
          <w:color w:val="auto"/>
        </w:rPr>
        <w:t xml:space="preserve">For ESES CSDs, we started the process of contacting our participants to identify if we must establish working arrangements. In any case, these working arrangements would apply to a very limited number of participants and most probably to participants having a very limited activity in amount / volume. </w:t>
      </w:r>
    </w:p>
    <w:p w14:paraId="17E50DD1" w14:textId="77777777" w:rsidR="00575981" w:rsidRDefault="00575981" w:rsidP="00575981">
      <w:pPr>
        <w:rPr>
          <w:color w:val="auto"/>
        </w:rPr>
      </w:pPr>
      <w:r w:rsidRPr="005A8CC5">
        <w:rPr>
          <w:color w:val="auto"/>
        </w:rPr>
        <w:t xml:space="preserve">For Euroclear Finland, we have regular surveillance meetings with our participants where one of the agenda topics is to focus on settlement efficiency and if any additional actions are </w:t>
      </w:r>
      <w:r w:rsidRPr="005A8CC5">
        <w:rPr>
          <w:color w:val="auto"/>
        </w:rPr>
        <w:lastRenderedPageBreak/>
        <w:t>required. Note that at the movement there is zero EFi participants that are consistently and systematically failing as per article 39 RTS 2018/1229.</w:t>
      </w:r>
    </w:p>
    <w:p w14:paraId="494FC0A6" w14:textId="77777777" w:rsidR="00575981" w:rsidRPr="00771BCB" w:rsidRDefault="00575981" w:rsidP="00575981">
      <w:pPr>
        <w:rPr>
          <w:color w:val="auto"/>
        </w:rPr>
      </w:pPr>
      <w:r>
        <w:rPr>
          <w:color w:val="auto"/>
        </w:rPr>
        <w:t xml:space="preserve">For Euroclear Sweden, we have regular meetings with one of our participants that is consistently and systematically failing to deliver as per article 39 RTS 2018/1229. This participant has a very limited activity in amount / volume and does not impact our SSS. </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1978C821" w14:textId="77777777" w:rsidR="00C024EC" w:rsidRPr="00771BCB" w:rsidRDefault="00C024EC" w:rsidP="00C024EC">
      <w:pPr>
        <w:rPr>
          <w:color w:val="auto"/>
        </w:rPr>
      </w:pPr>
      <w:permStart w:id="800291382" w:edGrp="everyone"/>
      <w:r w:rsidRPr="00771BCB">
        <w:rPr>
          <w:color w:val="auto"/>
        </w:rPr>
        <w:t xml:space="preserve">Yes, settlement efficiency needs to be discussed at the CSDs’ User Committees. </w:t>
      </w:r>
    </w:p>
    <w:p w14:paraId="49A2685D" w14:textId="77777777" w:rsidR="00C024EC" w:rsidRPr="00771BCB" w:rsidRDefault="00C024EC" w:rsidP="00C024EC">
      <w:pPr>
        <w:rPr>
          <w:color w:val="auto"/>
        </w:rPr>
      </w:pPr>
      <w:r w:rsidRPr="00771BCB">
        <w:rPr>
          <w:color w:val="auto"/>
        </w:rPr>
        <w:t xml:space="preserve">Euroclear Bank is already providing data on efficiency and penalties during its User Committee. A dedicated settlement efficiency working group was also implemented to share CSDR fails rates and dig into various relevant topics amongst which: matching issues; fails due to lack of securities and usage of partial settlement. Our intention is to align on market practices and a joint approach with our communities. </w:t>
      </w:r>
    </w:p>
    <w:p w14:paraId="1E6D6820" w14:textId="53954ACC" w:rsidR="00312C6B" w:rsidRDefault="00C024EC" w:rsidP="00312C6B">
      <w:pPr>
        <w:rPr>
          <w:color w:val="auto"/>
        </w:rPr>
      </w:pPr>
      <w:r w:rsidRPr="00771BCB">
        <w:rPr>
          <w:color w:val="auto"/>
        </w:rPr>
        <w:t>ESES CSDs have provided settlement efficiency data to their User Committees for several years (even before CSDR entry into force). They are also discussing settlement efficiency in their ESES Users Forum, on a quarterly basis, to highlight potential areas of improvement.</w:t>
      </w:r>
    </w:p>
    <w:p w14:paraId="768A9179" w14:textId="664048F9" w:rsidR="00C024EC" w:rsidRDefault="00312C6B" w:rsidP="00312C6B">
      <w:pPr>
        <w:rPr>
          <w:color w:val="auto"/>
        </w:rPr>
      </w:pPr>
      <w:r w:rsidRPr="00771BCB">
        <w:rPr>
          <w:color w:val="auto"/>
        </w:rPr>
        <w:t xml:space="preserve">ESES CSDs also attend and provide data on efficiency to some national Associations, such as France Post Marché and Febelfin, both having set up a settlement efficiency working group. </w:t>
      </w:r>
      <w:r w:rsidR="00C024EC" w:rsidRPr="00771BCB">
        <w:rPr>
          <w:color w:val="auto"/>
        </w:rPr>
        <w:t xml:space="preserve"> </w:t>
      </w:r>
    </w:p>
    <w:p w14:paraId="177A433A" w14:textId="77777777" w:rsidR="00A2027C" w:rsidRDefault="00A2027C" w:rsidP="00C024EC">
      <w:pPr>
        <w:rPr>
          <w:color w:val="auto"/>
        </w:rPr>
      </w:pPr>
      <w:r w:rsidRPr="00771BCB">
        <w:rPr>
          <w:color w:val="auto"/>
        </w:rPr>
        <w:t>On top of their User Committees, EB</w:t>
      </w:r>
      <w:r>
        <w:rPr>
          <w:color w:val="auto"/>
        </w:rPr>
        <w:t xml:space="preserve"> &amp;</w:t>
      </w:r>
      <w:r w:rsidRPr="00771BCB">
        <w:rPr>
          <w:color w:val="auto"/>
        </w:rPr>
        <w:t xml:space="preserve"> ESES CSDs also attend various working groups tackling the settlement efficiency topic, such as the ECB Market Settlement Efficiency (MSE) working group.</w:t>
      </w:r>
    </w:p>
    <w:p w14:paraId="3CFBB90E" w14:textId="5720917D" w:rsidR="00C024EC" w:rsidRDefault="00C024EC" w:rsidP="00C024EC">
      <w:pPr>
        <w:rPr>
          <w:color w:val="auto"/>
        </w:rPr>
      </w:pPr>
      <w:r>
        <w:rPr>
          <w:color w:val="auto"/>
        </w:rPr>
        <w:t>Euroclear Sweden is providing settlement efficiency data to its User Committee and has done it for several years (even before CSDR entry into force).</w:t>
      </w:r>
    </w:p>
    <w:p w14:paraId="32CD85D0" w14:textId="119347F2" w:rsidR="00312C6B" w:rsidRDefault="00312C6B" w:rsidP="00C024EC">
      <w:pPr>
        <w:rPr>
          <w:color w:val="auto"/>
        </w:rPr>
      </w:pPr>
      <w:r>
        <w:rPr>
          <w:color w:val="auto"/>
        </w:rPr>
        <w:t>Euroclear Sweden also attends various working groups and is participating to meetings at the Swedish Securities Market Association (SSMA) and provides data on settlement efficiency (SSMA used to have a dedicated working group for settlement efficiency).</w:t>
      </w:r>
    </w:p>
    <w:p w14:paraId="1ECAE396" w14:textId="5E5FD6E0" w:rsidR="00C024EC" w:rsidRPr="00771BCB" w:rsidRDefault="00A2027C" w:rsidP="00C024EC">
      <w:pPr>
        <w:rPr>
          <w:color w:val="auto"/>
        </w:rPr>
      </w:pPr>
      <w:r w:rsidRPr="005A8CC5">
        <w:rPr>
          <w:color w:val="auto"/>
        </w:rPr>
        <w:lastRenderedPageBreak/>
        <w:t xml:space="preserve">Euroclear Finland is already providing data on efficiency and penalties during its User Committee, this topic is one of the repeating agenda points on all UC meetings. In addition, the settlement efficiency topic is covered also in other Participant meetings/forums on ad-hoc basis. </w:t>
      </w:r>
      <w:r w:rsidR="00C024EC" w:rsidRPr="00771BCB">
        <w:rPr>
          <w:color w:val="auto"/>
        </w:rPr>
        <w:t xml:space="preserve"> </w:t>
      </w:r>
    </w:p>
    <w:permEnd w:id="800291382"/>
    <w:p w14:paraId="507A6667" w14:textId="77777777" w:rsidR="00FA151B" w:rsidRDefault="00FA151B" w:rsidP="00FA151B">
      <w:r>
        <w:t>&lt;ESMA_QUESTION_CSDR_51&gt;</w:t>
      </w:r>
    </w:p>
    <w:sectPr w:rsidR="00FA151B" w:rsidSect="00AD0B10">
      <w:headerReference w:type="default" r:id="rId24"/>
      <w:footerReference w:type="default" r:id="rId2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6122" w14:textId="77777777" w:rsidR="00724389" w:rsidRDefault="00724389" w:rsidP="007E7997">
      <w:pPr>
        <w:spacing w:line="240" w:lineRule="auto"/>
      </w:pPr>
      <w:r>
        <w:separator/>
      </w:r>
    </w:p>
  </w:endnote>
  <w:endnote w:type="continuationSeparator" w:id="0">
    <w:p w14:paraId="2D7ED6F8" w14:textId="77777777" w:rsidR="00724389" w:rsidRDefault="00724389" w:rsidP="007E7997">
      <w:pPr>
        <w:spacing w:line="240" w:lineRule="auto"/>
      </w:pPr>
      <w:r>
        <w:continuationSeparator/>
      </w:r>
    </w:p>
  </w:endnote>
  <w:endnote w:type="continuationNotice" w:id="1">
    <w:p w14:paraId="6E704A5B" w14:textId="77777777" w:rsidR="00724389" w:rsidRDefault="00724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C52E" w14:textId="77777777" w:rsidR="00724389" w:rsidRDefault="00724389" w:rsidP="007E7997">
      <w:pPr>
        <w:spacing w:line="240" w:lineRule="auto"/>
      </w:pPr>
      <w:r>
        <w:separator/>
      </w:r>
    </w:p>
  </w:footnote>
  <w:footnote w:type="continuationSeparator" w:id="0">
    <w:p w14:paraId="37A93A12" w14:textId="77777777" w:rsidR="00724389" w:rsidRDefault="00724389" w:rsidP="007E7997">
      <w:pPr>
        <w:spacing w:line="240" w:lineRule="auto"/>
      </w:pPr>
      <w:r>
        <w:continuationSeparator/>
      </w:r>
    </w:p>
  </w:footnote>
  <w:footnote w:type="continuationNotice" w:id="1">
    <w:p w14:paraId="26C411B9" w14:textId="77777777" w:rsidR="00724389" w:rsidRDefault="00724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0A3"/>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3F87"/>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2D63"/>
    <w:rsid w:val="000C380D"/>
    <w:rsid w:val="000C3858"/>
    <w:rsid w:val="000C3FC6"/>
    <w:rsid w:val="000C3FEB"/>
    <w:rsid w:val="000C40F1"/>
    <w:rsid w:val="000C4CAD"/>
    <w:rsid w:val="000C5180"/>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1DD3"/>
    <w:rsid w:val="000F25B7"/>
    <w:rsid w:val="000F3148"/>
    <w:rsid w:val="000F3473"/>
    <w:rsid w:val="000F3D8F"/>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63EC"/>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0A"/>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10"/>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662"/>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0866"/>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0FFE"/>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B29"/>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C6B"/>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5FB8"/>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653"/>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6E3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6CC0"/>
    <w:rsid w:val="003F6D5F"/>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45F2"/>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1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76D"/>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21B"/>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8BC"/>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981"/>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3B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61E"/>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1D44"/>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595"/>
    <w:rsid w:val="0063668A"/>
    <w:rsid w:val="006367CF"/>
    <w:rsid w:val="00636C24"/>
    <w:rsid w:val="00636E02"/>
    <w:rsid w:val="00637437"/>
    <w:rsid w:val="00637860"/>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76A"/>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47E"/>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389"/>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C0"/>
    <w:rsid w:val="007B30F5"/>
    <w:rsid w:val="007B338B"/>
    <w:rsid w:val="007B36C1"/>
    <w:rsid w:val="007B398A"/>
    <w:rsid w:val="007B42C3"/>
    <w:rsid w:val="007B4656"/>
    <w:rsid w:val="007B4676"/>
    <w:rsid w:val="007B4E95"/>
    <w:rsid w:val="007B56BB"/>
    <w:rsid w:val="007B59C8"/>
    <w:rsid w:val="007B5A9E"/>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847"/>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A3D"/>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840"/>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E02"/>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0E84"/>
    <w:rsid w:val="00932787"/>
    <w:rsid w:val="00932A30"/>
    <w:rsid w:val="00932A63"/>
    <w:rsid w:val="0093345C"/>
    <w:rsid w:val="0093391C"/>
    <w:rsid w:val="00934587"/>
    <w:rsid w:val="00934C0B"/>
    <w:rsid w:val="00934DDB"/>
    <w:rsid w:val="00934E44"/>
    <w:rsid w:val="0093507B"/>
    <w:rsid w:val="0093555E"/>
    <w:rsid w:val="0093648F"/>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989"/>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976"/>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46"/>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5EFB"/>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0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7A1"/>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377"/>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27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482E"/>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463"/>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57501"/>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5F4"/>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E7D8B"/>
    <w:rsid w:val="00BF03DD"/>
    <w:rsid w:val="00BF0971"/>
    <w:rsid w:val="00BF0B0A"/>
    <w:rsid w:val="00BF0B18"/>
    <w:rsid w:val="00BF106B"/>
    <w:rsid w:val="00BF13FE"/>
    <w:rsid w:val="00BF15EB"/>
    <w:rsid w:val="00BF179E"/>
    <w:rsid w:val="00BF1F1A"/>
    <w:rsid w:val="00BF2581"/>
    <w:rsid w:val="00BF25A5"/>
    <w:rsid w:val="00BF25CD"/>
    <w:rsid w:val="00BF2619"/>
    <w:rsid w:val="00BF29E6"/>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BC"/>
    <w:rsid w:val="00C01571"/>
    <w:rsid w:val="00C016FD"/>
    <w:rsid w:val="00C018E0"/>
    <w:rsid w:val="00C01EFF"/>
    <w:rsid w:val="00C024EC"/>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9E5"/>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723"/>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AFC"/>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674"/>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CFA"/>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72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09CF"/>
    <w:rsid w:val="00E81098"/>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0C1"/>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373"/>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2E6"/>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3C2"/>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1528"/>
    <w:rsid w:val="00FB2318"/>
    <w:rsid w:val="00FB293B"/>
    <w:rsid w:val="00FB2CFA"/>
    <w:rsid w:val="00FB2FEC"/>
    <w:rsid w:val="00FB3051"/>
    <w:rsid w:val="00FB326E"/>
    <w:rsid w:val="00FB3626"/>
    <w:rsid w:val="00FB3A04"/>
    <w:rsid w:val="00FB3B3B"/>
    <w:rsid w:val="00FB442C"/>
    <w:rsid w:val="00FB456A"/>
    <w:rsid w:val="00FB4A19"/>
    <w:rsid w:val="00FB4A7F"/>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nhideWhenUsed/>
    <w:rsid w:val="00D33C31"/>
    <w:rPr>
      <w:sz w:val="16"/>
      <w:szCs w:val="16"/>
    </w:rPr>
  </w:style>
  <w:style w:type="paragraph" w:styleId="CommentText">
    <w:name w:val="annotation text"/>
    <w:basedOn w:val="Normal"/>
    <w:link w:val="CommentTextChar"/>
    <w:unhideWhenUsed/>
    <w:rsid w:val="00D33C31"/>
    <w:pPr>
      <w:spacing w:line="240" w:lineRule="auto"/>
    </w:pPr>
    <w:rPr>
      <w:sz w:val="20"/>
    </w:rPr>
  </w:style>
  <w:style w:type="character" w:customStyle="1" w:styleId="CommentTextChar">
    <w:name w:val="Comment Text Char"/>
    <w:basedOn w:val="DefaultParagraphFont"/>
    <w:link w:val="CommentText"/>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27"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GB" sz="900"/>
              <a:t>Euroclear Sweden Settlement inefficiency</a:t>
            </a:r>
            <a:r>
              <a:rPr lang="en-GB" sz="900" baseline="0"/>
              <a:t> -</a:t>
            </a:r>
            <a:r>
              <a:rPr lang="en-GB" sz="900"/>
              <a:t>Volume</a:t>
            </a:r>
          </a:p>
        </c:rich>
      </c:tx>
      <c:layout>
        <c:manualLayout>
          <c:xMode val="edge"/>
          <c:yMode val="edge"/>
          <c:x val="0.14556233595800525"/>
          <c:y val="2.7777777777777776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Sheet4!$B$18</c:f>
              <c:strCache>
                <c:ptCount val="1"/>
                <c:pt idx="0">
                  <c:v>Volume</c:v>
                </c:pt>
              </c:strCache>
            </c:strRef>
          </c:tx>
          <c:spPr>
            <a:ln w="28575" cap="rnd">
              <a:solidFill>
                <a:schemeClr val="accent1"/>
              </a:solidFill>
              <a:round/>
            </a:ln>
            <a:effectLst/>
          </c:spPr>
          <c:marker>
            <c:symbol val="none"/>
          </c:marker>
          <c:cat>
            <c:strRef>
              <c:f>Sheet4!$A$19:$A$23</c:f>
              <c:strCache>
                <c:ptCount val="5"/>
                <c:pt idx="0">
                  <c:v>2019</c:v>
                </c:pt>
                <c:pt idx="1">
                  <c:v>2020</c:v>
                </c:pt>
                <c:pt idx="2">
                  <c:v>2021</c:v>
                </c:pt>
                <c:pt idx="3">
                  <c:v>2022</c:v>
                </c:pt>
                <c:pt idx="4">
                  <c:v>2023</c:v>
                </c:pt>
              </c:strCache>
            </c:strRef>
          </c:cat>
          <c:val>
            <c:numRef>
              <c:f>Sheet4!$B$19:$B$23</c:f>
              <c:numCache>
                <c:formatCode>0.00%</c:formatCode>
                <c:ptCount val="5"/>
                <c:pt idx="0">
                  <c:v>5.7114209853463938E-2</c:v>
                </c:pt>
                <c:pt idx="1">
                  <c:v>4.5173535349138372E-2</c:v>
                </c:pt>
                <c:pt idx="2">
                  <c:v>5.528650162031068E-2</c:v>
                </c:pt>
                <c:pt idx="3">
                  <c:v>3.6320059603394572E-2</c:v>
                </c:pt>
                <c:pt idx="4">
                  <c:v>2.3571866332060543E-2</c:v>
                </c:pt>
              </c:numCache>
            </c:numRef>
          </c:val>
          <c:smooth val="0"/>
          <c:extLst>
            <c:ext xmlns:c16="http://schemas.microsoft.com/office/drawing/2014/chart" uri="{C3380CC4-5D6E-409C-BE32-E72D297353CC}">
              <c16:uniqueId val="{00000000-D053-4808-B251-B2291C74E07C}"/>
            </c:ext>
          </c:extLst>
        </c:ser>
        <c:dLbls>
          <c:showLegendKey val="0"/>
          <c:showVal val="0"/>
          <c:showCatName val="0"/>
          <c:showSerName val="0"/>
          <c:showPercent val="0"/>
          <c:showBubbleSize val="0"/>
        </c:dLbls>
        <c:smooth val="0"/>
        <c:axId val="1968502575"/>
        <c:axId val="31380543"/>
      </c:lineChart>
      <c:catAx>
        <c:axId val="196850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0543"/>
        <c:crosses val="autoZero"/>
        <c:auto val="1"/>
        <c:lblAlgn val="ctr"/>
        <c:lblOffset val="100"/>
        <c:noMultiLvlLbl val="0"/>
      </c:catAx>
      <c:valAx>
        <c:axId val="313805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502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Euroclear Sweden inefficiency - value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Sheet4!$C$18</c:f>
              <c:strCache>
                <c:ptCount val="1"/>
                <c:pt idx="0">
                  <c:v>Value</c:v>
                </c:pt>
              </c:strCache>
            </c:strRef>
          </c:tx>
          <c:spPr>
            <a:ln w="28575" cap="rnd">
              <a:solidFill>
                <a:schemeClr val="accent4"/>
              </a:solidFill>
              <a:round/>
            </a:ln>
            <a:effectLst/>
          </c:spPr>
          <c:marker>
            <c:symbol val="none"/>
          </c:marker>
          <c:cat>
            <c:strRef>
              <c:f>Sheet4!$A$19:$A$23</c:f>
              <c:strCache>
                <c:ptCount val="5"/>
                <c:pt idx="0">
                  <c:v>2019</c:v>
                </c:pt>
                <c:pt idx="1">
                  <c:v>2020</c:v>
                </c:pt>
                <c:pt idx="2">
                  <c:v>2021</c:v>
                </c:pt>
                <c:pt idx="3">
                  <c:v>2022</c:v>
                </c:pt>
                <c:pt idx="4">
                  <c:v>2023</c:v>
                </c:pt>
              </c:strCache>
            </c:strRef>
          </c:cat>
          <c:val>
            <c:numRef>
              <c:f>Sheet4!$C$19:$C$23</c:f>
              <c:numCache>
                <c:formatCode>0.00%</c:formatCode>
                <c:ptCount val="5"/>
                <c:pt idx="0">
                  <c:v>1.8189030743760881E-2</c:v>
                </c:pt>
                <c:pt idx="1">
                  <c:v>2.1468951270865233E-2</c:v>
                </c:pt>
                <c:pt idx="2">
                  <c:v>3.0204024151745501E-2</c:v>
                </c:pt>
                <c:pt idx="3">
                  <c:v>1.0890532542222386E-2</c:v>
                </c:pt>
                <c:pt idx="4">
                  <c:v>5.6515168176545227E-3</c:v>
                </c:pt>
              </c:numCache>
            </c:numRef>
          </c:val>
          <c:smooth val="0"/>
          <c:extLst>
            <c:ext xmlns:c16="http://schemas.microsoft.com/office/drawing/2014/chart" uri="{C3380CC4-5D6E-409C-BE32-E72D297353CC}">
              <c16:uniqueId val="{00000000-7B03-4585-B030-447FFD72A9CA}"/>
            </c:ext>
          </c:extLst>
        </c:ser>
        <c:dLbls>
          <c:showLegendKey val="0"/>
          <c:showVal val="0"/>
          <c:showCatName val="0"/>
          <c:showSerName val="0"/>
          <c:showPercent val="0"/>
          <c:showBubbleSize val="0"/>
        </c:dLbls>
        <c:smooth val="0"/>
        <c:axId val="1423074159"/>
        <c:axId val="1584708735"/>
      </c:lineChart>
      <c:catAx>
        <c:axId val="142307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4708735"/>
        <c:crosses val="autoZero"/>
        <c:auto val="1"/>
        <c:lblAlgn val="ctr"/>
        <c:lblOffset val="100"/>
        <c:noMultiLvlLbl val="0"/>
      </c:catAx>
      <c:valAx>
        <c:axId val="15847087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074159"/>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9B6B9C"/>
    <w:rsid w:val="00B22006"/>
    <w:rsid w:val="00D8387B"/>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BFB449AF4C440B521877DEB709BAD" ma:contentTypeVersion="9" ma:contentTypeDescription="Create a new document." ma:contentTypeScope="" ma:versionID="e472999cebf673acfa128d856067bef4">
  <xsd:schema xmlns:xsd="http://www.w3.org/2001/XMLSchema" xmlns:xs="http://www.w3.org/2001/XMLSchema" xmlns:p="http://schemas.microsoft.com/office/2006/metadata/properties" xmlns:ns2="10ae339a-ef03-4bb6-a74e-0f5dc9028b1c" xmlns:ns3="19d110f9-6ec3-41a9-85b3-51fed5c3de4f" targetNamespace="http://schemas.microsoft.com/office/2006/metadata/properties" ma:root="true" ma:fieldsID="48fb316b68e743cb1a094e61577f3038" ns2:_="" ns3:_="">
    <xsd:import namespace="10ae339a-ef03-4bb6-a74e-0f5dc9028b1c"/>
    <xsd:import namespace="19d110f9-6ec3-41a9-85b3-51fed5c3d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e339a-ef03-4bb6-a74e-0f5dc9028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110f9-6ec3-41a9-85b3-51fed5c3de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19d110f9-6ec3-41a9-85b3-51fed5c3de4f">
      <UserInfo>
        <DisplayName>Kian Navid</DisplayName>
        <AccountId>329</AccountId>
        <AccountType/>
      </UserInfo>
      <UserInfo>
        <DisplayName>Christian Winkler</DisplayName>
        <AccountId>215</AccountId>
        <AccountType/>
      </UserInfo>
      <UserInfo>
        <DisplayName>Iris Hude</DisplayName>
        <AccountId>186</AccountId>
        <AccountType/>
      </UserInfo>
    </SharedWithUsers>
    <Date xmlns="10ae339a-ef03-4bb6-a74e-0f5dc9028b1c" xsi:nil="true"/>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2089659E-1458-4B21-AF27-D1BD44793B35}"/>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38</Pages>
  <Words>8310</Words>
  <Characters>47371</Characters>
  <Application>Microsoft Office Word</Application>
  <DocSecurity>8</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Mathilde Joannet</cp:lastModifiedBy>
  <cp:revision>71</cp:revision>
  <cp:lastPrinted>2023-09-09T00:53:00Z</cp:lastPrinted>
  <dcterms:created xsi:type="dcterms:W3CDTF">2024-02-28T16:33:00Z</dcterms:created>
  <dcterms:modified xsi:type="dcterms:W3CDTF">2024-02-29T07:27:00Z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0x0101006ADBFB449AF4C440B521877DEB709BAD</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SIP_Label_e99e5f92-716e-44d1-9a65-82cabe9dd1e7_Enabled">
    <vt:lpwstr>true</vt:lpwstr>
  </property>
  <property fmtid="{D5CDD505-2E9C-101B-9397-08002B2CF9AE}" pid="16" name="MSIP_Label_e99e5f92-716e-44d1-9a65-82cabe9dd1e7_SetDate">
    <vt:lpwstr>2024-02-28T16:33:07Z</vt:lpwstr>
  </property>
  <property fmtid="{D5CDD505-2E9C-101B-9397-08002B2CF9AE}" pid="17" name="MSIP_Label_e99e5f92-716e-44d1-9a65-82cabe9dd1e7_Method">
    <vt:lpwstr>Standard</vt:lpwstr>
  </property>
  <property fmtid="{D5CDD505-2E9C-101B-9397-08002B2CF9AE}" pid="18" name="MSIP_Label_e99e5f92-716e-44d1-9a65-82cabe9dd1e7_Name">
    <vt:lpwstr>General</vt:lpwstr>
  </property>
  <property fmtid="{D5CDD505-2E9C-101B-9397-08002B2CF9AE}" pid="19" name="MSIP_Label_e99e5f92-716e-44d1-9a65-82cabe9dd1e7_SiteId">
    <vt:lpwstr>282ba4e6-052f-4fa7-bbaa-95b7e4404b3e</vt:lpwstr>
  </property>
  <property fmtid="{D5CDD505-2E9C-101B-9397-08002B2CF9AE}" pid="20" name="MSIP_Label_e99e5f92-716e-44d1-9a65-82cabe9dd1e7_ActionId">
    <vt:lpwstr>482df6cd-2991-426e-b0e0-fceff8013ac8</vt:lpwstr>
  </property>
  <property fmtid="{D5CDD505-2E9C-101B-9397-08002B2CF9AE}" pid="21" name="MSIP_Label_e99e5f92-716e-44d1-9a65-82cabe9dd1e7_ContentBits">
    <vt:lpwstr>0</vt:lpwstr>
  </property>
</Properties>
</file>