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31F2108" w14:textId="15BBB95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6C4ACA12" w:rsidR="00635BCA" w:rsidRPr="00557BD2" w:rsidRDefault="00F271FE" w:rsidP="00D21C35">
                <w:proofErr w:type="spellStart"/>
                <w:r>
                  <w:t>Bundesverband</w:t>
                </w:r>
                <w:proofErr w:type="spellEnd"/>
                <w:r>
                  <w:t xml:space="preserve"> </w:t>
                </w:r>
                <w:proofErr w:type="spellStart"/>
                <w:r>
                  <w:t>deutscher</w:t>
                </w:r>
                <w:proofErr w:type="spellEnd"/>
                <w:r>
                  <w:t xml:space="preserve"> </w:t>
                </w:r>
                <w:proofErr w:type="spellStart"/>
                <w:r>
                  <w:t>Banken</w:t>
                </w:r>
                <w:proofErr w:type="spellEnd"/>
                <w:r>
                  <w:t xml:space="preserve">/Association of German Banks </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43518B55" w:rsidR="00635BCA" w:rsidRPr="00557BD2" w:rsidRDefault="00F271FE"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22898AC0" w:rsidR="00635BCA" w:rsidRPr="00557BD2" w:rsidRDefault="00F271FE"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D015729" w:rsidR="00635BCA" w:rsidRPr="00557BD2" w:rsidRDefault="00F271FE" w:rsidP="00D21C35">
                <w:r>
                  <w:t>Germany</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berschrift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65D0A3BC" w14:textId="08215F7E" w:rsidR="00441B2A" w:rsidRDefault="00441B2A" w:rsidP="00441B2A">
      <w:pPr>
        <w:pStyle w:val="Textkrper"/>
        <w:spacing w:before="21"/>
      </w:pPr>
      <w:permStart w:id="750397953" w:edGrp="everyone"/>
      <w:r>
        <w:t>Generally, the actual occurrences of fails requiring the consideration of cash discount rates (</w:t>
      </w:r>
      <w:proofErr w:type="gramStart"/>
      <w:r>
        <w:t>i.e.</w:t>
      </w:r>
      <w:proofErr w:type="gramEnd"/>
      <w:r>
        <w:t xml:space="preserve"> fails due to “lack of cash” as well as receipts versus payments that are put “on hold”) is very low; hence, we doubt there is actually a need for changing the current approaches as none of the options proposed by ESMA will likely have a measurable impact on the settlement efficiency rates. Instead, any options will incur development and/ or maintenance cost for CSDs, T2S and other stakeholders without benefits. Therefore, GBIC does not recommend making any changes.</w:t>
      </w:r>
    </w:p>
    <w:p w14:paraId="102654E4" w14:textId="77777777" w:rsidR="00441B2A" w:rsidRDefault="00441B2A" w:rsidP="00441B2A">
      <w:pPr>
        <w:pStyle w:val="Textkrper"/>
        <w:spacing w:before="21"/>
      </w:pPr>
      <w:r>
        <w:t>In more detail:</w:t>
      </w:r>
    </w:p>
    <w:p w14:paraId="29937064" w14:textId="77777777" w:rsidR="00441B2A" w:rsidRDefault="00441B2A" w:rsidP="00441B2A">
      <w:pPr>
        <w:pStyle w:val="Textkrper"/>
        <w:spacing w:before="21"/>
      </w:pPr>
      <w:r>
        <w:t xml:space="preserve">Option 1 requiring currency conversions represents a totally new approach that would require multiple IT developments, </w:t>
      </w:r>
      <w:proofErr w:type="gramStart"/>
      <w:r>
        <w:t>i.e.</w:t>
      </w:r>
      <w:proofErr w:type="gramEnd"/>
      <w:r>
        <w:t xml:space="preserve"> cause much more efforts/ cost than Options 2, 3 and 4.</w:t>
      </w:r>
    </w:p>
    <w:p w14:paraId="24081590" w14:textId="77777777" w:rsidR="00441B2A" w:rsidRDefault="00441B2A" w:rsidP="00441B2A">
      <w:pPr>
        <w:pStyle w:val="Textkrper"/>
        <w:spacing w:before="21"/>
      </w:pPr>
      <w:r>
        <w:t xml:space="preserve">For Options 1, 2 and 3, we urgently request that the actual cash interest rates to be applied by CSDs for their daily penalty calculations would be already calculated by the Central Banks or ESMA and centrally published and maintained up to date by </w:t>
      </w:r>
      <w:proofErr w:type="gramStart"/>
      <w:r>
        <w:t>e.g.</w:t>
      </w:r>
      <w:proofErr w:type="gramEnd"/>
      <w:r>
        <w:t xml:space="preserve"> ESMA for all stakeholders. This ensures an efficient process for the same reference data being available to all stakeholder, avoids individual manual rate calculation needs and the subsequent risk of </w:t>
      </w:r>
      <w:r>
        <w:lastRenderedPageBreak/>
        <w:t>potential errors (</w:t>
      </w:r>
      <w:proofErr w:type="gramStart"/>
      <w:r>
        <w:t>e.g.</w:t>
      </w:r>
      <w:proofErr w:type="gramEnd"/>
      <w:r>
        <w:t xml:space="preserve"> due to “day count conventions and other adjustments”) when calculating the applicable rates by every single stakeholder. </w:t>
      </w:r>
    </w:p>
    <w:p w14:paraId="7D131BBF" w14:textId="77777777" w:rsidR="00441B2A" w:rsidRDefault="00441B2A" w:rsidP="00441B2A">
      <w:pPr>
        <w:pStyle w:val="Textkrper"/>
        <w:spacing w:before="21"/>
      </w:pPr>
      <w:r>
        <w:t>It should be noted that Options 1 to 3 miss to address similar issues that exist for “lack of cash” fails in non-EU currencies (</w:t>
      </w:r>
      <w:proofErr w:type="gramStart"/>
      <w:r>
        <w:t>e.g.</w:t>
      </w:r>
      <w:proofErr w:type="gramEnd"/>
      <w:r>
        <w:t xml:space="preserve"> USD or JPY; see ECSDA Penalties Framework for details about the current approaches applied). As stated by ESMA, the ECSDA Penalties Framework includes rules to define the cash discount rates – for all three options, these rules must be reviewed.</w:t>
      </w:r>
    </w:p>
    <w:p w14:paraId="18DA1F0E" w14:textId="77777777" w:rsidR="00441B2A" w:rsidRDefault="00441B2A" w:rsidP="00441B2A">
      <w:pPr>
        <w:pStyle w:val="Textkrper"/>
        <w:spacing w:before="21"/>
      </w:pPr>
      <w:r>
        <w:t>Option 1 is not supportable at all as a double currency conversion process (</w:t>
      </w:r>
      <w:proofErr w:type="gramStart"/>
      <w:r>
        <w:t>i.e.</w:t>
      </w:r>
      <w:proofErr w:type="gramEnd"/>
      <w:r>
        <w:t xml:space="preserve"> initial currency to be converted to EUR and back after penalty calculation) requires a completely new IT development (including in T2S) with too high cost for a very small business scenario and almost no benefit.</w:t>
      </w:r>
    </w:p>
    <w:p w14:paraId="4E90FD40" w14:textId="77777777" w:rsidR="00441B2A" w:rsidRDefault="00441B2A" w:rsidP="00441B2A">
      <w:pPr>
        <w:pStyle w:val="Textkrper"/>
        <w:spacing w:before="21"/>
      </w:pPr>
      <w:r>
        <w:t xml:space="preserve">Despite technical development needs – if any changes would finally be demanded by ESMA - our preference is Option 4 without applying progressive rates. The rationale is that the rates definition and maintenance process would be much simpler and transparent, avoid the need to search, calculate or source, </w:t>
      </w:r>
      <w:proofErr w:type="gramStart"/>
      <w:r>
        <w:t>monitor</w:t>
      </w:r>
      <w:proofErr w:type="gramEnd"/>
      <w:r>
        <w:t xml:space="preserve"> and update the applicable rates for any currency on a frequent basis and be comparable with the existing approach applied for “lack of securities” fails. </w:t>
      </w:r>
    </w:p>
    <w:p w14:paraId="20333000" w14:textId="29E08110" w:rsidR="005171FF" w:rsidRDefault="00441B2A" w:rsidP="00441B2A">
      <w:pPr>
        <w:pStyle w:val="Textkrper"/>
        <w:spacing w:before="21"/>
      </w:pPr>
      <w:r>
        <w:t>We cannot judge the proportionality of the daily rates as proposed by ESMA in Option 4, however, they appear very high on an annualized basis (mainly due to the progressive approach that should be avoided also from a technical perspective</w:t>
      </w:r>
      <w:proofErr w:type="gramStart"/>
      <w:r>
        <w:t>)</w:t>
      </w:r>
      <w:proofErr w:type="gramEnd"/>
      <w:r>
        <w:t xml:space="preserve"> and we are concerned that the competitiveness of the EU capital markets could be negatively impacted by the application of overly high (even extreme) daily penalty rates.</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36AF7B19" w:rsidR="005171FF" w:rsidRDefault="00441B2A" w:rsidP="005171FF">
      <w:permStart w:id="1747127182" w:edGrp="everyone"/>
      <w:r w:rsidRPr="00C478EB">
        <w:rPr>
          <w:color w:val="1A1A1A"/>
        </w:rPr>
        <w:t>We see no need for changes, please see our response to Question 1</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 xml:space="preserve">Do you agree with the approach followed for the Option you support to incorporate proportionality in the Technical Advice? If not, please provide an </w:t>
      </w:r>
      <w:r w:rsidRPr="009733AB">
        <w:lastRenderedPageBreak/>
        <w:t>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7787E93E" w:rsidR="005171FF" w:rsidRDefault="00441B2A" w:rsidP="005171FF">
      <w:permStart w:id="510220754" w:edGrp="everyone"/>
      <w:r w:rsidRPr="006A6041">
        <w:rPr>
          <w:color w:val="1A1A1A"/>
        </w:rPr>
        <w:t>Please see our response to Question 1</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lastRenderedPageBreak/>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16C3898F" w14:textId="77777777" w:rsidR="00793744" w:rsidRDefault="00793744" w:rsidP="00793744">
      <w:pPr>
        <w:pStyle w:val="Textkrper"/>
        <w:spacing w:before="24"/>
        <w:ind w:left="116" w:right="554"/>
      </w:pPr>
      <w:permStart w:id="1425227802" w:edGrp="everyone"/>
      <w:r>
        <w:t xml:space="preserve">The main cause for late matching is that instructions are sent by the participants only after their intended settlement date (ISD). </w:t>
      </w:r>
    </w:p>
    <w:p w14:paraId="6680FB07" w14:textId="7816D2DC" w:rsidR="00793744" w:rsidRDefault="00793744" w:rsidP="00793744">
      <w:pPr>
        <w:pStyle w:val="Textkrper"/>
        <w:spacing w:before="24"/>
        <w:ind w:left="116" w:right="554"/>
      </w:pPr>
      <w:r>
        <w:t xml:space="preserve">As far as we can judge and derive from our clients´ feedback, the main reasons for late matchings are related the trading level (transaction mismatches which are only rectified after the intended settlement day, </w:t>
      </w:r>
      <w:proofErr w:type="gramStart"/>
      <w:r>
        <w:t>e.g.</w:t>
      </w:r>
      <w:proofErr w:type="gramEnd"/>
      <w:r>
        <w:t xml:space="preserve"> due to price mismatches, discrepancies on the number of securities) as well as incorrect settlement instructions which require a late amendment to allow matching. In some </w:t>
      </w:r>
      <w:proofErr w:type="gramStart"/>
      <w:r>
        <w:t>cases</w:t>
      </w:r>
      <w:proofErr w:type="gramEnd"/>
      <w:r>
        <w:t xml:space="preserve"> settlement instructions for portfolio transfers are not sent in time or in the required format or contain different ISDs.</w:t>
      </w:r>
    </w:p>
    <w:p w14:paraId="7D2B31B4" w14:textId="77777777" w:rsidR="00793744" w:rsidRDefault="00793744" w:rsidP="00793744">
      <w:pPr>
        <w:pStyle w:val="Textkrper"/>
        <w:spacing w:before="24"/>
        <w:ind w:left="116" w:right="554"/>
      </w:pPr>
      <w:r>
        <w:t>However, opposite to ESMA´s statement, our data does not indicate that there are “so many” late matching instructions. For example, in 2023, 94% of the CBF transactions that settled after the intended settlement did not represent late matchings.</w:t>
      </w:r>
    </w:p>
    <w:p w14:paraId="7D1EB163" w14:textId="77777777" w:rsidR="00793744" w:rsidRDefault="00793744" w:rsidP="00793744">
      <w:pPr>
        <w:pStyle w:val="Textkrper"/>
        <w:spacing w:before="24"/>
        <w:ind w:left="116" w:right="554"/>
      </w:pPr>
      <w:r>
        <w:lastRenderedPageBreak/>
        <w:t>In our view, the tools (“hold and release”) are already available to participants to send settlement instructions to CSDs before the ISD even when no sufficient cash/ securities are available on ISD to avoid late matching. The extended use of this tool could reduce the occurrence of late matchings unless the reasons for late instructions are outside the control of the CSD participants (</w:t>
      </w:r>
      <w:proofErr w:type="gramStart"/>
      <w:r>
        <w:t>e.g.</w:t>
      </w:r>
      <w:proofErr w:type="gramEnd"/>
      <w:r>
        <w:t xml:space="preserve"> issues/ delays occur on trading level).</w:t>
      </w:r>
    </w:p>
    <w:p w14:paraId="1D880B7E" w14:textId="77777777" w:rsidR="00793744" w:rsidRDefault="00793744" w:rsidP="00793744">
      <w:pPr>
        <w:pStyle w:val="Textkrper"/>
        <w:spacing w:before="24"/>
        <w:ind w:left="116" w:right="554"/>
      </w:pPr>
      <w:r>
        <w:t xml:space="preserve">For the German market/ CBF specifically: due to legal reasons, the market claims settlement instructions generation by CBF takes place systematically only when the underlying transaction </w:t>
      </w:r>
      <w:proofErr w:type="gramStart"/>
      <w:r>
        <w:t>actually settled</w:t>
      </w:r>
      <w:proofErr w:type="gramEnd"/>
      <w:r>
        <w:t xml:space="preserve"> – when settlement occurred after ISD, late matching penalties automatically apply to the market claims. </w:t>
      </w:r>
    </w:p>
    <w:p w14:paraId="072DA33D" w14:textId="60B31FE1" w:rsidR="00793744" w:rsidRDefault="00793744" w:rsidP="00793744">
      <w:pPr>
        <w:pStyle w:val="Textkrper"/>
        <w:spacing w:before="24"/>
        <w:ind w:left="116" w:right="554"/>
      </w:pPr>
      <w:r w:rsidRPr="00ED6B7C">
        <w:t>Therefore</w:t>
      </w:r>
      <w:r w:rsidR="00ED6B7C" w:rsidRPr="00ED6B7C">
        <w:t xml:space="preserve">, </w:t>
      </w:r>
      <w:r w:rsidRPr="00ED6B7C">
        <w:t>to</w:t>
      </w:r>
      <w:r>
        <w:t xml:space="preserve"> be applied for all CSDs/ markets, we strongly recommend to fully exclude market claims (and transformations) from the scope of penalties application as well as settlement fails reporting in future as:</w:t>
      </w:r>
    </w:p>
    <w:p w14:paraId="7CDC130E" w14:textId="77777777" w:rsidR="00793744" w:rsidRDefault="00793744" w:rsidP="00793744">
      <w:pPr>
        <w:pStyle w:val="Textkrper"/>
        <w:spacing w:before="24"/>
        <w:ind w:left="116" w:right="554"/>
      </w:pPr>
      <w:r>
        <w:t>-</w:t>
      </w:r>
      <w:r>
        <w:tab/>
        <w:t xml:space="preserve">the current German market claims generation process cannot be changed due to legal </w:t>
      </w:r>
      <w:proofErr w:type="gramStart"/>
      <w:r>
        <w:t>reasons;</w:t>
      </w:r>
      <w:proofErr w:type="gramEnd"/>
    </w:p>
    <w:p w14:paraId="21D3ED42" w14:textId="77777777" w:rsidR="00793744" w:rsidRDefault="00793744" w:rsidP="00793744">
      <w:pPr>
        <w:pStyle w:val="Textkrper"/>
        <w:spacing w:before="24"/>
        <w:ind w:left="116" w:right="554"/>
      </w:pPr>
      <w:r>
        <w:t>-</w:t>
      </w:r>
      <w:r>
        <w:tab/>
        <w:t xml:space="preserve">in any case, market claims/ transformations settlement transactions do not represent trading </w:t>
      </w:r>
      <w:proofErr w:type="gramStart"/>
      <w:r>
        <w:t>activity;</w:t>
      </w:r>
      <w:proofErr w:type="gramEnd"/>
    </w:p>
    <w:p w14:paraId="5A41C97A" w14:textId="77777777" w:rsidR="00793744" w:rsidRDefault="00793744" w:rsidP="00793744">
      <w:pPr>
        <w:pStyle w:val="Textkrper"/>
        <w:spacing w:before="24"/>
        <w:ind w:left="116" w:right="554"/>
      </w:pPr>
      <w:r>
        <w:t>-</w:t>
      </w:r>
      <w:r>
        <w:tab/>
        <w:t xml:space="preserve">participants cannot directly influence the instructions </w:t>
      </w:r>
      <w:proofErr w:type="gramStart"/>
      <w:r>
        <w:t>generation;</w:t>
      </w:r>
      <w:proofErr w:type="gramEnd"/>
    </w:p>
    <w:p w14:paraId="28DB389F" w14:textId="77777777" w:rsidR="00793744" w:rsidRDefault="00793744" w:rsidP="00793744">
      <w:pPr>
        <w:pStyle w:val="Textkrper"/>
        <w:spacing w:before="24"/>
        <w:ind w:left="116" w:right="554"/>
      </w:pPr>
      <w:r>
        <w:t>-</w:t>
      </w:r>
      <w:r>
        <w:tab/>
        <w:t xml:space="preserve"> the application of penalties on market claims/ transformations leads to a kind of “double-penalization” of a single failing transaction.</w:t>
      </w:r>
    </w:p>
    <w:p w14:paraId="5E4B4DFB" w14:textId="1383D26E" w:rsidR="004F46C6" w:rsidRDefault="00793744" w:rsidP="00ED6B7C">
      <w:pPr>
        <w:pStyle w:val="Textkrper"/>
        <w:spacing w:before="24"/>
        <w:ind w:left="116" w:right="554"/>
      </w:pPr>
      <w:r>
        <w:t xml:space="preserve">Note that if a potential move to T+1 settlement resulted in a material increase in the level of settlement fails – </w:t>
      </w:r>
      <w:proofErr w:type="gramStart"/>
      <w:r>
        <w:t>i.e.</w:t>
      </w:r>
      <w:proofErr w:type="gramEnd"/>
      <w:r>
        <w:t xml:space="preserve"> increases the number of unsettled transactions over record date – the consequence of this may also be an increase in the number of market claims and subsequently late matching penalties</w:t>
      </w:r>
      <w:r w:rsidR="0041615D">
        <w:t>.</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E5E6143" w:rsidR="00EA0D0D" w:rsidRDefault="00793744" w:rsidP="00793744">
      <w:pPr>
        <w:pStyle w:val="Textkrper"/>
        <w:spacing w:before="22"/>
      </w:pPr>
      <w:permStart w:id="165553507" w:edGrp="everyone"/>
      <w:r w:rsidRPr="0053583D">
        <w:rPr>
          <w:color w:val="1A1A1A"/>
        </w:rPr>
        <w:lastRenderedPageBreak/>
        <w:t>We have no demand for a threshold but also no objections when a threshold would be applied instead of using “infinite” historical data to align with the T2S approach and simplify the calculation process</w:t>
      </w:r>
      <w:r>
        <w:rPr>
          <w:color w:val="1A1A1A"/>
        </w:rPr>
        <w:t>.</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2EBA015C" w14:textId="77777777" w:rsidR="00793744" w:rsidRPr="00E7229C" w:rsidRDefault="00793744" w:rsidP="00793744">
      <w:pPr>
        <w:pStyle w:val="Textkrper"/>
        <w:ind w:right="555"/>
      </w:pPr>
      <w:permStart w:id="804142208" w:edGrp="everyone"/>
      <w:r w:rsidRPr="00E7229C">
        <w:rPr>
          <w:color w:val="1A1A1A"/>
        </w:rPr>
        <w:t>A</w:t>
      </w:r>
      <w:r w:rsidRPr="00E7229C">
        <w:rPr>
          <w:color w:val="1A1A1A"/>
          <w:spacing w:val="-13"/>
        </w:rPr>
        <w:t xml:space="preserve"> </w:t>
      </w:r>
      <w:r w:rsidRPr="00E7229C">
        <w:rPr>
          <w:color w:val="1A1A1A"/>
        </w:rPr>
        <w:t>threshold</w:t>
      </w:r>
      <w:r w:rsidRPr="00E7229C">
        <w:rPr>
          <w:color w:val="1A1A1A"/>
          <w:spacing w:val="-12"/>
        </w:rPr>
        <w:t xml:space="preserve"> </w:t>
      </w:r>
      <w:r w:rsidRPr="00E7229C">
        <w:rPr>
          <w:color w:val="1A1A1A"/>
        </w:rPr>
        <w:t>of</w:t>
      </w:r>
      <w:r w:rsidRPr="00E7229C">
        <w:rPr>
          <w:color w:val="1A1A1A"/>
          <w:spacing w:val="-13"/>
        </w:rPr>
        <w:t xml:space="preserve"> </w:t>
      </w:r>
      <w:r w:rsidRPr="00E7229C">
        <w:rPr>
          <w:color w:val="1A1A1A"/>
        </w:rPr>
        <w:t>40</w:t>
      </w:r>
      <w:r w:rsidRPr="00E7229C">
        <w:rPr>
          <w:color w:val="1A1A1A"/>
          <w:spacing w:val="-12"/>
        </w:rPr>
        <w:t xml:space="preserve"> </w:t>
      </w:r>
      <w:r w:rsidRPr="00E7229C">
        <w:rPr>
          <w:color w:val="1A1A1A"/>
        </w:rPr>
        <w:t>settlement</w:t>
      </w:r>
      <w:r w:rsidRPr="00E7229C">
        <w:rPr>
          <w:color w:val="1A1A1A"/>
          <w:spacing w:val="-13"/>
        </w:rPr>
        <w:t xml:space="preserve"> </w:t>
      </w:r>
      <w:r w:rsidRPr="00E7229C">
        <w:rPr>
          <w:color w:val="1A1A1A"/>
        </w:rPr>
        <w:t>days</w:t>
      </w:r>
      <w:r w:rsidRPr="00E7229C">
        <w:rPr>
          <w:color w:val="1A1A1A"/>
          <w:spacing w:val="-12"/>
        </w:rPr>
        <w:t xml:space="preserve"> </w:t>
      </w:r>
      <w:r w:rsidRPr="00E7229C">
        <w:rPr>
          <w:color w:val="1A1A1A"/>
        </w:rPr>
        <w:t>for</w:t>
      </w:r>
      <w:r w:rsidRPr="00E7229C">
        <w:rPr>
          <w:color w:val="1A1A1A"/>
          <w:spacing w:val="-13"/>
        </w:rPr>
        <w:t xml:space="preserve"> </w:t>
      </w:r>
      <w:r w:rsidRPr="00E7229C">
        <w:rPr>
          <w:color w:val="1A1A1A"/>
        </w:rPr>
        <w:t>late</w:t>
      </w:r>
      <w:r w:rsidRPr="00E7229C">
        <w:rPr>
          <w:color w:val="1A1A1A"/>
          <w:spacing w:val="-12"/>
        </w:rPr>
        <w:t xml:space="preserve"> </w:t>
      </w:r>
      <w:r w:rsidRPr="00E7229C">
        <w:rPr>
          <w:color w:val="1A1A1A"/>
        </w:rPr>
        <w:t>matching</w:t>
      </w:r>
      <w:r w:rsidRPr="00E7229C">
        <w:rPr>
          <w:color w:val="1A1A1A"/>
          <w:spacing w:val="-12"/>
        </w:rPr>
        <w:t xml:space="preserve"> </w:t>
      </w:r>
      <w:r w:rsidRPr="00E7229C">
        <w:rPr>
          <w:color w:val="1A1A1A"/>
        </w:rPr>
        <w:t>scenarios</w:t>
      </w:r>
      <w:r w:rsidRPr="00E7229C">
        <w:rPr>
          <w:color w:val="1A1A1A"/>
          <w:spacing w:val="-13"/>
        </w:rPr>
        <w:t xml:space="preserve"> </w:t>
      </w:r>
      <w:r w:rsidRPr="00E7229C">
        <w:rPr>
          <w:color w:val="1A1A1A"/>
        </w:rPr>
        <w:t>should</w:t>
      </w:r>
      <w:r w:rsidRPr="00E7229C">
        <w:rPr>
          <w:color w:val="1A1A1A"/>
          <w:spacing w:val="-12"/>
        </w:rPr>
        <w:t xml:space="preserve"> </w:t>
      </w:r>
      <w:r w:rsidRPr="00E7229C">
        <w:rPr>
          <w:color w:val="1A1A1A"/>
        </w:rPr>
        <w:t>be</w:t>
      </w:r>
      <w:r w:rsidRPr="00E7229C">
        <w:rPr>
          <w:color w:val="1A1A1A"/>
          <w:spacing w:val="-13"/>
        </w:rPr>
        <w:t xml:space="preserve"> </w:t>
      </w:r>
      <w:r w:rsidRPr="00E7229C">
        <w:rPr>
          <w:color w:val="1A1A1A"/>
        </w:rPr>
        <w:t>sufficient.</w:t>
      </w:r>
      <w:r w:rsidRPr="00E7229C">
        <w:rPr>
          <w:color w:val="1A1A1A"/>
          <w:spacing w:val="-12"/>
        </w:rPr>
        <w:t xml:space="preserve"> </w:t>
      </w:r>
      <w:r w:rsidRPr="00E7229C">
        <w:rPr>
          <w:color w:val="1A1A1A"/>
        </w:rPr>
        <w:t>Late</w:t>
      </w:r>
      <w:r w:rsidRPr="00E7229C">
        <w:rPr>
          <w:color w:val="1A1A1A"/>
          <w:spacing w:val="-13"/>
        </w:rPr>
        <w:t xml:space="preserve"> </w:t>
      </w:r>
      <w:r w:rsidRPr="00E7229C">
        <w:rPr>
          <w:color w:val="1A1A1A"/>
        </w:rPr>
        <w:t>matching</w:t>
      </w:r>
      <w:r w:rsidRPr="00E7229C">
        <w:rPr>
          <w:color w:val="1A1A1A"/>
          <w:spacing w:val="-12"/>
        </w:rPr>
        <w:t xml:space="preserve"> </w:t>
      </w:r>
      <w:r w:rsidRPr="00E7229C">
        <w:rPr>
          <w:color w:val="1A1A1A"/>
        </w:rPr>
        <w:t>refers to instances where the confirmation of trade details between counterparties is delayed, typically occurring after the standard settlement cycle. A 40-day limit provides a reasonable timeframe for parties to resolve matching issues without unduly prolonging the settlement process.</w:t>
      </w:r>
    </w:p>
    <w:p w14:paraId="636A0594" w14:textId="29A697CE" w:rsidR="00EA0D0D" w:rsidRDefault="00793744" w:rsidP="00793744">
      <w:r w:rsidRPr="00E7229C">
        <w:rPr>
          <w:color w:val="1A1A1A"/>
        </w:rPr>
        <w:t>In</w:t>
      </w:r>
      <w:r w:rsidRPr="00E7229C">
        <w:rPr>
          <w:color w:val="1A1A1A"/>
          <w:spacing w:val="-3"/>
        </w:rPr>
        <w:t xml:space="preserve"> </w:t>
      </w:r>
      <w:r w:rsidRPr="00E7229C">
        <w:rPr>
          <w:color w:val="1A1A1A"/>
        </w:rPr>
        <w:t>specific</w:t>
      </w:r>
      <w:r w:rsidRPr="00E7229C">
        <w:rPr>
          <w:color w:val="1A1A1A"/>
          <w:spacing w:val="-4"/>
        </w:rPr>
        <w:t xml:space="preserve"> </w:t>
      </w:r>
      <w:r w:rsidRPr="00E7229C">
        <w:rPr>
          <w:color w:val="1A1A1A"/>
        </w:rPr>
        <w:t>cases</w:t>
      </w:r>
      <w:r w:rsidRPr="00E7229C">
        <w:rPr>
          <w:color w:val="1A1A1A"/>
          <w:spacing w:val="-3"/>
        </w:rPr>
        <w:t xml:space="preserve"> </w:t>
      </w:r>
      <w:r w:rsidRPr="00E7229C">
        <w:rPr>
          <w:color w:val="1A1A1A"/>
        </w:rPr>
        <w:t>where</w:t>
      </w:r>
      <w:r w:rsidRPr="00E7229C">
        <w:rPr>
          <w:color w:val="1A1A1A"/>
          <w:spacing w:val="-1"/>
        </w:rPr>
        <w:t xml:space="preserve"> </w:t>
      </w:r>
      <w:r w:rsidRPr="00E7229C">
        <w:rPr>
          <w:color w:val="1A1A1A"/>
        </w:rPr>
        <w:t>the</w:t>
      </w:r>
      <w:r w:rsidRPr="00E7229C">
        <w:rPr>
          <w:color w:val="1A1A1A"/>
          <w:spacing w:val="-3"/>
        </w:rPr>
        <w:t xml:space="preserve"> </w:t>
      </w:r>
      <w:r w:rsidRPr="00E7229C">
        <w:rPr>
          <w:color w:val="1A1A1A"/>
        </w:rPr>
        <w:t>instruction</w:t>
      </w:r>
      <w:r w:rsidRPr="00E7229C">
        <w:rPr>
          <w:color w:val="1A1A1A"/>
          <w:spacing w:val="-4"/>
        </w:rPr>
        <w:t xml:space="preserve"> </w:t>
      </w:r>
      <w:r w:rsidRPr="00E7229C">
        <w:rPr>
          <w:color w:val="1A1A1A"/>
        </w:rPr>
        <w:t>of</w:t>
      </w:r>
      <w:r w:rsidRPr="00E7229C">
        <w:rPr>
          <w:color w:val="1A1A1A"/>
          <w:spacing w:val="-4"/>
        </w:rPr>
        <w:t xml:space="preserve"> </w:t>
      </w:r>
      <w:r w:rsidRPr="00E7229C">
        <w:rPr>
          <w:color w:val="1A1A1A"/>
        </w:rPr>
        <w:t>transactions</w:t>
      </w:r>
      <w:r w:rsidRPr="00E7229C">
        <w:rPr>
          <w:color w:val="1A1A1A"/>
          <w:spacing w:val="-6"/>
        </w:rPr>
        <w:t xml:space="preserve"> </w:t>
      </w:r>
      <w:r w:rsidRPr="00E7229C">
        <w:rPr>
          <w:color w:val="1A1A1A"/>
        </w:rPr>
        <w:t>with</w:t>
      </w:r>
      <w:r w:rsidRPr="00E7229C">
        <w:rPr>
          <w:color w:val="1A1A1A"/>
          <w:spacing w:val="-1"/>
        </w:rPr>
        <w:t xml:space="preserve"> </w:t>
      </w:r>
      <w:r w:rsidRPr="00E7229C">
        <w:rPr>
          <w:color w:val="1A1A1A"/>
        </w:rPr>
        <w:t>a</w:t>
      </w:r>
      <w:r w:rsidRPr="00E7229C">
        <w:rPr>
          <w:color w:val="1A1A1A"/>
          <w:spacing w:val="-3"/>
        </w:rPr>
        <w:t xml:space="preserve"> </w:t>
      </w:r>
      <w:r w:rsidRPr="00E7229C">
        <w:rPr>
          <w:color w:val="1A1A1A"/>
        </w:rPr>
        <w:t>value</w:t>
      </w:r>
      <w:r w:rsidRPr="00E7229C">
        <w:rPr>
          <w:color w:val="1A1A1A"/>
          <w:spacing w:val="-3"/>
        </w:rPr>
        <w:t xml:space="preserve"> </w:t>
      </w:r>
      <w:r w:rsidRPr="00E7229C">
        <w:rPr>
          <w:color w:val="1A1A1A"/>
        </w:rPr>
        <w:t>date</w:t>
      </w:r>
      <w:r w:rsidRPr="00E7229C">
        <w:rPr>
          <w:color w:val="1A1A1A"/>
          <w:spacing w:val="-3"/>
        </w:rPr>
        <w:t xml:space="preserve"> </w:t>
      </w:r>
      <w:r w:rsidRPr="00E7229C">
        <w:rPr>
          <w:color w:val="1A1A1A"/>
        </w:rPr>
        <w:t>more</w:t>
      </w:r>
      <w:r w:rsidRPr="00E7229C">
        <w:rPr>
          <w:color w:val="1A1A1A"/>
          <w:spacing w:val="-3"/>
        </w:rPr>
        <w:t xml:space="preserve"> </w:t>
      </w:r>
      <w:r w:rsidRPr="00E7229C">
        <w:rPr>
          <w:color w:val="1A1A1A"/>
        </w:rPr>
        <w:t>than</w:t>
      </w:r>
      <w:r w:rsidRPr="00E7229C">
        <w:rPr>
          <w:color w:val="1A1A1A"/>
          <w:spacing w:val="-2"/>
        </w:rPr>
        <w:t xml:space="preserve"> </w:t>
      </w:r>
      <w:r w:rsidRPr="00E7229C">
        <w:rPr>
          <w:color w:val="1A1A1A"/>
        </w:rPr>
        <w:t>40</w:t>
      </w:r>
      <w:r w:rsidRPr="00E7229C">
        <w:rPr>
          <w:color w:val="1A1A1A"/>
          <w:spacing w:val="-3"/>
        </w:rPr>
        <w:t xml:space="preserve"> </w:t>
      </w:r>
      <w:r w:rsidRPr="00E7229C">
        <w:rPr>
          <w:color w:val="1A1A1A"/>
        </w:rPr>
        <w:t>days</w:t>
      </w:r>
      <w:r w:rsidRPr="00E7229C">
        <w:rPr>
          <w:color w:val="1A1A1A"/>
          <w:spacing w:val="-3"/>
        </w:rPr>
        <w:t xml:space="preserve"> </w:t>
      </w:r>
      <w:r w:rsidRPr="00E7229C">
        <w:rPr>
          <w:color w:val="1A1A1A"/>
        </w:rPr>
        <w:t>in</w:t>
      </w:r>
      <w:r w:rsidRPr="00E7229C">
        <w:rPr>
          <w:color w:val="1A1A1A"/>
          <w:spacing w:val="-1"/>
        </w:rPr>
        <w:t xml:space="preserve"> </w:t>
      </w:r>
      <w:r w:rsidRPr="00E7229C">
        <w:rPr>
          <w:color w:val="1A1A1A"/>
        </w:rPr>
        <w:t>the</w:t>
      </w:r>
      <w:r w:rsidRPr="00E7229C">
        <w:rPr>
          <w:color w:val="1A1A1A"/>
          <w:spacing w:val="-4"/>
        </w:rPr>
        <w:t xml:space="preserve"> </w:t>
      </w:r>
      <w:r w:rsidRPr="00E7229C">
        <w:rPr>
          <w:color w:val="1A1A1A"/>
        </w:rPr>
        <w:t>past is necessary, instructions should be based on current data, and the parties involved should explore alternative means for possible compensation</w:t>
      </w:r>
      <w:r>
        <w:rPr>
          <w:color w:val="1A1A1A"/>
        </w:rPr>
        <w:t>.</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lastRenderedPageBreak/>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6DC6517B" w14:textId="77777777" w:rsidR="00793744" w:rsidRPr="0067233A" w:rsidRDefault="00793744" w:rsidP="00793744">
      <w:pPr>
        <w:spacing w:before="239"/>
        <w:ind w:left="116" w:right="-31"/>
        <w:rPr>
          <w:color w:val="1A1A1A"/>
        </w:rPr>
      </w:pPr>
      <w:permStart w:id="1025510098" w:edGrp="everyone"/>
      <w:r>
        <w:rPr>
          <w:color w:val="1A1A1A"/>
        </w:rPr>
        <w:t>GBIC</w:t>
      </w:r>
      <w:r w:rsidRPr="0067233A">
        <w:rPr>
          <w:color w:val="1A1A1A"/>
        </w:rPr>
        <w:t xml:space="preserve"> wonders why this question is posed by ESMA at all as we see no need to change the current reference data sourcing approaches and responsibilities as there is always only one CSD or platform that is </w:t>
      </w:r>
      <w:proofErr w:type="gramStart"/>
      <w:r w:rsidRPr="0067233A">
        <w:rPr>
          <w:color w:val="1A1A1A"/>
        </w:rPr>
        <w:t>actually calculating</w:t>
      </w:r>
      <w:proofErr w:type="gramEnd"/>
      <w:r w:rsidRPr="0067233A">
        <w:rPr>
          <w:color w:val="1A1A1A"/>
        </w:rPr>
        <w:t xml:space="preserve"> the penalties.</w:t>
      </w:r>
    </w:p>
    <w:p w14:paraId="6C30D930" w14:textId="77777777" w:rsidR="00793744" w:rsidRPr="0067233A" w:rsidRDefault="00793744" w:rsidP="00793744">
      <w:pPr>
        <w:spacing w:before="239"/>
        <w:ind w:left="116" w:right="-31"/>
        <w:rPr>
          <w:color w:val="1A1A1A"/>
        </w:rPr>
      </w:pPr>
      <w:r w:rsidRPr="0067233A">
        <w:rPr>
          <w:color w:val="1A1A1A"/>
        </w:rPr>
        <w:t>Creating another dependency/ complexity on Issuer-CSDs to provide reference data across systems to other CSDs must be avoided. Also, it is unclear in such case how data from Issuer-CSDs outside the EU/ EEA could be covered at all for penalty purposes.</w:t>
      </w:r>
    </w:p>
    <w:p w14:paraId="7953C470" w14:textId="742F29C8" w:rsidR="00EA0D0D" w:rsidRDefault="00793744" w:rsidP="00793744">
      <w:pPr>
        <w:spacing w:before="239"/>
        <w:ind w:left="116" w:right="-31"/>
      </w:pPr>
      <w:r w:rsidRPr="0067233A">
        <w:rPr>
          <w:color w:val="1A1A1A"/>
        </w:rPr>
        <w:t>We repeat our strong recommendation for ESMA to centrally provide and publish all reference data needed to calculate penalties in a single database accessible to all stakeholders.</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77777777" w:rsidR="00EA0D0D" w:rsidRDefault="00EA0D0D">
      <w:permStart w:id="68043086" w:edGrp="everyone"/>
      <w:r>
        <w:t>TYPE YOUR TEXT HERE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3A9EC33C" w14:textId="77777777" w:rsidR="00DB3235" w:rsidRPr="002C5153" w:rsidRDefault="00DB3235" w:rsidP="00DB3235">
      <w:pPr>
        <w:spacing w:before="238"/>
        <w:ind w:left="116" w:right="111"/>
        <w:rPr>
          <w:color w:val="1A1A1A"/>
        </w:rPr>
      </w:pPr>
      <w:permStart w:id="1297758787" w:edGrp="everyone"/>
      <w:r>
        <w:rPr>
          <w:color w:val="1A1A1A"/>
        </w:rPr>
        <w:t>We</w:t>
      </w:r>
      <w:r w:rsidRPr="002C5153">
        <w:rPr>
          <w:color w:val="1A1A1A"/>
        </w:rPr>
        <w:t xml:space="preserve"> believe that the latest available reference price should be used to calculate any late matching penalties. </w:t>
      </w:r>
      <w:proofErr w:type="gramStart"/>
      <w:r w:rsidRPr="002C5153">
        <w:rPr>
          <w:color w:val="1A1A1A"/>
        </w:rPr>
        <w:t>I.e.</w:t>
      </w:r>
      <w:proofErr w:type="gramEnd"/>
      <w:r w:rsidRPr="002C5153">
        <w:rPr>
          <w:color w:val="1A1A1A"/>
        </w:rPr>
        <w:t xml:space="preserve"> the reference price as applicable on the actual late matching date should apply for any past fail day from ISD up to matching day minus 1 Business day.</w:t>
      </w:r>
    </w:p>
    <w:p w14:paraId="77B4B6BA" w14:textId="77777777" w:rsidR="00DB3235" w:rsidRPr="002C5153" w:rsidRDefault="00DB3235" w:rsidP="00DB3235">
      <w:pPr>
        <w:spacing w:before="238"/>
        <w:ind w:left="116" w:right="111"/>
        <w:rPr>
          <w:color w:val="1A1A1A"/>
        </w:rPr>
      </w:pPr>
      <w:r w:rsidRPr="002C5153">
        <w:rPr>
          <w:color w:val="1A1A1A"/>
        </w:rPr>
        <w:lastRenderedPageBreak/>
        <w:t xml:space="preserve">Benefits: </w:t>
      </w:r>
    </w:p>
    <w:p w14:paraId="6AD2E6EB" w14:textId="77777777" w:rsidR="00DB3235" w:rsidRPr="002C5153" w:rsidRDefault="00DB3235" w:rsidP="00DB3235">
      <w:pPr>
        <w:spacing w:before="238"/>
        <w:ind w:left="116" w:right="111"/>
        <w:rPr>
          <w:color w:val="1A1A1A"/>
        </w:rPr>
      </w:pPr>
      <w:r w:rsidRPr="002C5153">
        <w:rPr>
          <w:color w:val="1A1A1A"/>
        </w:rPr>
        <w:t>-</w:t>
      </w:r>
      <w:r w:rsidRPr="002C5153">
        <w:rPr>
          <w:color w:val="1A1A1A"/>
        </w:rPr>
        <w:tab/>
        <w:t xml:space="preserve">same price used for LMFPs used for all past fail </w:t>
      </w:r>
      <w:proofErr w:type="gramStart"/>
      <w:r w:rsidRPr="002C5153">
        <w:rPr>
          <w:color w:val="1A1A1A"/>
        </w:rPr>
        <w:t>days;</w:t>
      </w:r>
      <w:proofErr w:type="gramEnd"/>
      <w:r w:rsidRPr="002C5153">
        <w:rPr>
          <w:color w:val="1A1A1A"/>
        </w:rPr>
        <w:t xml:space="preserve"> </w:t>
      </w:r>
    </w:p>
    <w:p w14:paraId="37F1AE32" w14:textId="77777777" w:rsidR="00DB3235" w:rsidRPr="002C5153" w:rsidRDefault="00DB3235" w:rsidP="00DB3235">
      <w:pPr>
        <w:spacing w:before="238"/>
        <w:ind w:left="116" w:right="111"/>
        <w:rPr>
          <w:color w:val="1A1A1A"/>
        </w:rPr>
      </w:pPr>
      <w:r w:rsidRPr="002C5153">
        <w:rPr>
          <w:color w:val="1A1A1A"/>
        </w:rPr>
        <w:t>-</w:t>
      </w:r>
      <w:r w:rsidRPr="002C5153">
        <w:rPr>
          <w:color w:val="1A1A1A"/>
        </w:rPr>
        <w:tab/>
        <w:t xml:space="preserve">less penalties calculation </w:t>
      </w:r>
      <w:proofErr w:type="gramStart"/>
      <w:r w:rsidRPr="002C5153">
        <w:rPr>
          <w:color w:val="1A1A1A"/>
        </w:rPr>
        <w:t>complexity;</w:t>
      </w:r>
      <w:proofErr w:type="gramEnd"/>
      <w:r w:rsidRPr="002C5153">
        <w:rPr>
          <w:color w:val="1A1A1A"/>
        </w:rPr>
        <w:t xml:space="preserve"> </w:t>
      </w:r>
    </w:p>
    <w:p w14:paraId="4DB49280" w14:textId="77777777" w:rsidR="00DB3235" w:rsidRPr="002C5153" w:rsidRDefault="00DB3235" w:rsidP="00DB3235">
      <w:pPr>
        <w:spacing w:before="238"/>
        <w:ind w:left="116" w:right="111"/>
        <w:rPr>
          <w:color w:val="1A1A1A"/>
        </w:rPr>
      </w:pPr>
      <w:r w:rsidRPr="002C5153">
        <w:rPr>
          <w:color w:val="1A1A1A"/>
        </w:rPr>
        <w:t>-</w:t>
      </w:r>
      <w:r w:rsidRPr="002C5153">
        <w:rPr>
          <w:color w:val="1A1A1A"/>
        </w:rPr>
        <w:tab/>
        <w:t xml:space="preserve">the latest available (market) price represents the current/ actual “cost” of a </w:t>
      </w:r>
      <w:proofErr w:type="gramStart"/>
      <w:r w:rsidRPr="002C5153">
        <w:rPr>
          <w:color w:val="1A1A1A"/>
        </w:rPr>
        <w:t>fail</w:t>
      </w:r>
      <w:proofErr w:type="gramEnd"/>
      <w:r w:rsidRPr="002C5153">
        <w:rPr>
          <w:color w:val="1A1A1A"/>
        </w:rPr>
        <w:t>.</w:t>
      </w:r>
    </w:p>
    <w:p w14:paraId="23650647" w14:textId="77777777" w:rsidR="00DB3235" w:rsidRPr="002C5153" w:rsidRDefault="00DB3235" w:rsidP="00DB3235">
      <w:pPr>
        <w:spacing w:before="238"/>
        <w:ind w:left="116" w:right="111"/>
        <w:rPr>
          <w:color w:val="1A1A1A"/>
        </w:rPr>
      </w:pPr>
      <w:r w:rsidRPr="002C5153">
        <w:rPr>
          <w:color w:val="1A1A1A"/>
        </w:rPr>
        <w:t xml:space="preserve">Cost: </w:t>
      </w:r>
    </w:p>
    <w:p w14:paraId="4AFEB6FA" w14:textId="7CF51AFB" w:rsidR="00EA0D0D" w:rsidRDefault="00DB3235" w:rsidP="00DB3235">
      <w:pPr>
        <w:spacing w:before="238"/>
        <w:ind w:left="116" w:right="111"/>
      </w:pPr>
      <w:r w:rsidRPr="002C5153">
        <w:rPr>
          <w:color w:val="1A1A1A"/>
        </w:rPr>
        <w:t>-</w:t>
      </w:r>
      <w:r w:rsidRPr="002C5153">
        <w:rPr>
          <w:color w:val="1A1A1A"/>
        </w:rPr>
        <w:tab/>
        <w:t>IT implementation and testing cost (medium).</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5946E49F" w14:textId="77777777" w:rsidR="002C6447" w:rsidRPr="00D56C68" w:rsidRDefault="002C6447" w:rsidP="002C6447">
      <w:pPr>
        <w:spacing w:before="239"/>
        <w:ind w:left="116"/>
        <w:rPr>
          <w:color w:val="1A1A1A"/>
          <w:spacing w:val="-2"/>
        </w:rPr>
      </w:pPr>
      <w:permStart w:id="1762339064" w:edGrp="everyone"/>
      <w:r w:rsidRPr="00D56C68">
        <w:rPr>
          <w:color w:val="1A1A1A"/>
          <w:spacing w:val="-2"/>
        </w:rPr>
        <w:t xml:space="preserve">We agree to optionally allow to limit the age of reference date used to calculate penalties. </w:t>
      </w:r>
    </w:p>
    <w:p w14:paraId="1635F331" w14:textId="7083E860" w:rsidR="00EA0D0D" w:rsidRDefault="002C6447" w:rsidP="002C6447">
      <w:r w:rsidRPr="00D56C68">
        <w:rPr>
          <w:color w:val="1A1A1A"/>
          <w:spacing w:val="-2"/>
        </w:rPr>
        <w:t>However, we believe proportionality would be best achieved by ESMA to centrally provide and publish all reference data needed to calculate penalties in a single database being accessible to all stakeholders</w:t>
      </w:r>
      <w:r>
        <w:rPr>
          <w:color w:val="1A1A1A"/>
          <w:spacing w:val="-2"/>
        </w:rPr>
        <w:t>.</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7B3BFB1" w14:textId="77777777" w:rsidR="002C6447" w:rsidRPr="001C69D9" w:rsidRDefault="002C6447" w:rsidP="002C6447">
      <w:pPr>
        <w:ind w:left="116"/>
        <w:rPr>
          <w:color w:val="1A1A1A"/>
          <w:spacing w:val="-2"/>
        </w:rPr>
      </w:pPr>
      <w:permStart w:id="707362631" w:edGrp="everyone"/>
      <w:r>
        <w:rPr>
          <w:color w:val="1A1A1A"/>
          <w:spacing w:val="-2"/>
        </w:rPr>
        <w:t>W</w:t>
      </w:r>
      <w:r w:rsidRPr="001C69D9">
        <w:rPr>
          <w:color w:val="1A1A1A"/>
          <w:spacing w:val="-2"/>
        </w:rPr>
        <w:t xml:space="preserve">e do not see relevant benefits in ESMA´s change proposal. </w:t>
      </w:r>
    </w:p>
    <w:p w14:paraId="10C59849" w14:textId="17E95858" w:rsidR="00A2376B" w:rsidRDefault="002C6447" w:rsidP="002C6447">
      <w:r w:rsidRPr="001C69D9">
        <w:rPr>
          <w:color w:val="1A1A1A"/>
          <w:spacing w:val="-2"/>
        </w:rPr>
        <w:t>Instead, as stated in Q11, we believe it would be a much leaner approach when the latest available reference price would be used to calculate any penalties between the ISD and the actual matching date minus 1 BD</w:t>
      </w:r>
      <w:r>
        <w:rPr>
          <w:color w:val="1A1A1A"/>
          <w:spacing w:val="-2"/>
        </w:rPr>
        <w:t>.</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189DE7E7" w:rsidR="007144DA" w:rsidRDefault="002C6447" w:rsidP="007144DA">
      <w:permStart w:id="677079778" w:edGrp="everyone"/>
      <w:r w:rsidRPr="00A368DE">
        <w:rPr>
          <w:color w:val="1A1A1A"/>
          <w:spacing w:val="-2"/>
        </w:rPr>
        <w:t xml:space="preserve">As stated in Q11, </w:t>
      </w:r>
      <w:r>
        <w:rPr>
          <w:color w:val="1A1A1A"/>
          <w:spacing w:val="-2"/>
        </w:rPr>
        <w:t>we</w:t>
      </w:r>
      <w:r w:rsidRPr="00A368DE">
        <w:rPr>
          <w:color w:val="1A1A1A"/>
          <w:spacing w:val="-2"/>
        </w:rPr>
        <w:t xml:space="preserve"> believe it would be a much leaner approach when the latest available reference price would be used to calculate any penalties between the ISD and the actual matching date minus 1 BD</w:t>
      </w:r>
      <w:r>
        <w:rPr>
          <w:color w:val="1A1A1A"/>
          <w:spacing w:val="-2"/>
        </w:rPr>
        <w:t>.</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1D82F425" w14:textId="5D548DE0" w:rsidR="00B23F5C" w:rsidRPr="00ED6B7C" w:rsidRDefault="00C9174C" w:rsidP="00B23F5C">
      <w:pPr>
        <w:pStyle w:val="Textkrper"/>
        <w:ind w:left="116"/>
        <w:rPr>
          <w:color w:val="auto"/>
        </w:rPr>
      </w:pPr>
      <w:permStart w:id="1522626052" w:edGrp="everyone"/>
      <w:r>
        <w:rPr>
          <w:color w:val="1A1A1A"/>
          <w:highlight w:val="yellow"/>
        </w:rPr>
        <w:t>A</w:t>
      </w:r>
      <w:r>
        <w:rPr>
          <w:color w:val="1A1A1A"/>
          <w:spacing w:val="40"/>
          <w:highlight w:val="yellow"/>
        </w:rPr>
        <w:t xml:space="preserve"> </w:t>
      </w:r>
      <w:r>
        <w:rPr>
          <w:color w:val="1A1A1A"/>
          <w:highlight w:val="yellow"/>
        </w:rPr>
        <w:t>slight</w:t>
      </w:r>
      <w:r>
        <w:rPr>
          <w:color w:val="1A1A1A"/>
          <w:spacing w:val="40"/>
          <w:highlight w:val="yellow"/>
        </w:rPr>
        <w:t xml:space="preserve"> </w:t>
      </w:r>
      <w:r>
        <w:rPr>
          <w:color w:val="1A1A1A"/>
          <w:highlight w:val="yellow"/>
        </w:rPr>
        <w:t>decrease</w:t>
      </w:r>
      <w:r>
        <w:rPr>
          <w:color w:val="1A1A1A"/>
          <w:spacing w:val="40"/>
          <w:highlight w:val="yellow"/>
        </w:rPr>
        <w:t xml:space="preserve"> </w:t>
      </w:r>
      <w:r>
        <w:rPr>
          <w:color w:val="1A1A1A"/>
          <w:highlight w:val="yellow"/>
        </w:rPr>
        <w:t>in</w:t>
      </w:r>
      <w:r>
        <w:rPr>
          <w:color w:val="1A1A1A"/>
          <w:spacing w:val="40"/>
          <w:highlight w:val="yellow"/>
        </w:rPr>
        <w:t xml:space="preserve"> </w:t>
      </w:r>
      <w:r>
        <w:rPr>
          <w:color w:val="1A1A1A"/>
          <w:highlight w:val="yellow"/>
        </w:rPr>
        <w:t>penalties</w:t>
      </w:r>
      <w:r>
        <w:rPr>
          <w:color w:val="1A1A1A"/>
          <w:spacing w:val="40"/>
          <w:highlight w:val="yellow"/>
        </w:rPr>
        <w:t xml:space="preserve"> </w:t>
      </w:r>
      <w:r>
        <w:rPr>
          <w:color w:val="1A1A1A"/>
          <w:highlight w:val="yellow"/>
        </w:rPr>
        <w:t>has</w:t>
      </w:r>
      <w:r>
        <w:rPr>
          <w:color w:val="1A1A1A"/>
          <w:spacing w:val="40"/>
          <w:highlight w:val="yellow"/>
        </w:rPr>
        <w:t xml:space="preserve"> </w:t>
      </w:r>
      <w:r>
        <w:rPr>
          <w:color w:val="1A1A1A"/>
          <w:highlight w:val="yellow"/>
        </w:rPr>
        <w:t>been</w:t>
      </w:r>
      <w:r>
        <w:rPr>
          <w:color w:val="1A1A1A"/>
          <w:spacing w:val="40"/>
          <w:highlight w:val="yellow"/>
        </w:rPr>
        <w:t xml:space="preserve"> </w:t>
      </w:r>
      <w:r>
        <w:rPr>
          <w:color w:val="1A1A1A"/>
          <w:highlight w:val="yellow"/>
        </w:rPr>
        <w:t>observed</w:t>
      </w:r>
      <w:r>
        <w:rPr>
          <w:color w:val="1A1A1A"/>
          <w:spacing w:val="40"/>
          <w:highlight w:val="yellow"/>
        </w:rPr>
        <w:t xml:space="preserve"> </w:t>
      </w:r>
      <w:r>
        <w:rPr>
          <w:color w:val="1A1A1A"/>
          <w:highlight w:val="yellow"/>
        </w:rPr>
        <w:t>since</w:t>
      </w:r>
      <w:r>
        <w:rPr>
          <w:color w:val="1A1A1A"/>
          <w:spacing w:val="40"/>
          <w:highlight w:val="yellow"/>
        </w:rPr>
        <w:t xml:space="preserve"> </w:t>
      </w:r>
      <w:r>
        <w:rPr>
          <w:color w:val="1A1A1A"/>
          <w:highlight w:val="yellow"/>
        </w:rPr>
        <w:t>the</w:t>
      </w:r>
      <w:r>
        <w:rPr>
          <w:color w:val="1A1A1A"/>
          <w:spacing w:val="40"/>
          <w:highlight w:val="yellow"/>
        </w:rPr>
        <w:t xml:space="preserve"> </w:t>
      </w:r>
      <w:r>
        <w:rPr>
          <w:color w:val="1A1A1A"/>
          <w:highlight w:val="yellow"/>
        </w:rPr>
        <w:t>introduction</w:t>
      </w:r>
      <w:r>
        <w:rPr>
          <w:color w:val="1A1A1A"/>
          <w:spacing w:val="40"/>
          <w:highlight w:val="yellow"/>
        </w:rPr>
        <w:t xml:space="preserve"> </w:t>
      </w:r>
      <w:r>
        <w:rPr>
          <w:color w:val="1A1A1A"/>
          <w:highlight w:val="yellow"/>
        </w:rPr>
        <w:t>of</w:t>
      </w:r>
      <w:r>
        <w:rPr>
          <w:color w:val="1A1A1A"/>
          <w:spacing w:val="40"/>
          <w:highlight w:val="yellow"/>
        </w:rPr>
        <w:t xml:space="preserve"> </w:t>
      </w:r>
      <w:r>
        <w:rPr>
          <w:color w:val="1A1A1A"/>
          <w:highlight w:val="yellow"/>
        </w:rPr>
        <w:t>CSDR.</w:t>
      </w:r>
      <w:r>
        <w:rPr>
          <w:color w:val="1A1A1A"/>
          <w:spacing w:val="40"/>
          <w:highlight w:val="yellow"/>
        </w:rPr>
        <w:t xml:space="preserve"> </w:t>
      </w:r>
      <w:r>
        <w:rPr>
          <w:color w:val="1A1A1A"/>
          <w:highlight w:val="yellow"/>
        </w:rPr>
        <w:t>However,</w:t>
      </w:r>
      <w:r>
        <w:rPr>
          <w:color w:val="1A1A1A"/>
          <w:spacing w:val="40"/>
          <w:highlight w:val="yellow"/>
        </w:rPr>
        <w:t xml:space="preserve"> </w:t>
      </w:r>
      <w:r>
        <w:rPr>
          <w:color w:val="1A1A1A"/>
          <w:highlight w:val="yellow"/>
        </w:rPr>
        <w:t>the</w:t>
      </w:r>
      <w:r>
        <w:rPr>
          <w:color w:val="1A1A1A"/>
        </w:rPr>
        <w:t xml:space="preserve"> </w:t>
      </w:r>
      <w:r>
        <w:rPr>
          <w:color w:val="1A1A1A"/>
          <w:highlight w:val="yellow"/>
        </w:rPr>
        <w:t xml:space="preserve">fundamental disciplinary impact is, in our view, not noticeable due to the low </w:t>
      </w:r>
      <w:r w:rsidRPr="00ED6B7C">
        <w:rPr>
          <w:color w:val="auto"/>
          <w:highlight w:val="yellow"/>
        </w:rPr>
        <w:t>penalty rates so far.</w:t>
      </w:r>
      <w:r w:rsidR="00B23F5C" w:rsidRPr="00ED6B7C">
        <w:rPr>
          <w:color w:val="auto"/>
        </w:rPr>
        <w:t xml:space="preserve"> The annual settlement efficiency data published by </w:t>
      </w:r>
      <w:proofErr w:type="spellStart"/>
      <w:r w:rsidR="00B23F5C" w:rsidRPr="00ED6B7C">
        <w:rPr>
          <w:color w:val="auto"/>
        </w:rPr>
        <w:t>Clearstream</w:t>
      </w:r>
      <w:proofErr w:type="spellEnd"/>
      <w:r w:rsidR="00B23F5C" w:rsidRPr="00ED6B7C">
        <w:rPr>
          <w:color w:val="auto"/>
        </w:rPr>
        <w:t xml:space="preserve"> shows a significant increase in the “by volume” and “by value” settlement efficiency rates for 2023 compared to 2022:</w:t>
      </w:r>
    </w:p>
    <w:p w14:paraId="6B574D9C" w14:textId="7D216A2A" w:rsidR="00B23F5C" w:rsidRPr="00ED6B7C" w:rsidRDefault="00452DD1" w:rsidP="00B23F5C">
      <w:pPr>
        <w:pStyle w:val="Textkrper"/>
        <w:ind w:left="116"/>
        <w:rPr>
          <w:color w:val="auto"/>
        </w:rPr>
      </w:pPr>
      <w:hyperlink r:id="rId18" w:history="1">
        <w:r w:rsidR="00B23F5C" w:rsidRPr="00ED6B7C">
          <w:rPr>
            <w:rStyle w:val="Hyperlink"/>
            <w:color w:val="auto"/>
          </w:rPr>
          <w:t>https://www.clearstream.com/clearstream-en/newsroom/240131-3840498</w:t>
        </w:r>
      </w:hyperlink>
    </w:p>
    <w:p w14:paraId="708C0D81" w14:textId="1DE004A2" w:rsidR="00C9174C" w:rsidRDefault="00C9174C" w:rsidP="00C9174C">
      <w:pPr>
        <w:pStyle w:val="Textkrper"/>
      </w:pPr>
      <w:proofErr w:type="gramStart"/>
      <w:r w:rsidRPr="003177F0">
        <w:t>Definitely, CSDR</w:t>
      </w:r>
      <w:proofErr w:type="gramEnd"/>
      <w:r w:rsidRPr="003177F0">
        <w:t xml:space="preserve"> penalties as well as complementary measures (like the working arrangements with relevant clients) significantly increased awareness of the importance of timely settlement (for at least some transactions as the SDR scope is currently too wide, see our comments to Questions 6 and 16) and have clearly contributed to a reduction of the settlement fails</w:t>
      </w:r>
      <w:r>
        <w:t>.</w:t>
      </w:r>
    </w:p>
    <w:p w14:paraId="4765C8E9" w14:textId="66B8364A" w:rsidR="00C9174C" w:rsidRDefault="00C9174C" w:rsidP="00C9174C">
      <w:pPr>
        <w:pStyle w:val="Textkrper"/>
      </w:pPr>
      <w:r>
        <w:t>No relevant changes could be observed on specific asset type levels. Especially ETFs instruments (and subsequently those participants significantly active in the ETF business) continuously show comparably low settlement efficiency levels due to the currently complex processes. In this context</w:t>
      </w:r>
      <w:r w:rsidRPr="00ED6B7C">
        <w:t xml:space="preserve">, </w:t>
      </w:r>
      <w:r w:rsidR="00834D0D" w:rsidRPr="00ED6B7C">
        <w:t>like for other primary market activities,</w:t>
      </w:r>
      <w:r w:rsidR="00834D0D">
        <w:t xml:space="preserve"> </w:t>
      </w:r>
      <w:r>
        <w:t>we propose that the settlement of (any) Investment Funds subscriptions/ redemptions orders should be exempted from the CSDR settlement discipline regime (SDR) scope.</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lastRenderedPageBreak/>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4D9B9AD0" w14:textId="77777777" w:rsidR="00C9174C" w:rsidRDefault="00C9174C" w:rsidP="00C9174C">
      <w:pPr>
        <w:pStyle w:val="Textkrper"/>
        <w:spacing w:before="24"/>
        <w:ind w:left="116" w:right="554"/>
      </w:pPr>
      <w:permStart w:id="1340627845" w:edGrp="everyone"/>
      <w:r>
        <w:t xml:space="preserve">We believe that the CSDR scope is currently too wide as it goes beyond the settlement of trading activity and covers </w:t>
      </w:r>
      <w:proofErr w:type="gramStart"/>
      <w:r>
        <w:t>as well participants</w:t>
      </w:r>
      <w:proofErr w:type="gramEnd"/>
      <w:r>
        <w:t>´ “internal” and other specific transaction such as:</w:t>
      </w:r>
    </w:p>
    <w:p w14:paraId="658EFA52" w14:textId="77777777" w:rsidR="00C9174C" w:rsidRDefault="00C9174C" w:rsidP="00C9174C">
      <w:pPr>
        <w:pStyle w:val="Textkrper"/>
        <w:spacing w:before="24"/>
        <w:ind w:left="116" w:right="554"/>
      </w:pPr>
      <w:r>
        <w:t>•</w:t>
      </w:r>
      <w:r>
        <w:tab/>
        <w:t>Share registration (especially relevant for DE Market/ CBF</w:t>
      </w:r>
      <w:proofErr w:type="gramStart"/>
      <w:r>
        <w:t>);</w:t>
      </w:r>
      <w:proofErr w:type="gramEnd"/>
    </w:p>
    <w:p w14:paraId="3926170C" w14:textId="77777777" w:rsidR="00C9174C" w:rsidRDefault="00C9174C" w:rsidP="00C9174C">
      <w:pPr>
        <w:pStyle w:val="Textkrper"/>
        <w:spacing w:before="24"/>
        <w:ind w:left="116" w:right="554"/>
      </w:pPr>
      <w:r>
        <w:t>•</w:t>
      </w:r>
      <w:r>
        <w:tab/>
        <w:t>Transfers between the same participant accounts (</w:t>
      </w:r>
      <w:proofErr w:type="gramStart"/>
      <w:r>
        <w:t>e.g.</w:t>
      </w:r>
      <w:proofErr w:type="gramEnd"/>
      <w:r>
        <w:t xml:space="preserve"> acc. 1234 delivers to 1234) or between main and sub-accounts (e.g. acc. 1234 000 delivers to 1234 001; e.g. due to TEFRA D bookings CBF) of the same participant;</w:t>
      </w:r>
    </w:p>
    <w:p w14:paraId="054EF97C" w14:textId="77777777" w:rsidR="00C9174C" w:rsidRDefault="00C9174C" w:rsidP="00C9174C">
      <w:pPr>
        <w:pStyle w:val="Textkrper"/>
        <w:spacing w:before="24"/>
        <w:ind w:left="116" w:right="554"/>
      </w:pPr>
      <w:r>
        <w:t>•</w:t>
      </w:r>
      <w:r>
        <w:tab/>
        <w:t xml:space="preserve">Portfolio transfers between the same and/ or different accounts/ </w:t>
      </w:r>
      <w:proofErr w:type="gramStart"/>
      <w:r>
        <w:t>participants;</w:t>
      </w:r>
      <w:proofErr w:type="gramEnd"/>
    </w:p>
    <w:p w14:paraId="41C5C085" w14:textId="77777777" w:rsidR="00C9174C" w:rsidRDefault="00C9174C" w:rsidP="00C9174C">
      <w:pPr>
        <w:pStyle w:val="Textkrper"/>
        <w:spacing w:before="24"/>
        <w:ind w:left="116" w:right="554"/>
      </w:pPr>
      <w:r>
        <w:t>•</w:t>
      </w:r>
      <w:r>
        <w:tab/>
        <w:t xml:space="preserve">Market claims/ transformations (see </w:t>
      </w:r>
      <w:proofErr w:type="gramStart"/>
      <w:r>
        <w:t>as well our answer</w:t>
      </w:r>
      <w:proofErr w:type="gramEnd"/>
      <w:r>
        <w:t xml:space="preserve"> to Q6);</w:t>
      </w:r>
    </w:p>
    <w:p w14:paraId="36FCD4B6" w14:textId="457B9777" w:rsidR="00C9174C" w:rsidRPr="00ED6B7C" w:rsidRDefault="00C9174C" w:rsidP="00ED6B7C">
      <w:pPr>
        <w:pStyle w:val="Textkrper"/>
        <w:spacing w:before="24"/>
        <w:ind w:left="709" w:right="554" w:hanging="567"/>
      </w:pPr>
      <w:r>
        <w:t>•</w:t>
      </w:r>
      <w:r>
        <w:tab/>
        <w:t xml:space="preserve">Investment funds redemptions/ subscriptions orders </w:t>
      </w:r>
      <w:r w:rsidRPr="00ED6B7C">
        <w:t>settlement</w:t>
      </w:r>
      <w:r w:rsidR="001A2EE3" w:rsidRPr="00ED6B7C">
        <w:t xml:space="preserve"> and other primary market transactions</w:t>
      </w:r>
      <w:r w:rsidRPr="00ED6B7C">
        <w:t>.</w:t>
      </w:r>
    </w:p>
    <w:p w14:paraId="03ED1C27" w14:textId="361E8F5F" w:rsidR="00A9540F" w:rsidRDefault="007E0790" w:rsidP="00C9174C">
      <w:pPr>
        <w:pStyle w:val="Textkrper"/>
        <w:spacing w:before="24"/>
        <w:ind w:left="116" w:right="554"/>
      </w:pPr>
      <w:r>
        <w:t>W</w:t>
      </w:r>
      <w:r w:rsidR="00C9174C">
        <w:t xml:space="preserve">e therefore strongly recommend </w:t>
      </w:r>
      <w:proofErr w:type="gramStart"/>
      <w:r w:rsidR="00C9174C">
        <w:t>to adjust</w:t>
      </w:r>
      <w:proofErr w:type="gramEnd"/>
      <w:r w:rsidR="00C9174C">
        <w:t xml:space="preserve"> the scope of transactions subject to penalties and settlement fails reporting for ESMA to focus actions on data that is truly relevant regarding settlement and financial risk aspects and remove the activities listed above from consideration in future (for the sake of </w:t>
      </w:r>
      <w:r w:rsidR="00C9174C" w:rsidRPr="004F46C6">
        <w:rPr>
          <w:highlight w:val="cyan"/>
        </w:rPr>
        <w:t>completeness, it should be noted that none of these transactions should ever be made</w:t>
      </w:r>
      <w:r w:rsidR="00C9174C">
        <w:t xml:space="preserve"> subject to buy-ins).</w:t>
      </w:r>
    </w:p>
    <w:p w14:paraId="744A0C9D" w14:textId="58AB7CCA" w:rsidR="00480F3D" w:rsidRDefault="00A9540F" w:rsidP="00C9174C">
      <w:pPr>
        <w:pStyle w:val="Textkrper"/>
        <w:spacing w:before="24"/>
        <w:ind w:left="116" w:right="554"/>
      </w:pPr>
      <w:r>
        <w:t>In order t</w:t>
      </w:r>
      <w:r w:rsidRPr="00A9540F">
        <w:t>o improve settlement efficiency</w:t>
      </w:r>
      <w:r>
        <w:t>,</w:t>
      </w:r>
      <w:r w:rsidRPr="00A9540F">
        <w:t xml:space="preserve"> further measures could be </w:t>
      </w:r>
      <w:r>
        <w:t>considered</w:t>
      </w:r>
      <w:r w:rsidRPr="00A9540F">
        <w:t xml:space="preserve">, </w:t>
      </w:r>
      <w:proofErr w:type="gramStart"/>
      <w:r w:rsidRPr="00A9540F">
        <w:t>e.g.</w:t>
      </w:r>
      <w:proofErr w:type="gramEnd"/>
      <w:r w:rsidRPr="00A9540F">
        <w:t xml:space="preserve"> the introduction of a higher level of penalties. A greater acceptance of partial settlement could also </w:t>
      </w:r>
      <w:r>
        <w:t xml:space="preserve">lead </w:t>
      </w:r>
      <w:r w:rsidRPr="00A9540F">
        <w:t xml:space="preserve">to an improvement in settlement discipline and should therefore be more </w:t>
      </w:r>
      <w:r>
        <w:t>promoted</w:t>
      </w:r>
      <w:r w:rsidRPr="00A9540F">
        <w:t xml:space="preserve">. </w:t>
      </w:r>
      <w:r>
        <w:t>Nonetheless</w:t>
      </w:r>
      <w:r w:rsidRPr="00A9540F">
        <w:t xml:space="preserve">, the penalty regime should </w:t>
      </w:r>
      <w:r>
        <w:t xml:space="preserve">not </w:t>
      </w:r>
      <w:r w:rsidRPr="00A9540F">
        <w:t xml:space="preserve">become more complicated under </w:t>
      </w:r>
      <w:r>
        <w:t>any</w:t>
      </w:r>
      <w:r w:rsidRPr="00A9540F">
        <w:t xml:space="preserve"> circumstances (</w:t>
      </w:r>
      <w:proofErr w:type="gramStart"/>
      <w:r>
        <w:t>e.g.</w:t>
      </w:r>
      <w:proofErr w:type="gramEnd"/>
      <w:r>
        <w:t xml:space="preserve"> by</w:t>
      </w:r>
      <w:r w:rsidRPr="00A9540F">
        <w:t xml:space="preserve"> introduc</w:t>
      </w:r>
      <w:r>
        <w:t xml:space="preserve">ing </w:t>
      </w:r>
      <w:r w:rsidRPr="00A9540F">
        <w:t>a minimum penalty fee).</w:t>
      </w:r>
      <w:r w:rsidR="00C9174C">
        <w:t xml:space="preserve"> </w:t>
      </w:r>
    </w:p>
    <w:p w14:paraId="4C16F7E2" w14:textId="5A69CBBB" w:rsidR="004F46C6" w:rsidRPr="00ED6B7C" w:rsidRDefault="004F46C6" w:rsidP="00C9174C">
      <w:pPr>
        <w:pStyle w:val="Textkrper"/>
        <w:spacing w:before="24"/>
        <w:ind w:left="116" w:right="554"/>
        <w:rPr>
          <w:color w:val="auto"/>
        </w:rPr>
      </w:pPr>
      <w:r w:rsidRPr="00ED6B7C">
        <w:rPr>
          <w:color w:val="auto"/>
          <w:highlight w:val="cyan"/>
        </w:rPr>
        <w:t xml:space="preserve">As a measure of last resort, the acceptance of partial settlement could be mandated by CSDR. While fully settled transactions should remain a priority, partial settlements are an efficient alternative to reduce cash penalties and optimise the settlement of available inventory. Partial settlements are currently permitted under CSDR but are not yet widely used. To further enable the adoption of partial settlements, (1) the CSDR text should be amended to require market participants to accept partial settlements within certain parameters, or ii) both parties to the failed transaction should be penalized, the failing </w:t>
      </w:r>
      <w:r w:rsidRPr="00ED6B7C">
        <w:rPr>
          <w:color w:val="auto"/>
          <w:highlight w:val="cyan"/>
        </w:rPr>
        <w:lastRenderedPageBreak/>
        <w:t>participants and the party that refuses to allow partial settlements (be it the delivery or receiving party). We note that, scenario ii) may complicate the calculation of penalties. A regulatory mandate to accept partial settlement of securities would avoid this.</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766DD0A5" w14:textId="5F6A8855" w:rsidR="00C9174C" w:rsidRDefault="00C9174C" w:rsidP="00C9174C">
      <w:permStart w:id="1267808287" w:edGrp="everyone"/>
      <w:r w:rsidRPr="00F35FF4">
        <w:t>During 2023</w:t>
      </w:r>
      <w:r>
        <w:t xml:space="preserve">, </w:t>
      </w:r>
      <w:r w:rsidRPr="00F35FF4">
        <w:t>multiple main fail reasons were observed</w:t>
      </w:r>
      <w:r>
        <w:t xml:space="preserve">: </w:t>
      </w:r>
    </w:p>
    <w:p w14:paraId="6DEA3AA2" w14:textId="77777777" w:rsidR="00C9174C" w:rsidRDefault="00C9174C" w:rsidP="00C9174C">
      <w:pPr>
        <w:pStyle w:val="Listenabsatz"/>
        <w:widowControl w:val="0"/>
        <w:numPr>
          <w:ilvl w:val="0"/>
          <w:numId w:val="17"/>
        </w:numPr>
        <w:autoSpaceDE w:val="0"/>
        <w:autoSpaceDN w:val="0"/>
        <w:spacing w:after="0"/>
        <w:ind w:left="469"/>
      </w:pPr>
      <w:r>
        <w:t>Participants need to comply with asset protection rules, i.e. assets are only released for settlement once the relevant underlying client actually holds the needed security position; until then, settlement instructions are put “on hold” or only sent to the CSD once the securities are available (that may indeed be after the Intended Settlement Date).</w:t>
      </w:r>
    </w:p>
    <w:p w14:paraId="4DD839E2" w14:textId="77777777" w:rsidR="00C9174C" w:rsidRDefault="00C9174C" w:rsidP="00C9174C">
      <w:pPr>
        <w:pStyle w:val="Listenabsatz"/>
        <w:widowControl w:val="0"/>
        <w:numPr>
          <w:ilvl w:val="0"/>
          <w:numId w:val="17"/>
        </w:numPr>
        <w:autoSpaceDE w:val="0"/>
        <w:autoSpaceDN w:val="0"/>
        <w:spacing w:after="0"/>
        <w:ind w:left="469"/>
      </w:pPr>
      <w:r>
        <w:t>Some participants use, for risk mitigation purposes (custodian default), multiple custodians in parallel, hence, “position coverage realignments” between their chosen sub-custodians are the result and slow down the overall and sometimes exhaustive settlement chains.</w:t>
      </w:r>
    </w:p>
    <w:p w14:paraId="7B3175A1" w14:textId="77777777" w:rsidR="00C9174C" w:rsidRDefault="00C9174C" w:rsidP="00C9174C">
      <w:pPr>
        <w:pStyle w:val="Listenabsatz"/>
        <w:widowControl w:val="0"/>
        <w:numPr>
          <w:ilvl w:val="0"/>
          <w:numId w:val="17"/>
        </w:numPr>
        <w:autoSpaceDE w:val="0"/>
        <w:autoSpaceDN w:val="0"/>
        <w:spacing w:after="0"/>
        <w:ind w:left="469"/>
      </w:pPr>
      <w:r>
        <w:t>CBF and its participants are by far the most active users of cross CSD settlement in T2S. CBF participants reported issues due to complex instruction formats and deadlines which increase the risk to send correct instructions late for matching and/ or settlement. Some participants consider the unique German market design causes additional complexity as CBF is the only CSDR CSD that is running two different SSS´s in parallel, namely CBF (CASCADE/ T2S) and CBF-i (Creation). As a large number of foreign ISIN´s are eligible for trading on German Stock exchanges and eligible for settlement in both, CBF and CBF-i, although the underlying clients´ trading books might be flattened by the end of the trading day, different places of settlement may need to be handled so realignments between CBF and CBF-i are standard to cover lack of holdings in either account – such complexity does not exist within other European CSD.</w:t>
      </w:r>
    </w:p>
    <w:p w14:paraId="337A9C39" w14:textId="77777777" w:rsidR="00C9174C" w:rsidRDefault="00C9174C" w:rsidP="00C9174C">
      <w:pPr>
        <w:pStyle w:val="Listenabsatz"/>
        <w:widowControl w:val="0"/>
        <w:numPr>
          <w:ilvl w:val="0"/>
          <w:numId w:val="17"/>
        </w:numPr>
        <w:autoSpaceDE w:val="0"/>
        <w:autoSpaceDN w:val="0"/>
        <w:spacing w:after="0"/>
        <w:ind w:left="469"/>
      </w:pPr>
      <w:r>
        <w:t xml:space="preserve">CBF processes the settlement of German Stock Exchanges trades of CBF participants´ underlying clients; this includes a huge portion of broker/ dealer/ market maker and retail clients´ activities, including trading in many foreign instruments and ETFs, that generate a significant settlement volume (and possibly fails due to DE market structural aspects (like “Makleraufgabegeschäft”). </w:t>
      </w:r>
    </w:p>
    <w:p w14:paraId="01C7FE91" w14:textId="77777777" w:rsidR="00C9174C" w:rsidRDefault="00C9174C" w:rsidP="00C9174C">
      <w:pPr>
        <w:pStyle w:val="Listenabsatz"/>
        <w:widowControl w:val="0"/>
        <w:numPr>
          <w:ilvl w:val="0"/>
          <w:numId w:val="17"/>
        </w:numPr>
        <w:autoSpaceDE w:val="0"/>
        <w:autoSpaceDN w:val="0"/>
        <w:spacing w:after="0"/>
        <w:ind w:left="469"/>
      </w:pPr>
      <w:r>
        <w:t xml:space="preserve">Intra-day in/ out trading activity of underlying clients that are brokers causes settlement </w:t>
      </w:r>
      <w:r>
        <w:lastRenderedPageBreak/>
        <w:t>Instructions often turning in circles between those participants until the first in the chain initially receives the shares which are then passed through the different participants settling the instructions one after another, i.e. a single fail blocks multiple “linked” transactions from settlement.</w:t>
      </w:r>
    </w:p>
    <w:p w14:paraId="707DBB91" w14:textId="385E951A" w:rsidR="00C9174C" w:rsidRDefault="00C9174C" w:rsidP="00C9174C">
      <w:pPr>
        <w:pStyle w:val="Listenabsatz"/>
        <w:widowControl w:val="0"/>
        <w:numPr>
          <w:ilvl w:val="0"/>
          <w:numId w:val="17"/>
        </w:numPr>
        <w:autoSpaceDE w:val="0"/>
        <w:autoSpaceDN w:val="0"/>
        <w:spacing w:after="0"/>
        <w:ind w:left="469"/>
      </w:pPr>
      <w:r>
        <w:t>Settlement efficiency depends on the participants´ underlying clients (as many participants are acting as a broker/ clearing agent/ custodian for clients); in those set-ups, most fails are caused only by a few underlying clients.</w:t>
      </w:r>
    </w:p>
    <w:p w14:paraId="2291A10A" w14:textId="1F8AD44C" w:rsidR="00C9174C" w:rsidRDefault="00C9174C" w:rsidP="00C9174C">
      <w:pPr>
        <w:pStyle w:val="Listenabsatz"/>
        <w:widowControl w:val="0"/>
        <w:numPr>
          <w:ilvl w:val="0"/>
          <w:numId w:val="17"/>
        </w:numPr>
        <w:autoSpaceDE w:val="0"/>
        <w:autoSpaceDN w:val="0"/>
        <w:spacing w:after="0"/>
        <w:ind w:left="469"/>
      </w:pPr>
      <w:r>
        <w:t>Further to the above, when the participants´ clients are market makers, securities sold by these clients are either being safekept by various custodians and CSDs or the positions taken have to be covered on different markets, the movement of securities or execution of trades can be delayed.</w:t>
      </w:r>
    </w:p>
    <w:p w14:paraId="47DBD4AC" w14:textId="77777777" w:rsidR="00C9174C" w:rsidRDefault="00C9174C" w:rsidP="00C9174C">
      <w:pPr>
        <w:pStyle w:val="Listenabsatz"/>
        <w:widowControl w:val="0"/>
        <w:numPr>
          <w:ilvl w:val="0"/>
          <w:numId w:val="17"/>
        </w:numPr>
        <w:autoSpaceDE w:val="0"/>
        <w:autoSpaceDN w:val="0"/>
        <w:spacing w:after="0"/>
        <w:ind w:left="469"/>
      </w:pPr>
      <w:r>
        <w:t>Some participants demand (1) an increase of partial settlement windows for Clearstream internal and for Bridge settlements and (2) offer partial delivery for EU domestic markets, where possible or (3) require new or increased credit line facilities to avoid “lack of cash” fails or consider using securities lending services.</w:t>
      </w:r>
    </w:p>
    <w:p w14:paraId="577AB4BB" w14:textId="77777777" w:rsidR="00C9174C" w:rsidRDefault="00C9174C" w:rsidP="00C9174C">
      <w:pPr>
        <w:pStyle w:val="Listenabsatz"/>
        <w:widowControl w:val="0"/>
        <w:numPr>
          <w:ilvl w:val="0"/>
          <w:numId w:val="17"/>
        </w:numPr>
        <w:autoSpaceDE w:val="0"/>
        <w:autoSpaceDN w:val="0"/>
        <w:spacing w:after="0"/>
        <w:ind w:left="469"/>
      </w:pPr>
      <w:r>
        <w:t xml:space="preserve">For CBF, a significant number of failed DE registered shares (“CASCADE RS”) “high value” free of payment share registration orders occurred. </w:t>
      </w:r>
    </w:p>
    <w:p w14:paraId="19745981" w14:textId="77777777" w:rsidR="00C9174C" w:rsidRDefault="00C9174C" w:rsidP="00C9174C">
      <w:pPr>
        <w:pStyle w:val="Listenabsatz"/>
        <w:widowControl w:val="0"/>
        <w:numPr>
          <w:ilvl w:val="0"/>
          <w:numId w:val="17"/>
        </w:numPr>
        <w:autoSpaceDE w:val="0"/>
        <w:autoSpaceDN w:val="0"/>
        <w:spacing w:after="0"/>
        <w:ind w:left="469"/>
      </w:pPr>
      <w:r>
        <w:t xml:space="preserve">While T2S cancels pending matched transactions after 60 days, this is not (yet) the case for CBL, CBF-i hence, fails continue to occur for multiple months when instructions are only unilaterally cancelled (and the counterparty has no incentive to cancel its instruction when it is receiving credit penalties) or the customer does not have the instruction in its records anymore (often the case for market claims or corporate actions related items for unknown reasons). </w:t>
      </w:r>
    </w:p>
    <w:p w14:paraId="1F9A6F19" w14:textId="2727E8B1" w:rsidR="00C9174C" w:rsidRDefault="00C9174C" w:rsidP="00C9174C">
      <w:pPr>
        <w:pStyle w:val="Listenabsatz"/>
        <w:widowControl w:val="0"/>
        <w:numPr>
          <w:ilvl w:val="0"/>
          <w:numId w:val="17"/>
        </w:numPr>
        <w:autoSpaceDE w:val="0"/>
        <w:autoSpaceDN w:val="0"/>
        <w:spacing w:after="0"/>
        <w:ind w:left="469"/>
      </w:pPr>
      <w:r>
        <w:t>Time zone differences may as well cause late settlement Clearstream participants: for example, participants that realign positions from the US market to Clearstream can only use the securities for same day settlement in EU markets if the US securities are delivered prior to the closing of the EU market.</w:t>
      </w:r>
    </w:p>
    <w:p w14:paraId="6F3B4581" w14:textId="628A9DA0" w:rsidR="00480F3D" w:rsidRDefault="00C9174C" w:rsidP="00C9174C">
      <w:pPr>
        <w:pStyle w:val="Listenabsatz"/>
        <w:widowControl w:val="0"/>
        <w:numPr>
          <w:ilvl w:val="0"/>
          <w:numId w:val="17"/>
        </w:numPr>
        <w:autoSpaceDE w:val="0"/>
        <w:autoSpaceDN w:val="0"/>
        <w:spacing w:after="0"/>
        <w:ind w:left="469"/>
      </w:pPr>
      <w:r>
        <w:t>Due to Ukraine/ Russia sanctions measures, since April 2022 a significant increase in the number of CBL participants´ (underlying clients) accounts and transactions are blocked from settlement. Such transactions are not exempt from the settlement (fails) reporting. This generally negatively impacts the efficiency rates and no mitigation measures can be taken.</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5EEEF41E" w14:textId="63104C7B" w:rsidR="00C86331" w:rsidRDefault="00BA5766" w:rsidP="00C86331">
      <w:permStart w:id="1836331667" w:edGrp="everyone"/>
      <w:r w:rsidRPr="00BA5766">
        <w:lastRenderedPageBreak/>
        <w:t>Developments in recent months have shown that settlement efficiency has improved</w:t>
      </w:r>
      <w:r w:rsidR="00C86331">
        <w:t>. The extent to which this is due to the penalties or other aspects (interest rate increases) will never be</w:t>
      </w:r>
      <w:r w:rsidR="005164FF">
        <w:t xml:space="preserve"> </w:t>
      </w:r>
      <w:r w:rsidR="00C86331">
        <w:t>clearly proven. It can also be assumed that the future restriction of CSDR for penalties to trading</w:t>
      </w:r>
      <w:r w:rsidR="006F7716">
        <w:t xml:space="preserve"> </w:t>
      </w:r>
      <w:r w:rsidR="00C86331">
        <w:t>transactions (not operations that are not considered as trading) will improve the settlement efficiency ratio. We therefore believe that no comprehensive reorganisation of the penalty regime is required or necessary. The system should remain as simple as possible. A moderate and linear increase in the penalty rates applicable to settlement fails should be sufficient to achieve further improvements in settlement efficiency.</w:t>
      </w:r>
    </w:p>
    <w:p w14:paraId="3611E101" w14:textId="429890F2" w:rsidR="00C86331" w:rsidRDefault="00C86331" w:rsidP="00C86331">
      <w:r>
        <w:t>Any change to the existing system would be very costly for everyone involved. It is not clear why a completely new method should be better than a linear modification of the existing calculation. All market participants would then be forced to extensively rebuild their systems. Against the background of a cost-benefit analysis, this is questionable. We also believe that a system that is too complex would make the European location unattractive in competition with other jurisdictions.</w:t>
      </w:r>
    </w:p>
    <w:p w14:paraId="61B533EA" w14:textId="3BE88F97" w:rsidR="00C86331" w:rsidRDefault="00C86331" w:rsidP="00C86331">
      <w:r>
        <w:t xml:space="preserve">The extended use of “hold &amp; release” as well as partial settlement/release functionalities and securities lending services by the participants could further enhance settlement efficiency. </w:t>
      </w:r>
    </w:p>
    <w:p w14:paraId="7F9594D6" w14:textId="77777777" w:rsidR="00C86331" w:rsidRDefault="00C86331" w:rsidP="00C86331">
      <w:r>
        <w:t xml:space="preserve">However, processes that are performed prior that settlement instructions are sent to the CSD should also be assessed by the relevant stakeholders to complete the picture and address issues that already occur much earlier, </w:t>
      </w:r>
      <w:proofErr w:type="gramStart"/>
      <w:r>
        <w:t>e.g.</w:t>
      </w:r>
      <w:proofErr w:type="gramEnd"/>
      <w:r>
        <w:t xml:space="preserve"> on trading level.</w:t>
      </w:r>
    </w:p>
    <w:p w14:paraId="68A45E9B" w14:textId="30846E7C" w:rsidR="00480F3D" w:rsidRDefault="00C86331">
      <w:r>
        <w:t>Please see also our answer to Q16.</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3FD82D70" w14:textId="77777777" w:rsidR="000F7F5C" w:rsidRPr="00E7229C" w:rsidRDefault="000F7F5C" w:rsidP="000F7F5C">
      <w:pPr>
        <w:pStyle w:val="Textkrper"/>
        <w:spacing w:before="23"/>
      </w:pPr>
      <w:permStart w:id="1744390137" w:edGrp="everyone"/>
      <w:r w:rsidRPr="00E7229C">
        <w:t xml:space="preserve">As stated in our answer to Q16, we strongly recommend adjusting the scope of transactions subject to penalties and settlement fails reporting for ESMA to focus actions on data that is truly relevant regarding settlement and financial risk aspects and remove </w:t>
      </w:r>
      <w:proofErr w:type="gramStart"/>
      <w:r w:rsidRPr="00E7229C">
        <w:t>e.g.</w:t>
      </w:r>
      <w:proofErr w:type="gramEnd"/>
      <w:r w:rsidRPr="00E7229C">
        <w:t xml:space="preserve"> the participants´ internal “housekeeping” activity from consideration in future.</w:t>
      </w:r>
    </w:p>
    <w:p w14:paraId="75F12042" w14:textId="26AF4070" w:rsidR="00480F3D" w:rsidRDefault="000F7F5C" w:rsidP="000F7F5C">
      <w:pPr>
        <w:pStyle w:val="Textkrper"/>
        <w:spacing w:before="23"/>
      </w:pPr>
      <w:r w:rsidRPr="00E7229C">
        <w:t>Only then, an achievable and realistic level of efficiency may be jointly assessed by all stakeholders.</w:t>
      </w:r>
    </w:p>
    <w:permEnd w:id="1744390137"/>
    <w:p w14:paraId="3E6F7ABD" w14:textId="77777777" w:rsidR="00480F3D" w:rsidRDefault="00480F3D">
      <w:r>
        <w:lastRenderedPageBreak/>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5C871F2A" w14:textId="748CA533" w:rsidR="000F7F5C" w:rsidRDefault="000F7F5C" w:rsidP="000F7F5C">
      <w:permStart w:id="652349975" w:edGrp="everyone"/>
      <w:r>
        <w:t>Yes, we believe that the current differentiation is appropriate. Here, too, any radical change to the system will result in high costs for all market participants and few recogni</w:t>
      </w:r>
      <w:r w:rsidR="00B32B5B">
        <w:t>z</w:t>
      </w:r>
      <w:r>
        <w:t>able benefits.</w:t>
      </w:r>
    </w:p>
    <w:p w14:paraId="24700A0A" w14:textId="52AA90EF" w:rsidR="00480F3D" w:rsidRDefault="000F7F5C" w:rsidP="000F7F5C">
      <w:r>
        <w:t>In general</w:t>
      </w:r>
      <w:r w:rsidR="00B32B5B">
        <w:t>,</w:t>
      </w:r>
      <w:r>
        <w:t xml:space="preserve"> we are concerned that the competitiveness of the EU capital markets could be negatively impacted by the application of overly high (or even extreme) daily penalty rates.</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292D9A29" w14:textId="77777777" w:rsidR="002630A3" w:rsidRDefault="002630A3" w:rsidP="002630A3">
      <w:pPr>
        <w:pStyle w:val="Textkrper"/>
        <w:spacing w:before="71"/>
        <w:ind w:left="116"/>
      </w:pPr>
      <w:permStart w:id="47388266" w:edGrp="everyone"/>
      <w:r>
        <w:t xml:space="preserve">Considering our answers to Questions 16 and 17, given the variety of (structural and operational) reasons for settlement fails, we believe that the root causes for fails are not yet fully understood and actioned upon. Hence, no changes should be made at this stage as we </w:t>
      </w:r>
      <w:r>
        <w:lastRenderedPageBreak/>
        <w:t xml:space="preserve">have reasonable doubts that a (largely extremely significant) increase of the penalty rates would </w:t>
      </w:r>
      <w:proofErr w:type="gramStart"/>
      <w:r>
        <w:t>actually lead</w:t>
      </w:r>
      <w:proofErr w:type="gramEnd"/>
      <w:r>
        <w:t xml:space="preserve"> to more timely settlements overall. Instead, the root cause assessments of the stakeholders on “actionably avoidable” items should be continued and documented.</w:t>
      </w:r>
    </w:p>
    <w:p w14:paraId="557FD383" w14:textId="77777777" w:rsidR="002630A3" w:rsidRDefault="002630A3" w:rsidP="002630A3">
      <w:pPr>
        <w:pStyle w:val="Textkrper"/>
        <w:spacing w:before="71"/>
        <w:ind w:left="116"/>
      </w:pPr>
      <w:r>
        <w:t>Also, such change would require significant IT developments (including testing) for any EU/ EEA CSDs, T2S and participants and would make the application of penalty rates much more complex for transactions failing for more than one day (and including late matching fails).</w:t>
      </w:r>
    </w:p>
    <w:p w14:paraId="1AD606AF" w14:textId="5E9A0745" w:rsidR="00480F3D" w:rsidRDefault="002630A3" w:rsidP="002630A3">
      <w:pPr>
        <w:pStyle w:val="Textkrper"/>
        <w:spacing w:before="71"/>
        <w:ind w:left="116"/>
      </w:pPr>
      <w:r>
        <w:t>We note that the term “Day” used in the ESMA table “Option 1” (page 35) as well as in the “Option 2 - Example 2” on pages 56, 57 should be clarified and understood as “</w:t>
      </w:r>
      <w:proofErr w:type="gramStart"/>
      <w:r>
        <w:t>Business day</w:t>
      </w:r>
      <w:proofErr w:type="gramEnd"/>
      <w:r>
        <w:t>”, not “Calendar day”.</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323D1F7D" w14:textId="21989A70" w:rsidR="00FB0582" w:rsidRPr="00FB0582" w:rsidRDefault="00FB0582" w:rsidP="00FB0582">
      <w:pPr>
        <w:spacing w:line="268" w:lineRule="exact"/>
        <w:rPr>
          <w:color w:val="1A1A1A"/>
          <w:spacing w:val="-2"/>
        </w:rPr>
      </w:pPr>
      <w:permStart w:id="67503824" w:edGrp="everyone"/>
      <w:r w:rsidRPr="00FB0582">
        <w:t>We advocate for straightforward penalty rates. Our position is grounded in the belief that introducing unnecessary complexities to the</w:t>
      </w:r>
      <w:r>
        <w:t xml:space="preserve"> </w:t>
      </w:r>
      <w:r>
        <w:rPr>
          <w:color w:val="1A1A1A"/>
        </w:rPr>
        <w:t>rule</w:t>
      </w:r>
      <w:r>
        <w:rPr>
          <w:color w:val="1A1A1A"/>
          <w:spacing w:val="8"/>
        </w:rPr>
        <w:t xml:space="preserve"> </w:t>
      </w:r>
      <w:r>
        <w:rPr>
          <w:color w:val="1A1A1A"/>
        </w:rPr>
        <w:t>framework</w:t>
      </w:r>
      <w:r>
        <w:rPr>
          <w:color w:val="1A1A1A"/>
          <w:spacing w:val="9"/>
        </w:rPr>
        <w:t xml:space="preserve"> </w:t>
      </w:r>
      <w:r>
        <w:rPr>
          <w:color w:val="1A1A1A"/>
        </w:rPr>
        <w:t>does</w:t>
      </w:r>
      <w:r>
        <w:rPr>
          <w:color w:val="1A1A1A"/>
          <w:spacing w:val="11"/>
        </w:rPr>
        <w:t xml:space="preserve"> </w:t>
      </w:r>
      <w:r>
        <w:rPr>
          <w:color w:val="1A1A1A"/>
        </w:rPr>
        <w:t>not</w:t>
      </w:r>
      <w:r>
        <w:rPr>
          <w:color w:val="1A1A1A"/>
          <w:spacing w:val="8"/>
        </w:rPr>
        <w:t xml:space="preserve"> </w:t>
      </w:r>
      <w:r>
        <w:rPr>
          <w:color w:val="1A1A1A"/>
        </w:rPr>
        <w:t>yield</w:t>
      </w:r>
      <w:r>
        <w:rPr>
          <w:color w:val="1A1A1A"/>
          <w:spacing w:val="9"/>
        </w:rPr>
        <w:t xml:space="preserve"> </w:t>
      </w:r>
      <w:r>
        <w:rPr>
          <w:color w:val="1A1A1A"/>
        </w:rPr>
        <w:t>significant</w:t>
      </w:r>
      <w:r>
        <w:rPr>
          <w:color w:val="1A1A1A"/>
          <w:spacing w:val="10"/>
        </w:rPr>
        <w:t xml:space="preserve"> </w:t>
      </w:r>
      <w:r>
        <w:rPr>
          <w:color w:val="1A1A1A"/>
        </w:rPr>
        <w:t>benefits.</w:t>
      </w:r>
      <w:r>
        <w:rPr>
          <w:color w:val="1A1A1A"/>
          <w:spacing w:val="10"/>
        </w:rPr>
        <w:t xml:space="preserve"> </w:t>
      </w:r>
      <w:r>
        <w:rPr>
          <w:color w:val="1A1A1A"/>
        </w:rPr>
        <w:t>A</w:t>
      </w:r>
      <w:r>
        <w:rPr>
          <w:color w:val="1A1A1A"/>
          <w:spacing w:val="7"/>
        </w:rPr>
        <w:t xml:space="preserve"> </w:t>
      </w:r>
      <w:r>
        <w:rPr>
          <w:color w:val="1A1A1A"/>
        </w:rPr>
        <w:t>streamlined</w:t>
      </w:r>
      <w:r>
        <w:rPr>
          <w:color w:val="1A1A1A"/>
          <w:spacing w:val="10"/>
        </w:rPr>
        <w:t xml:space="preserve"> </w:t>
      </w:r>
      <w:r>
        <w:rPr>
          <w:color w:val="1A1A1A"/>
        </w:rPr>
        <w:t>and</w:t>
      </w:r>
      <w:r>
        <w:rPr>
          <w:color w:val="1A1A1A"/>
          <w:spacing w:val="9"/>
        </w:rPr>
        <w:t xml:space="preserve"> </w:t>
      </w:r>
      <w:r>
        <w:rPr>
          <w:color w:val="1A1A1A"/>
        </w:rPr>
        <w:t>easily</w:t>
      </w:r>
      <w:r>
        <w:rPr>
          <w:color w:val="1A1A1A"/>
          <w:spacing w:val="11"/>
        </w:rPr>
        <w:t xml:space="preserve"> </w:t>
      </w:r>
      <w:r>
        <w:rPr>
          <w:color w:val="1A1A1A"/>
        </w:rPr>
        <w:t>understandable</w:t>
      </w:r>
      <w:r>
        <w:rPr>
          <w:color w:val="1A1A1A"/>
          <w:spacing w:val="11"/>
        </w:rPr>
        <w:t xml:space="preserve"> </w:t>
      </w:r>
      <w:r>
        <w:rPr>
          <w:color w:val="1A1A1A"/>
          <w:spacing w:val="-2"/>
        </w:rPr>
        <w:t xml:space="preserve">penalty </w:t>
      </w:r>
      <w:r w:rsidRPr="00FB0582">
        <w:rPr>
          <w:color w:val="1A1A1A"/>
          <w:spacing w:val="-2"/>
        </w:rPr>
        <w:t>system is essential for effective communication, comprehension, and adherence by market</w:t>
      </w:r>
      <w:r>
        <w:rPr>
          <w:color w:val="1A1A1A"/>
          <w:spacing w:val="-2"/>
        </w:rPr>
        <w:t xml:space="preserve"> </w:t>
      </w:r>
      <w:r w:rsidR="00B32B5B">
        <w:rPr>
          <w:color w:val="1A1A1A"/>
          <w:spacing w:val="-2"/>
        </w:rPr>
        <w:t xml:space="preserve">participants. Uncomplicated rules facilitate transparency and help avoid potential misinterpretations or disputes, ensuring that the penalty mechanism serves its intended purpose without unnecessary </w:t>
      </w:r>
      <w:r w:rsidRPr="00FB0582">
        <w:rPr>
          <w:color w:val="1A1A1A"/>
          <w:spacing w:val="-2"/>
        </w:rPr>
        <w:t>intricacies.</w:t>
      </w:r>
    </w:p>
    <w:p w14:paraId="745FE67B" w14:textId="3CC70332" w:rsidR="00480F3D" w:rsidRPr="00FB0582" w:rsidRDefault="00FB0582" w:rsidP="00FB0582">
      <w:pPr>
        <w:spacing w:line="268" w:lineRule="exact"/>
        <w:rPr>
          <w:color w:val="000000"/>
        </w:rPr>
      </w:pPr>
      <w:r w:rsidRPr="00FB0582">
        <w:rPr>
          <w:color w:val="1A1A1A"/>
          <w:spacing w:val="-2"/>
        </w:rPr>
        <w:t>Focusing solely on liquidity when calculating penalties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lastRenderedPageBreak/>
        <w:t>&lt;ESMA_QUESTION_CSDR_24&gt;</w:t>
      </w:r>
    </w:p>
    <w:p w14:paraId="33D95FC4" w14:textId="70A3AD4C" w:rsidR="00480F3D" w:rsidRDefault="00983995" w:rsidP="00983995">
      <w:pPr>
        <w:pStyle w:val="Textkrper"/>
        <w:ind w:left="116"/>
      </w:pPr>
      <w:permStart w:id="1652955813" w:edGrp="everyone"/>
      <w:r>
        <w:rPr>
          <w:color w:val="1A1A1A"/>
          <w:highlight w:val="yellow"/>
        </w:rPr>
        <w:t>Please</w:t>
      </w:r>
      <w:r>
        <w:rPr>
          <w:color w:val="1A1A1A"/>
          <w:spacing w:val="-4"/>
          <w:highlight w:val="yellow"/>
        </w:rPr>
        <w:t xml:space="preserve"> </w:t>
      </w:r>
      <w:r>
        <w:rPr>
          <w:color w:val="1A1A1A"/>
          <w:highlight w:val="yellow"/>
        </w:rPr>
        <w:t>refer</w:t>
      </w:r>
      <w:r>
        <w:rPr>
          <w:color w:val="1A1A1A"/>
          <w:spacing w:val="-3"/>
          <w:highlight w:val="yellow"/>
        </w:rPr>
        <w:t xml:space="preserve"> </w:t>
      </w:r>
      <w:r>
        <w:rPr>
          <w:color w:val="1A1A1A"/>
          <w:highlight w:val="yellow"/>
        </w:rPr>
        <w:t>to</w:t>
      </w:r>
      <w:r>
        <w:rPr>
          <w:color w:val="1A1A1A"/>
          <w:spacing w:val="-4"/>
          <w:highlight w:val="yellow"/>
        </w:rPr>
        <w:t xml:space="preserve"> </w:t>
      </w:r>
      <w:r>
        <w:rPr>
          <w:color w:val="1A1A1A"/>
          <w:highlight w:val="yellow"/>
        </w:rPr>
        <w:t>our</w:t>
      </w:r>
      <w:r>
        <w:rPr>
          <w:color w:val="1A1A1A"/>
          <w:spacing w:val="-3"/>
          <w:highlight w:val="yellow"/>
        </w:rPr>
        <w:t xml:space="preserve"> </w:t>
      </w:r>
      <w:r>
        <w:rPr>
          <w:color w:val="1A1A1A"/>
          <w:highlight w:val="yellow"/>
        </w:rPr>
        <w:t>answer</w:t>
      </w:r>
      <w:r>
        <w:rPr>
          <w:color w:val="1A1A1A"/>
          <w:spacing w:val="-4"/>
          <w:highlight w:val="yellow"/>
        </w:rPr>
        <w:t xml:space="preserve"> </w:t>
      </w:r>
      <w:r>
        <w:rPr>
          <w:color w:val="1A1A1A"/>
          <w:highlight w:val="yellow"/>
        </w:rPr>
        <w:t>under</w:t>
      </w:r>
      <w:r>
        <w:rPr>
          <w:color w:val="1A1A1A"/>
          <w:spacing w:val="-3"/>
          <w:highlight w:val="yellow"/>
        </w:rPr>
        <w:t xml:space="preserve"> </w:t>
      </w:r>
      <w:r>
        <w:rPr>
          <w:color w:val="1A1A1A"/>
          <w:highlight w:val="yellow"/>
        </w:rPr>
        <w:t>Q</w:t>
      </w:r>
      <w:r>
        <w:rPr>
          <w:color w:val="1A1A1A"/>
          <w:spacing w:val="-3"/>
          <w:highlight w:val="yellow"/>
        </w:rPr>
        <w:t xml:space="preserve"> </w:t>
      </w:r>
      <w:r>
        <w:rPr>
          <w:color w:val="1A1A1A"/>
          <w:spacing w:val="-5"/>
          <w:highlight w:val="yellow"/>
        </w:rPr>
        <w:t>23.</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1273EC5F" w14:textId="4FA2AA45" w:rsidR="00983995" w:rsidRDefault="00983995" w:rsidP="00983995">
      <w:pPr>
        <w:pStyle w:val="Textkrper"/>
        <w:ind w:left="116"/>
        <w:rPr>
          <w:color w:val="1A1A1A"/>
          <w:spacing w:val="-2"/>
        </w:rPr>
      </w:pPr>
      <w:permStart w:id="1767178405" w:edGrp="everyone"/>
      <w:r>
        <w:t>We generally oppose increasing penalty rates</w:t>
      </w:r>
      <w:r w:rsidR="005164FF">
        <w:t xml:space="preserve"> </w:t>
      </w:r>
      <w:r w:rsidR="005164FF" w:rsidRPr="00C67977">
        <w:t>through significant structural changes of the penalty mechanism (like introducing progressive rates)</w:t>
      </w:r>
      <w:r w:rsidRPr="00C67977">
        <w:t>.</w:t>
      </w:r>
      <w:r>
        <w:t xml:space="preserve"> Implementing changes to penalty rate categories may necessitate adjustments to various technical aspects, such as interfaces and reporting presentations throughout the entire settlement process chain. We would like to question whether the efforts and costs involved in these technical adaptations would be justified in terms of the overall benefits gained. Therefore, our inclination is to prioritize a comprehensive evaluation of generally higher penalty rates before considering additional adjustments that </w:t>
      </w:r>
      <w:r>
        <w:rPr>
          <w:color w:val="1A1A1A"/>
          <w:highlight w:val="yellow"/>
        </w:rPr>
        <w:t>may</w:t>
      </w:r>
      <w:r>
        <w:rPr>
          <w:color w:val="1A1A1A"/>
          <w:spacing w:val="-9"/>
          <w:highlight w:val="yellow"/>
        </w:rPr>
        <w:t xml:space="preserve"> </w:t>
      </w:r>
      <w:r>
        <w:rPr>
          <w:color w:val="1A1A1A"/>
          <w:highlight w:val="yellow"/>
        </w:rPr>
        <w:t>introduce</w:t>
      </w:r>
      <w:r>
        <w:rPr>
          <w:color w:val="1A1A1A"/>
          <w:spacing w:val="-4"/>
          <w:highlight w:val="yellow"/>
        </w:rPr>
        <w:t xml:space="preserve"> </w:t>
      </w:r>
      <w:r>
        <w:rPr>
          <w:color w:val="1A1A1A"/>
          <w:highlight w:val="yellow"/>
        </w:rPr>
        <w:t>complexities</w:t>
      </w:r>
      <w:r>
        <w:rPr>
          <w:color w:val="1A1A1A"/>
          <w:spacing w:val="-4"/>
          <w:highlight w:val="yellow"/>
        </w:rPr>
        <w:t xml:space="preserve"> </w:t>
      </w:r>
      <w:r>
        <w:rPr>
          <w:color w:val="1A1A1A"/>
          <w:highlight w:val="yellow"/>
        </w:rPr>
        <w:t>and</w:t>
      </w:r>
      <w:r>
        <w:rPr>
          <w:color w:val="1A1A1A"/>
          <w:spacing w:val="-7"/>
          <w:highlight w:val="yellow"/>
        </w:rPr>
        <w:t xml:space="preserve"> </w:t>
      </w:r>
      <w:r>
        <w:rPr>
          <w:color w:val="1A1A1A"/>
          <w:highlight w:val="yellow"/>
        </w:rPr>
        <w:t>raise</w:t>
      </w:r>
      <w:r>
        <w:rPr>
          <w:color w:val="1A1A1A"/>
          <w:spacing w:val="-4"/>
          <w:highlight w:val="yellow"/>
        </w:rPr>
        <w:t xml:space="preserve"> </w:t>
      </w:r>
      <w:r>
        <w:rPr>
          <w:color w:val="1A1A1A"/>
          <w:highlight w:val="yellow"/>
        </w:rPr>
        <w:t>questions</w:t>
      </w:r>
      <w:r>
        <w:rPr>
          <w:color w:val="1A1A1A"/>
          <w:spacing w:val="-7"/>
          <w:highlight w:val="yellow"/>
        </w:rPr>
        <w:t xml:space="preserve"> </w:t>
      </w:r>
      <w:r>
        <w:rPr>
          <w:color w:val="1A1A1A"/>
          <w:highlight w:val="yellow"/>
        </w:rPr>
        <w:t>about</w:t>
      </w:r>
      <w:r>
        <w:rPr>
          <w:color w:val="1A1A1A"/>
          <w:spacing w:val="-6"/>
          <w:highlight w:val="yellow"/>
        </w:rPr>
        <w:t xml:space="preserve"> </w:t>
      </w:r>
      <w:r>
        <w:rPr>
          <w:color w:val="1A1A1A"/>
          <w:highlight w:val="yellow"/>
        </w:rPr>
        <w:t>their</w:t>
      </w:r>
      <w:r>
        <w:rPr>
          <w:color w:val="1A1A1A"/>
          <w:spacing w:val="-4"/>
          <w:highlight w:val="yellow"/>
        </w:rPr>
        <w:t xml:space="preserve"> </w:t>
      </w:r>
      <w:r>
        <w:rPr>
          <w:color w:val="1A1A1A"/>
          <w:highlight w:val="yellow"/>
        </w:rPr>
        <w:t>cost-</w:t>
      </w:r>
      <w:r>
        <w:rPr>
          <w:color w:val="1A1A1A"/>
          <w:spacing w:val="-2"/>
          <w:highlight w:val="yellow"/>
        </w:rPr>
        <w:t>effectiveness.</w:t>
      </w:r>
    </w:p>
    <w:p w14:paraId="4AAB56D7" w14:textId="77777777" w:rsidR="00983995" w:rsidRDefault="00983995" w:rsidP="00983995">
      <w:pPr>
        <w:pStyle w:val="Textkrper"/>
        <w:ind w:left="116"/>
      </w:pPr>
      <w:r>
        <w:t>Please see also our response to Question 22.</w:t>
      </w:r>
    </w:p>
    <w:p w14:paraId="5A67EBAC" w14:textId="4312FB15" w:rsidR="00480F3D" w:rsidRDefault="00983995" w:rsidP="00983995">
      <w:pPr>
        <w:pStyle w:val="Textkrper"/>
        <w:ind w:left="116"/>
      </w:pPr>
      <w:r>
        <w:t xml:space="preserve">For the sake of </w:t>
      </w:r>
      <w:proofErr w:type="gramStart"/>
      <w:r>
        <w:t>clarity</w:t>
      </w:r>
      <w:proofErr w:type="gramEnd"/>
      <w:r>
        <w:t xml:space="preserve"> we note that already today ETFs (category “ETFS”) are penalized in the same way as the categories “SECU”, “UCIT”, “EMAL” and “other” instruments (per fail day, 0.50/ 0.25 bp´s apply) and we see no obvious reason why a new category for ETFs should be added.</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w:t>
      </w:r>
      <w:r w:rsidRPr="00782578">
        <w:lastRenderedPageBreak/>
        <w:t>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0FA75955" w14:textId="14E8C56A" w:rsidR="00C50AF3" w:rsidRDefault="00C50AF3" w:rsidP="00C50AF3">
      <w:permStart w:id="514209699" w:edGrp="everyone"/>
      <w:r>
        <w:t>We strongly favour to keep the current system with a slight/moderate general increase of the penalty rates. The current set-up is in place for only two years and has already shown positive effects.</w:t>
      </w:r>
    </w:p>
    <w:p w14:paraId="221AD83D" w14:textId="3E78B9ED" w:rsidR="00C50AF3" w:rsidRDefault="00C50AF3" w:rsidP="00C50AF3">
      <w:r>
        <w:t xml:space="preserve">Implementing changes to penalty rate categories may necessitate adjustments to various technical aspects, such as interfaces and reporting throughout the entire settlement process chain. We would like to question whether the efforts and costs involved in these technical adaptations would be justified in terms of the overall benefits gained. </w:t>
      </w:r>
    </w:p>
    <w:p w14:paraId="77C7C5FA" w14:textId="18E3A5E6" w:rsidR="00480F3D" w:rsidRDefault="00C50AF3">
      <w:r>
        <w:t>Therefore, our inclination is to prioritize a comprehensive evaluation of generally higher penalty rates</w:t>
      </w:r>
      <w:r w:rsidR="00A31536">
        <w:t xml:space="preserve"> </w:t>
      </w:r>
      <w:r w:rsidR="005164FF" w:rsidRPr="00C67977">
        <w:t>without progressive or other new elements</w:t>
      </w:r>
      <w:r w:rsidR="005164FF">
        <w:t xml:space="preserve"> </w:t>
      </w:r>
      <w:r>
        <w:t>before considering additional adjustments that may introduce complexities and raise questions about</w:t>
      </w:r>
      <w:r w:rsidR="00A31536">
        <w:t xml:space="preserve"> </w:t>
      </w:r>
      <w:r>
        <w:t>their cost-effectiveness.</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5D9EBC7A" w14:textId="40EA2543" w:rsidR="00A31536" w:rsidRDefault="00A31536" w:rsidP="00A31536">
      <w:permStart w:id="873400905" w:edGrp="everyone"/>
      <w:r>
        <w:t xml:space="preserve">The two suggested options would represent a significant change compared to the current </w:t>
      </w:r>
      <w:proofErr w:type="gramStart"/>
      <w:r>
        <w:t>penalties</w:t>
      </w:r>
      <w:proofErr w:type="gramEnd"/>
      <w:r>
        <w:t xml:space="preserve"> calculation approach. The cost/benefit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17757935" w14:textId="3B29DBC3" w:rsidR="00480F3D" w:rsidRDefault="00A31536" w:rsidP="00A31536">
      <w:r>
        <w:t>Please also refer to our answer to Q 26.</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lastRenderedPageBreak/>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0EFF9A46" w14:textId="18064996" w:rsidR="008D18FF" w:rsidRDefault="00A31536" w:rsidP="00413D4F">
      <w:permStart w:id="1752653492" w:edGrp="everyone"/>
      <w:r w:rsidRPr="00A31536">
        <w:t xml:space="preserve">We oppose the introduction of progressive penalty rates. The implementation of </w:t>
      </w:r>
      <w:r w:rsidR="00BE1FCE" w:rsidRPr="00BE1FCE">
        <w:t xml:space="preserve">changes to the penalty mechanism is unnecessarily complex. The two suggested options would represent a significant change compared to the current </w:t>
      </w:r>
      <w:proofErr w:type="gramStart"/>
      <w:r w:rsidR="00BE1FCE" w:rsidRPr="00BE1FCE">
        <w:t>penalties</w:t>
      </w:r>
      <w:proofErr w:type="gramEnd"/>
      <w:r w:rsidR="00BE1FCE" w:rsidRPr="00BE1FCE">
        <w:t xml:space="preserve"> calculation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 w14:paraId="4441C95F" w14:textId="39435609" w:rsidR="001C4C58" w:rsidRDefault="001C4C58" w:rsidP="00413D4F">
      <w:r w:rsidRPr="001C4C58">
        <w:t>Please also refer to our answer under Q 26 and 27.</w:t>
      </w:r>
    </w:p>
    <w:permEnd w:id="1752653492"/>
    <w:p w14:paraId="45884B2B" w14:textId="77777777" w:rsidR="008D18FF" w:rsidRDefault="008D18FF" w:rsidP="00413D4F"/>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45DED48E" w14:textId="44FEEF61" w:rsidR="005B5378" w:rsidRDefault="005B5378" w:rsidP="005B5378">
      <w:permStart w:id="503064745" w:edGrp="everyone"/>
      <w:r>
        <w:t>We oppose the introduction of progressive penalty rates. The implementation of any changes to the penalty mechanism is unnecessarily complex</w:t>
      </w:r>
      <w:r w:rsidR="001C0313">
        <w:t>.</w:t>
      </w:r>
      <w:r>
        <w:t xml:space="preserve"> The consideration of any new criteria would represent a significant change compared to the current approach. The cost/ benefit ratio is too low to justify any change that will require relevant IT developments (including testing) for </w:t>
      </w:r>
      <w:r>
        <w:lastRenderedPageBreak/>
        <w:t>any EU/ EEA CSDs, T2S and participants and would make the application of penalty rates much more complex for transactions failing for more than one day (and including late matching fails).</w:t>
      </w:r>
    </w:p>
    <w:p w14:paraId="1F01C1E6" w14:textId="77777777" w:rsidR="001C0313" w:rsidRDefault="005B5378" w:rsidP="00413D4F">
      <w:r>
        <w:t xml:space="preserve">Note: as discussed during the CSDR consultations some years ago, the transaction type is not a </w:t>
      </w:r>
      <w:proofErr w:type="gramStart"/>
      <w:r>
        <w:t>matching criteria</w:t>
      </w:r>
      <w:proofErr w:type="gramEnd"/>
      <w:r>
        <w:t xml:space="preserve"> for settlement transactions, hence, the information could deviate between the securities delivery and receipt leg of a transaction making the application of penalties based on this criteria “random” at best</w:t>
      </w:r>
      <w:r w:rsidR="001C0313">
        <w:t>.</w:t>
      </w:r>
    </w:p>
    <w:p w14:paraId="7F70CB81" w14:textId="27D9F92D" w:rsidR="007D7BB4" w:rsidRPr="00BD3B92" w:rsidRDefault="001C0313" w:rsidP="00413D4F">
      <w:r w:rsidRPr="001C0313">
        <w:t xml:space="preserve">Please also refer to our answer under Q 26 and </w:t>
      </w:r>
      <w:proofErr w:type="gramStart"/>
      <w:r w:rsidRPr="001C0313">
        <w:t>27.</w:t>
      </w:r>
      <w:r w:rsidR="005B5378">
        <w:t>.</w:t>
      </w:r>
      <w:permEnd w:id="503064745"/>
      <w:proofErr w:type="gramEnd"/>
    </w:p>
    <w:tbl>
      <w:tblPr>
        <w:tblStyle w:val="Tabellenraster"/>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w:t>
      </w:r>
      <w:r w:rsidRPr="00A403E0">
        <w:lastRenderedPageBreak/>
        <w:t xml:space="preserve">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512A852" w14:textId="77777777" w:rsidR="00F2398F" w:rsidRPr="001C0313" w:rsidRDefault="00F2398F" w:rsidP="00F2398F">
      <w:pPr>
        <w:pStyle w:val="Textkrper"/>
        <w:rPr>
          <w:szCs w:val="22"/>
        </w:rPr>
      </w:pPr>
      <w:permStart w:id="1764259019" w:edGrp="everyone"/>
      <w:r w:rsidRPr="001C0313">
        <w:rPr>
          <w:szCs w:val="22"/>
        </w:rPr>
        <w:t>Please see our feedback to Questions 27 to 29.</w:t>
      </w:r>
    </w:p>
    <w:p w14:paraId="7853B9D9" w14:textId="1FA8AD43" w:rsidR="00720942" w:rsidRPr="00F2398F" w:rsidRDefault="00F2398F" w:rsidP="00F2398F">
      <w:pPr>
        <w:pStyle w:val="Textkrper"/>
        <w:rPr>
          <w:sz w:val="20"/>
        </w:rPr>
      </w:pPr>
      <w:r w:rsidRPr="001C0313">
        <w:rPr>
          <w:szCs w:val="22"/>
        </w:rPr>
        <w:t>The consideration of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tbl>
      <w:tblPr>
        <w:tblStyle w:val="Tabellenraster"/>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lastRenderedPageBreak/>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474C09D5" w:rsidR="00EC303D" w:rsidRDefault="00F2398F" w:rsidP="00EC303D">
      <w:permStart w:id="892430093" w:edGrp="everyone"/>
      <w:r w:rsidRPr="000A32E2">
        <w:rPr>
          <w:color w:val="1A1A1A"/>
          <w:spacing w:val="-2"/>
        </w:rPr>
        <w:t>No additional criteria should be considered as any new criteria would represent a significant change compared to the current approach. The cost/ benefit ratio is too low to justify any change that will require relevant IT developments (including testing) for any EU/ EEA CSDs, T2S and participants and would make the application of penalty rates much more complex for transactions failing for more than one day (and including late matching fails).</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55C06515" w14:textId="29EFA128" w:rsidR="008F06F9" w:rsidRDefault="00F2398F" w:rsidP="008F06F9">
      <w:pPr>
        <w:pStyle w:val="Textkrper"/>
        <w:spacing w:before="24"/>
        <w:ind w:left="116"/>
      </w:pPr>
      <w:permStart w:id="2059342461" w:edGrp="everyone"/>
      <w:r>
        <w:rPr>
          <w:color w:val="1A1A1A"/>
          <w:spacing w:val="-2"/>
        </w:rPr>
        <w:t>In general</w:t>
      </w:r>
      <w:r w:rsidR="00AB14D5">
        <w:rPr>
          <w:color w:val="1A1A1A"/>
          <w:spacing w:val="-2"/>
        </w:rPr>
        <w:t>,</w:t>
      </w:r>
      <w:r>
        <w:rPr>
          <w:color w:val="1A1A1A"/>
          <w:spacing w:val="-2"/>
        </w:rPr>
        <w:t xml:space="preserve"> the</w:t>
      </w:r>
      <w:r>
        <w:rPr>
          <w:color w:val="1A1A1A"/>
          <w:spacing w:val="-3"/>
        </w:rPr>
        <w:t xml:space="preserve"> </w:t>
      </w:r>
      <w:r>
        <w:rPr>
          <w:color w:val="1A1A1A"/>
          <w:spacing w:val="-2"/>
        </w:rPr>
        <w:t>simplicity</w:t>
      </w:r>
      <w:r>
        <w:rPr>
          <w:color w:val="1A1A1A"/>
        </w:rPr>
        <w:t xml:space="preserve"> </w:t>
      </w:r>
      <w:r>
        <w:rPr>
          <w:color w:val="1A1A1A"/>
          <w:spacing w:val="-2"/>
        </w:rPr>
        <w:t>and</w:t>
      </w:r>
      <w:r>
        <w:rPr>
          <w:color w:val="1A1A1A"/>
          <w:spacing w:val="-5"/>
        </w:rPr>
        <w:t xml:space="preserve"> </w:t>
      </w:r>
      <w:r>
        <w:rPr>
          <w:color w:val="1A1A1A"/>
          <w:spacing w:val="-2"/>
        </w:rPr>
        <w:t>clarity</w:t>
      </w:r>
      <w:r>
        <w:rPr>
          <w:color w:val="1A1A1A"/>
          <w:spacing w:val="-3"/>
        </w:rPr>
        <w:t xml:space="preserve"> </w:t>
      </w:r>
      <w:r>
        <w:rPr>
          <w:color w:val="1A1A1A"/>
          <w:spacing w:val="-2"/>
        </w:rPr>
        <w:t>of</w:t>
      </w:r>
      <w:r>
        <w:rPr>
          <w:color w:val="1A1A1A"/>
          <w:spacing w:val="-6"/>
        </w:rPr>
        <w:t xml:space="preserve"> </w:t>
      </w:r>
      <w:r>
        <w:rPr>
          <w:color w:val="1A1A1A"/>
          <w:spacing w:val="-2"/>
        </w:rPr>
        <w:t>the</w:t>
      </w:r>
      <w:r>
        <w:rPr>
          <w:color w:val="1A1A1A"/>
        </w:rPr>
        <w:t xml:space="preserve"> </w:t>
      </w:r>
      <w:r>
        <w:rPr>
          <w:color w:val="1A1A1A"/>
          <w:spacing w:val="-2"/>
        </w:rPr>
        <w:t>penalty</w:t>
      </w:r>
      <w:r>
        <w:rPr>
          <w:color w:val="1A1A1A"/>
          <w:spacing w:val="-3"/>
        </w:rPr>
        <w:t xml:space="preserve"> </w:t>
      </w:r>
      <w:r>
        <w:rPr>
          <w:color w:val="1A1A1A"/>
          <w:spacing w:val="-2"/>
        </w:rPr>
        <w:t>mechanisms</w:t>
      </w:r>
      <w:r>
        <w:rPr>
          <w:color w:val="1A1A1A"/>
        </w:rPr>
        <w:t xml:space="preserve"> </w:t>
      </w:r>
      <w:r>
        <w:rPr>
          <w:color w:val="1A1A1A"/>
          <w:spacing w:val="-2"/>
        </w:rPr>
        <w:t>are</w:t>
      </w:r>
      <w:r>
        <w:rPr>
          <w:color w:val="1A1A1A"/>
        </w:rPr>
        <w:t xml:space="preserve"> </w:t>
      </w:r>
      <w:r>
        <w:rPr>
          <w:color w:val="1A1A1A"/>
          <w:spacing w:val="-2"/>
        </w:rPr>
        <w:t>crucial</w:t>
      </w:r>
      <w:r>
        <w:rPr>
          <w:color w:val="1A1A1A"/>
          <w:spacing w:val="-4"/>
        </w:rPr>
        <w:t xml:space="preserve"> </w:t>
      </w:r>
      <w:r>
        <w:rPr>
          <w:color w:val="1A1A1A"/>
          <w:spacing w:val="-2"/>
        </w:rPr>
        <w:t>factors</w:t>
      </w:r>
      <w:r>
        <w:rPr>
          <w:color w:val="1A1A1A"/>
          <w:spacing w:val="-4"/>
        </w:rPr>
        <w:t xml:space="preserve"> </w:t>
      </w:r>
      <w:r>
        <w:rPr>
          <w:color w:val="1A1A1A"/>
          <w:spacing w:val="-2"/>
        </w:rPr>
        <w:t>for</w:t>
      </w:r>
      <w:r>
        <w:rPr>
          <w:color w:val="1A1A1A"/>
          <w:spacing w:val="-4"/>
        </w:rPr>
        <w:t xml:space="preserve"> </w:t>
      </w:r>
      <w:r>
        <w:rPr>
          <w:color w:val="1A1A1A"/>
          <w:spacing w:val="-2"/>
        </w:rPr>
        <w:t>their</w:t>
      </w:r>
      <w:r>
        <w:rPr>
          <w:color w:val="1A1A1A"/>
          <w:spacing w:val="-4"/>
        </w:rPr>
        <w:t xml:space="preserve"> </w:t>
      </w:r>
      <w:r>
        <w:rPr>
          <w:color w:val="1A1A1A"/>
          <w:spacing w:val="-2"/>
        </w:rPr>
        <w:t>effectiveness.</w:t>
      </w:r>
      <w:r>
        <w:rPr>
          <w:color w:val="1A1A1A"/>
          <w:spacing w:val="-3"/>
        </w:rPr>
        <w:t xml:space="preserve"> </w:t>
      </w:r>
    </w:p>
    <w:p w14:paraId="4D633E5A" w14:textId="7D55DB8B" w:rsidR="00F2398F" w:rsidRDefault="008F06F9" w:rsidP="00F2398F">
      <w:pPr>
        <w:pStyle w:val="Textkrper"/>
        <w:rPr>
          <w:color w:val="000000"/>
        </w:rPr>
      </w:pPr>
      <w:r w:rsidRPr="008F06F9">
        <w:rPr>
          <w:color w:val="000000"/>
        </w:rPr>
        <w:t>Choosing simpler mechanisms aligns with the goal of promoting transparency, accountability, and ease</w:t>
      </w:r>
      <w:r>
        <w:rPr>
          <w:color w:val="000000"/>
        </w:rPr>
        <w:t xml:space="preserve"> </w:t>
      </w:r>
      <w:r w:rsidRPr="008F06F9">
        <w:rPr>
          <w:color w:val="000000"/>
        </w:rPr>
        <w:t xml:space="preserve">of comprehension for all stakeholders involved in the settlement process. It helps </w:t>
      </w:r>
      <w:r w:rsidR="00AB14D5">
        <w:rPr>
          <w:color w:val="000000"/>
        </w:rPr>
        <w:t xml:space="preserve">to </w:t>
      </w:r>
      <w:r w:rsidRPr="008F06F9">
        <w:rPr>
          <w:color w:val="000000"/>
        </w:rPr>
        <w:lastRenderedPageBreak/>
        <w:t>maintain a fair and</w:t>
      </w:r>
      <w:r>
        <w:rPr>
          <w:color w:val="000000"/>
        </w:rPr>
        <w:t xml:space="preserve"> </w:t>
      </w:r>
      <w:r w:rsidR="00451E21" w:rsidRPr="00451E21">
        <w:rPr>
          <w:color w:val="000000"/>
        </w:rPr>
        <w:t>accessible penalty framework that supports efficient settlement practices across the financial</w:t>
      </w:r>
      <w:r w:rsidR="005164FF">
        <w:rPr>
          <w:color w:val="000000"/>
        </w:rPr>
        <w:t xml:space="preserve"> </w:t>
      </w:r>
      <w:r w:rsidR="005164FF" w:rsidRPr="00C67977">
        <w:rPr>
          <w:color w:val="000000"/>
        </w:rPr>
        <w:t>markets</w:t>
      </w:r>
      <w:r w:rsidR="00451E21">
        <w:rPr>
          <w:color w:val="000000"/>
        </w:rPr>
        <w:t xml:space="preserve"> </w:t>
      </w:r>
      <w:r w:rsidR="00451E21" w:rsidRPr="00451E21">
        <w:rPr>
          <w:color w:val="000000"/>
        </w:rPr>
        <w:t>landscape</w:t>
      </w:r>
      <w:r w:rsidR="00451E21">
        <w:rPr>
          <w:color w:val="000000"/>
        </w:rPr>
        <w:t>.</w:t>
      </w:r>
    </w:p>
    <w:p w14:paraId="343819C2" w14:textId="296F5977" w:rsidR="00707682" w:rsidRDefault="00451E21" w:rsidP="00451E21">
      <w:pPr>
        <w:pStyle w:val="Textkrper"/>
      </w:pPr>
      <w:r w:rsidRPr="00451E21">
        <w:rPr>
          <w:color w:val="000000"/>
        </w:rPr>
        <w:t xml:space="preserve">More specifically: For late matching penalties, as stated in our response to Question 11, we believe that the latest available reference price should be used to calculate any late matching penalties. Despite IT development impacts this </w:t>
      </w:r>
      <w:r w:rsidR="005164FF">
        <w:rPr>
          <w:color w:val="000000"/>
        </w:rPr>
        <w:t>w</w:t>
      </w:r>
      <w:r w:rsidRPr="00451E21">
        <w:rPr>
          <w:color w:val="000000"/>
        </w:rPr>
        <w:t>ould simplify the way penalties are being calculated for past fail dates between ISD and actual matching date.</w:t>
      </w:r>
    </w:p>
    <w:tbl>
      <w:tblPr>
        <w:tblStyle w:val="Tabellenraster"/>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49B39866" w:rsidR="00683F26" w:rsidRDefault="00451E21">
      <w:permStart w:id="9921138" w:edGrp="everyone"/>
      <w:r w:rsidRPr="00451E21">
        <w:lastRenderedPageBreak/>
        <w:t>We see no need for changes, the current process should continue to apply.</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62152840" w:rsidR="00683F26" w:rsidRDefault="00451E21">
      <w:permStart w:id="1386107427" w:edGrp="everyone"/>
      <w:r w:rsidRPr="00451E21">
        <w:t>We are of the view that the replacement of DVPs by FOPs at a significant scale seems very unlikely.</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ellenraster"/>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lastRenderedPageBreak/>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lastRenderedPageBreak/>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lastRenderedPageBreak/>
              <w:t>TYPE YOUR TEXT HERE</w:t>
            </w:r>
          </w:p>
          <w:permEnd w:id="1220902001"/>
          <w:p w14:paraId="60EC8EC1" w14:textId="77777777" w:rsidR="00413D4F" w:rsidRDefault="00413D4F">
            <w:pPr>
              <w:spacing w:after="0"/>
            </w:pPr>
            <w:r w:rsidRPr="263AF6BA">
              <w:rPr>
                <w:rFonts w:ascii="Arial" w:eastAsia="Arial" w:hAnsi="Arial" w:cs="Arial"/>
              </w:rPr>
              <w:lastRenderedPageBreak/>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lastRenderedPageBreak/>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FB4F9E1" w14:textId="31B8F36A" w:rsidR="00451E21" w:rsidRDefault="00451E21" w:rsidP="00D57C74">
      <w:permStart w:id="2042054973" w:edGrp="everyone"/>
      <w:r w:rsidRPr="00451E21">
        <w:t>Additional asset classes are not necessary. They overly complicate the penalty system and do not</w:t>
      </w:r>
      <w:r>
        <w:t xml:space="preserve"> </w:t>
      </w:r>
      <w:r w:rsidRPr="00451E21">
        <w:t>provide any discernible benefits. Even though the calculation of penalties is primarily the responsibility</w:t>
      </w:r>
      <w:r>
        <w:t xml:space="preserve"> </w:t>
      </w:r>
      <w:r w:rsidRPr="00451E21">
        <w:t>of the CSDs, the system should be easily understandable for market participants.</w:t>
      </w:r>
    </w:p>
    <w:p w14:paraId="3CB9AADA" w14:textId="65B8F37B" w:rsidR="00451E21" w:rsidRDefault="00451E21" w:rsidP="00D57C74">
      <w:r w:rsidRPr="00451E21">
        <w:t>The inclusion of more asset classes could introduce unnecessary complexity into the penalty</w:t>
      </w:r>
      <w:r>
        <w:t xml:space="preserve"> </w:t>
      </w:r>
      <w:r w:rsidRPr="00451E21">
        <w:t>framework without clear advantages. It is essential to prioritize simplicity and transparency in the</w:t>
      </w:r>
      <w:r>
        <w:t xml:space="preserve"> </w:t>
      </w:r>
      <w:r w:rsidRPr="00451E21">
        <w:t>penalty calculation process to ensure that market participants can easily grasp the rules and</w:t>
      </w:r>
      <w:r>
        <w:t xml:space="preserve"> </w:t>
      </w:r>
      <w:r w:rsidR="00855DB6" w:rsidRPr="00855DB6">
        <w:t>implications. This not only facilitates a clearer understanding of the penalty mechanism but also empowers parties to scrutinize and contest any penalties that may have been inaccurately calculated.</w:t>
      </w:r>
    </w:p>
    <w:p w14:paraId="0361AC86" w14:textId="171024A6" w:rsidR="00855DB6" w:rsidRDefault="00855DB6" w:rsidP="00D57C74">
      <w:r w:rsidRPr="00855DB6">
        <w:t>Promoting a transparent and comprehensible penalty system not only aligns with the principles of fairness and accountability but also contributes to a smoother interaction between market participants</w:t>
      </w:r>
      <w:r>
        <w:t xml:space="preserve"> </w:t>
      </w:r>
      <w:r w:rsidRPr="00855DB6">
        <w:t>and the regulatory framework. Clarity in penalty calculations supports a more efficient and responsive</w:t>
      </w:r>
      <w:r>
        <w:t xml:space="preserve"> </w:t>
      </w:r>
      <w:r w:rsidRPr="00855DB6">
        <w:t>settlement environment by allowing for effective communication and resolution in cases where</w:t>
      </w:r>
      <w:r>
        <w:t xml:space="preserve"> </w:t>
      </w:r>
      <w:r w:rsidRPr="00855DB6">
        <w:t>concerns or discrepancies arise.</w:t>
      </w:r>
    </w:p>
    <w:p w14:paraId="244C9DAA" w14:textId="0906970A" w:rsidR="00D57C74" w:rsidRDefault="00855DB6" w:rsidP="00D57C74">
      <w:r w:rsidRPr="00855DB6">
        <w:t>We also repeat our strong recommendation for ESMA to centrally provide and publish all reference data needed to calculate penalties in a single database accessible to all stakeholders.</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616C4399" w:rsidR="00DD5F58" w:rsidRDefault="00572151">
      <w:permStart w:id="193803223" w:edGrp="everyone"/>
      <w:r w:rsidRPr="00572151">
        <w:t>The existing framework provides ample room for both parties to collaboratively adjust instructions,</w:t>
      </w:r>
      <w:r>
        <w:t xml:space="preserve"> </w:t>
      </w:r>
      <w:r w:rsidRPr="00572151">
        <w:t>allowing for a more adaptive and responsive approach to settlement processes. It is within their</w:t>
      </w:r>
      <w:r>
        <w:t xml:space="preserve"> </w:t>
      </w:r>
      <w:r w:rsidRPr="00572151">
        <w:t>discretion to cancel or modify instructions based on mutual agreement and, if needed, incorporate</w:t>
      </w:r>
      <w:r>
        <w:t xml:space="preserve"> </w:t>
      </w:r>
      <w:r w:rsidRPr="00572151">
        <w:t xml:space="preserve">new parameters to facilitate smooth settlement. Encouraging a proactive </w:t>
      </w:r>
      <w:r w:rsidRPr="00572151">
        <w:lastRenderedPageBreak/>
        <w:t>utilization of this existing flexibility can contribute to a more dynamic and efficient settlement environment.</w:t>
      </w:r>
    </w:p>
    <w:p w14:paraId="116A1DFA" w14:textId="220456EB" w:rsidR="00572151" w:rsidRDefault="00572151">
      <w:r w:rsidRPr="00572151">
        <w:t>This flexibility can be particularly advantageous in situations where unexpected developments or</w:t>
      </w:r>
      <w:r>
        <w:t xml:space="preserve"> </w:t>
      </w:r>
      <w:r w:rsidRPr="00572151">
        <w:t>changes in circumstances warrant adjustments to settlement instructions. By promoting increased</w:t>
      </w:r>
      <w:r>
        <w:t xml:space="preserve"> </w:t>
      </w:r>
      <w:r w:rsidRPr="00572151">
        <w:t>utilization of this mechanism, market participants can enhance their ability to navigate evolving conditions, fostering a settlement process that is not only effective but also responsive to the dynamic nature of financial markets.</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406DC7BC" w14:textId="74857224" w:rsidR="002C6E1E" w:rsidRDefault="002C6E1E" w:rsidP="002C6E1E">
      <w:permStart w:id="497239485" w:edGrp="everyone"/>
      <w:r>
        <w:t xml:space="preserve">There could be cases where transactions are only unilaterally cancelled and remain subject to continuous penalties; the reason why bilateral cancellation is not applied by the counterparty is unknown </w:t>
      </w:r>
      <w:r w:rsidR="00FC1512" w:rsidRPr="00C67977">
        <w:t>but</w:t>
      </w:r>
      <w:r w:rsidR="00FC1512">
        <w:t xml:space="preserve"> </w:t>
      </w:r>
      <w:r>
        <w:t xml:space="preserve">apparently participants </w:t>
      </w:r>
      <w:r w:rsidR="00FC1512" w:rsidRPr="00C67977">
        <w:t>do not always</w:t>
      </w:r>
      <w:r w:rsidR="00FC1512">
        <w:t xml:space="preserve"> </w:t>
      </w:r>
      <w:r>
        <w:t xml:space="preserve">succeed to make their counterparty confirm the cancellation request. </w:t>
      </w:r>
    </w:p>
    <w:p w14:paraId="380F5E97" w14:textId="37535626" w:rsidR="00DD5F58" w:rsidRDefault="002C6E1E" w:rsidP="002C6E1E">
      <w:r>
        <w:t>T2S cancels even matched failing settlement transactions after 60 days so the issue is limited to 2 months from a T2S “efficiency” perspective. Applying the same approach by all (I)CSDs could mitigate the issue.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681C080D" w:rsidR="00DD5F58" w:rsidRDefault="002C6E1E">
      <w:permStart w:id="363731969" w:edGrp="everyone"/>
      <w:r w:rsidRPr="002C6E1E">
        <w:t>Please refer to our answer to Question 1.</w:t>
      </w:r>
    </w:p>
    <w:permEnd w:id="363731969"/>
    <w:p w14:paraId="04A0439A" w14:textId="77777777" w:rsidR="00DD5F58" w:rsidRDefault="00DD5F58">
      <w:r>
        <w:lastRenderedPageBreak/>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6EA417CB" w:rsidR="00DD5F58" w:rsidRDefault="002C6E1E">
      <w:permStart w:id="395341201" w:edGrp="everyone"/>
      <w:r w:rsidRPr="002C6E1E">
        <w:t>No, the penalty mechanism must not be applied only at the level of those CSDs with higher settlement fail rates as this would heavily damage (intra- and outside EU/ EEA) competition and level-playing field and target the wrong entities as CSDs are not the ones who could significantly steer the settlement efficiency of their participants.</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lastRenderedPageBreak/>
              <w:t>TYPE YOUR TEXT HERE</w:t>
            </w:r>
          </w:p>
          <w:permEnd w:id="2134972880"/>
          <w:p w14:paraId="5423F6B3" w14:textId="77777777" w:rsidR="00413D4F" w:rsidRDefault="00413D4F">
            <w:pPr>
              <w:spacing w:after="0"/>
            </w:pPr>
            <w:r w:rsidRPr="442E5590">
              <w:rPr>
                <w:rFonts w:ascii="Arial" w:eastAsia="Arial" w:hAnsi="Arial" w:cs="Arial"/>
                <w:szCs w:val="22"/>
              </w:rPr>
              <w:lastRenderedPageBreak/>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lastRenderedPageBreak/>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6842F13" w:rsidR="000F5114" w:rsidRPr="00346EA8" w:rsidRDefault="002C6E1E" w:rsidP="00346EA8">
      <w:pPr>
        <w:ind w:left="116"/>
        <w:rPr>
          <w:color w:val="1A1A1A"/>
          <w:spacing w:val="-2"/>
        </w:rPr>
      </w:pPr>
      <w:permStart w:id="1572044397" w:edGrp="everyone"/>
      <w:r w:rsidRPr="002C6E1E">
        <w:t>In addition to our response to Question 39, especially for T2S CSDs, such approach would be extremely counterproductive: for T2S and its participants, the running and development cost of the penalty mechanism would be attributed to a much smaller customer base, hence, heavily increase the cost distributed to few CSDs and clients what will make the use of such CSDs or even T2S unreasonable.</w:t>
      </w:r>
      <w:r w:rsidR="00346EA8" w:rsidRPr="00346EA8">
        <w:rPr>
          <w:color w:val="1A1A1A"/>
          <w:spacing w:val="-2"/>
        </w:rPr>
        <w:t xml:space="preserve"> </w:t>
      </w:r>
      <w:r w:rsidR="00346EA8" w:rsidRPr="000529A7">
        <w:rPr>
          <w:color w:val="1A1A1A"/>
          <w:spacing w:val="-2"/>
        </w:rPr>
        <w:t>For T2S, significant impact/ cost can be expected.</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ellenraster"/>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7C41EAF1" w14:textId="366FD01B" w:rsidR="00346EA8" w:rsidRDefault="00346EA8" w:rsidP="00346EA8">
      <w:permStart w:id="2145483530" w:edGrp="everyone"/>
      <w:r>
        <w:t xml:space="preserve">As discussed during the CSDR consultations some years ago, the transaction type is not a </w:t>
      </w:r>
      <w:proofErr w:type="gramStart"/>
      <w:r>
        <w:t>matching criteria</w:t>
      </w:r>
      <w:proofErr w:type="gramEnd"/>
      <w:r>
        <w:t xml:space="preserve"> for settlement transactions, hence, the information could deviate between the securities delivery and receipt leg of a transaction making the application of penalties based on this criteria “random” at best.</w:t>
      </w:r>
    </w:p>
    <w:p w14:paraId="1F56E8FC" w14:textId="35052831" w:rsidR="000F5114" w:rsidRDefault="00346EA8" w:rsidP="00346EA8">
      <w:r>
        <w:t>The cost/ benefit ratio is too low to justify any change that will require relevant IT developments (including testing) for any EU/ EEA CSDs, T2S and participants and would make the application of penalty rates much more complex.</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F6CB5CB" w:rsidR="003148F1" w:rsidRDefault="00346EA8">
      <w:permStart w:id="328298340" w:edGrp="everyone"/>
      <w:r>
        <w:t>No.</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lastRenderedPageBreak/>
        <w:t>&lt;ESMA_QUESTION_CSDR_43&gt;</w:t>
      </w:r>
    </w:p>
    <w:p w14:paraId="7B7F598C" w14:textId="663A2680" w:rsidR="004A2E54" w:rsidRDefault="00346EA8" w:rsidP="00346EA8">
      <w:pPr>
        <w:pStyle w:val="Textkrper"/>
        <w:spacing w:before="24"/>
        <w:ind w:left="116"/>
      </w:pPr>
      <w:permStart w:id="1912501969" w:edGrp="everyone"/>
      <w:r w:rsidRPr="00E85D15">
        <w:t>We have nothing to add beyond what we mentioned already in multiple previous questions.</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5FC942E" w14:textId="0B31FFA6" w:rsidR="00FA151B" w:rsidRDefault="00346EA8" w:rsidP="00FA151B">
      <w:permStart w:id="1125473364" w:edGrp="everyone"/>
      <w:r w:rsidRPr="00346EA8">
        <w:t>The European market's fragmentation, characterized by the presence of multiple CSDs, introduces a</w:t>
      </w:r>
      <w:r>
        <w:t xml:space="preserve"> </w:t>
      </w:r>
      <w:r w:rsidRPr="00346EA8">
        <w:t>level of complexity that can potentially lead to delays in the settlement process. In contrast, the United</w:t>
      </w:r>
      <w:r>
        <w:t xml:space="preserve"> </w:t>
      </w:r>
      <w:r w:rsidRPr="00346EA8">
        <w:t>States benefits from a more centralized structure with the Federal Reserve (FED) and the Depository</w:t>
      </w:r>
      <w:r>
        <w:t xml:space="preserve"> </w:t>
      </w:r>
      <w:r w:rsidRPr="00346EA8">
        <w:t xml:space="preserve">Trust and Clearing Corporation (DTCC) serving as the primary CSDs. This centralized setup contributes to a more streamlined and efficient settlement process, reducing the likelihood of delays. Therefore, the European market is not comparable with other markets, </w:t>
      </w:r>
      <w:proofErr w:type="gramStart"/>
      <w:r w:rsidRPr="00346EA8">
        <w:t>e.g.</w:t>
      </w:r>
      <w:proofErr w:type="gramEnd"/>
      <w:r w:rsidRPr="00346EA8">
        <w:t xml:space="preserve"> the US market.</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1E074FF8" w:rsidR="00FA151B" w:rsidRDefault="009F31DD" w:rsidP="00FA151B">
      <w:permStart w:id="1165707336" w:edGrp="everyone"/>
      <w:r w:rsidRPr="009F31DD">
        <w:t>Most of our members pass on penalties to their customers to the exten</w:t>
      </w:r>
      <w:r w:rsidR="00FC1512">
        <w:t>t</w:t>
      </w:r>
      <w:r w:rsidRPr="009F31DD">
        <w:t xml:space="preserve"> the c</w:t>
      </w:r>
      <w:r w:rsidR="00FC1512">
        <w:t>u</w:t>
      </w:r>
      <w:r w:rsidRPr="009F31DD">
        <w:t>st</w:t>
      </w:r>
      <w:r w:rsidR="00FC1512">
        <w:t>o</w:t>
      </w:r>
      <w:r w:rsidRPr="009F31DD">
        <w:t>mers are considered to be legally impacted (</w:t>
      </w:r>
      <w:proofErr w:type="gramStart"/>
      <w:r w:rsidRPr="009F31DD">
        <w:t>i.e.</w:t>
      </w:r>
      <w:proofErr w:type="gramEnd"/>
      <w:r w:rsidRPr="009F31DD">
        <w:t xml:space="preserve"> excluding retail clients)</w:t>
      </w:r>
      <w:r w:rsidR="001F07E7">
        <w:t>.</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43B0F782" w14:textId="7F61035D" w:rsidR="009F31DD" w:rsidRDefault="009F31DD" w:rsidP="00FA151B">
      <w:permStart w:id="695947103" w:edGrp="everyone"/>
      <w:r>
        <w:t>Considering our answers to Questions 16 and 17, given the variety of (structural and operational) reasons for settlement fails, we believe that the root causes for fails are not yet fully understood and actioned upon. Hence, we have reasonable doubts that the increase of penalty rates would lead to more timely settlements overall. Also, such change would require significant IT developments (including testing) for any EU/ EEA CSDs, T2S and participants and would make the application of penalty rates much more complex (including for late matching fails).</w:t>
      </w:r>
    </w:p>
    <w:permEnd w:id="695947103"/>
    <w:p w14:paraId="5EB4FD3A" w14:textId="50BB7CD6"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00F6CFF4" w14:textId="77777777" w:rsidR="009F31DD" w:rsidRDefault="009F31DD" w:rsidP="009F31DD">
      <w:permStart w:id="1544167674" w:edGrp="everyone"/>
      <w:r>
        <w:t>The process of penalty calculation is within the purview of the Central Securities Depositories (CSDs) or Target2-Securities (T2S). Consequently, the primary responsibility for addressing this question lies with these entities.</w:t>
      </w:r>
    </w:p>
    <w:p w14:paraId="011C5E1F" w14:textId="0FB248D7" w:rsidR="009F31DD" w:rsidRDefault="009F31DD" w:rsidP="009F31DD">
      <w:r>
        <w:lastRenderedPageBreak/>
        <w:t xml:space="preserve">It is imperative to afford market participants an adequate lead time for timely communication to clients. This allows for effective planning and communication strategies, ensuring that market participants </w:t>
      </w:r>
      <w:r w:rsidR="001F07E7">
        <w:t xml:space="preserve">can convey relevant information to their clients in a timely manner. Providing </w:t>
      </w:r>
      <w:proofErr w:type="gramStart"/>
      <w:r w:rsidR="001F07E7">
        <w:t>an</w:t>
      </w:r>
      <w:proofErr w:type="gramEnd"/>
      <w:r w:rsidR="001F07E7">
        <w:t xml:space="preserve"> sufficient lead time facilitates a smoother and more transparent communication process between market participants </w:t>
      </w:r>
      <w:r>
        <w:t>and their clients in response to penalty-related matters.</w:t>
      </w:r>
    </w:p>
    <w:p w14:paraId="76DB82B3" w14:textId="2EE3EFF7" w:rsidR="009F31DD" w:rsidRDefault="009F31DD" w:rsidP="009F31DD">
      <w:proofErr w:type="gramStart"/>
      <w:r>
        <w:t>E.g.</w:t>
      </w:r>
      <w:proofErr w:type="gramEnd"/>
      <w:r>
        <w:t xml:space="preserve"> from the date of issuance of the final ESMA RTS, depending on the significance of the changes required, for internal developments </w:t>
      </w:r>
      <w:r w:rsidR="009E2CA6">
        <w:t xml:space="preserve">of our members </w:t>
      </w:r>
      <w:r>
        <w:t>and including testing with participants</w:t>
      </w:r>
      <w:r w:rsidR="009E2CA6">
        <w:t>/clients</w:t>
      </w:r>
      <w:r>
        <w:t xml:space="preserve"> and T2S, at least 12 to 18 months will be required. </w:t>
      </w:r>
    </w:p>
    <w:p w14:paraId="6AB1AEE9" w14:textId="3325A52F" w:rsidR="00FA151B" w:rsidRDefault="009F31DD" w:rsidP="009F31DD">
      <w:r>
        <w:t>More development time may be needed by the 4CBs for changes in T2S.</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0E90DA18" w14:textId="77777777" w:rsidR="00FE1476" w:rsidRDefault="00FE1476" w:rsidP="00FE1476">
      <w:permStart w:id="32193916" w:edGrp="everyone"/>
      <w:r>
        <w:t xml:space="preserve">We cannot support an approach that is requiring to treat our participants differently and publicly brandmark them as “offenders” as the actual settlement efficiency is dependent on many factors (like structural/ legal aspects, business models, underlying client bases, financial instruments served, location/ region/ time-zone) that cannot always, easily or at all be </w:t>
      </w:r>
      <w:r>
        <w:lastRenderedPageBreak/>
        <w:t>influenced by the CSD and/ or its participants as illustrated in our feedback to e.g. Questions 6, 16 and 17.</w:t>
      </w:r>
    </w:p>
    <w:p w14:paraId="660B8217" w14:textId="77777777" w:rsidR="00FE1476" w:rsidRDefault="00FE1476" w:rsidP="00FE1476">
      <w:r>
        <w:t>Hence, an “automatic” increase of penalties for certain participants must be absolutely avoided.</w:t>
      </w:r>
    </w:p>
    <w:p w14:paraId="628A8F1C" w14:textId="77777777" w:rsidR="00FE1476" w:rsidRDefault="00FE1476" w:rsidP="00FE1476">
      <w:r>
        <w:t>It is also unclear who would benefit from such fees and how they should be processed/ paid when ESMA states “These special penalties would be in addition to the general cash penalty mechanism provided for in CSDR. In principle, they would not be credited to the participant’s counterparties and should not represent an additional source of income for the CSD.”.</w:t>
      </w:r>
    </w:p>
    <w:p w14:paraId="7A31024D" w14:textId="40C601CA" w:rsidR="00FA151B" w:rsidRDefault="00FE1476" w:rsidP="00FE1476">
      <w:r>
        <w:t>Leaving aside any IT development cost (including for T2S) we believe the existing “suspension” process (see as well Question 48) perfectly serves the purpose to incentivise relevant participants to take mitigating actions, whenever possible.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3B3800A7" w14:textId="72CEECE9" w:rsidR="00FE1476" w:rsidRDefault="00FE1476" w:rsidP="00FE1476">
      <w:permStart w:id="95900870" w:edGrp="everyone"/>
      <w:r>
        <w:t>Monthly working arrangements have been implemented in 2022; in 2023, a total of 27 CBF and 20 CBF-I different clients with a relevant impact on the CSD settlement efficiency were subject to the process to collect feedback on fail reasons and measures applied.</w:t>
      </w:r>
    </w:p>
    <w:p w14:paraId="7180CC53" w14:textId="60F729D9" w:rsidR="00FA151B" w:rsidRDefault="00FE1476" w:rsidP="00FE1476">
      <w:r>
        <w:t xml:space="preserve">The applicable process is described in the </w:t>
      </w:r>
      <w:proofErr w:type="spellStart"/>
      <w:r>
        <w:t>Clearstream</w:t>
      </w:r>
      <w:proofErr w:type="spellEnd"/>
      <w:r>
        <w:t xml:space="preserve"> Client Handbooks chapter “CSDR Settlement Discipline Regime” section “Monitoring Settlement Fails (settlement efficiency)” in detail.</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0C88433A" w:rsidR="00FA151B" w:rsidRDefault="00FE1476" w:rsidP="00FE1476">
      <w:permStart w:id="800291382" w:edGrp="everyone"/>
      <w:r w:rsidRPr="00FE1476">
        <w:lastRenderedPageBreak/>
        <w:t xml:space="preserve">In the context of the </w:t>
      </w:r>
      <w:proofErr w:type="spellStart"/>
      <w:r w:rsidRPr="00FE1476">
        <w:t>Clearstream</w:t>
      </w:r>
      <w:proofErr w:type="spellEnd"/>
      <w:r w:rsidRPr="00FE1476">
        <w:t xml:space="preserve"> User Committee (CUC), there is an ongoing and regular discourse on</w:t>
      </w:r>
      <w:r>
        <w:t xml:space="preserve"> </w:t>
      </w:r>
      <w:r w:rsidR="00086BD6" w:rsidRPr="00086BD6">
        <w:t xml:space="preserve">this </w:t>
      </w:r>
      <w:proofErr w:type="gramStart"/>
      <w:r w:rsidR="00086BD6" w:rsidRPr="00086BD6">
        <w:t>particular topic</w:t>
      </w:r>
      <w:proofErr w:type="gramEnd"/>
      <w:r w:rsidR="00086BD6" w:rsidRPr="00086BD6">
        <w:t>. It is recommended that a similar approach be adopted by all other Central</w:t>
      </w:r>
      <w:r w:rsidR="00086BD6">
        <w:t xml:space="preserve"> </w:t>
      </w:r>
      <w:r>
        <w:t>Securities Depositories (CSDs) to sustain heightened awareness across various markets.</w:t>
      </w:r>
    </w:p>
    <w:permEnd w:id="800291382"/>
    <w:p w14:paraId="507A6667" w14:textId="77777777" w:rsidR="00FA151B" w:rsidRDefault="00FA151B" w:rsidP="00FA151B">
      <w:r>
        <w:t>&lt;ESMA_QUESTION_CSDR_51&gt;</w:t>
      </w:r>
    </w:p>
    <w:sectPr w:rsidR="00FA151B"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6BD" w14:textId="77777777" w:rsidR="00C670ED" w:rsidRDefault="00C670ED" w:rsidP="007E7997">
      <w:pPr>
        <w:spacing w:line="240" w:lineRule="auto"/>
      </w:pPr>
      <w:r>
        <w:separator/>
      </w:r>
    </w:p>
  </w:endnote>
  <w:endnote w:type="continuationSeparator" w:id="0">
    <w:p w14:paraId="6CDE69A2" w14:textId="77777777" w:rsidR="00C670ED" w:rsidRDefault="00C670ED" w:rsidP="007E7997">
      <w:pPr>
        <w:spacing w:line="240" w:lineRule="auto"/>
      </w:pPr>
      <w:r>
        <w:continuationSeparator/>
      </w:r>
    </w:p>
  </w:endnote>
  <w:endnote w:type="continuationNotice" w:id="1">
    <w:p w14:paraId="04B3AD90" w14:textId="77777777" w:rsidR="00C670ED" w:rsidRDefault="00C6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F8C4" w14:textId="77777777" w:rsidR="00C670ED" w:rsidRDefault="00C670ED" w:rsidP="007E7997">
      <w:pPr>
        <w:spacing w:line="240" w:lineRule="auto"/>
      </w:pPr>
      <w:r>
        <w:separator/>
      </w:r>
    </w:p>
  </w:footnote>
  <w:footnote w:type="continuationSeparator" w:id="0">
    <w:p w14:paraId="783423C7" w14:textId="77777777" w:rsidR="00C670ED" w:rsidRDefault="00C670ED" w:rsidP="007E7997">
      <w:pPr>
        <w:spacing w:line="240" w:lineRule="auto"/>
      </w:pPr>
      <w:r>
        <w:continuationSeparator/>
      </w:r>
    </w:p>
  </w:footnote>
  <w:footnote w:type="continuationNotice" w:id="1">
    <w:p w14:paraId="4D3C85F0" w14:textId="77777777" w:rsidR="00C670ED" w:rsidRDefault="00C67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Kopfzeil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BD909B5"/>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92309985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1F"/>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6BD6"/>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0F7F5C"/>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2EE3"/>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313"/>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C58"/>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93A"/>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7E7"/>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0A3"/>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447"/>
    <w:rsid w:val="002C687A"/>
    <w:rsid w:val="002C6E1E"/>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2CC4"/>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193"/>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6EA8"/>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15D"/>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2A"/>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1E21"/>
    <w:rsid w:val="00452DD1"/>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46C6"/>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4FF"/>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151"/>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378"/>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6F7716"/>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AC7"/>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3744"/>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79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438"/>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650"/>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4D0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DB6"/>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64"/>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6F9"/>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66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995"/>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2CA6"/>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1DD"/>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536"/>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40F"/>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4D5"/>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3F5C"/>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2B5B"/>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2FE5"/>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766"/>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1FCE"/>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AF3"/>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977"/>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6331"/>
    <w:rsid w:val="00C87077"/>
    <w:rsid w:val="00C8748F"/>
    <w:rsid w:val="00C8761A"/>
    <w:rsid w:val="00C8789F"/>
    <w:rsid w:val="00C90566"/>
    <w:rsid w:val="00C9061F"/>
    <w:rsid w:val="00C90638"/>
    <w:rsid w:val="00C90882"/>
    <w:rsid w:val="00C90E77"/>
    <w:rsid w:val="00C912C0"/>
    <w:rsid w:val="00C91472"/>
    <w:rsid w:val="00C9174C"/>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0D5A"/>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235"/>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858"/>
    <w:rsid w:val="00EC6BAD"/>
    <w:rsid w:val="00EC6BD8"/>
    <w:rsid w:val="00EC6C23"/>
    <w:rsid w:val="00EC705F"/>
    <w:rsid w:val="00EC7106"/>
    <w:rsid w:val="00EC73B0"/>
    <w:rsid w:val="00EC78ED"/>
    <w:rsid w:val="00EC7DCA"/>
    <w:rsid w:val="00ED05E5"/>
    <w:rsid w:val="00ED08A7"/>
    <w:rsid w:val="00ED1271"/>
    <w:rsid w:val="00ED14E7"/>
    <w:rsid w:val="00ED1A7B"/>
    <w:rsid w:val="00ED1C33"/>
    <w:rsid w:val="00ED1C96"/>
    <w:rsid w:val="00ED1F42"/>
    <w:rsid w:val="00ED2A57"/>
    <w:rsid w:val="00ED2E20"/>
    <w:rsid w:val="00ED2E3B"/>
    <w:rsid w:val="00ED397D"/>
    <w:rsid w:val="00ED3D9B"/>
    <w:rsid w:val="00ED41E4"/>
    <w:rsid w:val="00ED4213"/>
    <w:rsid w:val="00ED4858"/>
    <w:rsid w:val="00ED65A6"/>
    <w:rsid w:val="00ED6B63"/>
    <w:rsid w:val="00ED6B7C"/>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398F"/>
    <w:rsid w:val="00F2403C"/>
    <w:rsid w:val="00F24231"/>
    <w:rsid w:val="00F244EC"/>
    <w:rsid w:val="00F248FA"/>
    <w:rsid w:val="00F26539"/>
    <w:rsid w:val="00F269E9"/>
    <w:rsid w:val="00F26BDC"/>
    <w:rsid w:val="00F26DF0"/>
    <w:rsid w:val="00F27063"/>
    <w:rsid w:val="00F271FE"/>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582"/>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512"/>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476"/>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1"/>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unhideWhenUsed/>
    <w:rsid w:val="00044C5A"/>
  </w:style>
  <w:style w:type="character" w:customStyle="1" w:styleId="TextkrperZchn">
    <w:name w:val="Textkörper Zchn"/>
    <w:basedOn w:val="Absatz-Standardschriftart"/>
    <w:link w:val="Textkrper"/>
    <w:uiPriority w:val="99"/>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clearstream.com/clearstream-en/newsroom/240131-384049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34CA1"/>
    <w:rsid w:val="0015768C"/>
    <w:rsid w:val="004A30CB"/>
    <w:rsid w:val="004E4CF9"/>
    <w:rsid w:val="005444C0"/>
    <w:rsid w:val="005D66AB"/>
    <w:rsid w:val="005D74B4"/>
    <w:rsid w:val="00813189"/>
    <w:rsid w:val="008222A0"/>
    <w:rsid w:val="00836D47"/>
    <w:rsid w:val="00980BF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8805</Words>
  <Characters>55472</Characters>
  <Application>Microsoft Office Word</Application>
  <DocSecurity>8</DocSecurity>
  <Lines>462</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64149</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Heun, Stefanie</cp:lastModifiedBy>
  <cp:revision>2</cp:revision>
  <cp:lastPrinted>2023-09-09T00:53:00Z</cp:lastPrinted>
  <dcterms:created xsi:type="dcterms:W3CDTF">2024-02-28T07:58:00Z</dcterms:created>
  <dcterms:modified xsi:type="dcterms:W3CDTF">2024-02-28T07:58:00Z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