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15BBB95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35B5ECE" w:rsidR="00635BCA" w:rsidRPr="00557BD2" w:rsidRDefault="00482385" w:rsidP="00D21C35">
                <w:r>
                  <w:t>National Association of German Cooperative Banks (BVR); German Savings Banks Association (DSGV) and Association of German Public Banks (VÖB)</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56E9DA17" w:rsidR="00635BCA" w:rsidRPr="00557BD2" w:rsidRDefault="00482385"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693A0344" w:rsidR="00635BCA" w:rsidRPr="00557BD2" w:rsidRDefault="00482385"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136B41DD" w:rsidR="00635BCA" w:rsidRPr="00557BD2" w:rsidRDefault="00482385" w:rsidP="00D21C35">
                <w:r>
                  <w:t>Germany</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berschrift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68B0EAB9" w14:textId="6E5FA61C" w:rsidR="00482385" w:rsidRPr="00D562A9" w:rsidRDefault="00482385" w:rsidP="00482385">
      <w:pPr>
        <w:rPr>
          <w:lang w:val="en-US"/>
        </w:rPr>
      </w:pPr>
      <w:permStart w:id="750397953" w:edGrp="everyone"/>
      <w:r w:rsidRPr="00D562A9">
        <w:rPr>
          <w:lang w:val="en-US"/>
        </w:rPr>
        <w:t xml:space="preserve">As general remarks we would like to </w:t>
      </w:r>
      <w:proofErr w:type="spellStart"/>
      <w:r w:rsidRPr="00D562A9">
        <w:rPr>
          <w:lang w:val="en-US"/>
        </w:rPr>
        <w:t>reiterarte</w:t>
      </w:r>
      <w:proofErr w:type="spellEnd"/>
      <w:r w:rsidRPr="00D562A9">
        <w:rPr>
          <w:lang w:val="en-US"/>
        </w:rPr>
        <w:t xml:space="preserve"> that we, the</w:t>
      </w:r>
      <w:r w:rsidR="004070CE">
        <w:rPr>
          <w:lang w:val="en-US"/>
        </w:rPr>
        <w:t xml:space="preserve"> </w:t>
      </w:r>
      <w:r w:rsidR="004070CE" w:rsidRPr="004070CE">
        <w:rPr>
          <w:lang w:val="en-US"/>
        </w:rPr>
        <w:t>National Association of German Cooperative Banks (</w:t>
      </w:r>
      <w:r w:rsidR="004070CE" w:rsidRPr="004070CE">
        <w:rPr>
          <w:b/>
          <w:lang w:val="en-US"/>
        </w:rPr>
        <w:t>BVR</w:t>
      </w:r>
      <w:r w:rsidR="004070CE" w:rsidRPr="004070CE">
        <w:rPr>
          <w:lang w:val="en-US"/>
        </w:rPr>
        <w:t>), the German Savings Banks Association (</w:t>
      </w:r>
      <w:r w:rsidR="004070CE" w:rsidRPr="004070CE">
        <w:rPr>
          <w:b/>
          <w:lang w:val="en-US"/>
        </w:rPr>
        <w:t>DSGV</w:t>
      </w:r>
      <w:r w:rsidR="004070CE" w:rsidRPr="004070CE">
        <w:rPr>
          <w:lang w:val="en-US"/>
        </w:rPr>
        <w:t>) and the Association of German Public Banks (</w:t>
      </w:r>
      <w:r w:rsidR="004070CE" w:rsidRPr="004070CE">
        <w:rPr>
          <w:b/>
          <w:lang w:val="en-US"/>
        </w:rPr>
        <w:t>VÖB</w:t>
      </w:r>
      <w:r w:rsidR="004070CE" w:rsidRPr="004070CE">
        <w:rPr>
          <w:lang w:val="en-US"/>
        </w:rPr>
        <w:t>),</w:t>
      </w:r>
      <w:r w:rsidRPr="00D562A9">
        <w:rPr>
          <w:lang w:val="en-US"/>
        </w:rPr>
        <w:t xml:space="preserve"> representing </w:t>
      </w:r>
      <w:r>
        <w:rPr>
          <w:lang w:val="en-US"/>
        </w:rPr>
        <w:t xml:space="preserve">together </w:t>
      </w:r>
      <w:r w:rsidR="00A73158">
        <w:rPr>
          <w:lang w:val="en-US"/>
        </w:rPr>
        <w:t xml:space="preserve">more than 1100 </w:t>
      </w:r>
      <w:r w:rsidRPr="00D562A9">
        <w:rPr>
          <w:lang w:val="en-US"/>
        </w:rPr>
        <w:t>banking institutions in the German market</w:t>
      </w:r>
      <w:r>
        <w:rPr>
          <w:lang w:val="en-US"/>
        </w:rPr>
        <w:t xml:space="preserve">, including </w:t>
      </w:r>
      <w:proofErr w:type="spellStart"/>
      <w:r w:rsidRPr="004C6C90">
        <w:rPr>
          <w:i/>
          <w:lang w:val="en-US"/>
        </w:rPr>
        <w:t>Landesbanken</w:t>
      </w:r>
      <w:proofErr w:type="spellEnd"/>
      <w:r>
        <w:rPr>
          <w:lang w:val="en-US"/>
        </w:rPr>
        <w:t>, DZ Bank</w:t>
      </w:r>
      <w:r w:rsidR="00A73158">
        <w:rPr>
          <w:lang w:val="en-US"/>
        </w:rPr>
        <w:t>, savings banks (</w:t>
      </w:r>
      <w:proofErr w:type="spellStart"/>
      <w:r w:rsidR="00A73158" w:rsidRPr="00A73158">
        <w:rPr>
          <w:i/>
          <w:lang w:val="en-US"/>
        </w:rPr>
        <w:t>Sparkassen</w:t>
      </w:r>
      <w:proofErr w:type="spellEnd"/>
      <w:r w:rsidR="00A73158">
        <w:rPr>
          <w:lang w:val="en-US"/>
        </w:rPr>
        <w:t>), cooperative banks</w:t>
      </w:r>
      <w:r>
        <w:rPr>
          <w:lang w:val="en-US"/>
        </w:rPr>
        <w:t xml:space="preserve"> </w:t>
      </w:r>
      <w:r w:rsidR="00A73158">
        <w:rPr>
          <w:lang w:val="en-US"/>
        </w:rPr>
        <w:t>(</w:t>
      </w:r>
      <w:proofErr w:type="spellStart"/>
      <w:r w:rsidR="00A73158" w:rsidRPr="00A73158">
        <w:rPr>
          <w:i/>
          <w:lang w:val="en-US"/>
        </w:rPr>
        <w:t>Genossenschaftsbanken</w:t>
      </w:r>
      <w:proofErr w:type="spellEnd"/>
      <w:r w:rsidR="00A73158">
        <w:rPr>
          <w:lang w:val="en-US"/>
        </w:rPr>
        <w:t xml:space="preserve">) </w:t>
      </w:r>
      <w:r>
        <w:rPr>
          <w:lang w:val="en-US"/>
        </w:rPr>
        <w:t>and promotional banks (</w:t>
      </w:r>
      <w:proofErr w:type="spellStart"/>
      <w:r w:rsidRPr="004C6C90">
        <w:rPr>
          <w:i/>
          <w:lang w:val="en-US"/>
        </w:rPr>
        <w:t>Förderbanken</w:t>
      </w:r>
      <w:proofErr w:type="spellEnd"/>
      <w:r>
        <w:rPr>
          <w:lang w:val="en-US"/>
        </w:rPr>
        <w:t>)</w:t>
      </w:r>
      <w:r w:rsidR="00A73158">
        <w:rPr>
          <w:lang w:val="en-US"/>
        </w:rPr>
        <w:t xml:space="preserve"> – together “</w:t>
      </w:r>
      <w:r w:rsidR="00A73158" w:rsidRPr="00A73158">
        <w:rPr>
          <w:b/>
          <w:lang w:val="en-US"/>
        </w:rPr>
        <w:t>the Associations</w:t>
      </w:r>
      <w:r w:rsidR="00A73158">
        <w:rPr>
          <w:lang w:val="en-US"/>
        </w:rPr>
        <w:t>”</w:t>
      </w:r>
      <w:r w:rsidRPr="00D562A9">
        <w:rPr>
          <w:lang w:val="en-US"/>
        </w:rPr>
        <w:t xml:space="preserve">, would like to reiterate our longstanding support of the CSDR Settlement Discipline and policymakers’ ambition to reduce settlement fails in EU securities markets. We consider that the cash penalty mechanism is an appropriate tool for creating </w:t>
      </w:r>
      <w:r w:rsidR="004070CE" w:rsidRPr="00D562A9">
        <w:rPr>
          <w:lang w:val="en-US"/>
        </w:rPr>
        <w:t>behavioral</w:t>
      </w:r>
      <w:r w:rsidRPr="00D562A9">
        <w:rPr>
          <w:lang w:val="en-US"/>
        </w:rPr>
        <w:t xml:space="preserve"> incentives towards settlement efficiency in EU securities markets.</w:t>
      </w:r>
    </w:p>
    <w:p w14:paraId="66299904" w14:textId="5DFBAE34" w:rsidR="00482385" w:rsidRPr="00D562A9" w:rsidRDefault="00482385" w:rsidP="00482385">
      <w:pPr>
        <w:rPr>
          <w:lang w:val="en-US"/>
        </w:rPr>
      </w:pPr>
      <w:r w:rsidRPr="00D562A9">
        <w:rPr>
          <w:lang w:val="en-US"/>
        </w:rPr>
        <w:t xml:space="preserve">However, the mechanism should </w:t>
      </w:r>
      <w:r w:rsidR="004070CE" w:rsidRPr="00D562A9">
        <w:rPr>
          <w:lang w:val="en-US"/>
        </w:rPr>
        <w:t>minimize</w:t>
      </w:r>
      <w:r w:rsidRPr="00D562A9">
        <w:rPr>
          <w:lang w:val="en-US"/>
        </w:rPr>
        <w:t xml:space="preserve"> complexity. It should be easily understandable for all types of market participants, allowing them to accurately predict net exposure and seeking to </w:t>
      </w:r>
      <w:r w:rsidR="004070CE" w:rsidRPr="00D562A9">
        <w:rPr>
          <w:lang w:val="en-US"/>
        </w:rPr>
        <w:t>minimize</w:t>
      </w:r>
      <w:r w:rsidRPr="00D562A9">
        <w:rPr>
          <w:lang w:val="en-US"/>
        </w:rPr>
        <w:t xml:space="preserve"> the number of appeals or bilateral claims.</w:t>
      </w:r>
    </w:p>
    <w:p w14:paraId="64E0182D" w14:textId="1EEF0EBB" w:rsidR="00482385" w:rsidRPr="00D562A9" w:rsidRDefault="00482385" w:rsidP="00482385">
      <w:pPr>
        <w:rPr>
          <w:lang w:val="en-US"/>
        </w:rPr>
      </w:pPr>
      <w:r w:rsidRPr="00D562A9">
        <w:rPr>
          <w:lang w:val="en-US"/>
        </w:rPr>
        <w:t xml:space="preserve">The cash penalties regime should create a </w:t>
      </w:r>
      <w:r w:rsidR="004070CE" w:rsidRPr="00D562A9">
        <w:rPr>
          <w:lang w:val="en-US"/>
        </w:rPr>
        <w:t>behavioral</w:t>
      </w:r>
      <w:r w:rsidRPr="00D562A9">
        <w:rPr>
          <w:lang w:val="en-US"/>
        </w:rPr>
        <w:t xml:space="preserve"> incentive for market participants to prevent/remediate settlement fails – i.e. </w:t>
      </w:r>
      <w:r w:rsidR="004070CE" w:rsidRPr="00D562A9">
        <w:rPr>
          <w:lang w:val="en-US"/>
        </w:rPr>
        <w:t>minimize</w:t>
      </w:r>
      <w:r w:rsidRPr="00D562A9">
        <w:rPr>
          <w:lang w:val="en-US"/>
        </w:rPr>
        <w:t xml:space="preserve"> their penalty debits. It should not create an </w:t>
      </w:r>
      <w:r w:rsidRPr="00D562A9">
        <w:rPr>
          <w:lang w:val="en-US"/>
        </w:rPr>
        <w:lastRenderedPageBreak/>
        <w:t xml:space="preserve">incentive for market participants to seek to </w:t>
      </w:r>
      <w:r w:rsidR="004070CE" w:rsidRPr="00D562A9">
        <w:rPr>
          <w:lang w:val="en-US"/>
        </w:rPr>
        <w:t>maximize</w:t>
      </w:r>
      <w:r w:rsidRPr="00D562A9">
        <w:rPr>
          <w:lang w:val="en-US"/>
        </w:rPr>
        <w:t xml:space="preserve"> their penalty credits, which will have distortive market impacts and undermine settlement efficiency. I.e. when making being failed-to economically more rewarding since the penalties received are so high than the returns </w:t>
      </w:r>
      <w:r>
        <w:rPr>
          <w:lang w:val="en-US"/>
        </w:rPr>
        <w:t>from</w:t>
      </w:r>
      <w:r w:rsidRPr="00D562A9">
        <w:rPr>
          <w:lang w:val="en-US"/>
        </w:rPr>
        <w:t xml:space="preserve"> the underlying instrument (no incentive for end buyers to accept partials, shaping, or issue buy-ins), this creates adverse behavioral incentives. Any ideas in this respect necessarily would have to be accompanied by the mandatory increase of the use of partial settlement by mandating that CSDs provide this functionality and market participants accept partial deliveries within certain parameters.</w:t>
      </w:r>
    </w:p>
    <w:p w14:paraId="040C5B81" w14:textId="77777777" w:rsidR="00482385" w:rsidRPr="00D562A9" w:rsidRDefault="00482385" w:rsidP="00482385">
      <w:pPr>
        <w:rPr>
          <w:lang w:val="en-US"/>
        </w:rPr>
      </w:pPr>
      <w:r w:rsidRPr="00D562A9">
        <w:rPr>
          <w:lang w:val="en-US"/>
        </w:rPr>
        <w:t xml:space="preserve">It should also not materially impact trading decisions/broader market liquidity. Too high penalties might lead to pricing impacts which in turn may lead to additional cost for investors in secondary and issuers in primary markets. If this happens, i.e. the penalties are priced into the transaction costs from the outset so that the customer (will) ultimately </w:t>
      </w:r>
      <w:proofErr w:type="gramStart"/>
      <w:r w:rsidRPr="00D562A9">
        <w:rPr>
          <w:lang w:val="en-US"/>
        </w:rPr>
        <w:t>pay</w:t>
      </w:r>
      <w:proofErr w:type="gramEnd"/>
      <w:r w:rsidRPr="00D562A9">
        <w:rPr>
          <w:lang w:val="en-US"/>
        </w:rPr>
        <w:t>, nothing will be achieved in terms of settlement efficiency.</w:t>
      </w:r>
    </w:p>
    <w:p w14:paraId="691F1F94" w14:textId="77777777" w:rsidR="00482385" w:rsidRPr="00D562A9" w:rsidRDefault="00482385" w:rsidP="00482385">
      <w:pPr>
        <w:rPr>
          <w:lang w:val="en-US"/>
        </w:rPr>
      </w:pPr>
      <w:r w:rsidRPr="00D562A9">
        <w:rPr>
          <w:lang w:val="en-US"/>
        </w:rPr>
        <w:t xml:space="preserve">We are strongly against proposals that significantly alter the methodology for calculating cash penalties – e.g. by varying daily penalty rates according to the length of the </w:t>
      </w:r>
      <w:proofErr w:type="gramStart"/>
      <w:r w:rsidRPr="00D562A9">
        <w:rPr>
          <w:lang w:val="en-US"/>
        </w:rPr>
        <w:t>fail</w:t>
      </w:r>
      <w:proofErr w:type="gramEnd"/>
      <w:r w:rsidRPr="00D562A9">
        <w:rPr>
          <w:lang w:val="en-US"/>
        </w:rPr>
        <w:t xml:space="preserve"> or notional value of the instruction. This would unnecessarily increase the complexity of the regime whilst also introducing potential distortive impacts. Changes to the methodology would represent another significant multi-year implementation project for market infrastructures and their direct and indirect users. This would divert industry resources away from addressing underlying causes of settlement fails. It would also mean that by the time the changes took effect, the data on which the regulatory decision was made would be significantly out-of-date. A recalibration of penalty rates within the current methodology could be implemented much more quickly.</w:t>
      </w:r>
    </w:p>
    <w:p w14:paraId="6A0B680D" w14:textId="77777777" w:rsidR="00482385" w:rsidRPr="00D562A9" w:rsidRDefault="00482385" w:rsidP="00482385">
      <w:pPr>
        <w:rPr>
          <w:b/>
          <w:u w:val="single"/>
          <w:lang w:val="en-US"/>
        </w:rPr>
      </w:pPr>
      <w:r w:rsidRPr="00D562A9">
        <w:rPr>
          <w:b/>
          <w:u w:val="single"/>
          <w:lang w:val="en-US"/>
        </w:rPr>
        <w:t xml:space="preserve">Regime for enforcing penalty </w:t>
      </w:r>
      <w:proofErr w:type="gramStart"/>
      <w:r w:rsidRPr="00D562A9">
        <w:rPr>
          <w:b/>
          <w:u w:val="single"/>
          <w:lang w:val="en-US"/>
        </w:rPr>
        <w:t>claims</w:t>
      </w:r>
      <w:proofErr w:type="gramEnd"/>
    </w:p>
    <w:p w14:paraId="52A39B28" w14:textId="77777777" w:rsidR="00482385" w:rsidRPr="00D562A9" w:rsidRDefault="00482385" w:rsidP="00482385">
      <w:pPr>
        <w:rPr>
          <w:lang w:val="en-US"/>
        </w:rPr>
      </w:pPr>
      <w:r w:rsidRPr="00D562A9">
        <w:rPr>
          <w:lang w:val="en-US"/>
        </w:rPr>
        <w:t xml:space="preserve">In our view, there is a need for a stronger legal foundation for enforcing penalty claims, particularly if a penalty has been erroneously attributed to one party. In the matching process, CSDs have a limited view of who is </w:t>
      </w:r>
      <w:proofErr w:type="gramStart"/>
      <w:r w:rsidRPr="00D562A9">
        <w:rPr>
          <w:lang w:val="en-US"/>
        </w:rPr>
        <w:t>actually responsible</w:t>
      </w:r>
      <w:proofErr w:type="gramEnd"/>
      <w:r w:rsidRPr="00D562A9">
        <w:rPr>
          <w:lang w:val="en-US"/>
        </w:rPr>
        <w:t xml:space="preserve"> for the delay. At times, adjustments are made to match the counterparty, even if they had provided incorrect instructions. Consequently, the penalty is imposed on the party that did not make the mistake. In the claiming process, reliance is often placed on the market standard set by AFME, making communication with counterparties challenging. </w:t>
      </w:r>
    </w:p>
    <w:p w14:paraId="69841E9A" w14:textId="77777777" w:rsidR="00482385" w:rsidRPr="00D562A9" w:rsidRDefault="00482385" w:rsidP="00482385">
      <w:pPr>
        <w:rPr>
          <w:lang w:val="en-US"/>
        </w:rPr>
      </w:pPr>
      <w:r w:rsidRPr="00D562A9">
        <w:rPr>
          <w:lang w:val="en-US"/>
        </w:rPr>
        <w:t>As penalty rates are anticipated to rise, also the importance of instances where penalties are inaccurately assigned rises. This not only poses operational challenges but also raises the legal complexity of successfully pursuing and enforcing penalty claims. Addressing this issue requires a careful examination of the legal framework surrounding penalty attribution and claiming processes to ensure a fair and efficient resolution of penalty-related disputes.</w:t>
      </w:r>
    </w:p>
    <w:p w14:paraId="0C96E851" w14:textId="77777777" w:rsidR="00482385" w:rsidRPr="00D562A9" w:rsidRDefault="00482385" w:rsidP="00482385">
      <w:pPr>
        <w:rPr>
          <w:b/>
          <w:u w:val="single"/>
          <w:lang w:val="en-US"/>
        </w:rPr>
      </w:pPr>
      <w:r w:rsidRPr="00D562A9">
        <w:rPr>
          <w:b/>
          <w:u w:val="single"/>
          <w:lang w:val="en-US"/>
        </w:rPr>
        <w:lastRenderedPageBreak/>
        <w:t xml:space="preserve">Comments on the different options proposed by </w:t>
      </w:r>
      <w:proofErr w:type="gramStart"/>
      <w:r w:rsidRPr="00D562A9">
        <w:rPr>
          <w:b/>
          <w:u w:val="single"/>
          <w:lang w:val="en-US"/>
        </w:rPr>
        <w:t>ESMA</w:t>
      </w:r>
      <w:proofErr w:type="gramEnd"/>
    </w:p>
    <w:p w14:paraId="145B3442" w14:textId="762B594E" w:rsidR="00482385" w:rsidRPr="00D562A9" w:rsidRDefault="00482385" w:rsidP="00482385">
      <w:pPr>
        <w:rPr>
          <w:lang w:val="en-US"/>
        </w:rPr>
      </w:pPr>
      <w:r w:rsidRPr="00D562A9">
        <w:rPr>
          <w:lang w:val="en-US"/>
        </w:rPr>
        <w:t xml:space="preserve">As regards the different options we are of the opinion, that there is </w:t>
      </w:r>
      <w:proofErr w:type="gramStart"/>
      <w:r w:rsidRPr="00D562A9">
        <w:rPr>
          <w:lang w:val="en-US"/>
        </w:rPr>
        <w:t>actually no</w:t>
      </w:r>
      <w:proofErr w:type="gramEnd"/>
      <w:r w:rsidRPr="00D562A9">
        <w:rPr>
          <w:lang w:val="en-US"/>
        </w:rPr>
        <w:t xml:space="preserve"> need for changing the current approaches as none of the options proposed by ESMA will likely have a measurable impact on the settlement efficiency rates. In particular, the actual occurrences of fails requiring the consideration of cash discount rates (i.e. fails due to “lack of cash” as well as receipts versus payments that are put “on hold”) is very low. Hence, any changes to the penalty regime addressing possible shortfalls in this direction are not fit for purpose. Instead, any options will incur development and/ or maintenance cost for CSDs, T2S and other stakeholders without benefits. Therefore, </w:t>
      </w:r>
      <w:r>
        <w:rPr>
          <w:lang w:val="en-US"/>
        </w:rPr>
        <w:t xml:space="preserve">we </w:t>
      </w:r>
      <w:r w:rsidRPr="00D562A9">
        <w:rPr>
          <w:lang w:val="en-US"/>
        </w:rPr>
        <w:t>do not recommend making any changes.</w:t>
      </w:r>
    </w:p>
    <w:p w14:paraId="09F090BC" w14:textId="77777777" w:rsidR="00482385" w:rsidRDefault="00482385" w:rsidP="00482385">
      <w:pPr>
        <w:pStyle w:val="Kommentartext"/>
      </w:pPr>
      <w:r w:rsidRPr="00D562A9">
        <w:rPr>
          <w:u w:val="single"/>
          <w:lang w:val="en-US"/>
        </w:rPr>
        <w:t>In more detail:</w:t>
      </w:r>
      <w:r w:rsidRPr="00656BD2">
        <w:rPr>
          <w:rStyle w:val="Kommentarzeichen"/>
        </w:rPr>
        <w:t xml:space="preserve"> </w:t>
      </w:r>
    </w:p>
    <w:p w14:paraId="6CED3E15" w14:textId="77777777" w:rsidR="00482385" w:rsidRPr="00D562A9" w:rsidRDefault="00482385" w:rsidP="00482385">
      <w:pPr>
        <w:rPr>
          <w:lang w:val="en-US"/>
        </w:rPr>
      </w:pPr>
      <w:r w:rsidRPr="00D562A9">
        <w:rPr>
          <w:lang w:val="en-US"/>
        </w:rPr>
        <w:t>Option 1 requiring currency conversions represents a totally new approach that would require multiple IT developments. The double currency conversion process (i.e. initial currency to be converted to EUR and back after penalty calculation) requires a completely new IT development (including in T2S) with too high cost for a very small business scenario and almost no benefit.</w:t>
      </w:r>
    </w:p>
    <w:p w14:paraId="647397E6" w14:textId="77777777" w:rsidR="00482385" w:rsidRPr="00D562A9" w:rsidRDefault="00482385" w:rsidP="00482385">
      <w:pPr>
        <w:rPr>
          <w:lang w:val="en-US"/>
        </w:rPr>
      </w:pPr>
      <w:r w:rsidRPr="00D562A9">
        <w:rPr>
          <w:lang w:val="en-US"/>
        </w:rPr>
        <w:t>For Options 1 to 3 to be feasible at all, the actual cash interest rates to be applied by CSDs for their daily penalty calculations would have to be calculated by the Central Banks or ESMA and centrally published and maintained up to date by e.g. ESMA for all stakeholders. This would ensure an efficient process for the same reference data being available to all stakeholder, avoids individual manual rate calculation needs and the subsequent risk of potential errors (e.g. due to day count conventions and other adjustments) when calculating the applicable rates by every single stakeholder.</w:t>
      </w:r>
    </w:p>
    <w:p w14:paraId="20333000" w14:textId="1B5CC4D4" w:rsidR="005171FF" w:rsidRDefault="00482385" w:rsidP="00482385">
      <w:r>
        <w:rPr>
          <w:lang w:val="en-US"/>
        </w:rPr>
        <w:t xml:space="preserve">Finally, we are against Option 4, since it requires the implementation of a completely new system, and the implementation of progressive rates is overly complex. This outweighs the fact that </w:t>
      </w:r>
      <w:r w:rsidRPr="00D562A9">
        <w:rPr>
          <w:lang w:val="en-US"/>
        </w:rPr>
        <w:t xml:space="preserve">the rates definition and maintenance process </w:t>
      </w:r>
      <w:r>
        <w:rPr>
          <w:lang w:val="en-US"/>
        </w:rPr>
        <w:t xml:space="preserve">seem to </w:t>
      </w:r>
      <w:r w:rsidRPr="00D562A9">
        <w:rPr>
          <w:lang w:val="en-US"/>
        </w:rPr>
        <w:t xml:space="preserve">be much simpler and transparent, </w:t>
      </w:r>
      <w:r>
        <w:rPr>
          <w:lang w:val="en-US"/>
        </w:rPr>
        <w:t xml:space="preserve">would </w:t>
      </w:r>
      <w:r w:rsidRPr="00D562A9">
        <w:rPr>
          <w:lang w:val="en-US"/>
        </w:rPr>
        <w:t xml:space="preserve">avoid the need to search, calculate or source, </w:t>
      </w:r>
      <w:proofErr w:type="gramStart"/>
      <w:r w:rsidRPr="00D562A9">
        <w:rPr>
          <w:lang w:val="en-US"/>
        </w:rPr>
        <w:t>monitor</w:t>
      </w:r>
      <w:proofErr w:type="gramEnd"/>
      <w:r w:rsidRPr="00D562A9">
        <w:rPr>
          <w:lang w:val="en-US"/>
        </w:rPr>
        <w:t xml:space="preserve"> and update the applicable rates for any currency on a frequent basis and </w:t>
      </w:r>
      <w:r>
        <w:rPr>
          <w:lang w:val="en-US"/>
        </w:rPr>
        <w:t xml:space="preserve">is </w:t>
      </w:r>
      <w:r w:rsidRPr="00D562A9">
        <w:rPr>
          <w:lang w:val="en-US"/>
        </w:rPr>
        <w:t xml:space="preserve">comparable with the existing approach applied for “lack of securities” fails. </w:t>
      </w:r>
      <w:r>
        <w:rPr>
          <w:lang w:val="en-US"/>
        </w:rPr>
        <w:t xml:space="preserve">Finally, the proposed daily rates </w:t>
      </w:r>
      <w:r w:rsidRPr="00D562A9">
        <w:rPr>
          <w:lang w:val="en-US"/>
        </w:rPr>
        <w:t xml:space="preserve">appear very </w:t>
      </w:r>
      <w:proofErr w:type="gramStart"/>
      <w:r w:rsidRPr="00D562A9">
        <w:rPr>
          <w:lang w:val="en-US"/>
        </w:rPr>
        <w:t>high</w:t>
      </w:r>
      <w:proofErr w:type="gramEnd"/>
      <w:r w:rsidRPr="00D562A9">
        <w:rPr>
          <w:lang w:val="en-US"/>
        </w:rPr>
        <w:t xml:space="preserve"> </w:t>
      </w:r>
      <w:r>
        <w:rPr>
          <w:lang w:val="en-US"/>
        </w:rPr>
        <w:t>a</w:t>
      </w:r>
      <w:r w:rsidRPr="00D562A9">
        <w:rPr>
          <w:lang w:val="en-US"/>
        </w:rPr>
        <w:t>nd we are concerned that the competitiveness of the EU capital markets could be negatively impacted by the application of overly high (even extreme) daily penalty rates.</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lastRenderedPageBreak/>
        <w:t>&lt;ESMA_QUESTION_CSDR_2&gt;</w:t>
      </w:r>
    </w:p>
    <w:p w14:paraId="235633E7" w14:textId="4E5066EB" w:rsidR="005171FF" w:rsidRDefault="00A73158" w:rsidP="005171FF">
      <w:permStart w:id="1747127182" w:edGrp="everyone"/>
      <w:r w:rsidRPr="00A73158">
        <w:t>We see no need for changes, please see our response to Question 1.</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5E6D545B" w:rsidR="005171FF" w:rsidRDefault="00A73158" w:rsidP="005171FF">
      <w:permStart w:id="510220754" w:edGrp="everyone"/>
      <w:r w:rsidRPr="00A73158">
        <w:t>Please see our response to Question 1.</w:t>
      </w:r>
      <w:r w:rsidR="006E784D">
        <w:t xml:space="preserve"> We do not see any need for and, therefore, generally oppose any changes to the current system.</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1772F4D9" w14:textId="3FB886ED" w:rsidR="00A73158" w:rsidRDefault="00A73158" w:rsidP="00A73158">
      <w:permStart w:id="1425227802" w:edGrp="everyone"/>
      <w:r>
        <w:t xml:space="preserve">Other than according to ESMA´s statement, our data does not indicate that there are “so many” late matching instructions and thus not too many penalties are resulting from them (5% of all </w:t>
      </w:r>
      <w:r>
        <w:lastRenderedPageBreak/>
        <w:t>penalties). Nevertheless, we would like to elaborate on late matching, whose main cause is that settlement instructions are sent by the participants only after the intended settlement date (ISD). Reasons for late matching include:</w:t>
      </w:r>
    </w:p>
    <w:p w14:paraId="3027F902" w14:textId="77777777" w:rsidR="00A73158" w:rsidRPr="00A73158" w:rsidRDefault="00A73158" w:rsidP="00A73158">
      <w:pPr>
        <w:rPr>
          <w:u w:val="single"/>
        </w:rPr>
      </w:pPr>
      <w:r w:rsidRPr="00A73158">
        <w:rPr>
          <w:u w:val="single"/>
        </w:rPr>
        <w:t>Trading level</w:t>
      </w:r>
    </w:p>
    <w:p w14:paraId="088882D8" w14:textId="77777777" w:rsidR="00A73158" w:rsidRDefault="00A73158" w:rsidP="00A73158">
      <w:r>
        <w:t>Some of the reasons for late matchings are related the trading level (transaction mismatches which are only rectified after the intended settlement day, e.g. due to price mismatches, discrepancies on the number of securities).</w:t>
      </w:r>
    </w:p>
    <w:p w14:paraId="78104606" w14:textId="77777777" w:rsidR="00A73158" w:rsidRPr="00A73158" w:rsidRDefault="00A73158" w:rsidP="00A73158">
      <w:pPr>
        <w:rPr>
          <w:u w:val="single"/>
        </w:rPr>
      </w:pPr>
      <w:r w:rsidRPr="00A73158">
        <w:rPr>
          <w:u w:val="single"/>
        </w:rPr>
        <w:t>Late Trades and Cut-Off Times</w:t>
      </w:r>
    </w:p>
    <w:p w14:paraId="235B3ECE" w14:textId="77777777" w:rsidR="00A73158" w:rsidRDefault="00A73158" w:rsidP="00A73158">
      <w:r>
        <w:t>Late matching often arises from trades executed close to or after cut-off times. In such cases, the delayed confirmation or matching of trade details can lead to challenges in meeting settlement deadlines. Traders or counterparties involved in late trades may struggle to complete the necessary steps within the standard settlement cycle, contributing to late matching scenarios.</w:t>
      </w:r>
    </w:p>
    <w:p w14:paraId="7E852A97" w14:textId="77777777" w:rsidR="00A73158" w:rsidRPr="00A73158" w:rsidRDefault="00A73158" w:rsidP="00A73158">
      <w:pPr>
        <w:rPr>
          <w:u w:val="single"/>
        </w:rPr>
      </w:pPr>
      <w:r w:rsidRPr="00A73158">
        <w:rPr>
          <w:u w:val="single"/>
        </w:rPr>
        <w:t>Settlement Instructions: Timing and errors</w:t>
      </w:r>
    </w:p>
    <w:p w14:paraId="55BFE72E" w14:textId="77777777" w:rsidR="00A73158" w:rsidRDefault="00A73158" w:rsidP="00A73158">
      <w:r>
        <w:t>Another contributing factor is the practice of issuing instructions only when the inventory is available. If counterparties wait until they have the necessary securities in their possession before initiating the instruction, this introduces delays in the matching process. This approach may stem from risk mitigation strategies, but it can lead to late matching situations, particularly if the instruction is not promptly matched upon availability of inventory.</w:t>
      </w:r>
    </w:p>
    <w:p w14:paraId="3E14A129" w14:textId="77777777" w:rsidR="00A73158" w:rsidRDefault="00A73158" w:rsidP="00A73158">
      <w:r>
        <w:t xml:space="preserve">In some </w:t>
      </w:r>
      <w:proofErr w:type="gramStart"/>
      <w:r>
        <w:t>cases</w:t>
      </w:r>
      <w:proofErr w:type="gramEnd"/>
      <w:r>
        <w:t xml:space="preserve"> settlement instructions for portfolio transfers are not sent in time or in the required format or contain different ISDs.</w:t>
      </w:r>
    </w:p>
    <w:p w14:paraId="38776661" w14:textId="6E33EA2F" w:rsidR="00A73158" w:rsidRPr="00A73158" w:rsidRDefault="00A73158" w:rsidP="00A73158">
      <w:pPr>
        <w:rPr>
          <w:u w:val="single"/>
        </w:rPr>
      </w:pPr>
      <w:r w:rsidRPr="00A73158">
        <w:rPr>
          <w:u w:val="single"/>
        </w:rPr>
        <w:t>Manual Errors</w:t>
      </w:r>
    </w:p>
    <w:p w14:paraId="579F71D3" w14:textId="77777777" w:rsidR="00A73158" w:rsidRDefault="00A73158" w:rsidP="00A73158">
      <w:r>
        <w:t>Manual errors in the matching process can also result in late matching. Human errors, such as data entry mistakes or discrepancies in trade details, can lead to mismatches that require manual intervention for resolution. Identifying and rectifying these errors can be time-consuming, contributing to delays in the matching process.</w:t>
      </w:r>
    </w:p>
    <w:p w14:paraId="1ADE9CA6" w14:textId="77777777" w:rsidR="00A73158" w:rsidRDefault="00A73158" w:rsidP="00A73158">
      <w:r>
        <w:t>Hence, addressing late matching requires a multifaceted approach, including introducing SSI standards, improving communication and coordination among counterparties, implementing automation to reduce manual errors, and promoting timely instruction issuance practices. By understanding and mitigating the root causes, the industry can work towards enhancing efficiency and reducing the incidence of late matching scenarios.</w:t>
      </w:r>
    </w:p>
    <w:p w14:paraId="692C3C7B" w14:textId="77777777" w:rsidR="00A73158" w:rsidRDefault="00A73158" w:rsidP="00A73158">
      <w:r>
        <w:lastRenderedPageBreak/>
        <w:t>In addition, the “hold and release” functionality is already available to participants; they can send settlement instructions to CSDs before the ISD even when no sufficient cash/securities are available on ISD to avoid late matching. The extended use of this tool could reduce the occurrence of late matchings unless the reasons for late instructions are outside the control of the CSD participants (e.g. issues/delays occur on trading level).</w:t>
      </w:r>
    </w:p>
    <w:p w14:paraId="61193304" w14:textId="7E1C49E5" w:rsidR="00A73158" w:rsidRDefault="00A73158" w:rsidP="00A73158">
      <w:r>
        <w:t xml:space="preserve">In this context we, </w:t>
      </w:r>
      <w:bookmarkStart w:id="6" w:name="_Hlk159927923"/>
      <w:r>
        <w:t xml:space="preserve">the Associations representing more than 1100 banking institutions in the German banking market </w:t>
      </w:r>
      <w:bookmarkEnd w:id="6"/>
      <w:r>
        <w:t>would like to point out, that great care must be given when specifying the exemptions under the revised CSDR, e.g. where settlement fails the underlying cause of which is not attributable to the participants in the transaction or operations that are not considered as trading are concerned. It should be made clear that corporate actions as well as market claims resulting therefrom, as well as e.g. subscription and redemption of funds should not be subject to the settlement discipline regime.</w:t>
      </w:r>
    </w:p>
    <w:p w14:paraId="0412353D" w14:textId="47A05D9B" w:rsidR="00EA0D0D" w:rsidRDefault="00A73158" w:rsidP="00A73158">
      <w:r>
        <w:t>As a side aspect, please note that a move to T+1 settlement may result in a material increase of settlement fails – i.e. increases the number of unsettled transactions on the ISD.</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7"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7"/>
    <w:p w14:paraId="4CECD20C" w14:textId="77777777" w:rsidR="00EA0D0D" w:rsidRDefault="00EA0D0D">
      <w:r>
        <w:t>&lt;ESMA_QUESTION_CSDR_7&gt;</w:t>
      </w:r>
    </w:p>
    <w:p w14:paraId="3442ECD4" w14:textId="77777777" w:rsidR="00EA0D0D" w:rsidRDefault="00EA0D0D">
      <w:permStart w:id="165553507" w:edGrp="everyone"/>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8"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8"/>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lastRenderedPageBreak/>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5771C597" w14:textId="77777777" w:rsidR="0078644B" w:rsidRDefault="0078644B" w:rsidP="0078644B">
      <w:permStart w:id="804142208" w:edGrp="everyone"/>
      <w:r>
        <w:t>A threshold of 40 settlement days for late matching scenarios should be sufficient. Late matching refers to instances where the confirmation of trade details between counterparties is delayed, typically occurring after the standard settlement cycle. A 40-day limit provides a reasonable timeframe for parties to resolve matching issues without unduly prolonging the settlement process.</w:t>
      </w:r>
    </w:p>
    <w:p w14:paraId="636A0594" w14:textId="4386C24D" w:rsidR="00EA0D0D" w:rsidRDefault="0078644B" w:rsidP="0078644B">
      <w:r>
        <w:t>In specific cases where the instruction of transactions with a value date more than 40 days in the past is necessary, instructions should be based on current data, and the parties involved should explore alternative means for possible compensation.</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9"/>
    <w:p w14:paraId="07CDB2DF" w14:textId="77777777" w:rsidR="00EA0D0D" w:rsidRDefault="00EA0D0D">
      <w:r>
        <w:t>&lt;ESMA_QUESTION_CSDR_9&gt;</w:t>
      </w:r>
    </w:p>
    <w:p w14:paraId="7953C470" w14:textId="77777777" w:rsidR="00EA0D0D" w:rsidRDefault="00EA0D0D">
      <w:permStart w:id="1025510098" w:edGrp="everyone"/>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10"/>
    <w:p w14:paraId="0397D9D4" w14:textId="77777777" w:rsidR="00EA0D0D" w:rsidRDefault="00EA0D0D">
      <w:r>
        <w:t>&lt;ESMA_QUESTION_CSDR_10&gt;</w:t>
      </w:r>
    </w:p>
    <w:p w14:paraId="738C3FC7" w14:textId="77777777" w:rsidR="00EA0D0D" w:rsidRDefault="00EA0D0D">
      <w:permStart w:id="68043086" w:edGrp="everyone"/>
      <w:r>
        <w:lastRenderedPageBreak/>
        <w:t>TYPE YOUR TEXT HERE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6"/>
      <w:r w:rsidRPr="00880F5C">
        <w:t>Do you have other suggestions? If yes, please specify, provide drafting suggestions and provide arguments including data where available.</w:t>
      </w:r>
    </w:p>
    <w:bookmarkEnd w:id="11"/>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2"/>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3"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3"/>
    <w:p w14:paraId="47F5C489" w14:textId="77777777" w:rsidR="00EA0D0D" w:rsidRDefault="00EA0D0D" w:rsidP="00EA0D0D">
      <w:r>
        <w:t>&lt;ESMA_QUESTION_CSDR_13&gt;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lastRenderedPageBreak/>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4"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4"/>
    <w:p w14:paraId="55C5AA9E" w14:textId="77777777" w:rsidR="00E35DA8" w:rsidRDefault="00E35DA8" w:rsidP="00E35DA8">
      <w:r>
        <w:t>&lt;ESMA_QUESTION_CSDR_14&gt;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0"/>
      <w:r w:rsidRPr="000C4396">
        <w:lastRenderedPageBreak/>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5"/>
    <w:p w14:paraId="41A6E068" w14:textId="77777777" w:rsidR="00480F3D" w:rsidRDefault="00480F3D">
      <w:r>
        <w:t>&lt;ESMA_QUESTION_CSDR_15&gt;</w:t>
      </w:r>
    </w:p>
    <w:p w14:paraId="195F7833" w14:textId="77777777" w:rsidR="0078644B" w:rsidRDefault="0078644B" w:rsidP="0078644B">
      <w:permStart w:id="1522626052" w:edGrp="everyone"/>
      <w:r>
        <w:t>A slight decrease in penalties has been observed since the introduction of CSDR. However, the fundamental disciplinary impact is, in our view, not noticeable due to the low penalty rates so far.</w:t>
      </w:r>
    </w:p>
    <w:p w14:paraId="7E92FD30" w14:textId="77777777" w:rsidR="0078644B" w:rsidRDefault="0078644B" w:rsidP="0078644B">
      <w:proofErr w:type="gramStart"/>
      <w:r>
        <w:t>Definitely, CSDR</w:t>
      </w:r>
      <w:proofErr w:type="gramEnd"/>
      <w:r>
        <w:t xml:space="preserve"> penalties significantly increased awareness of the importance of timely settlement and have clearly contributed to a reduction of the settlement fails. For </w:t>
      </w:r>
      <w:proofErr w:type="gramStart"/>
      <w:r>
        <w:t>example</w:t>
      </w:r>
      <w:proofErr w:type="gramEnd"/>
      <w:r>
        <w:t xml:space="preserve"> the annual settlement efficiency data published by </w:t>
      </w:r>
      <w:proofErr w:type="spellStart"/>
      <w:r>
        <w:t>Clearstream</w:t>
      </w:r>
      <w:proofErr w:type="spellEnd"/>
      <w:r>
        <w:t xml:space="preserve"> shows a significant increase in the “by volume” and “by value” settlement efficiency rates for 2023 compared to 2022.</w:t>
      </w:r>
    </w:p>
    <w:p w14:paraId="68081146" w14:textId="77777777" w:rsidR="0078644B" w:rsidRDefault="0078644B" w:rsidP="0078644B">
      <w:r>
        <w:t>No relevant changes could be observed on specific asset type levels. Especially ETFs instruments (and subsequently those participants significantly active in the ETF business) continuously show comparably low settlement efficiency levels due to the currently complex processes.</w:t>
      </w:r>
    </w:p>
    <w:p w14:paraId="39FBC67B" w14:textId="13381245" w:rsidR="00480F3D" w:rsidRDefault="0078644B" w:rsidP="0078644B">
      <w:r>
        <w:t>One of our members saw that the total number of penalties has decreased by about 35%. The proportion of Late Matching Fail Penalty (LMFP) has also decreased from approximately 13% initially to around 5% currently. This reduction in total penalties, especially the decline in Late Matching Fail Penalties, indicates a positive trend in overall penalty management.</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6"/>
    <w:p w14:paraId="4A2B257D" w14:textId="77777777" w:rsidR="00480F3D" w:rsidRDefault="00480F3D">
      <w:r>
        <w:t>&lt;ESMA_QUESTION_CSDR_16&gt;</w:t>
      </w:r>
    </w:p>
    <w:p w14:paraId="1C57AAED" w14:textId="77777777" w:rsidR="0078644B" w:rsidRPr="00D562A9" w:rsidRDefault="0078644B" w:rsidP="0078644B">
      <w:pPr>
        <w:rPr>
          <w:lang w:val="en-US"/>
        </w:rPr>
      </w:pPr>
      <w:permStart w:id="1340627845" w:edGrp="everyone"/>
      <w:r w:rsidRPr="00D562A9">
        <w:rPr>
          <w:lang w:val="en-US"/>
        </w:rPr>
        <w:t xml:space="preserve">The existing penalty structure, particularly for small transactions, in some cases lacks the deterrent effect needed to prompt corrective actions. Penalties in the cent range might be perceived as negligible, potentially diminishing their effectiveness in encouraging timely settlements. Analysis in some institutions shows that 80-90% of penalties are below €5. This may, for example, be </w:t>
      </w:r>
      <w:proofErr w:type="gramStart"/>
      <w:r w:rsidRPr="00D562A9">
        <w:rPr>
          <w:lang w:val="en-US"/>
        </w:rPr>
        <w:t>due to the fact that</w:t>
      </w:r>
      <w:proofErr w:type="gramEnd"/>
      <w:r w:rsidRPr="00D562A9">
        <w:rPr>
          <w:lang w:val="en-US"/>
        </w:rPr>
        <w:t xml:space="preserve"> the securities are located in another country. Hence, </w:t>
      </w:r>
      <w:r w:rsidRPr="00D562A9">
        <w:rPr>
          <w:lang w:val="en-US"/>
        </w:rPr>
        <w:lastRenderedPageBreak/>
        <w:t>for the settlement the securities must first be transferred to Germany. If such transfer is more expensive than the penalties, there is no incentive to ensure a timely settlement.</w:t>
      </w:r>
    </w:p>
    <w:p w14:paraId="6A450749" w14:textId="77777777" w:rsidR="0078644B" w:rsidRPr="00D562A9" w:rsidRDefault="0078644B" w:rsidP="0078644B">
      <w:pPr>
        <w:rPr>
          <w:lang w:val="en-US"/>
        </w:rPr>
      </w:pPr>
      <w:r w:rsidRPr="00D562A9">
        <w:rPr>
          <w:lang w:val="en-US"/>
        </w:rPr>
        <w:t>Secondly, the observation about limited improvements in specific settlement areas, such as those involving a transfer agent, suggests that certain segments of the settlement process may require targeted enhancements. Identifying and addressing these specific areas is crucial for achieving comprehensive improvements in settlement efficiency.</w:t>
      </w:r>
    </w:p>
    <w:p w14:paraId="744A0C9D" w14:textId="02E463EB" w:rsidR="00480F3D" w:rsidRDefault="0078644B" w:rsidP="0078644B">
      <w:r w:rsidRPr="00D562A9">
        <w:rPr>
          <w:lang w:val="en-US"/>
        </w:rPr>
        <w:t>To stronger incentivize partial settlements could also lead to an improvement in settlement efficiency. Under no circumstances should the structure of penalty fees become more complicated (such as the introduction of a minimum fee).</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65E3DCBF" w14:textId="77777777" w:rsidR="0078644B" w:rsidRDefault="0078644B" w:rsidP="0078644B">
      <w:permStart w:id="1267808287" w:edGrp="everyone"/>
      <w:r>
        <w:t xml:space="preserve">The primary cause behind the "fail to deliver securities" category are penalties resulting from open </w:t>
      </w:r>
      <w:proofErr w:type="gramStart"/>
      <w:r>
        <w:t>counter-trades</w:t>
      </w:r>
      <w:proofErr w:type="gramEnd"/>
      <w:r>
        <w:t xml:space="preserve">, necessary pre-allocations, or outstanding collaterals in repo transactions. Numerically, these account for </w:t>
      </w:r>
      <w:proofErr w:type="gramStart"/>
      <w:r>
        <w:t>the majority of</w:t>
      </w:r>
      <w:proofErr w:type="gramEnd"/>
      <w:r>
        <w:t xml:space="preserve"> penalties, although the individual penalty amounts are generally quite low.</w:t>
      </w:r>
    </w:p>
    <w:p w14:paraId="71988943" w14:textId="77777777" w:rsidR="0078644B" w:rsidRDefault="0078644B" w:rsidP="0078644B">
      <w:r>
        <w:t>One noticeable aspect regarding the penalty amounts pertains to Late Matching Fail Penalties, arising from matching issues. The process of resolving such mismatches often spans several days, resulting in relatively high penalty payments.</w:t>
      </w:r>
    </w:p>
    <w:p w14:paraId="6F3B4581" w14:textId="04A449FB" w:rsidR="00480F3D" w:rsidRDefault="0078644B" w:rsidP="0078644B">
      <w:r>
        <w:t xml:space="preserve">The main reason behind “settlement instructions on hold” is the German </w:t>
      </w:r>
      <w:proofErr w:type="spellStart"/>
      <w:r>
        <w:t>Depotgesetz</w:t>
      </w:r>
      <w:proofErr w:type="spellEnd"/>
      <w:r>
        <w:t xml:space="preserve"> (Custody Act), which excludes third-party disposals. </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2"/>
      <w:r w:rsidRPr="00861096">
        <w:t>What tools should be used in order to improve settlement efficiency? Please provide examples and data, as well as arguments to justify your answer.</w:t>
      </w:r>
    </w:p>
    <w:bookmarkEnd w:id="17"/>
    <w:p w14:paraId="400A5D26" w14:textId="77777777" w:rsidR="00480F3D" w:rsidRDefault="00480F3D">
      <w:r>
        <w:t>&lt;ESMA_QUESTION_CSDR_18&gt;</w:t>
      </w:r>
    </w:p>
    <w:p w14:paraId="1FBC935E" w14:textId="77777777" w:rsidR="0094417D" w:rsidRDefault="0094417D" w:rsidP="0094417D">
      <w:permStart w:id="1836331667" w:edGrp="everyone"/>
      <w:r>
        <w:lastRenderedPageBreak/>
        <w:t>We, the Associations representing more than 1100 banking institutions in the German banking market, notice that developments in recent months have shown that settlement efficiency has improved. The extent to which this is due to the penalties or other aspects (interest rate increases) will never be clearly proven. It can also be assumed that the future restriction of CSDR for penalties to trading transactions (not operations that are not considered as trading) will improve the settlement efficiency ratio. We therefore believe that no comprehensive reorganisation of the penalty regime is required or necessary. The system should remain as simple as possible. A moderate and linear increase in the penalty rates applicable to settlement fails should be sufficient to achieve further improvements in settlement efficiency.</w:t>
      </w:r>
    </w:p>
    <w:p w14:paraId="206E4562" w14:textId="77777777" w:rsidR="0094417D" w:rsidRDefault="0094417D" w:rsidP="0094417D">
      <w:r>
        <w:t>Any change to the existing system would be very costly for everyone involved. It is not clear why a completely new method should be better than a linear modification of the existing calculation. All market participants would then be forced to extensively rebuild their systems. Against the background of a cost-benefit analysis, this is questionable. We also believe that a system that is too complex would make the European location unattractive in competition with other jurisdictions.</w:t>
      </w:r>
    </w:p>
    <w:p w14:paraId="416877F9" w14:textId="77777777" w:rsidR="0094417D" w:rsidRDefault="0094417D" w:rsidP="0094417D">
      <w:r>
        <w:t>Even though implementing a threshold for penalties (e.g. setting a minimum penalty of 5 € for each failed transaction) may seem like a simple encouragement for market participants to prioritize the resolution of all settlement fails, irrespective of their size, contributing to an overall improvement in settlement efficiency. However, this would also complicate the system and would not be, from our point of view, better than a moderate general increase.</w:t>
      </w:r>
    </w:p>
    <w:p w14:paraId="5FCF6E36" w14:textId="77777777" w:rsidR="0094417D" w:rsidRDefault="0094417D" w:rsidP="0094417D">
      <w:r>
        <w:t>The extended use of “hold &amp; release” as well as partial settlement/ release functionalities and securities lending services could further enhance settlement efficiency.</w:t>
      </w:r>
    </w:p>
    <w:p w14:paraId="68A45E9B" w14:textId="2BF4861A" w:rsidR="00480F3D" w:rsidRDefault="0094417D" w:rsidP="0094417D">
      <w:r>
        <w:t>In addition, processes preceding the sending of the settlement instructions should also be assessed by the relevant stakeholders to complete the picture and address issues that already occur much earlier, e.g. on trading level.</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3"/>
      <w:r w:rsidRPr="004D6196">
        <w:t>What are your views on the appropriate level(s) of settlement efficiency at CSD/SSS level, as well as by asset type? Please provide data and arguments to justify your answer.</w:t>
      </w:r>
    </w:p>
    <w:bookmarkEnd w:id="18"/>
    <w:p w14:paraId="7D3BB08E" w14:textId="77777777" w:rsidR="00480F3D" w:rsidRDefault="00480F3D">
      <w:r>
        <w:t>&lt;ESMA_QUESTION_CSDR_19&gt;</w:t>
      </w:r>
    </w:p>
    <w:p w14:paraId="773E33DB" w14:textId="77777777" w:rsidR="00B00812" w:rsidRDefault="00B00812" w:rsidP="00B00812">
      <w:permStart w:id="1744390137" w:edGrp="everyone"/>
      <w:r>
        <w:t xml:space="preserve">We, the Associations representing more than 1100 banking institutions in the German banking market would like to point out that the original purpose of the introduction of the penalty regime </w:t>
      </w:r>
      <w:r>
        <w:lastRenderedPageBreak/>
        <w:t xml:space="preserve">was to increase market stability and reduce risk in the settlement system by seeing a sustainable improvement in settlement fails. We feel that this has been achieved by the market through the adoption of new technologies and increased automated processes by market participants, as well as increased focus on resolving the root causes of fails. </w:t>
      </w:r>
    </w:p>
    <w:p w14:paraId="28584B33" w14:textId="77777777" w:rsidR="00B00812" w:rsidRDefault="00B00812" w:rsidP="00B00812">
      <w:r>
        <w:t xml:space="preserve">Ultimately, as recognized by ESMA in its consultation paper, achieving 100% settlement efficiency rates is not possible – not least because of because of the various infrastructures in the EU market. Creating an environment where failing is disproportionately economically punitive will only change the way in such securities are traded and priced, eroding liquidity further and creating additional costs for investors and, ultimately, issuers. Thus, at some point there is a trade-off between having a strict “no-fails market” driven by settlement discipline measures and having a deep, liquid, globally competitive market that is attractive to investors and issuers. </w:t>
      </w:r>
    </w:p>
    <w:p w14:paraId="75F12042" w14:textId="4CD3B634" w:rsidR="00480F3D" w:rsidRDefault="00B00812" w:rsidP="00B00812">
      <w:r>
        <w:t xml:space="preserve">We do not recommend that ESMA propose a fix level of settlement efficiency but rather ensure that a sustainable reduction in settlement fails is maintained by the market, with evidence of improvement over </w:t>
      </w:r>
      <w:proofErr w:type="gramStart"/>
      <w:r>
        <w:t>a period of time</w:t>
      </w:r>
      <w:proofErr w:type="gramEnd"/>
      <w:r>
        <w:t xml:space="preserve">. Again, the outcome of the current regime cannot be fully assessed within a short period of time, </w:t>
      </w:r>
      <w:proofErr w:type="gramStart"/>
      <w:r>
        <w:t>taking into account</w:t>
      </w:r>
      <w:proofErr w:type="gramEnd"/>
      <w:r>
        <w:t xml:space="preserve"> that several external factors since its implementation have impacted EU settlement efficiency rates.</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4"/>
      <w:r w:rsidRPr="00560A70">
        <w:t>Do you think the penalty rates by asset type as foreseen in the Annex to Commission Delegated Regulation (EU) 2017/389 are proportionate? Please provide data and arguments to justify your answer.</w:t>
      </w:r>
    </w:p>
    <w:bookmarkEnd w:id="19"/>
    <w:p w14:paraId="163FB0D8" w14:textId="77777777" w:rsidR="00480F3D" w:rsidRDefault="00480F3D">
      <w:r>
        <w:t>&lt;ESMA_QUESTION_CSDR_20&gt;</w:t>
      </w:r>
    </w:p>
    <w:p w14:paraId="14332A5D" w14:textId="77777777" w:rsidR="00B00812" w:rsidRDefault="00B00812" w:rsidP="00B00812">
      <w:permStart w:id="652349975" w:edGrp="everyone"/>
      <w:r>
        <w:t>Yes, we believe that the current differentiation is appropriate. Here, too, any radical change to the system will result in high costs for all market participants and few recognisable benefits. The penalty regime should be kept simple and transparent and excessive complexity needs to be avoided.</w:t>
      </w:r>
    </w:p>
    <w:p w14:paraId="24700A0A" w14:textId="4EA1B92C" w:rsidR="00480F3D" w:rsidRDefault="00B00812" w:rsidP="00B00812">
      <w:r>
        <w:t xml:space="preserve">In </w:t>
      </w:r>
      <w:proofErr w:type="gramStart"/>
      <w:r>
        <w:t>general</w:t>
      </w:r>
      <w:proofErr w:type="gramEnd"/>
      <w:r>
        <w:t xml:space="preserve"> we are concerned that the competitiveness of the EU capital markets could be negatively impacted by the application of overly high (or even extreme) penalty rates.</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5"/>
      <w:r w:rsidRPr="00BA14B3">
        <w:lastRenderedPageBreak/>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20"/>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6"/>
      <w:r w:rsidRPr="00890DCE">
        <w:t>In your view, would progressive penalty rates that increase with the length of the settlement fail be justified? Please provide examples and data, as well as arguments to justify your answer.</w:t>
      </w:r>
    </w:p>
    <w:bookmarkEnd w:id="21"/>
    <w:p w14:paraId="02ABFB58" w14:textId="77777777" w:rsidR="00480F3D" w:rsidRDefault="00480F3D">
      <w:r>
        <w:t>&lt;ESMA_QUESTION_CSDR_22&gt;</w:t>
      </w:r>
    </w:p>
    <w:p w14:paraId="4BF9A444" w14:textId="77777777" w:rsidR="00B00812" w:rsidRDefault="00B00812" w:rsidP="00B00812">
      <w:permStart w:id="47388266" w:edGrp="everyone"/>
      <w:proofErr w:type="gramStart"/>
      <w:r>
        <w:t>The majority of</w:t>
      </w:r>
      <w:proofErr w:type="gramEnd"/>
      <w:r>
        <w:t xml:space="preserve"> the penalties typically pertain to a short timeframe of 1-2 days. Penalties that increase with the duration of the settlement failure could serve as a motivational tool to remediate settlement fails and may encourage the counterparties involved in the transaction to exert the necessary efforts and expedite the resolution of the settlement issue, especially in cases where discussions become protracted or challenging.</w:t>
      </w:r>
    </w:p>
    <w:p w14:paraId="1AD606AF" w14:textId="116728D1" w:rsidR="00480F3D" w:rsidRDefault="00B00812" w:rsidP="00B00812">
      <w:r>
        <w:t>However, progressive rates also complicate the penalty system. A streamlined and easily understandable penalty system is essential for effective communication, comprehension, and adherence by market participants. Uncomplicated rules facilitate transparency and help avoid potential misinterpretations or disputes, ensuring that the penalty mechanism serves its intended purpose without unnecessary intricacies. Any change would require significant IT developments (including testing) for any EU/ EEA CSDs, T2S and participants and would make the application of penalty rates much more complex for transactions failing for more than one day (and including late matching fails). As the negative effects of progressive rates (calculations and allocations become also increasingly more complex) seem to outweigh the benefits, we do not think that such an approach would be justified.</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7"/>
      <w:r w:rsidRPr="005472E2">
        <w:lastRenderedPageBreak/>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0F922346" w14:textId="77777777" w:rsidR="00480F3D" w:rsidRDefault="00480F3D">
      <w:r>
        <w:t>&lt;ESMA_QUESTION_CSDR_23&gt;</w:t>
      </w:r>
    </w:p>
    <w:p w14:paraId="79BC98F7" w14:textId="77777777" w:rsidR="00B00812" w:rsidRDefault="00B00812" w:rsidP="00B00812">
      <w:permStart w:id="67503824" w:edGrp="everyone"/>
      <w:r>
        <w:t>We advocate for straightforward penalty rates. Our position is grounded in the belief that introducing unnecessary complexities to the rule framework does not yield significant benefits. A streamlined and easily understandable penalty system is essential for effective communication, comprehension, and adherence by market participants. Uncomplicated rules facilitate transparency and help avoid potential misinterpretations or disputes, ensuring that the penalty mechanism serves its intended purpose without unnecessary intricacies.</w:t>
      </w:r>
    </w:p>
    <w:p w14:paraId="745FE67B" w14:textId="2C2F6D4F" w:rsidR="00480F3D" w:rsidRDefault="00B00812" w:rsidP="00B00812">
      <w:r>
        <w:t>Focusing solely on liquidity when calculating penalties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3"/>
    <w:p w14:paraId="5A4568FC" w14:textId="77777777" w:rsidR="00480F3D" w:rsidRDefault="00480F3D">
      <w:r>
        <w:t>&lt;ESMA_QUESTION_CSDR_24&gt;</w:t>
      </w:r>
    </w:p>
    <w:p w14:paraId="33D95FC4" w14:textId="1F9F3BA5" w:rsidR="00480F3D" w:rsidRDefault="00B00812">
      <w:permStart w:id="1652955813" w:edGrp="everyone"/>
      <w:r w:rsidRPr="00B00812">
        <w:t>Please refer to our answer under Q 23.</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4"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4"/>
    <w:p w14:paraId="215BD0D9" w14:textId="77777777" w:rsidR="00480F3D" w:rsidRDefault="00480F3D">
      <w:r>
        <w:t>&lt;ESMA_QUESTION_CSDR_25&gt;</w:t>
      </w:r>
    </w:p>
    <w:p w14:paraId="1BA3B579" w14:textId="77777777" w:rsidR="00B00812" w:rsidRDefault="00B00812" w:rsidP="00B00812">
      <w:permStart w:id="1767178405" w:edGrp="everyone"/>
      <w:r>
        <w:lastRenderedPageBreak/>
        <w:t>We, the Associations representing more than 1100 banking institutions in the German banking market, generally oppose increasing penalty rates. Implementing changes to penalty rate categories may necessitate adjustments to various technical aspects, such as interfaces and reporting presentations throughout the entire settlement process chain. We would like to question whether the efforts and costs involved in these technical adaptations would be justified in terms of the overall benefits gained. Therefore, our inclination is to prioritize a comprehensive evaluation of generally higher penalty rates before considering additional adjustments that may introduce complexities and raise questions about their cost-effectiveness.</w:t>
      </w:r>
    </w:p>
    <w:p w14:paraId="7275AB8F" w14:textId="77777777" w:rsidR="00B00812" w:rsidRDefault="00B00812" w:rsidP="00B00812">
      <w:r>
        <w:t>Please see also our response to Question 22.</w:t>
      </w:r>
    </w:p>
    <w:p w14:paraId="5A67EBAC" w14:textId="5DC97162" w:rsidR="00480F3D" w:rsidRDefault="00B00812" w:rsidP="00B00812">
      <w:r>
        <w:t>For the sake of clarity, we note that already today ETFs (category “ETFS”) are penalized in the same way as the categories “SECU”, “UCIT”, “EMAL” and “other” instruments (per fail day, 0.50/ 0.25 bp´s apply) and we see no obvious reason why a new category for ETFs should be added.</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5"/>
    <w:p w14:paraId="0293B65D" w14:textId="77777777" w:rsidR="00480F3D" w:rsidRDefault="00480F3D">
      <w:r>
        <w:t>&lt;ESMA_QUESTION_CSDR_26&gt;</w:t>
      </w:r>
    </w:p>
    <w:p w14:paraId="175DFFE3" w14:textId="77777777" w:rsidR="00B00812" w:rsidRDefault="00B00812" w:rsidP="00B00812">
      <w:permStart w:id="514209699" w:edGrp="everyone"/>
      <w:r>
        <w:t xml:space="preserve">We, the Associations representing more than 1100 banking institutions in the German banking market, strongly </w:t>
      </w:r>
      <w:proofErr w:type="spellStart"/>
      <w:r>
        <w:t>favor</w:t>
      </w:r>
      <w:proofErr w:type="spellEnd"/>
      <w:r>
        <w:t xml:space="preserve"> to keep the current system with a slight / moderate general increase of the penalty rates. The current set-up is in place for only two years – with the first year being affected by the war in Ukraine – and has already shown positive effects.</w:t>
      </w:r>
    </w:p>
    <w:p w14:paraId="77C7C5FA" w14:textId="53DD5924" w:rsidR="00480F3D" w:rsidRDefault="00B00812" w:rsidP="00B00812">
      <w:r>
        <w:t xml:space="preserve">Implementing changes to penalty rate categories may necessitate adjustments to various technical aspects, such as interfaces and reporting presentations throughout the entire settlement process chain. We would like to question whether the efforts and costs involved in these technical adaptations would be justified in terms of the overall benefits gained. Therefore, our inclination is to prioritize a comprehensive evaluation of generally higher penalty rates </w:t>
      </w:r>
      <w:r>
        <w:lastRenderedPageBreak/>
        <w:t>before considering additional adjustments that may introduce complexities and raise questions about their cost-effectiveness.</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6"/>
    <w:p w14:paraId="3B11083A" w14:textId="77777777" w:rsidR="00480F3D" w:rsidRDefault="00480F3D">
      <w:r>
        <w:t>&lt;ESMA_QUESTION_CSDR_27&gt;</w:t>
      </w:r>
    </w:p>
    <w:p w14:paraId="17757935" w14:textId="128ED485" w:rsidR="00480F3D" w:rsidRDefault="00B00812">
      <w:permStart w:id="873400905" w:edGrp="everyone"/>
      <w:r w:rsidRPr="00B00812">
        <w:t>The two suggested options would represent a significant change compared to the current penalt</w:t>
      </w:r>
      <w:r>
        <w:t>y</w:t>
      </w:r>
      <w:r w:rsidRPr="00B00812">
        <w:t xml:space="preserve"> calculation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 Please also refer to our answer to Q 26.</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7"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7"/>
    <w:p w14:paraId="5ED988EA" w14:textId="77777777" w:rsidR="00480F3D" w:rsidRDefault="00480F3D" w:rsidP="00480F3D">
      <w:r>
        <w:t>&lt;ESMA_QUESTION_CSDR_28&gt;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3F2EB1FB" w14:textId="77777777" w:rsidR="00B00812" w:rsidRDefault="00B00812" w:rsidP="00B00812">
      <w:permStart w:id="1752653492" w:edGrp="everyone"/>
      <w:r>
        <w:t>We, the Associations representing more than 1100 banking institutions in the German banking market, oppose the introduction of progressive penalty rates. The implementation of any changes to the penalty mechanism is unnecessarily complex. Please also refer to our answer under Q 26 and 27.</w:t>
      </w:r>
    </w:p>
    <w:p w14:paraId="177E2DF1" w14:textId="37A04F58" w:rsidR="008D18FF" w:rsidRDefault="00B00812" w:rsidP="00413D4F">
      <w:r>
        <w:t>The two suggested options would represent a significant change compared to the current penalty calculation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8" w:name="_Hlk151731833"/>
      <w:r w:rsidRPr="00D85A08">
        <w:t>Alternatively, do you think that progressive cash penalties rates should take into account a different breakdown than the one included in ESMA’s proposal above for any or all of the following categories:</w:t>
      </w:r>
    </w:p>
    <w:bookmarkEnd w:id="28"/>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09FE43BA" w14:textId="77777777" w:rsidR="00B00812" w:rsidRDefault="00B00812" w:rsidP="00B00812">
      <w:permStart w:id="503064745" w:edGrp="everyone"/>
      <w:r>
        <w:t>We oppose the introduction of progressive penalty rates. The implementation of any changes to the penalty mechanism is unnecessarily complex. Please also refer to our answer under Q 26 and 27.</w:t>
      </w:r>
    </w:p>
    <w:p w14:paraId="7A78E65F" w14:textId="77777777" w:rsidR="00B00812" w:rsidRDefault="00B00812" w:rsidP="00B00812">
      <w:r>
        <w:t>The consideration of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7F70CB81" w14:textId="414CB396" w:rsidR="007D7BB4" w:rsidRPr="00BD3B92" w:rsidRDefault="00B00812" w:rsidP="00413D4F">
      <w:r>
        <w:t xml:space="preserve">As a side aspect: the transaction type is not a </w:t>
      </w:r>
      <w:proofErr w:type="gramStart"/>
      <w:r>
        <w:t>matching criteria</w:t>
      </w:r>
      <w:proofErr w:type="gramEnd"/>
      <w:r>
        <w:t xml:space="preserve"> for settlement transactions, hence, the information could deviate between the securities delivery and receipt leg of a transaction making the application of penalties based on this criteria “random” at best.</w:t>
      </w:r>
      <w:permEnd w:id="503064745"/>
    </w:p>
    <w:tbl>
      <w:tblPr>
        <w:tblStyle w:val="Tabellenraster"/>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lastRenderedPageBreak/>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lastRenderedPageBreak/>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9"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9"/>
    <w:p w14:paraId="3871DAF1" w14:textId="14B23D80" w:rsidR="00BD3B92" w:rsidRDefault="00BD3B92" w:rsidP="00413D4F">
      <w:r>
        <w:t>&lt;ESMA_QUESTION_CSDR_30&gt;</w:t>
      </w:r>
    </w:p>
    <w:p w14:paraId="5D2D4A4F" w14:textId="77777777" w:rsidR="00B00812" w:rsidRDefault="00B00812" w:rsidP="00B00812">
      <w:permStart w:id="1764259019" w:edGrp="everyone"/>
      <w:r>
        <w:t>We oppose the mechanism. Please see our feedback to Questions 27 to 29.</w:t>
      </w:r>
    </w:p>
    <w:p w14:paraId="7853B9D9" w14:textId="13AA60B2" w:rsidR="00720942" w:rsidRDefault="00B00812" w:rsidP="00B00812">
      <w:r>
        <w:t>The consideration of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 Hence, we oppose the introduction of progressive penalty rates. The implementation of any changes to the penalty mechanism is unnecessarily complex.</w:t>
      </w:r>
    </w:p>
    <w:tbl>
      <w:tblPr>
        <w:tblStyle w:val="Tabellenraster"/>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 xml:space="preserve">Progressive penalty </w:t>
            </w:r>
            <w:r w:rsidRPr="442E5590">
              <w:rPr>
                <w:rFonts w:ascii="Arial" w:eastAsia="Arial" w:hAnsi="Arial" w:cs="Arial"/>
                <w:b/>
                <w:bCs/>
                <w:szCs w:val="22"/>
              </w:rPr>
              <w:lastRenderedPageBreak/>
              <w:t>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lastRenderedPageBreak/>
              <w:t>Settlement fails based on l</w:t>
            </w:r>
            <w:r w:rsidRPr="442E5590">
              <w:rPr>
                <w:b/>
                <w:bCs/>
              </w:rPr>
              <w:t xml:space="preserve">ower value settlement </w:t>
            </w:r>
            <w:r w:rsidRPr="442E5590">
              <w:rPr>
                <w:b/>
                <w:bCs/>
              </w:rPr>
              <w:lastRenderedPageBreak/>
              <w:t xml:space="preserve">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lastRenderedPageBreak/>
              <w:t>Settlement fails based on higher</w:t>
            </w:r>
            <w:r w:rsidRPr="442E5590">
              <w:rPr>
                <w:b/>
                <w:bCs/>
              </w:rPr>
              <w:t xml:space="preserve"> value settlement instructions could be charged </w:t>
            </w:r>
            <w:r w:rsidRPr="442E5590">
              <w:rPr>
                <w:b/>
                <w:bCs/>
              </w:rPr>
              <w:lastRenderedPageBreak/>
              <w:t xml:space="preserve">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lastRenderedPageBreak/>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30"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0"/>
    <w:p w14:paraId="076895A2" w14:textId="77777777" w:rsidR="00EC303D" w:rsidRDefault="00EC303D" w:rsidP="00EC303D">
      <w:r>
        <w:t>&lt;ESMA_QUESTION_CSDR_31&gt;</w:t>
      </w:r>
    </w:p>
    <w:p w14:paraId="524122E5" w14:textId="04C182C1" w:rsidR="00EC303D" w:rsidRDefault="00B00812" w:rsidP="00EC303D">
      <w:permStart w:id="892430093" w:edGrp="everyone"/>
      <w:r w:rsidRPr="00B00812">
        <w:lastRenderedPageBreak/>
        <w:t>No additional criteria should be considered as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1"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1"/>
    <w:p w14:paraId="7F7BB40C" w14:textId="77777777" w:rsidR="008E5525" w:rsidRDefault="008E5525" w:rsidP="008E5525">
      <w:r>
        <w:t>&lt;ESMA_QUESTION_CSDR_32&gt;</w:t>
      </w:r>
    </w:p>
    <w:p w14:paraId="343819C2" w14:textId="77777777" w:rsidR="00707682" w:rsidRDefault="00707682" w:rsidP="00707682">
      <w:permStart w:id="2059342461" w:edGrp="everyone"/>
      <w:r>
        <w:t>TYPE YOUR TEXT HERE</w:t>
      </w:r>
    </w:p>
    <w:tbl>
      <w:tblPr>
        <w:tblStyle w:val="Tabellenraster"/>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lastRenderedPageBreak/>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6870C161" w14:textId="77777777" w:rsidR="0038747F" w:rsidRDefault="0038747F" w:rsidP="0038747F">
      <w:permStart w:id="529362301" w:edGrp="everyone"/>
      <w:r>
        <w:t>The simplicity and clarity of the penalty mechanisms are crucial factors for their effectiveness. Complex mechanisms not only pose challenges in terms of implementation and administration but can also be difficult to convey to customers when penalties are passed on to them.</w:t>
      </w:r>
    </w:p>
    <w:p w14:paraId="48B7821A" w14:textId="77777777" w:rsidR="0038747F" w:rsidRDefault="0038747F" w:rsidP="0038747F">
      <w:r>
        <w:t>Using straightforward and easily understandable penalty mechanisms ensures that market participants can grasp the rationale behind penalty assessments. This transparency not only facilitates compliance but also enhances the overall effectiveness of the penalty system by promoting a clear understanding of the consequences associated with settlement-related actions or inactions.</w:t>
      </w:r>
    </w:p>
    <w:p w14:paraId="105F3DAB" w14:textId="35B025F1" w:rsidR="00707682" w:rsidRDefault="0038747F" w:rsidP="0038747F">
      <w:r>
        <w:t>Choosing simpler mechanisms aligns with the goal of promoting transparency, accountability, and ease of comprehension for all stakeholders involved in the settlement process. It helps maintain a fair and accessible penalty framework that supports efficient settlement practices across the financial landscape.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7"/>
      <w:r w:rsidRPr="00884554">
        <w:t>How should free of payment (FoP) instructions be valued for the purpose of the application of cash penalties? Please justify your answer and provide examples and data where available.</w:t>
      </w:r>
    </w:p>
    <w:bookmarkEnd w:id="32"/>
    <w:p w14:paraId="5DAB0ADA" w14:textId="77777777" w:rsidR="00683F26" w:rsidRDefault="00683F26">
      <w:r>
        <w:t>&lt;ESMA_QUESTION_CSDR_33&gt;</w:t>
      </w:r>
    </w:p>
    <w:p w14:paraId="05CC3F04" w14:textId="563D72A2" w:rsidR="00683F26" w:rsidRDefault="0038747F">
      <w:permStart w:id="9921138" w:edGrp="everyone"/>
      <w:r w:rsidRPr="0038747F">
        <w:t>We see no need for changes, the current process should continue to apply.</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8"/>
      <w:r w:rsidRPr="00127028">
        <w:t>Do you think there is a risk that higher penalty rates may lead to participants using less DvP and more FoP settlement instructions? Please justify your answer and provide examples and data where available.</w:t>
      </w:r>
    </w:p>
    <w:bookmarkEnd w:id="33"/>
    <w:p w14:paraId="06620221" w14:textId="77777777" w:rsidR="00683F26" w:rsidRDefault="00683F26">
      <w:r>
        <w:t>&lt;ESMA_QUESTION_CSDR_34&gt;</w:t>
      </w:r>
    </w:p>
    <w:p w14:paraId="78F85665" w14:textId="7201BAAA" w:rsidR="00683F26" w:rsidRDefault="0038747F">
      <w:permStart w:id="1386107427" w:edGrp="everyone"/>
      <w:r w:rsidRPr="0038747F">
        <w:t>We are of the view that the replacement of DVPs by FOPs at a significant scale seems very unlikely.</w:t>
      </w:r>
    </w:p>
    <w:permEnd w:id="1386107427"/>
    <w:p w14:paraId="6A17598C" w14:textId="77777777" w:rsidR="00683F26" w:rsidRDefault="00683F26">
      <w:r>
        <w:lastRenderedPageBreak/>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4"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4"/>
    <w:p w14:paraId="7023BE17" w14:textId="77777777" w:rsidR="00683F26" w:rsidRDefault="00683F26" w:rsidP="00683F26">
      <w:r>
        <w:t>&lt;ESMA_QUESTION_CSDR_35&gt;</w:t>
      </w:r>
    </w:p>
    <w:tbl>
      <w:tblPr>
        <w:tblStyle w:val="Tabellenraster"/>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5118E292" w14:textId="77777777" w:rsidR="0038747F" w:rsidRDefault="0038747F" w:rsidP="0038747F">
      <w:permStart w:id="2042054973" w:edGrp="everyone"/>
      <w:r>
        <w:t>Additional asset classes are not necessary. They overly complicate the penalty system and do not provide any discernible benefits. Even though the calculation of penalties is primarily the responsibility of the CSDs, the system should be easily understandable for market participants.</w:t>
      </w:r>
    </w:p>
    <w:p w14:paraId="42B8CD16" w14:textId="77777777" w:rsidR="0038747F" w:rsidRDefault="0038747F" w:rsidP="0038747F">
      <w:r>
        <w:t xml:space="preserve">The inclusion of more asset classes could introduce unnecessary complexity into the penalty framework without clear advantages. It is essential to prioritize simplicity and transparency in the penalty calculation process to ensure that market participants can easily grasp the rules </w:t>
      </w:r>
      <w:r>
        <w:lastRenderedPageBreak/>
        <w:t>and implications. This not only facilitates a clearer understanding of the penalty mechanism but also empowers parties to scrutinize and contest any penalties that may have been inaccurately calculated.</w:t>
      </w:r>
    </w:p>
    <w:p w14:paraId="244C9DAA" w14:textId="47311709" w:rsidR="00D57C74" w:rsidRDefault="0038747F" w:rsidP="0038747F">
      <w:r>
        <w:t>Promoting a transparent and comprehensible penalty system not only aligns with the principles of fairness and accountability but also contributes to a smoother interaction between market participants and the regulatory framework. Clarity in penalty calculations supports a more efficient and responsive settlement environment by allowing for effective communication and resolution in cases where concerns or discrepancies arise.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5"/>
    <w:p w14:paraId="075BF910" w14:textId="77777777" w:rsidR="00DD5F58" w:rsidRDefault="00DD5F58">
      <w:r>
        <w:t>&lt;ESMA_QUESTION_CSDR_36&gt;</w:t>
      </w:r>
    </w:p>
    <w:p w14:paraId="11FD4092" w14:textId="77777777" w:rsidR="0038747F" w:rsidRDefault="0038747F" w:rsidP="0038747F">
      <w:permStart w:id="193803223" w:edGrp="everyone"/>
      <w:r>
        <w:t>The existing framework provides ample room for both parties to collaboratively adjust instructions, allowing for a more adaptive and responsive approach to settlement processes. It is within their discretion to cancel or modify instructions based on mutual agreement and, if needed, incorporate new parameters to facilitate smooth settlement. Encouraging a proactive utilization of this existing flexibility can contribute to a more dynamic and efficient settlement environment.</w:t>
      </w:r>
    </w:p>
    <w:p w14:paraId="6E6E93D5" w14:textId="26643665" w:rsidR="00DD5F58" w:rsidRDefault="0038747F" w:rsidP="0038747F">
      <w:r>
        <w:t>This flexibility can be particularly advantageous in situations where unexpected developments or changes in circumstances warrant adjustments to settlement instructions. By promoting increased utilization of this mechanism, market participants can enhance their ability to navigate evolving conditions, fostering a settlement process that is not only effective but also responsive to the dynamic nature of financial markets.</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6"/>
    <w:p w14:paraId="0C94806C" w14:textId="77777777" w:rsidR="00DD5F58" w:rsidRDefault="00DD5F58">
      <w:r>
        <w:lastRenderedPageBreak/>
        <w:t>&lt;ESMA_QUESTION_CSDR_37&gt;</w:t>
      </w:r>
    </w:p>
    <w:p w14:paraId="380F5E97" w14:textId="28FF3E48" w:rsidR="00DD5F58" w:rsidRDefault="0038747F">
      <w:permStart w:id="497239485" w:edGrp="everyone"/>
      <w:r w:rsidRPr="0038747F">
        <w:t>There could be multiple cases where transactions are only unilaterally cancelled and remain subject to continuous penalties. T2S cancels even matched failing settlement transactions after 60 days so the issue is limited to 2 months from a T2S “efficiency” perspective. Applying the same approach by all (I)CSDs could mitigate the issue.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7"/>
    <w:p w14:paraId="6ACCD9FD" w14:textId="77777777" w:rsidR="00DD5F58" w:rsidRDefault="00DD5F58">
      <w:r>
        <w:t>&lt;ESMA_QUESTION_CSDR_38&gt;</w:t>
      </w:r>
    </w:p>
    <w:p w14:paraId="4FD39FA4" w14:textId="622A38C7" w:rsidR="00DD5F58" w:rsidRDefault="0038747F">
      <w:permStart w:id="363731969" w:edGrp="everyone"/>
      <w:r w:rsidRPr="0038747F">
        <w:t>Please refer to our answer to Question 1</w:t>
      </w:r>
      <w:r>
        <w:t xml:space="preserve"> – no changes should be made.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8"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8"/>
    <w:p w14:paraId="4BA2F999" w14:textId="77777777" w:rsidR="00DD5F58" w:rsidRDefault="00DD5F58">
      <w:r>
        <w:t>&lt;ESMA_QUESTION_CSDR_39&gt;</w:t>
      </w:r>
    </w:p>
    <w:p w14:paraId="2B3CB47C" w14:textId="77777777" w:rsidR="0038747F" w:rsidRDefault="0038747F" w:rsidP="0038747F">
      <w:permStart w:id="395341201" w:edGrp="everyone"/>
      <w:r>
        <w:t>No. The efficiency of settlement processes is subject to dynamic factors and can evolve independently of market conditions. Therefore, it is not appropriate to differentiate or categorize CSDs based solely on the volume of transactions they handle – since higher volume will result in higher fail rates. Such a classification may not accurately reflect the actual efficiency and operational capabilities of a CSD.</w:t>
      </w:r>
    </w:p>
    <w:p w14:paraId="52E4B729" w14:textId="77777777" w:rsidR="0038747F" w:rsidRDefault="0038747F" w:rsidP="0038747F">
      <w:r>
        <w:lastRenderedPageBreak/>
        <w:t>Every CSD should be assessed on its own merits, considering its specific processes, infrastructure, and overall performance in facilitating seamless and timely settlement. This approach ensures a fair and objective evaluation that aligns with the fundamental goal of enhancing settlement efficiency across the broader financial landscape. Treating CSDs uniformly, regardless of transaction volume, promotes consistency and fairness in regulatory and operational considerations.</w:t>
      </w:r>
    </w:p>
    <w:p w14:paraId="464E4184" w14:textId="7B8F31C5" w:rsidR="00DD5F58" w:rsidRDefault="0038747F" w:rsidP="0038747F">
      <w:r>
        <w:t>In addition, applying the penalty mechanism only at the level of those CSDs with higher settlement fail rates would heavily damage (intra- and outside EU/ EEA) competition and level-playing field and target the wrong entities as CSDs are not the ones who could significantly steer the settlement efficiency of their participants.</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1A016051" w14:textId="77777777" w:rsidR="0038747F" w:rsidRDefault="0038747F" w:rsidP="0038747F">
      <w:permStart w:id="1572044397" w:edGrp="everyone"/>
      <w:r>
        <w:lastRenderedPageBreak/>
        <w:t>In addition to our response to Question 39, especially for T2S CSDs, such approach would be extremely counterproductive: for T2S and its participants, the running and development cost of the penalty mechanism would be attributed to a much smaller customer base, hence, heavily increase the cost distributed to few CSDs and clients what will make the use of such CSDs or even T2S unreasonable.</w:t>
      </w:r>
    </w:p>
    <w:p w14:paraId="65066568" w14:textId="35B306F6" w:rsidR="000F5114" w:rsidRDefault="0038747F" w:rsidP="0038747F">
      <w:r>
        <w:t>For T2S, significant impact/cost can be expected.</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0547608" w14:textId="77777777" w:rsidR="0038747F" w:rsidRDefault="0038747F" w:rsidP="0038747F">
      <w:permStart w:id="432759641" w:edGrp="everyone"/>
      <w:r>
        <w:t xml:space="preserve">Applying uniform penalty rates, regardless of the trade type, ensures a straightforward and transparent approach to enforcing penalties. It eliminates the potential for manipulation by discouraging participants from choosing specific transaction types solely based on their penalty implications. This simplification of the penalty mechanism promotes fairness and equity, fostering a level playing field for all market participants. In addition, the transaction type is not a </w:t>
      </w:r>
      <w:proofErr w:type="gramStart"/>
      <w:r>
        <w:t>matching criteria</w:t>
      </w:r>
      <w:proofErr w:type="gramEnd"/>
      <w:r>
        <w:t xml:space="preserve"> for settlement transactions, hence, the information could deviate between the securities delivery and receipt leg of a transaction making the application of penalties based on this criteria “random” at best.</w:t>
      </w:r>
    </w:p>
    <w:p w14:paraId="0340F012" w14:textId="77777777" w:rsidR="0038747F" w:rsidRDefault="0038747F" w:rsidP="0038747F">
      <w:r>
        <w:t>Furthermore, a consistent penalty framework serves to maintain the integrity of the settlement system, as it discourages attempts to game the penalty structure. This approach aligns with the overarching goal of creating a robust and reliable settlement environment that operates on principles of fairness, accountability, and efficiency.</w:t>
      </w:r>
    </w:p>
    <w:p w14:paraId="4626B69E" w14:textId="5ABF80A9" w:rsidR="00BE392A" w:rsidRDefault="0038747F" w:rsidP="0067070C">
      <w:r>
        <w:t>The cost/ benefit ratio is too low to justify any change that will require relevant IT developments (including testing) for any EU/ EEA CSDs, T2S and participants and would make the application of penalty rates much more complex.</w:t>
      </w:r>
      <w:permEnd w:id="432759641"/>
    </w:p>
    <w:tbl>
      <w:tblPr>
        <w:tblStyle w:val="Tabellenraster"/>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0234CC2D" w:rsidR="003148F1" w:rsidRDefault="0038747F">
      <w:permStart w:id="328298340" w:edGrp="everyone"/>
      <w:r>
        <w:t>No.</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lastRenderedPageBreak/>
        <w:t>&lt;ESMA_QUESTION_CSDR_43&gt;</w:t>
      </w:r>
    </w:p>
    <w:p w14:paraId="7B7F598C" w14:textId="77777777" w:rsidR="004A2E54" w:rsidRDefault="004A2E54" w:rsidP="004A2E54">
      <w:permStart w:id="1912501969" w:edGrp="everyone"/>
      <w:r>
        <w:t>TYPE YOUR TEXT HERE</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5E6B1E79" w14:textId="77777777" w:rsidR="0038747F" w:rsidRDefault="0038747F" w:rsidP="0038747F">
      <w:permStart w:id="1125473364" w:edGrp="everyone"/>
      <w:r>
        <w:t>The European market's fragmentation, characterized by the presence of multiple CSDs, introduces a level of complexity that can potentially lead to delays in the settlement process. In contrast, the United States benefits from a more centralized structure with the Federal Reserve (FED) and the Depository Trust and Clearing Corporation (DTCC) serving as the primary CSDs. This centralized setup contributes to a more streamlined and efficient settlement process, reducing the likelihood of delays. Therefore, the European market is not comparable with other markets, e.g. the US market.</w:t>
      </w:r>
    </w:p>
    <w:p w14:paraId="65FC942E" w14:textId="37C74E0C" w:rsidR="00FA151B" w:rsidRDefault="0038747F" w:rsidP="0038747F">
      <w:r>
        <w:t xml:space="preserve">The inherent challenge in a fragmented market lies in coordinating and reconciling transactions across various CSDs, each with its own set of rules and procedures. This can result in </w:t>
      </w:r>
      <w:r>
        <w:lastRenderedPageBreak/>
        <w:t>additional layers of complexity and potential bottlenecks in the settlement chain. Acknowledging this difference between the European and U.S. markets underscores the importance of addressing these challenges and promoting initiatives that enhance the efficiency and harmonization of settlement processes across the European landscape.</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6FF1D580" w:rsidR="00FA151B" w:rsidRDefault="0038747F" w:rsidP="00FA151B">
      <w:permStart w:id="1165707336" w:edGrp="everyone"/>
      <w:r w:rsidRPr="0038747F">
        <w:t xml:space="preserve">Most of our members pass on penalties to their clients to the extend the clients </w:t>
      </w:r>
      <w:proofErr w:type="gramStart"/>
      <w:r w:rsidRPr="0038747F">
        <w:t>are considered to be</w:t>
      </w:r>
      <w:proofErr w:type="gramEnd"/>
      <w:r w:rsidRPr="0038747F">
        <w:t xml:space="preserve"> legally impacted (i.e. excluding retail clients).</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3925DBEA" w14:textId="7162B6E3" w:rsidR="0038747F" w:rsidRDefault="0038747F" w:rsidP="0038747F">
      <w:permStart w:id="1544167674" w:edGrp="everyone"/>
      <w:r>
        <w:t>The process of penalty calculation is within the purview of the C</w:t>
      </w:r>
      <w:r w:rsidR="00B2523D">
        <w:t>SDs</w:t>
      </w:r>
      <w:r>
        <w:t xml:space="preserve"> or Target2-Securities (T2S). Consequently, the primary responsibility for addressing this question lies with these entities, e.g. </w:t>
      </w:r>
      <w:r w:rsidR="0008171E">
        <w:t>C</w:t>
      </w:r>
      <w:r>
        <w:t xml:space="preserve">entral </w:t>
      </w:r>
      <w:r w:rsidR="0008171E">
        <w:t>B</w:t>
      </w:r>
      <w:r>
        <w:t>anks.</w:t>
      </w:r>
    </w:p>
    <w:p w14:paraId="6AB1AEE9" w14:textId="76731309" w:rsidR="00FA151B" w:rsidRDefault="0038747F" w:rsidP="0038747F">
      <w:r>
        <w:lastRenderedPageBreak/>
        <w:t>It is imperative to afford market participants an adequate lead time for timely communication to clients. This allows for effective planning and communication strategies, ensuring that market participants can convey relevant information to their clients in a timely manner. Providing a sufficient lead time facilitates a smoother and more transparent communication process between market participants and their clients in response to penalty-related matters.</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5609ED1C" w:rsidR="00FA151B" w:rsidRDefault="00B2523D" w:rsidP="00FA151B">
      <w:permStart w:id="633684896" w:edGrp="everyone"/>
      <w:r>
        <w:t>O</w:t>
      </w:r>
      <w:r w:rsidR="0038747F" w:rsidRPr="0038747F">
        <w:t>ur member</w:t>
      </w:r>
      <w:r>
        <w:t xml:space="preserve">s </w:t>
      </w:r>
      <w:r w:rsidR="0038747F" w:rsidRPr="0038747F">
        <w:t xml:space="preserve">could not identify any </w:t>
      </w:r>
      <w:proofErr w:type="gramStart"/>
      <w:r w:rsidR="0038747F" w:rsidRPr="0038747F">
        <w:t>particular counterparty</w:t>
      </w:r>
      <w:proofErr w:type="gramEnd"/>
      <w:r w:rsidR="0038747F" w:rsidRPr="0038747F">
        <w:t xml:space="preserve"> as consistently failing to meet </w:t>
      </w:r>
      <w:r>
        <w:t xml:space="preserve">its </w:t>
      </w:r>
      <w:r w:rsidR="0038747F" w:rsidRPr="0038747F">
        <w:t>obligations. The penalties incurred apply broadly across different counterparties, and no suspension of any specific counterparty has been implemented to date.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1318AE71" w14:textId="77777777" w:rsidR="0038747F" w:rsidRDefault="0038747F" w:rsidP="0038747F">
      <w:permStart w:id="32193916" w:edGrp="everyone"/>
      <w:r>
        <w:t>The calculation and logic of penalties should be simplified rather than made more complex. Ultimately, all open transactions contribute equally to Settlement Efficiency, regardless of the nature, type, or security of the underlying transaction. In this context, less complexity leads to greater efficacy.</w:t>
      </w:r>
    </w:p>
    <w:p w14:paraId="34E8F201" w14:textId="77777777" w:rsidR="0038747F" w:rsidRDefault="0038747F" w:rsidP="0038747F">
      <w:r>
        <w:t xml:space="preserve">Participants should not be treated differently as the actual settlement efficiency is dependent on many factors (like structural/ legal aspects, business models, underlying client bases, financial instruments served, location/ region/ time-zone) that cannot always, easily or at all be </w:t>
      </w:r>
      <w:r>
        <w:lastRenderedPageBreak/>
        <w:t>influenced by the CSD and/ or its participants, as illustrated in our feedback to e.g. Questions 6, 16 and 17. Hence, an “automatic” increase of penalties for certain participants must be absolutely avoided.</w:t>
      </w:r>
    </w:p>
    <w:p w14:paraId="6798D8BE" w14:textId="77777777" w:rsidR="0038747F" w:rsidRDefault="0038747F" w:rsidP="0038747F">
      <w:r>
        <w:t>It is also unclear who would benefit from such fees and how they should be processed/ paid when ESMA states “These special penalties would be in addition to the general cash penalty mechanism provided for in CSDR. In principle, they would not be credited to the participant’s counterparties and should not represent an additional source of income for the CSD.”.</w:t>
      </w:r>
    </w:p>
    <w:p w14:paraId="7A31024D" w14:textId="1032F1D2" w:rsidR="00FA151B" w:rsidRDefault="0038747F" w:rsidP="0038747F">
      <w:r>
        <w:t>Leaving aside any IT development cost (including for T2S) we believe the existing “suspension” process (see as well Question 48) perfectly serves the purpose to incentivise relevant participants to take mitigating actions, whenever possible.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2DEE4912" w:rsidR="00FA151B" w:rsidRDefault="00B2523D" w:rsidP="00FA151B">
      <w:permStart w:id="800291382" w:edGrp="everyone"/>
      <w:r w:rsidRPr="00B2523D">
        <w:t xml:space="preserve">In the </w:t>
      </w:r>
      <w:proofErr w:type="spellStart"/>
      <w:r w:rsidRPr="00B2523D">
        <w:t>Clearstream</w:t>
      </w:r>
      <w:proofErr w:type="spellEnd"/>
      <w:r w:rsidRPr="00B2523D">
        <w:t xml:space="preserve"> User Committee (CUC), there is an ongoing and regular discourse on this </w:t>
      </w:r>
      <w:proofErr w:type="gramStart"/>
      <w:r w:rsidRPr="00B2523D">
        <w:t>particular topic</w:t>
      </w:r>
      <w:proofErr w:type="gramEnd"/>
      <w:r w:rsidRPr="00B2523D">
        <w:t xml:space="preserve">. </w:t>
      </w:r>
      <w:r>
        <w:t>A</w:t>
      </w:r>
      <w:r w:rsidRPr="00B2523D">
        <w:t xml:space="preserve"> similar approach </w:t>
      </w:r>
      <w:r>
        <w:t xml:space="preserve">could </w:t>
      </w:r>
      <w:r w:rsidRPr="00B2523D">
        <w:t xml:space="preserve">be adopted by all </w:t>
      </w:r>
      <w:r>
        <w:t>CSDs</w:t>
      </w:r>
      <w:r w:rsidRPr="00B2523D">
        <w:t xml:space="preserve"> to sustain heightened awareness across various markets.</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54A19" w14:textId="77777777" w:rsidR="002F5320" w:rsidRDefault="002F5320" w:rsidP="007E7997">
      <w:pPr>
        <w:spacing w:line="240" w:lineRule="auto"/>
      </w:pPr>
      <w:r>
        <w:separator/>
      </w:r>
    </w:p>
  </w:endnote>
  <w:endnote w:type="continuationSeparator" w:id="0">
    <w:p w14:paraId="1F7BF67D" w14:textId="77777777" w:rsidR="002F5320" w:rsidRDefault="002F5320" w:rsidP="007E7997">
      <w:pPr>
        <w:spacing w:line="240" w:lineRule="auto"/>
      </w:pPr>
      <w:r>
        <w:continuationSeparator/>
      </w:r>
    </w:p>
  </w:endnote>
  <w:endnote w:type="continuationNotice" w:id="1">
    <w:p w14:paraId="69BCF128" w14:textId="77777777" w:rsidR="002F5320" w:rsidRDefault="002F5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3B2BA" w14:textId="77777777" w:rsidR="002F5320" w:rsidRDefault="002F5320" w:rsidP="007E7997">
      <w:pPr>
        <w:spacing w:line="240" w:lineRule="auto"/>
      </w:pPr>
      <w:r>
        <w:separator/>
      </w:r>
    </w:p>
  </w:footnote>
  <w:footnote w:type="continuationSeparator" w:id="0">
    <w:p w14:paraId="72688902" w14:textId="77777777" w:rsidR="002F5320" w:rsidRDefault="002F5320" w:rsidP="007E7997">
      <w:pPr>
        <w:spacing w:line="240" w:lineRule="auto"/>
      </w:pPr>
      <w:r>
        <w:continuationSeparator/>
      </w:r>
    </w:p>
  </w:footnote>
  <w:footnote w:type="continuationNotice" w:id="1">
    <w:p w14:paraId="1FE7903F" w14:textId="77777777" w:rsidR="002F5320" w:rsidRDefault="002F5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35313FAD"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Kopfzeil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71E"/>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320"/>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47F"/>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0CE"/>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5"/>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4D"/>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44B"/>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7D"/>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158"/>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812"/>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23D"/>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3D1D"/>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7D4662"/>
    <w:rsid w:val="00813189"/>
    <w:rsid w:val="008222A0"/>
    <w:rsid w:val="00836D47"/>
    <w:rsid w:val="009B6B9C"/>
    <w:rsid w:val="00B01D0E"/>
    <w:rsid w:val="00B22006"/>
    <w:rsid w:val="00B96B62"/>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1D0E"/>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500352C079824411BD22891FE62B2C7D">
    <w:name w:val="500352C079824411BD22891FE62B2C7D"/>
    <w:rsid w:val="00B01D0E"/>
    <w:rPr>
      <w:kern w:val="2"/>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8980</Words>
  <Characters>56577</Characters>
  <Application>Microsoft Office Word</Application>
  <DocSecurity>12</DocSecurity>
  <Lines>471</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65427</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Schroeder, Sarah</cp:lastModifiedBy>
  <cp:revision>2</cp:revision>
  <cp:lastPrinted>2023-09-09T00:53:00Z</cp:lastPrinted>
  <dcterms:created xsi:type="dcterms:W3CDTF">2024-02-27T14:42:00Z</dcterms:created>
  <dcterms:modified xsi:type="dcterms:W3CDTF">2024-02-27T14:42:00Z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