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EndPr>
        <w:rPr>
          <w:rFonts w:asciiTheme="majorHAnsi" w:eastAsiaTheme="majorEastAsia" w:hAnsiTheme="majorHAnsi" w:cstheme="majorBidi"/>
          <w:b/>
          <w:color w:val="00379F" w:themeColor="text1"/>
        </w:rPr>
      </w:sdtEndPr>
      <w:sdtContent>
        <w:p w14:paraId="01438AE1" w14:textId="14AA5AFB" w:rsidR="00563C1F" w:rsidRDefault="00E36DE8" w:rsidP="00F72D28">
          <w:pPr>
            <w:pStyle w:val="Title"/>
          </w:pPr>
          <w:r>
            <w:t xml:space="preserve">Response Form to the </w:t>
          </w:r>
          <w:r w:rsidR="00563C1F" w:rsidRPr="00F72D28">
            <w:t>Consultation</w:t>
          </w:r>
          <w:r w:rsidR="00563C1F" w:rsidRPr="005B6B12">
            <w:t xml:space="preserve"> </w:t>
          </w:r>
          <w:r w:rsidR="00563C1F" w:rsidRPr="00563C1F">
            <w:t>Paper</w:t>
          </w:r>
        </w:p>
        <w:p w14:paraId="031F2108" w14:textId="63F5530F" w:rsidR="007E7997" w:rsidRDefault="00E36DE8" w:rsidP="00D77369">
          <w:pPr>
            <w:pStyle w:val="Subtitle"/>
            <w:rPr>
              <w:rFonts w:cs="Arial"/>
            </w:rPr>
          </w:pPr>
          <w:r>
            <w:rPr>
              <w:rFonts w:cs="Arial"/>
              <w:sz w:val="26"/>
              <w:szCs w:val="26"/>
            </w:rPr>
            <w:t xml:space="preserve">Draft </w:t>
          </w:r>
          <w:r w:rsidRPr="00C51373">
            <w:rPr>
              <w:rFonts w:cs="Arial"/>
              <w:sz w:val="26"/>
              <w:szCs w:val="26"/>
            </w:rPr>
            <w:t xml:space="preserve">Technical advice </w:t>
          </w:r>
          <w:r>
            <w:rPr>
              <w:rFonts w:cs="Arial"/>
              <w:sz w:val="26"/>
              <w:szCs w:val="26"/>
            </w:rPr>
            <w:t xml:space="preserve">to the European Commission </w:t>
          </w:r>
          <w:r w:rsidRPr="00C51373">
            <w:rPr>
              <w:rFonts w:cs="Arial"/>
              <w:sz w:val="26"/>
              <w:szCs w:val="26"/>
            </w:rPr>
            <w:t xml:space="preserve">on fees </w:t>
          </w:r>
          <w:r>
            <w:rPr>
              <w:rFonts w:cs="Arial"/>
              <w:sz w:val="26"/>
              <w:szCs w:val="26"/>
            </w:rPr>
            <w:t>charged to</w:t>
          </w:r>
          <w:r w:rsidRPr="00C51373">
            <w:rPr>
              <w:rFonts w:cs="Arial"/>
              <w:sz w:val="26"/>
              <w:szCs w:val="26"/>
            </w:rPr>
            <w:t xml:space="preserve"> Tier 1 Third</w:t>
          </w:r>
          <w:r>
            <w:rPr>
              <w:rFonts w:cs="Arial"/>
              <w:sz w:val="26"/>
              <w:szCs w:val="26"/>
            </w:rPr>
            <w:t>-</w:t>
          </w:r>
          <w:r w:rsidRPr="00C51373">
            <w:rPr>
              <w:rFonts w:cs="Arial"/>
              <w:sz w:val="26"/>
              <w:szCs w:val="26"/>
            </w:rPr>
            <w:t>Country CCPs under EMIR</w:t>
          </w:r>
          <w:r w:rsidR="00D77369">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D8095"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5B6B12" w:rsidRDefault="002533FC" w:rsidP="002533FC">
          <w:pPr>
            <w:pStyle w:val="ListParagraph"/>
          </w:pPr>
          <w:r w:rsidRPr="005B6B12">
            <w:t>respond to the question stated;</w:t>
          </w:r>
        </w:p>
        <w:p w14:paraId="72FD40F6" w14:textId="77777777" w:rsidR="002533FC" w:rsidRPr="005B6B12" w:rsidRDefault="002533FC" w:rsidP="002533FC">
          <w:pPr>
            <w:pStyle w:val="ListParagraph"/>
          </w:pPr>
          <w:r w:rsidRPr="005B6B12">
            <w:t>indicate the specific question to which the comment relates;</w:t>
          </w:r>
        </w:p>
        <w:p w14:paraId="78B206B7" w14:textId="77777777" w:rsidR="002533FC" w:rsidRPr="005B6B12" w:rsidRDefault="002533FC" w:rsidP="002533FC">
          <w:pPr>
            <w:pStyle w:val="ListParagraph"/>
          </w:pPr>
          <w:r w:rsidRPr="005B6B12">
            <w:t>contain a clear rationale; and</w:t>
          </w:r>
        </w:p>
        <w:p w14:paraId="60B8834E" w14:textId="77777777" w:rsidR="002533FC" w:rsidRPr="005B6B12" w:rsidRDefault="002533FC" w:rsidP="002533FC">
          <w:pPr>
            <w:pStyle w:val="ListParagraph"/>
          </w:pPr>
          <w:r w:rsidRPr="005B6B12">
            <w:t>describe any alternatives ESMA should consider.</w:t>
          </w:r>
        </w:p>
        <w:p w14:paraId="219225AC" w14:textId="4FB5C823" w:rsidR="002533FC" w:rsidRPr="005B6B12" w:rsidRDefault="002533FC" w:rsidP="002533FC">
          <w:r w:rsidRPr="005B6B12">
            <w:t xml:space="preserve">ESMA will consider all comments received </w:t>
          </w:r>
          <w:r w:rsidRPr="004C211B">
            <w:t xml:space="preserve">by </w:t>
          </w:r>
          <w:r w:rsidR="004C211B" w:rsidRPr="004C211B">
            <w:rPr>
              <w:b/>
            </w:rPr>
            <w:t>10</w:t>
          </w:r>
          <w:r w:rsidR="00E36DE8" w:rsidRPr="004C211B">
            <w:rPr>
              <w:b/>
            </w:rPr>
            <w:t xml:space="preserve"> November 2023</w:t>
          </w:r>
          <w:r w:rsidRPr="004C211B">
            <w:rPr>
              <w:b/>
            </w:rPr>
            <w:t>.</w:t>
          </w:r>
          <w:r w:rsidRPr="005B6B12">
            <w:rPr>
              <w:b/>
            </w:rPr>
            <w:t xml:space="preserve"> </w:t>
          </w:r>
        </w:p>
        <w:p w14:paraId="7EBC0542" w14:textId="4FC6CB8E" w:rsidR="002533FC" w:rsidRPr="005B6B12"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187BF81B" w14:textId="5E12AADE" w:rsidR="00E36DE8" w:rsidRDefault="00E36DE8" w:rsidP="002533FC">
          <w:pPr>
            <w:rPr>
              <w:b/>
              <w:bCs/>
            </w:rPr>
          </w:pPr>
          <w:r w:rsidRPr="00E36DE8">
            <w:rPr>
              <w:b/>
              <w:bCs/>
            </w:rPr>
            <w:t>Instructions</w:t>
          </w:r>
        </w:p>
        <w:p w14:paraId="1682D3AD" w14:textId="59EC3879" w:rsidR="00E36DE8" w:rsidRDefault="00E36DE8" w:rsidP="00E36DE8">
          <w:pPr>
            <w:rPr>
              <w:rFonts w:ascii="Arial" w:hAnsi="Arial" w:cs="Arial"/>
            </w:rPr>
          </w:pPr>
          <w:r w:rsidRPr="00E3664A">
            <w:rPr>
              <w:rFonts w:ascii="Arial" w:hAnsi="Arial" w:cs="Arial"/>
            </w:rPr>
            <w:t>In order to facilitate analysis of responses to the Consultation Paper, respondents are requested to follow the below steps when preparing and submitting their response:</w:t>
          </w:r>
        </w:p>
        <w:p w14:paraId="5F6BEDEE" w14:textId="77777777" w:rsidR="00E36DE8" w:rsidRPr="00E36DE8" w:rsidRDefault="00E36DE8" w:rsidP="00E36DE8">
          <w:pPr>
            <w:pStyle w:val="ListParagraph"/>
            <w:numPr>
              <w:ilvl w:val="0"/>
              <w:numId w:val="14"/>
            </w:numPr>
            <w:rPr>
              <w:rFonts w:ascii="Arial" w:hAnsi="Arial" w:cs="Arial"/>
            </w:rPr>
          </w:pPr>
          <w:r w:rsidRPr="00E36DE8">
            <w:rPr>
              <w:rFonts w:ascii="Arial" w:hAnsi="Arial" w:cs="Arial"/>
            </w:rPr>
            <w:t xml:space="preserve">Insert your responses to the questions in the Consultation Paper in the present response form. </w:t>
          </w:r>
        </w:p>
        <w:p w14:paraId="4A93ACA9" w14:textId="5572146D" w:rsidR="00E36DE8" w:rsidRPr="00E36DE8" w:rsidRDefault="00E36DE8" w:rsidP="00E36DE8">
          <w:pPr>
            <w:pStyle w:val="ListParagraph"/>
            <w:numPr>
              <w:ilvl w:val="0"/>
              <w:numId w:val="14"/>
            </w:numPr>
            <w:rPr>
              <w:rFonts w:ascii="Arial" w:hAnsi="Arial" w:cs="Arial"/>
            </w:rPr>
          </w:pPr>
          <w:r w:rsidRPr="00E36DE8">
            <w:rPr>
              <w:rFonts w:ascii="Arial" w:hAnsi="Arial" w:cs="Arial"/>
            </w:rPr>
            <w:t>Please do not remove tags of the type &lt;ESMA_QUESTION_</w:t>
          </w:r>
          <w:r>
            <w:rPr>
              <w:rFonts w:ascii="Arial" w:hAnsi="Arial" w:cs="Arial"/>
            </w:rPr>
            <w:t>CCPFEES</w:t>
          </w:r>
          <w:r w:rsidRPr="00E36DE8">
            <w:rPr>
              <w:rFonts w:ascii="Arial" w:hAnsi="Arial" w:cs="Arial"/>
            </w:rPr>
            <w:t>_1&gt;. Your response to each question has to be framed by the two tags corresponding to the question.</w:t>
          </w:r>
        </w:p>
        <w:p w14:paraId="1E53AA23" w14:textId="77777777" w:rsidR="00E36DE8" w:rsidRPr="00E36DE8" w:rsidRDefault="00E36DE8" w:rsidP="00E36DE8">
          <w:pPr>
            <w:pStyle w:val="ListParagraph"/>
            <w:numPr>
              <w:ilvl w:val="0"/>
              <w:numId w:val="14"/>
            </w:numPr>
            <w:rPr>
              <w:rFonts w:ascii="Arial" w:hAnsi="Arial" w:cs="Arial"/>
            </w:rPr>
          </w:pPr>
          <w:r w:rsidRPr="00E36DE8">
            <w:rPr>
              <w:rFonts w:ascii="Arial" w:hAnsi="Arial" w:cs="Arial"/>
            </w:rPr>
            <w:t>If you do not wish to respond to a given question, please do not delete it but simply leave the text “TYPE YOUR TEXT HERE” between the tags.</w:t>
          </w:r>
        </w:p>
        <w:p w14:paraId="0AB2B2EC" w14:textId="56692612" w:rsidR="00E36DE8" w:rsidRPr="00E36DE8" w:rsidRDefault="00E36DE8" w:rsidP="00E36DE8">
          <w:pPr>
            <w:pStyle w:val="ListParagraph"/>
            <w:numPr>
              <w:ilvl w:val="0"/>
              <w:numId w:val="14"/>
            </w:numPr>
            <w:rPr>
              <w:rFonts w:ascii="Arial" w:hAnsi="Arial" w:cs="Arial"/>
            </w:rPr>
          </w:pPr>
          <w:r w:rsidRPr="00E36DE8">
            <w:rPr>
              <w:rFonts w:ascii="Arial" w:hAnsi="Arial" w:cs="Arial"/>
            </w:rPr>
            <w:t xml:space="preserve">When you have drafted your response, name your response form according to the following convention: </w:t>
          </w:r>
          <w:proofErr w:type="spellStart"/>
          <w:r w:rsidRPr="00E36DE8">
            <w:rPr>
              <w:rFonts w:ascii="Arial" w:hAnsi="Arial" w:cs="Arial"/>
            </w:rPr>
            <w:t>ESMA_</w:t>
          </w:r>
          <w:r>
            <w:rPr>
              <w:rFonts w:ascii="Arial" w:hAnsi="Arial" w:cs="Arial"/>
            </w:rPr>
            <w:t>CCPFEES</w:t>
          </w:r>
          <w:r w:rsidRPr="00E36DE8">
            <w:rPr>
              <w:rFonts w:ascii="Arial" w:hAnsi="Arial" w:cs="Arial"/>
            </w:rPr>
            <w:t>_nameofrespondent_RESPONSEFORM</w:t>
          </w:r>
          <w:proofErr w:type="spellEnd"/>
          <w:r w:rsidRPr="00E36DE8">
            <w:rPr>
              <w:rFonts w:ascii="Arial" w:hAnsi="Arial" w:cs="Arial"/>
            </w:rPr>
            <w:t>. For example, for a respondent named ABCD, the response form would be entitled ESMA_</w:t>
          </w:r>
          <w:r>
            <w:rPr>
              <w:rFonts w:ascii="Arial" w:hAnsi="Arial" w:cs="Arial"/>
            </w:rPr>
            <w:t>CCPFEES</w:t>
          </w:r>
          <w:r w:rsidRPr="00E36DE8">
            <w:rPr>
              <w:rFonts w:ascii="Arial" w:hAnsi="Arial" w:cs="Arial"/>
            </w:rPr>
            <w:t>_ABCD_RESPONSEFORM.</w:t>
          </w:r>
        </w:p>
        <w:p w14:paraId="0486AFAD" w14:textId="695F7DA0" w:rsidR="00E36DE8" w:rsidRPr="00E36DE8" w:rsidRDefault="00E36DE8" w:rsidP="00E36DE8">
          <w:pPr>
            <w:pStyle w:val="ListParagraph"/>
            <w:numPr>
              <w:ilvl w:val="0"/>
              <w:numId w:val="14"/>
            </w:numPr>
            <w:rPr>
              <w:rFonts w:ascii="Arial" w:hAnsi="Arial" w:cs="Arial"/>
            </w:rPr>
          </w:pPr>
          <w:r w:rsidRPr="00E36DE8">
            <w:rPr>
              <w:rFonts w:ascii="Arial" w:hAnsi="Arial" w:cs="Arial"/>
            </w:rPr>
            <w:t xml:space="preserve">Upload the form containing your responses, in Word format, to ESMA’s website (www.esma.europa.eu under the </w:t>
          </w:r>
          <w:r w:rsidR="0002190B">
            <w:rPr>
              <w:rFonts w:ascii="Arial" w:hAnsi="Arial" w:cs="Arial"/>
            </w:rPr>
            <w:t>relevant consultation</w:t>
          </w:r>
          <w:r w:rsidRPr="00E36DE8">
            <w:rPr>
              <w:rFonts w:ascii="Arial" w:hAnsi="Arial" w:cs="Arial"/>
            </w:rPr>
            <w:t>).</w:t>
          </w:r>
        </w:p>
        <w:p w14:paraId="6712071E" w14:textId="77777777" w:rsidR="00E066A0" w:rsidRDefault="00E066A0" w:rsidP="002533FC">
          <w:pPr>
            <w:rPr>
              <w:b/>
            </w:rPr>
          </w:pPr>
        </w:p>
        <w:p w14:paraId="0E22A3A6" w14:textId="0EDD9E63" w:rsidR="002533FC" w:rsidRPr="005B6B12" w:rsidRDefault="002533FC" w:rsidP="002533FC">
          <w:pPr>
            <w:rPr>
              <w:b/>
            </w:rPr>
          </w:pPr>
          <w:r w:rsidRPr="005B6B12">
            <w:rPr>
              <w:b/>
            </w:rPr>
            <w:lastRenderedPageBreak/>
            <w:t>Publication of responses</w:t>
          </w:r>
        </w:p>
        <w:p w14:paraId="61ECD5B8" w14:textId="77777777" w:rsidR="002533FC" w:rsidRPr="005B6B12" w:rsidRDefault="002533FC" w:rsidP="002533FC">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5CFD972" w14:textId="77777777" w:rsidR="002533FC" w:rsidRPr="005B6B12" w:rsidRDefault="002533FC" w:rsidP="002533FC">
          <w:pPr>
            <w:rPr>
              <w:b/>
            </w:rPr>
          </w:pPr>
          <w:r w:rsidRPr="005B6B12">
            <w:rPr>
              <w:b/>
            </w:rPr>
            <w:t>Data protection</w:t>
          </w:r>
        </w:p>
        <w:p w14:paraId="21D5CFF2" w14:textId="77777777" w:rsidR="002533FC" w:rsidRPr="005B6B12" w:rsidRDefault="002533FC" w:rsidP="002533FC">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22972F1D" w14:textId="77777777" w:rsidR="002533FC" w:rsidRPr="005B6B12" w:rsidRDefault="002533FC" w:rsidP="002533FC">
          <w:pPr>
            <w:rPr>
              <w:b/>
            </w:rPr>
          </w:pPr>
          <w:r w:rsidRPr="005B6B12">
            <w:rPr>
              <w:b/>
            </w:rPr>
            <w:t>Who should read this paper?</w:t>
          </w:r>
        </w:p>
        <w:p w14:paraId="2BEED16E" w14:textId="655C51A6" w:rsidR="00032E1F" w:rsidRDefault="00E36DE8" w:rsidP="002533FC">
          <w:r w:rsidRPr="00E36DE8">
            <w:t>This consultation is looking for feedback from third-country CCPs, market participants and authorities.</w:t>
          </w:r>
        </w:p>
        <w:p w14:paraId="21B54125" w14:textId="77777777" w:rsidR="00032E1F" w:rsidRDefault="00032E1F">
          <w:pPr>
            <w:spacing w:after="120" w:line="264" w:lineRule="auto"/>
            <w:jc w:val="left"/>
          </w:pPr>
          <w:r>
            <w:br w:type="page"/>
          </w:r>
        </w:p>
        <w:p w14:paraId="4190FB3D" w14:textId="4003D94E" w:rsidR="00032E1F" w:rsidRPr="00032E1F" w:rsidRDefault="00032E1F" w:rsidP="00032E1F">
          <w:pPr>
            <w:pStyle w:val="Title1"/>
            <w:numPr>
              <w:ilvl w:val="0"/>
              <w:numId w:val="0"/>
            </w:numPr>
          </w:pPr>
          <w:r w:rsidRPr="00032E1F">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032E1F" w:rsidRPr="00E3664A" w14:paraId="57EE81D2" w14:textId="77777777" w:rsidTr="00404B95">
            <w:tc>
              <w:tcPr>
                <w:tcW w:w="3929" w:type="dxa"/>
                <w:shd w:val="clear" w:color="auto" w:fill="auto"/>
              </w:tcPr>
              <w:p w14:paraId="0C18891F" w14:textId="77777777" w:rsidR="00032E1F" w:rsidRPr="00E3664A" w:rsidRDefault="00032E1F" w:rsidP="00404B95">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Content>
                <w:tc>
                  <w:tcPr>
                    <w:tcW w:w="5595" w:type="dxa"/>
                    <w:shd w:val="clear" w:color="auto" w:fill="auto"/>
                  </w:tcPr>
                  <w:p w14:paraId="24512468" w14:textId="2EB56058" w:rsidR="00032E1F" w:rsidRPr="00E3664A" w:rsidRDefault="008912BF" w:rsidP="00404B95">
                    <w:pPr>
                      <w:rPr>
                        <w:rFonts w:ascii="Arial" w:hAnsi="Arial" w:cs="Arial"/>
                        <w:color w:val="808080"/>
                        <w:sz w:val="20"/>
                        <w:lang w:eastAsia="de-DE"/>
                      </w:rPr>
                    </w:pPr>
                    <w:r>
                      <w:rPr>
                        <w:rFonts w:ascii="Arial" w:hAnsi="Arial" w:cs="Arial"/>
                        <w:color w:val="808080"/>
                        <w:sz w:val="20"/>
                        <w:lang w:eastAsia="de-DE"/>
                      </w:rPr>
                      <w:t>The Global Association of Central Counterparties</w:t>
                    </w:r>
                  </w:p>
                </w:tc>
              </w:sdtContent>
            </w:sdt>
          </w:tr>
          <w:tr w:rsidR="00032E1F" w:rsidRPr="00E3664A" w14:paraId="058F80EB" w14:textId="77777777" w:rsidTr="00404B95">
            <w:tc>
              <w:tcPr>
                <w:tcW w:w="3929" w:type="dxa"/>
                <w:shd w:val="clear" w:color="auto" w:fill="auto"/>
              </w:tcPr>
              <w:p w14:paraId="73F73F89" w14:textId="77777777" w:rsidR="00032E1F" w:rsidRPr="00E3664A" w:rsidRDefault="00032E1F" w:rsidP="00404B95">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6F4D5A56" w14:textId="05E9143F" w:rsidR="00032E1F" w:rsidRPr="00E3664A" w:rsidRDefault="00000000" w:rsidP="00404B95">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8912BF">
                      <w:rPr>
                        <w:rFonts w:ascii="Arial" w:hAnsi="Arial" w:cs="Arial"/>
                        <w:sz w:val="20"/>
                        <w:lang w:eastAsia="de-DE"/>
                      </w:rPr>
                      <w:t>Central Counterparty</w:t>
                    </w:r>
                  </w:sdtContent>
                </w:sdt>
              </w:p>
            </w:tc>
          </w:tr>
          <w:tr w:rsidR="00032E1F" w:rsidRPr="00E3664A" w14:paraId="0A4AC92A" w14:textId="77777777" w:rsidTr="00404B95">
            <w:tc>
              <w:tcPr>
                <w:tcW w:w="3929" w:type="dxa"/>
                <w:shd w:val="clear" w:color="auto" w:fill="auto"/>
              </w:tcPr>
              <w:p w14:paraId="6D516B98" w14:textId="77777777" w:rsidR="00032E1F" w:rsidRPr="00E3664A" w:rsidRDefault="00032E1F" w:rsidP="00404B95">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Content>
                <w:tc>
                  <w:tcPr>
                    <w:tcW w:w="5595" w:type="dxa"/>
                    <w:shd w:val="clear" w:color="auto" w:fill="auto"/>
                  </w:tcPr>
                  <w:p w14:paraId="67999735" w14:textId="5D42E07A" w:rsidR="00032E1F" w:rsidRPr="00E3664A" w:rsidRDefault="008912BF" w:rsidP="00404B95">
                    <w:pPr>
                      <w:rPr>
                        <w:rFonts w:ascii="Arial" w:hAnsi="Arial" w:cs="Arial"/>
                        <w:sz w:val="20"/>
                        <w:lang w:eastAsia="de-DE"/>
                      </w:rPr>
                    </w:pPr>
                    <w:r>
                      <w:rPr>
                        <w:rFonts w:ascii="MS Gothic" w:eastAsia="MS Gothic" w:hAnsi="MS Gothic" w:cs="Arial" w:hint="eastAsia"/>
                        <w:sz w:val="20"/>
                        <w:lang w:eastAsia="de-DE"/>
                      </w:rPr>
                      <w:t>☒</w:t>
                    </w:r>
                  </w:p>
                </w:tc>
              </w:sdtContent>
            </w:sdt>
          </w:tr>
          <w:tr w:rsidR="00032E1F" w:rsidRPr="00E3664A" w14:paraId="68AFD909" w14:textId="77777777" w:rsidTr="00404B95">
            <w:tc>
              <w:tcPr>
                <w:tcW w:w="3929" w:type="dxa"/>
                <w:shd w:val="clear" w:color="auto" w:fill="auto"/>
              </w:tcPr>
              <w:p w14:paraId="7213FBDD" w14:textId="77777777" w:rsidR="00032E1F" w:rsidRPr="00E3664A" w:rsidRDefault="00032E1F" w:rsidP="00404B95">
                <w:pPr>
                  <w:rPr>
                    <w:rFonts w:ascii="Arial" w:hAnsi="Arial" w:cs="Arial"/>
                    <w:lang w:eastAsia="de-DE"/>
                  </w:rPr>
                </w:pPr>
                <w:r w:rsidRPr="00E3664A">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3B2428D" w14:textId="76D7653D" w:rsidR="00032E1F" w:rsidRPr="00E3664A" w:rsidRDefault="008912BF" w:rsidP="00404B95">
                    <w:pPr>
                      <w:rPr>
                        <w:rFonts w:ascii="Arial" w:hAnsi="Arial" w:cs="Arial"/>
                        <w:sz w:val="20"/>
                        <w:lang w:eastAsia="de-DE"/>
                      </w:rPr>
                    </w:pPr>
                    <w:r>
                      <w:rPr>
                        <w:rFonts w:ascii="Arial" w:hAnsi="Arial" w:cs="Arial"/>
                        <w:sz w:val="20"/>
                        <w:lang w:eastAsia="de-DE"/>
                      </w:rPr>
                      <w:t>International</w:t>
                    </w:r>
                  </w:p>
                </w:tc>
              </w:sdtContent>
            </w:sdt>
          </w:tr>
        </w:tbl>
        <w:p w14:paraId="451F85C9" w14:textId="77777777" w:rsidR="00032E1F" w:rsidRDefault="00032E1F" w:rsidP="002533FC"/>
        <w:p w14:paraId="08277EDD" w14:textId="7E76B3D2" w:rsidR="00032E1F" w:rsidRDefault="00032E1F" w:rsidP="00032E1F">
          <w:pPr>
            <w:pStyle w:val="Title1"/>
            <w:numPr>
              <w:ilvl w:val="0"/>
              <w:numId w:val="0"/>
            </w:numPr>
            <w:ind w:left="360" w:hanging="360"/>
          </w:pPr>
          <w:r>
            <w:t>Introduction</w:t>
          </w:r>
        </w:p>
        <w:p w14:paraId="6245598E" w14:textId="77777777" w:rsidR="00032E1F" w:rsidRPr="00E3664A" w:rsidRDefault="00032E1F" w:rsidP="00032E1F">
          <w:pPr>
            <w:rPr>
              <w:rFonts w:ascii="Arial" w:hAnsi="Arial" w:cs="Arial"/>
              <w:b/>
              <w:bCs/>
              <w:i/>
              <w:iCs/>
            </w:rPr>
          </w:pPr>
          <w:r w:rsidRPr="00E3664A">
            <w:rPr>
              <w:rFonts w:ascii="Arial" w:hAnsi="Arial" w:cs="Arial"/>
              <w:b/>
              <w:bCs/>
              <w:i/>
              <w:iCs/>
            </w:rPr>
            <w:t>Please make your introductory comments below, if any</w:t>
          </w:r>
        </w:p>
        <w:p w14:paraId="19899915" w14:textId="44D69CC9" w:rsidR="00032E1F" w:rsidRPr="00E3664A" w:rsidRDefault="00032E1F" w:rsidP="00032E1F">
          <w:pPr>
            <w:rPr>
              <w:rFonts w:ascii="Arial" w:hAnsi="Arial" w:cs="Arial"/>
            </w:rPr>
          </w:pPr>
          <w:r w:rsidRPr="00E3664A">
            <w:rPr>
              <w:rFonts w:ascii="Arial" w:hAnsi="Arial" w:cs="Arial"/>
            </w:rPr>
            <w:t>&lt;ESMA_COMMENT_</w:t>
          </w:r>
          <w:r>
            <w:rPr>
              <w:rFonts w:ascii="Arial" w:hAnsi="Arial" w:cs="Arial"/>
            </w:rPr>
            <w:t>CCPFEES</w:t>
          </w:r>
          <w:r w:rsidRPr="00E3664A">
            <w:rPr>
              <w:rFonts w:ascii="Arial" w:hAnsi="Arial" w:cs="Arial"/>
            </w:rPr>
            <w:t>_00&gt;</w:t>
          </w:r>
        </w:p>
        <w:p w14:paraId="4DAF97BF" w14:textId="77777777" w:rsidR="008912BF" w:rsidRPr="0048675C" w:rsidRDefault="008912BF" w:rsidP="008912BF">
          <w:pPr>
            <w:tabs>
              <w:tab w:val="left" w:pos="1728"/>
              <w:tab w:val="left" w:pos="10773"/>
            </w:tabs>
            <w:spacing w:before="120" w:after="120"/>
            <w:rPr>
              <w:rFonts w:ascii="Segoe UI" w:hAnsi="Segoe UI" w:cs="Segoe UI"/>
              <w:bCs/>
              <w:sz w:val="21"/>
              <w:szCs w:val="21"/>
            </w:rPr>
          </w:pPr>
          <w:bookmarkStart w:id="0" w:name="_Hlk95406978"/>
          <w:r w:rsidRPr="0048675C">
            <w:rPr>
              <w:rFonts w:ascii="Segoe UI" w:hAnsi="Segoe UI" w:cs="Segoe UI"/>
              <w:bCs/>
              <w:sz w:val="21"/>
              <w:szCs w:val="21"/>
            </w:rPr>
            <w:t>The Global Association of Central Counterparties (“CCP Global”)</w:t>
          </w:r>
          <w:r w:rsidRPr="0048675C">
            <w:rPr>
              <w:rStyle w:val="FootnoteReference"/>
              <w:rFonts w:ascii="Segoe UI" w:hAnsi="Segoe UI" w:cs="Segoe UI"/>
              <w:bCs/>
              <w:sz w:val="21"/>
              <w:szCs w:val="21"/>
            </w:rPr>
            <w:footnoteReference w:id="2"/>
          </w:r>
          <w:r w:rsidRPr="0048675C">
            <w:rPr>
              <w:rFonts w:ascii="Segoe UI" w:hAnsi="Segoe UI" w:cs="Segoe UI"/>
              <w:bCs/>
              <w:sz w:val="21"/>
              <w:szCs w:val="21"/>
            </w:rPr>
            <w:t xml:space="preserve"> </w:t>
          </w:r>
          <w:bookmarkEnd w:id="0"/>
          <w:r w:rsidRPr="0048675C">
            <w:rPr>
              <w:rFonts w:ascii="Segoe UI" w:hAnsi="Segoe UI" w:cs="Segoe UI"/>
              <w:bCs/>
              <w:sz w:val="21"/>
              <w:szCs w:val="21"/>
            </w:rPr>
            <w:t>is the international association for central counterparties (“CCPs”), representing 42 members who operate over 60 individual CCPs across the Americas, EMEA, and the Asia-Pacific region.</w:t>
          </w:r>
        </w:p>
        <w:p w14:paraId="645D60D0" w14:textId="77777777" w:rsidR="008912BF" w:rsidRPr="0048675C" w:rsidRDefault="008912BF" w:rsidP="008912BF">
          <w:pPr>
            <w:tabs>
              <w:tab w:val="left" w:pos="1728"/>
              <w:tab w:val="left" w:pos="10773"/>
            </w:tabs>
            <w:spacing w:before="120" w:after="120"/>
            <w:rPr>
              <w:rFonts w:ascii="Segoe UI" w:hAnsi="Segoe UI" w:cs="Segoe UI"/>
              <w:bCs/>
              <w:sz w:val="21"/>
              <w:szCs w:val="21"/>
            </w:rPr>
          </w:pPr>
          <w:r w:rsidRPr="0048675C">
            <w:rPr>
              <w:rFonts w:ascii="Segoe UI" w:hAnsi="Segoe UI" w:cs="Segoe UI"/>
              <w:bCs/>
              <w:sz w:val="21"/>
              <w:szCs w:val="21"/>
            </w:rPr>
            <w:t>CCP Global appreciates the opportunity to respond to the Consultation Paper on Draft Technical advice to the European Commission on fees charged to Tier 1 Third-Country CCPs under EMIR</w:t>
          </w:r>
          <w:r w:rsidRPr="0048675C">
            <w:rPr>
              <w:rStyle w:val="FootnoteReference"/>
              <w:rFonts w:ascii="Segoe UI" w:hAnsi="Segoe UI" w:cs="Segoe UI"/>
              <w:bCs/>
              <w:sz w:val="21"/>
              <w:szCs w:val="21"/>
            </w:rPr>
            <w:footnoteReference w:id="3"/>
          </w:r>
          <w:r w:rsidRPr="0048675C">
            <w:rPr>
              <w:rFonts w:ascii="Segoe UI" w:hAnsi="Segoe UI" w:cs="Segoe UI"/>
              <w:bCs/>
              <w:sz w:val="21"/>
              <w:szCs w:val="21"/>
            </w:rPr>
            <w:t xml:space="preserve"> (“the Consultation”) issued by the European Securities and Markets Authority (“ESMA”). We support ESMA’s efforts to ensure that “the considerable differences in size and activity across Tier 1 CCPs, including their degree of relevance for the European Union, and therefore the different level of ESMA scrutiny required from one Tier 1 CCP to the other”</w:t>
          </w:r>
          <w:r w:rsidRPr="0048675C">
            <w:rPr>
              <w:rStyle w:val="FootnoteReference"/>
              <w:rFonts w:ascii="Segoe UI" w:hAnsi="Segoe UI" w:cs="Segoe UI"/>
              <w:bCs/>
              <w:sz w:val="21"/>
              <w:szCs w:val="21"/>
            </w:rPr>
            <w:footnoteReference w:id="4"/>
          </w:r>
          <w:r w:rsidRPr="0048675C">
            <w:rPr>
              <w:rFonts w:ascii="Segoe UI" w:hAnsi="Segoe UI" w:cs="Segoe UI"/>
              <w:bCs/>
              <w:sz w:val="21"/>
              <w:szCs w:val="21"/>
            </w:rPr>
            <w:t xml:space="preserve"> are reflected in the structure of Tier 1 CCPs fees. Broadly, CCP Global </w:t>
          </w:r>
          <w:r>
            <w:rPr>
              <w:rFonts w:ascii="Segoe UI" w:hAnsi="Segoe UI" w:cs="Segoe UI"/>
              <w:bCs/>
              <w:sz w:val="21"/>
              <w:szCs w:val="21"/>
            </w:rPr>
            <w:t xml:space="preserve">recognizes the benefits of </w:t>
          </w:r>
          <w:r w:rsidRPr="0048675C">
            <w:rPr>
              <w:rFonts w:ascii="Segoe UI" w:hAnsi="Segoe UI" w:cs="Segoe UI"/>
              <w:bCs/>
              <w:sz w:val="21"/>
              <w:szCs w:val="21"/>
            </w:rPr>
            <w:t xml:space="preserve"> a proportionate approach in setting supervisory and recognition fees and therefore, we welcome ESMA’s recognition that Tier 1 CCPs are not homogenous in risk profiles, size, and scope of activities, including their EU-related activities, and that these differences between CCPs may indeed be meaningful. </w:t>
          </w:r>
        </w:p>
        <w:p w14:paraId="15B8DFF5" w14:textId="64F89E69" w:rsidR="00032E1F" w:rsidRPr="00E3664A" w:rsidRDefault="00032E1F" w:rsidP="00032E1F">
          <w:pPr>
            <w:rPr>
              <w:rFonts w:ascii="Arial" w:hAnsi="Arial" w:cs="Arial"/>
            </w:rPr>
          </w:pPr>
          <w:r w:rsidRPr="00E3664A">
            <w:rPr>
              <w:rFonts w:ascii="Arial" w:hAnsi="Arial" w:cs="Arial"/>
            </w:rPr>
            <w:t>&lt;ESMA_COMMENT_</w:t>
          </w:r>
          <w:r>
            <w:rPr>
              <w:rFonts w:ascii="Arial" w:hAnsi="Arial" w:cs="Arial"/>
            </w:rPr>
            <w:t>CCPFEES</w:t>
          </w:r>
          <w:r w:rsidRPr="00E3664A">
            <w:rPr>
              <w:rFonts w:ascii="Arial" w:hAnsi="Arial" w:cs="Arial"/>
            </w:rPr>
            <w:t>_00&gt;</w:t>
          </w:r>
        </w:p>
        <w:p w14:paraId="2ADD6DBC" w14:textId="30E21A1B" w:rsidR="00032E1F" w:rsidRDefault="00032E1F">
          <w:pPr>
            <w:spacing w:after="120" w:line="264" w:lineRule="auto"/>
            <w:jc w:val="left"/>
            <w:rPr>
              <w:rFonts w:asciiTheme="majorHAnsi" w:hAnsiTheme="majorHAnsi"/>
              <w:b/>
              <w:color w:val="00379F" w:themeColor="text1"/>
              <w:sz w:val="28"/>
            </w:rPr>
          </w:pPr>
          <w:r>
            <w:br w:type="page"/>
          </w:r>
        </w:p>
        <w:p w14:paraId="2F9F1DEA" w14:textId="77777777" w:rsidR="00032E1F" w:rsidRDefault="00032E1F" w:rsidP="00FF5F6F">
          <w:pPr>
            <w:pStyle w:val="Title1"/>
            <w:numPr>
              <w:ilvl w:val="0"/>
              <w:numId w:val="0"/>
            </w:numPr>
            <w:ind w:left="360" w:hanging="360"/>
          </w:pPr>
          <w:r w:rsidRPr="00AA60F5">
            <w:lastRenderedPageBreak/>
            <w:t xml:space="preserve">Questions </w:t>
          </w:r>
        </w:p>
        <w:p w14:paraId="064B5E1F" w14:textId="77777777" w:rsidR="00032E1F" w:rsidRPr="00EA18BF" w:rsidRDefault="00032E1F" w:rsidP="00032E1F">
          <w:pPr>
            <w:rPr>
              <w:rFonts w:ascii="Arial" w:hAnsi="Arial" w:cs="Arial"/>
              <w:b/>
              <w:sz w:val="28"/>
              <w:szCs w:val="28"/>
            </w:rPr>
          </w:pPr>
        </w:p>
        <w:p w14:paraId="14668303" w14:textId="1426AEE6" w:rsidR="00032E1F" w:rsidRPr="00AA60F5" w:rsidRDefault="00C92415" w:rsidP="00FF5F6F">
          <w:pPr>
            <w:pStyle w:val="Questionstyle"/>
            <w:tabs>
              <w:tab w:val="left" w:pos="851"/>
              <w:tab w:val="left" w:pos="1560"/>
            </w:tabs>
            <w:ind w:left="709" w:hanging="567"/>
          </w:pPr>
          <w:r w:rsidRPr="00C92415">
            <w:t>Do you agree with the proposal to introduce different annual fees levels based on the Tier 1 CCPs global turnover?</w:t>
          </w:r>
        </w:p>
        <w:p w14:paraId="3BBCC2F6" w14:textId="77777777" w:rsidR="00032E1F" w:rsidRPr="00AA60F5" w:rsidRDefault="00032E1F" w:rsidP="00FF5F6F">
          <w:pPr>
            <w:pStyle w:val="Questionstyle"/>
            <w:numPr>
              <w:ilvl w:val="0"/>
              <w:numId w:val="0"/>
            </w:numPr>
          </w:pPr>
        </w:p>
        <w:p w14:paraId="53902C09" w14:textId="1B574034" w:rsidR="00032E1F" w:rsidRPr="00FF5F6F" w:rsidRDefault="00032E1F" w:rsidP="00FF5F6F">
          <w:pPr>
            <w:pStyle w:val="Questionstyle"/>
            <w:numPr>
              <w:ilvl w:val="0"/>
              <w:numId w:val="0"/>
            </w:numPr>
            <w:rPr>
              <w:b w:val="0"/>
              <w:bCs/>
              <w:sz w:val="24"/>
              <w:szCs w:val="22"/>
            </w:rPr>
          </w:pPr>
          <w:r w:rsidRPr="00FF5F6F">
            <w:rPr>
              <w:b w:val="0"/>
              <w:bCs/>
              <w:sz w:val="24"/>
              <w:szCs w:val="22"/>
            </w:rPr>
            <w:t>&lt;ESMA_QUESTION_</w:t>
          </w:r>
          <w:r w:rsidR="00FF5F6F" w:rsidRPr="00FF5F6F">
            <w:rPr>
              <w:b w:val="0"/>
              <w:bCs/>
              <w:sz w:val="24"/>
              <w:szCs w:val="22"/>
            </w:rPr>
            <w:t>CCPFEES</w:t>
          </w:r>
          <w:r w:rsidRPr="00FF5F6F">
            <w:rPr>
              <w:b w:val="0"/>
              <w:bCs/>
              <w:sz w:val="24"/>
              <w:szCs w:val="22"/>
            </w:rPr>
            <w:t>_01&gt;</w:t>
          </w:r>
        </w:p>
        <w:p w14:paraId="3DB7799E" w14:textId="77777777" w:rsidR="008912BF" w:rsidRPr="0048675C" w:rsidRDefault="008912BF" w:rsidP="008912BF">
          <w:pPr>
            <w:rPr>
              <w:rFonts w:ascii="Segoe UI" w:hAnsi="Segoe UI" w:cs="Segoe UI"/>
              <w:sz w:val="21"/>
              <w:szCs w:val="21"/>
            </w:rPr>
          </w:pPr>
          <w:r w:rsidRPr="0048675C">
            <w:rPr>
              <w:rFonts w:ascii="Segoe UI" w:hAnsi="Segoe UI" w:cs="Segoe UI"/>
              <w:sz w:val="21"/>
              <w:szCs w:val="21"/>
            </w:rPr>
            <w:t xml:space="preserve">While CCP Global recognizes the benefits of a proportionate approach to allocating ESMA’s projected annual supervisory costs across Tier 1 CCPs, we do not believe the proposed use of Tier 1 CCPs’ global clearing turnover to be an appropriate base for establishing the different fee levels. CCP Global believes that an ideal proportioning metric would strike a balance between being able to sufficiently approximate the relative level of scrutiny ESMA may place on a Tier 1 CCP and being transparent and reasonably straightforward to produce. Whereas global clearing turnover achieves the latter objective, it does not appear to achieve the former, given that ESMA </w:t>
          </w:r>
          <w:r w:rsidRPr="0048675C">
            <w:rPr>
              <w:rFonts w:ascii="Segoe UI" w:eastAsia="Times New Roman" w:hAnsi="Segoe UI" w:cs="Segoe UI"/>
              <w:sz w:val="21"/>
              <w:szCs w:val="21"/>
            </w:rPr>
            <w:t>does not seem to expect to base supervisory scrutiny on a Tier 1 CCP’s global revenues</w:t>
          </w:r>
          <w:r w:rsidRPr="0048675C">
            <w:rPr>
              <w:rFonts w:ascii="Segoe UI" w:hAnsi="Segoe UI" w:cs="Segoe UI"/>
              <w:sz w:val="21"/>
              <w:szCs w:val="21"/>
            </w:rPr>
            <w:t xml:space="preserve">. CCP Global is concerned that proportioning based on global clearing revenues would disproportionally burden those Tier 1 CCPs with relatively high revenues globally, but relatively limited nexus to the EU. </w:t>
          </w:r>
        </w:p>
        <w:p w14:paraId="42C1883A" w14:textId="77777777" w:rsidR="008912BF" w:rsidRPr="0048675C" w:rsidRDefault="008912BF" w:rsidP="008912BF">
          <w:pPr>
            <w:rPr>
              <w:rFonts w:ascii="Segoe UI" w:hAnsi="Segoe UI" w:cs="Segoe UI"/>
              <w:sz w:val="21"/>
              <w:szCs w:val="21"/>
            </w:rPr>
          </w:pPr>
          <w:r w:rsidRPr="0048675C">
            <w:rPr>
              <w:rFonts w:ascii="Segoe UI" w:hAnsi="Segoe UI" w:cs="Segoe UI"/>
              <w:sz w:val="21"/>
              <w:szCs w:val="21"/>
            </w:rPr>
            <w:t xml:space="preserve">In general, CCP Global believes </w:t>
          </w:r>
          <w:r w:rsidRPr="0048675C">
            <w:rPr>
              <w:rFonts w:ascii="Segoe UI" w:eastAsia="Times New Roman" w:hAnsi="Segoe UI" w:cs="Segoe UI"/>
              <w:sz w:val="21"/>
              <w:szCs w:val="21"/>
            </w:rPr>
            <w:t xml:space="preserve">metrics that are more indicative of a Tier 1 CCP’s activities in or risks presented to the EU, rather than a one-size-fits-all metric of global revenues, would serve as a more appropriate proxy for </w:t>
          </w:r>
          <w:r w:rsidRPr="0048675C">
            <w:rPr>
              <w:rFonts w:ascii="Segoe UI" w:hAnsi="Segoe UI" w:cs="Segoe UI"/>
              <w:sz w:val="21"/>
              <w:szCs w:val="21"/>
            </w:rPr>
            <w:t>the different levels of ESMA scrutiny required towards different Tier 1 CCPs</w:t>
          </w:r>
          <w:r w:rsidRPr="0048675C">
            <w:rPr>
              <w:rFonts w:ascii="Segoe UI" w:eastAsia="Times New Roman" w:hAnsi="Segoe UI" w:cs="Segoe UI"/>
              <w:sz w:val="21"/>
              <w:szCs w:val="21"/>
            </w:rPr>
            <w:t>. Conceptually, more appropriate factors to consider could include</w:t>
          </w:r>
          <w:r>
            <w:rPr>
              <w:rFonts w:ascii="Segoe UI" w:eastAsia="Times New Roman" w:hAnsi="Segoe UI" w:cs="Segoe UI"/>
              <w:sz w:val="21"/>
              <w:szCs w:val="21"/>
            </w:rPr>
            <w:t>, e.g.,</w:t>
          </w:r>
          <w:r w:rsidRPr="0048675C">
            <w:rPr>
              <w:rFonts w:ascii="Segoe UI" w:eastAsia="Times New Roman" w:hAnsi="Segoe UI" w:cs="Segoe UI"/>
              <w:sz w:val="21"/>
              <w:szCs w:val="21"/>
            </w:rPr>
            <w:t xml:space="preserve"> EU member activity, clearing fund requirements, or the number of EU members. This view seems consistent with the statements that were made in the Consultation. For example, ESMA notes that</w:t>
          </w:r>
          <w:r w:rsidRPr="0048675C">
            <w:rPr>
              <w:rFonts w:ascii="Segoe UI" w:hAnsi="Segoe UI" w:cs="Segoe UI"/>
              <w:sz w:val="21"/>
              <w:szCs w:val="21"/>
            </w:rPr>
            <w:t xml:space="preserve"> “pursuant to Article 25 of EMIR, ESMA is required to monitor Tier 1 CCPs, including scrutiny depending on the nature and size of its EU related activities”</w:t>
          </w:r>
          <w:r w:rsidRPr="0048675C">
            <w:rPr>
              <w:rStyle w:val="FootnoteReference"/>
              <w:rFonts w:ascii="Segoe UI" w:hAnsi="Segoe UI" w:cs="Segoe UI"/>
              <w:sz w:val="21"/>
              <w:szCs w:val="21"/>
            </w:rPr>
            <w:footnoteReference w:id="5"/>
          </w:r>
          <w:r w:rsidRPr="0048675C">
            <w:rPr>
              <w:rFonts w:ascii="Segoe UI" w:hAnsi="Segoe UI" w:cs="Segoe UI"/>
              <w:sz w:val="21"/>
              <w:szCs w:val="21"/>
            </w:rPr>
            <w:t>. Further, ESMA also notes that “[i]n effect, ESMA monitors on a more frequent basis and in much more depth Tier 1 CCPs with multiple EU entities directly connected or which clear products denominated in European Union currencies”</w:t>
          </w:r>
          <w:r w:rsidRPr="0048675C">
            <w:rPr>
              <w:rStyle w:val="FootnoteReference"/>
              <w:rFonts w:ascii="Segoe UI" w:hAnsi="Segoe UI" w:cs="Segoe UI"/>
              <w:sz w:val="21"/>
              <w:szCs w:val="21"/>
            </w:rPr>
            <w:footnoteReference w:id="6"/>
          </w:r>
          <w:r w:rsidRPr="0048675C">
            <w:rPr>
              <w:rFonts w:ascii="Segoe UI" w:hAnsi="Segoe UI" w:cs="Segoe UI"/>
              <w:sz w:val="21"/>
              <w:szCs w:val="21"/>
            </w:rPr>
            <w:t>. CCP Global notes that there are a number of Tier 1 CCPs with relatively high revenues globally but relatively limited activity – and</w:t>
          </w:r>
          <w:r>
            <w:rPr>
              <w:rFonts w:ascii="Segoe UI" w:hAnsi="Segoe UI" w:cs="Segoe UI"/>
              <w:sz w:val="21"/>
              <w:szCs w:val="21"/>
            </w:rPr>
            <w:t xml:space="preserve"> limited numbers of</w:t>
          </w:r>
          <w:r w:rsidRPr="0048675C">
            <w:rPr>
              <w:rFonts w:ascii="Segoe UI" w:hAnsi="Segoe UI" w:cs="Segoe UI"/>
              <w:sz w:val="21"/>
              <w:szCs w:val="21"/>
            </w:rPr>
            <w:t xml:space="preserve"> clearing members and/or clients – in the EU (and thus, were not categorized as </w:t>
          </w:r>
          <w:r w:rsidRPr="0048675C">
            <w:rPr>
              <w:rFonts w:ascii="Segoe UI" w:hAnsi="Segoe UI" w:cs="Segoe UI"/>
              <w:sz w:val="21"/>
              <w:szCs w:val="21"/>
            </w:rPr>
            <w:lastRenderedPageBreak/>
            <w:t>Tier 2 CCPs in the first place). Therefore, as a general matter, we do not believe global clearing turnover serves as an appropriate measure to proportion projected annual supervisory costs.</w:t>
          </w:r>
          <w:r>
            <w:rPr>
              <w:rStyle w:val="FootnoteReference"/>
              <w:rFonts w:ascii="Segoe UI" w:eastAsia="Times New Roman" w:hAnsi="Segoe UI" w:cs="Segoe UI"/>
              <w:sz w:val="21"/>
              <w:szCs w:val="21"/>
            </w:rPr>
            <w:footnoteReference w:id="7"/>
          </w:r>
          <w:r w:rsidRPr="0048675C">
            <w:rPr>
              <w:rFonts w:ascii="Segoe UI" w:hAnsi="Segoe UI" w:cs="Segoe UI"/>
              <w:sz w:val="21"/>
              <w:szCs w:val="21"/>
            </w:rPr>
            <w:t> </w:t>
          </w:r>
        </w:p>
        <w:p w14:paraId="19253E30" w14:textId="77777777" w:rsidR="003B032C" w:rsidRDefault="008912BF" w:rsidP="008912BF">
          <w:r w:rsidRPr="0048675C">
            <w:rPr>
              <w:rFonts w:ascii="Segoe UI" w:hAnsi="Segoe UI" w:cs="Segoe UI"/>
              <w:sz w:val="21"/>
              <w:szCs w:val="21"/>
            </w:rPr>
            <w:t>As noted above, Tier 1 CCPs as a group have already been determined to have limited impact on the EU relative to Tier 2 CCPs, and they are recognized on the basis of appropriate deference to their home jurisdiction.</w:t>
          </w:r>
          <w:r w:rsidRPr="0048675C">
            <w:rPr>
              <w:rStyle w:val="FootnoteReference"/>
              <w:rFonts w:ascii="Segoe UI" w:hAnsi="Segoe UI" w:cs="Segoe UI"/>
              <w:sz w:val="21"/>
              <w:szCs w:val="21"/>
            </w:rPr>
            <w:footnoteReference w:id="8"/>
          </w:r>
          <w:r w:rsidRPr="0048675C">
            <w:rPr>
              <w:rFonts w:ascii="Segoe UI" w:hAnsi="Segoe UI" w:cs="Segoe UI"/>
              <w:sz w:val="21"/>
              <w:szCs w:val="21"/>
            </w:rPr>
            <w:t xml:space="preserve"> Given such deference to the home authority, CCP Global seeks clarity (and would ideally welcome supporting data) with respect to how ESMA’s budgeted supervisory resources for Tier 1 CCPs have been allocated in years past. Indeed, when the current fee structure was established in 2020, the European Commission and ESMA both seemed to anticipate that the costs of supervising Tier 1 CCPs would not vary much by CCP in this group.</w:t>
          </w:r>
          <w:r w:rsidRPr="0048675C">
            <w:rPr>
              <w:rStyle w:val="FootnoteReference"/>
              <w:rFonts w:ascii="Segoe UI" w:hAnsi="Segoe UI" w:cs="Segoe UI"/>
              <w:sz w:val="21"/>
              <w:szCs w:val="21"/>
            </w:rPr>
            <w:footnoteReference w:id="9"/>
          </w:r>
          <w:r w:rsidRPr="0048675C">
            <w:rPr>
              <w:rFonts w:ascii="Segoe UI" w:hAnsi="Segoe UI" w:cs="Segoe UI"/>
              <w:sz w:val="21"/>
              <w:szCs w:val="21"/>
              <w:vertAlign w:val="superscript"/>
            </w:rPr>
            <w:t>,</w:t>
          </w:r>
          <w:r w:rsidRPr="0048675C">
            <w:rPr>
              <w:rStyle w:val="FootnoteReference"/>
              <w:rFonts w:ascii="Segoe UI" w:hAnsi="Segoe UI" w:cs="Segoe UI"/>
              <w:sz w:val="21"/>
              <w:szCs w:val="21"/>
            </w:rPr>
            <w:footnoteReference w:id="10"/>
          </w:r>
          <w:r w:rsidRPr="0048675C">
            <w:rPr>
              <w:rFonts w:ascii="Segoe UI" w:hAnsi="Segoe UI" w:cs="Segoe UI"/>
              <w:sz w:val="21"/>
              <w:szCs w:val="21"/>
            </w:rPr>
            <w:t xml:space="preserve"> To the extent ESMA has changed its approach to supervising Tier 1 CCPs in this context, we would kindly request that ESMA provide further evidence or rationale for such a change. </w:t>
          </w:r>
          <w:r w:rsidRPr="003B032C">
            <w:rPr>
              <w:rFonts w:ascii="Segoe UI" w:hAnsi="Segoe UI" w:cs="Segoe UI"/>
              <w:sz w:val="21"/>
              <w:szCs w:val="21"/>
            </w:rPr>
            <w:t>If, however, ESMA’s supervisory approach to Tier 1 CCPs has not changed since 2020, we believe that the current fee structure remains appropriate and has the added benefit of ensuring sufficient levels of transparency as regards to Tier 1 CCPs and avoids potentially discretionary treatment.</w:t>
          </w:r>
        </w:p>
        <w:p w14:paraId="6CEFC607" w14:textId="4DB7A441" w:rsidR="00032E1F" w:rsidRPr="00AA60F5" w:rsidRDefault="00032E1F" w:rsidP="008912BF">
          <w:pPr>
            <w:rPr>
              <w:rFonts w:ascii="Arial" w:hAnsi="Arial" w:cs="Arial"/>
              <w:sz w:val="24"/>
              <w:szCs w:val="24"/>
            </w:rPr>
          </w:pPr>
          <w:r w:rsidRPr="00AA60F5">
            <w:rPr>
              <w:rFonts w:ascii="Arial" w:hAnsi="Arial" w:cs="Arial"/>
              <w:sz w:val="24"/>
              <w:szCs w:val="24"/>
            </w:rPr>
            <w:t>&lt;ESMA_QUESTION_</w:t>
          </w:r>
          <w:r w:rsidR="00FF5F6F" w:rsidRPr="00FF5F6F">
            <w:t xml:space="preserve"> </w:t>
          </w:r>
          <w:r w:rsidR="00FF5F6F" w:rsidRPr="00FF5F6F">
            <w:rPr>
              <w:rFonts w:ascii="Arial" w:hAnsi="Arial" w:cs="Arial"/>
              <w:sz w:val="24"/>
              <w:szCs w:val="24"/>
            </w:rPr>
            <w:t xml:space="preserve">CCPFEES </w:t>
          </w:r>
          <w:r w:rsidRPr="00AA60F5">
            <w:rPr>
              <w:rFonts w:ascii="Arial" w:hAnsi="Arial" w:cs="Arial"/>
              <w:sz w:val="24"/>
              <w:szCs w:val="24"/>
            </w:rPr>
            <w:t>_01&gt;</w:t>
          </w:r>
        </w:p>
        <w:p w14:paraId="458CFBA5" w14:textId="77777777" w:rsidR="00032E1F" w:rsidRPr="00AA60F5" w:rsidRDefault="00032E1F" w:rsidP="00032E1F">
          <w:pPr>
            <w:rPr>
              <w:rFonts w:ascii="Arial" w:hAnsi="Arial" w:cs="Arial"/>
              <w:b/>
              <w:sz w:val="24"/>
              <w:szCs w:val="24"/>
            </w:rPr>
          </w:pPr>
        </w:p>
        <w:p w14:paraId="4C9EC195" w14:textId="6A73709D" w:rsidR="00032E1F" w:rsidRPr="00AA60F5" w:rsidRDefault="00DD16F6" w:rsidP="00FF5F6F">
          <w:pPr>
            <w:pStyle w:val="Questionstyle"/>
            <w:tabs>
              <w:tab w:val="left" w:pos="851"/>
              <w:tab w:val="left" w:pos="1560"/>
            </w:tabs>
            <w:ind w:left="709" w:hanging="567"/>
          </w:pPr>
          <w:r w:rsidRPr="00DD16F6">
            <w:t>Do you agree that the relevant turnover should be based on audited figures of the Tier 1 CCP’s worldwide revenues from clearing services for the financial year n-2?</w:t>
          </w:r>
        </w:p>
        <w:p w14:paraId="01754667" w14:textId="004ED0B7" w:rsidR="00032E1F" w:rsidRPr="00AA60F5" w:rsidRDefault="00032E1F" w:rsidP="00032E1F">
          <w:pPr>
            <w:rPr>
              <w:rFonts w:ascii="Arial" w:hAnsi="Arial" w:cs="Arial"/>
              <w:sz w:val="24"/>
              <w:szCs w:val="24"/>
            </w:rPr>
          </w:pPr>
          <w:r w:rsidRPr="00AA60F5">
            <w:rPr>
              <w:rFonts w:ascii="Arial" w:hAnsi="Arial" w:cs="Arial"/>
              <w:sz w:val="24"/>
              <w:szCs w:val="24"/>
            </w:rPr>
            <w:lastRenderedPageBreak/>
            <w:t>&lt;ESMA_QUESTION_</w:t>
          </w:r>
          <w:r w:rsidR="00FF5F6F" w:rsidRPr="00FF5F6F">
            <w:rPr>
              <w:rFonts w:ascii="Arial" w:hAnsi="Arial" w:cs="Arial"/>
              <w:sz w:val="24"/>
              <w:szCs w:val="24"/>
            </w:rPr>
            <w:t xml:space="preserve"> CCPFEES </w:t>
          </w:r>
          <w:r w:rsidRPr="00AA60F5">
            <w:rPr>
              <w:rFonts w:ascii="Arial" w:hAnsi="Arial" w:cs="Arial"/>
              <w:sz w:val="24"/>
              <w:szCs w:val="24"/>
            </w:rPr>
            <w:t>_02&gt;</w:t>
          </w:r>
        </w:p>
        <w:p w14:paraId="3841C18E" w14:textId="77777777" w:rsidR="008912BF" w:rsidRPr="0048675C" w:rsidRDefault="008912BF" w:rsidP="003B032C">
          <w:pPr>
            <w:rPr>
              <w:rFonts w:ascii="Segoe UI" w:hAnsi="Segoe UI" w:cs="Segoe UI"/>
              <w:sz w:val="21"/>
              <w:szCs w:val="21"/>
            </w:rPr>
          </w:pPr>
          <w:r w:rsidRPr="0048675C">
            <w:rPr>
              <w:rFonts w:ascii="Segoe UI" w:hAnsi="Segoe UI" w:cs="Segoe UI"/>
              <w:sz w:val="21"/>
              <w:szCs w:val="21"/>
            </w:rPr>
            <w:t>We would like to flag that the requirement to provide the audited annual accounts no later than 30 September of year n-1 (i.e., related to a calendar year from January to December) may be problematic for some CCPs. There are CCPs for which the fiscal year ends in other months, e.g., March, and the audited annual statements would not be available for submission to ESMA within the requested timeline. Also, the budget cycles of some third country CCPs (“TC-CCPs”) conclude at the end of the third quarter, which means it would be important for them to determine the fees prior to that time in order to avoid unpredictability in their budget planning.</w:t>
          </w:r>
        </w:p>
        <w:p w14:paraId="4DAB2819" w14:textId="77777777" w:rsidR="008912BF" w:rsidRPr="003B032C" w:rsidRDefault="008912BF" w:rsidP="003B032C">
          <w:pPr>
            <w:pStyle w:val="NormalWeb"/>
            <w:spacing w:before="0" w:beforeAutospacing="0" w:after="250" w:afterAutospacing="0" w:line="276" w:lineRule="auto"/>
            <w:jc w:val="both"/>
            <w:rPr>
              <w:rFonts w:ascii="Segoe UI" w:eastAsiaTheme="minorEastAsia" w:hAnsi="Segoe UI" w:cs="Segoe UI"/>
              <w:color w:val="181818" w:themeColor="background1" w:themeShade="1A"/>
              <w:sz w:val="21"/>
              <w:szCs w:val="21"/>
              <w:lang w:eastAsia="en-US"/>
              <w14:ligatures w14:val="none"/>
            </w:rPr>
          </w:pPr>
          <w:r w:rsidRPr="003B032C">
            <w:rPr>
              <w:rFonts w:ascii="Segoe UI" w:eastAsiaTheme="minorEastAsia" w:hAnsi="Segoe UI" w:cs="Segoe UI"/>
              <w:color w:val="181818" w:themeColor="background1" w:themeShade="1A"/>
              <w:sz w:val="21"/>
              <w:szCs w:val="21"/>
              <w:lang w:eastAsia="en-US"/>
              <w14:ligatures w14:val="none"/>
            </w:rPr>
            <w:t>Moreover, some CCPs encompass a variety of businesses (e.g. trading execution, TR, etc.) due to their nature and publish audited figures which include trading fees, not just clearing and settlement fees separately. In this regard, it could be difficult for them to provide audited figures related to clearing fees only. Please note that the figures for clearing and settlement fees are usually managed separately as internal data and publicly disclosed as quantitative information disclosure items. To require a separate audited figure solely for the purpose of identifying the right Tier 1 fee level could be unreasonably costly and burdensome.</w:t>
          </w:r>
        </w:p>
        <w:p w14:paraId="13864644" w14:textId="2046BC1B" w:rsidR="00032E1F"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_02&gt;</w:t>
          </w:r>
        </w:p>
        <w:p w14:paraId="21426194" w14:textId="77777777" w:rsidR="00032E1F" w:rsidRPr="00AA60F5" w:rsidRDefault="00032E1F" w:rsidP="00032E1F">
          <w:pPr>
            <w:rPr>
              <w:rFonts w:ascii="Arial" w:hAnsi="Arial" w:cs="Arial"/>
              <w:sz w:val="24"/>
              <w:szCs w:val="24"/>
            </w:rPr>
          </w:pPr>
        </w:p>
        <w:p w14:paraId="0AA635CF" w14:textId="6B66597F" w:rsidR="00032E1F" w:rsidRPr="00AA60F5" w:rsidRDefault="004168B9" w:rsidP="00FF5F6F">
          <w:pPr>
            <w:pStyle w:val="Questionstyle"/>
            <w:tabs>
              <w:tab w:val="left" w:pos="851"/>
              <w:tab w:val="left" w:pos="1560"/>
            </w:tabs>
            <w:ind w:left="709" w:hanging="567"/>
          </w:pPr>
          <w:r w:rsidRPr="004168B9">
            <w:t>Do you agree with the proposed thresholds and weighting factors to calculate Tier 1 CCPs annual fees?</w:t>
          </w:r>
        </w:p>
        <w:p w14:paraId="256B0986" w14:textId="34EBC291" w:rsidR="00032E1F" w:rsidRPr="00AA60F5" w:rsidRDefault="00032E1F" w:rsidP="00032E1F">
          <w:pPr>
            <w:rPr>
              <w:rFonts w:ascii="Arial" w:hAnsi="Arial" w:cs="Arial"/>
              <w:sz w:val="24"/>
              <w:szCs w:val="24"/>
            </w:rPr>
          </w:pPr>
          <w:bookmarkStart w:id="2" w:name="_Hlk76119363"/>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_03&gt;</w:t>
          </w:r>
        </w:p>
        <w:p w14:paraId="21AF0077" w14:textId="77777777" w:rsidR="008912BF" w:rsidRDefault="008912BF" w:rsidP="00032E1F">
          <w:pPr>
            <w:rPr>
              <w:rFonts w:ascii="Segoe UI" w:hAnsi="Segoe UI" w:cs="Segoe UI"/>
              <w:sz w:val="21"/>
              <w:szCs w:val="21"/>
            </w:rPr>
          </w:pPr>
          <w:r w:rsidRPr="0048675C">
            <w:rPr>
              <w:rFonts w:ascii="Segoe UI" w:hAnsi="Segoe UI" w:cs="Segoe UI"/>
              <w:sz w:val="21"/>
              <w:szCs w:val="21"/>
            </w:rPr>
            <w:t xml:space="preserve">In terms of the proposed fee levels, we would like to make a suggestion </w:t>
          </w:r>
          <w:r>
            <w:rPr>
              <w:rFonts w:ascii="Segoe UI" w:hAnsi="Segoe UI" w:cs="Segoe UI"/>
              <w:sz w:val="21"/>
              <w:szCs w:val="21"/>
            </w:rPr>
            <w:t xml:space="preserve">that ESMA </w:t>
          </w:r>
          <w:r w:rsidRPr="0048675C">
            <w:rPr>
              <w:rFonts w:ascii="Segoe UI" w:hAnsi="Segoe UI" w:cs="Segoe UI"/>
              <w:sz w:val="21"/>
              <w:szCs w:val="21"/>
            </w:rPr>
            <w:t xml:space="preserve">create another group – before Group 1, given that the estimated cost for Group 1 may be cost-prohibitive for small or newly established CCPs that would not have the budget to pay supervisory fees at the level proposed by ESMA. </w:t>
          </w:r>
          <w:r>
            <w:rPr>
              <w:rFonts w:ascii="Segoe UI" w:hAnsi="Segoe UI" w:cs="Segoe UI"/>
              <w:sz w:val="21"/>
              <w:szCs w:val="21"/>
            </w:rPr>
            <w:t>The Group 1 level of fees</w:t>
          </w:r>
          <w:r w:rsidRPr="0048675C">
            <w:rPr>
              <w:rFonts w:ascii="Segoe UI" w:hAnsi="Segoe UI" w:cs="Segoe UI"/>
              <w:sz w:val="21"/>
              <w:szCs w:val="21"/>
            </w:rPr>
            <w:t xml:space="preserve"> could create an unnecessary barrier to entry for these </w:t>
          </w:r>
          <w:r>
            <w:rPr>
              <w:rFonts w:ascii="Segoe UI" w:hAnsi="Segoe UI" w:cs="Segoe UI"/>
              <w:sz w:val="21"/>
              <w:szCs w:val="21"/>
            </w:rPr>
            <w:t>TC-</w:t>
          </w:r>
          <w:r w:rsidRPr="0048675C">
            <w:rPr>
              <w:rFonts w:ascii="Segoe UI" w:hAnsi="Segoe UI" w:cs="Segoe UI"/>
              <w:sz w:val="21"/>
              <w:szCs w:val="21"/>
            </w:rPr>
            <w:t xml:space="preserve">CCPs. We believe there is benefit to encouraging smaller CCPs to align with international standards and EMIR regulation and </w:t>
          </w:r>
          <w:r>
            <w:rPr>
              <w:rFonts w:ascii="Segoe UI" w:hAnsi="Segoe UI" w:cs="Segoe UI"/>
              <w:sz w:val="21"/>
              <w:szCs w:val="21"/>
            </w:rPr>
            <w:t xml:space="preserve">to </w:t>
          </w:r>
          <w:r w:rsidRPr="0048675C">
            <w:rPr>
              <w:rFonts w:ascii="Segoe UI" w:hAnsi="Segoe UI" w:cs="Segoe UI"/>
              <w:sz w:val="21"/>
              <w:szCs w:val="21"/>
            </w:rPr>
            <w:t>pursue equivalence by making the market more standardized. To this end, we would propose a baseline category that would establish a flat fee for such small or new CCPs with limited nexus to the EU.</w:t>
          </w:r>
        </w:p>
        <w:p w14:paraId="7566CA94" w14:textId="6826559B"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_03&gt;</w:t>
          </w:r>
        </w:p>
        <w:bookmarkEnd w:id="2"/>
        <w:p w14:paraId="037686DE" w14:textId="77777777" w:rsidR="00032E1F" w:rsidRPr="00AA60F5" w:rsidRDefault="00032E1F" w:rsidP="00032E1F">
          <w:pPr>
            <w:rPr>
              <w:rFonts w:ascii="Arial" w:hAnsi="Arial" w:cs="Arial"/>
              <w:sz w:val="24"/>
              <w:szCs w:val="24"/>
            </w:rPr>
          </w:pPr>
        </w:p>
        <w:p w14:paraId="7520AE83" w14:textId="609349B6" w:rsidR="00032E1F" w:rsidRPr="00AA60F5" w:rsidRDefault="00C1310D" w:rsidP="00FF5F6F">
          <w:pPr>
            <w:pStyle w:val="Questionstyle"/>
            <w:tabs>
              <w:tab w:val="left" w:pos="851"/>
              <w:tab w:val="left" w:pos="1560"/>
            </w:tabs>
            <w:ind w:left="709" w:hanging="567"/>
          </w:pPr>
          <w:r w:rsidRPr="00C1310D">
            <w:lastRenderedPageBreak/>
            <w:t>Do you agree that the Tier 1 CCPs annual fee framework should include a maximum and a minimum amount?</w:t>
          </w:r>
        </w:p>
        <w:p w14:paraId="01D3DCD1" w14:textId="508C6134"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_04&gt;</w:t>
          </w:r>
        </w:p>
        <w:p w14:paraId="14965B0E" w14:textId="77777777" w:rsidR="008912BF" w:rsidRPr="0048675C" w:rsidRDefault="008912BF" w:rsidP="008912BF">
          <w:pPr>
            <w:rPr>
              <w:rFonts w:ascii="Segoe UI" w:hAnsi="Segoe UI" w:cs="Segoe UI"/>
              <w:sz w:val="21"/>
              <w:szCs w:val="21"/>
            </w:rPr>
          </w:pPr>
          <w:r w:rsidRPr="0048675C">
            <w:rPr>
              <w:rFonts w:ascii="Segoe UI" w:hAnsi="Segoe UI" w:cs="Segoe UI"/>
              <w:sz w:val="21"/>
              <w:szCs w:val="21"/>
            </w:rPr>
            <w:t xml:space="preserve">Please see our comments to Q5. </w:t>
          </w:r>
        </w:p>
        <w:p w14:paraId="7F6250AD" w14:textId="3A452106"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_04&gt;</w:t>
          </w:r>
          <w:r w:rsidRPr="00AA60F5">
            <w:rPr>
              <w:rFonts w:ascii="Arial" w:hAnsi="Arial" w:cs="Arial"/>
              <w:b/>
              <w:sz w:val="24"/>
              <w:szCs w:val="24"/>
            </w:rPr>
            <w:t xml:space="preserve"> </w:t>
          </w:r>
        </w:p>
        <w:p w14:paraId="79BDF2EE" w14:textId="77777777" w:rsidR="00032E1F" w:rsidRPr="00AA60F5" w:rsidRDefault="00032E1F" w:rsidP="00032E1F">
          <w:pPr>
            <w:rPr>
              <w:rFonts w:ascii="Arial" w:hAnsi="Arial" w:cs="Arial"/>
              <w:sz w:val="24"/>
              <w:szCs w:val="24"/>
            </w:rPr>
          </w:pPr>
        </w:p>
        <w:p w14:paraId="071D9EDB" w14:textId="4E016A4D" w:rsidR="00032E1F" w:rsidRPr="00AA60F5" w:rsidRDefault="00052C11" w:rsidP="00FF5F6F">
          <w:pPr>
            <w:pStyle w:val="Questionstyle"/>
            <w:tabs>
              <w:tab w:val="left" w:pos="851"/>
              <w:tab w:val="left" w:pos="1560"/>
            </w:tabs>
            <w:ind w:left="709" w:hanging="567"/>
          </w:pPr>
          <w:r w:rsidRPr="00052C11">
            <w:t>Do you agree with the proposed amounts for the maximum and minimum annual fees for Tier 1 CCPs?</w:t>
          </w:r>
        </w:p>
        <w:p w14:paraId="1663FDEB" w14:textId="694DC064"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_05&gt;</w:t>
          </w:r>
        </w:p>
        <w:p w14:paraId="05BCE48A" w14:textId="77777777" w:rsidR="008912BF" w:rsidRPr="0048675C" w:rsidRDefault="008912BF" w:rsidP="008912BF">
          <w:pPr>
            <w:rPr>
              <w:rFonts w:ascii="Segoe UI" w:hAnsi="Segoe UI" w:cs="Segoe UI"/>
              <w:sz w:val="21"/>
              <w:szCs w:val="21"/>
            </w:rPr>
          </w:pPr>
          <w:r w:rsidRPr="0048675C">
            <w:rPr>
              <w:rFonts w:ascii="Segoe UI" w:hAnsi="Segoe UI" w:cs="Segoe UI"/>
              <w:sz w:val="21"/>
              <w:szCs w:val="21"/>
            </w:rPr>
            <w:t>Firstly, CCP Global believes that the annual supervisory fees should be proportiona</w:t>
          </w:r>
          <w:r>
            <w:rPr>
              <w:rFonts w:ascii="Segoe UI" w:hAnsi="Segoe UI" w:cs="Segoe UI"/>
              <w:sz w:val="21"/>
              <w:szCs w:val="21"/>
            </w:rPr>
            <w:t>l to</w:t>
          </w:r>
          <w:r w:rsidRPr="0048675C">
            <w:rPr>
              <w:rFonts w:ascii="Segoe UI" w:hAnsi="Segoe UI" w:cs="Segoe UI"/>
              <w:sz w:val="21"/>
              <w:szCs w:val="21"/>
            </w:rPr>
            <w:t xml:space="preserve"> what some other jurisdictions charge and would like to point out that the </w:t>
          </w:r>
          <w:r>
            <w:rPr>
              <w:rFonts w:ascii="Segoe UI" w:hAnsi="Segoe UI" w:cs="Segoe UI"/>
              <w:sz w:val="21"/>
              <w:szCs w:val="21"/>
            </w:rPr>
            <w:t xml:space="preserve">overall </w:t>
          </w:r>
          <w:r w:rsidRPr="0048675C">
            <w:rPr>
              <w:rFonts w:ascii="Segoe UI" w:hAnsi="Segoe UI" w:cs="Segoe UI"/>
              <w:sz w:val="21"/>
              <w:szCs w:val="21"/>
            </w:rPr>
            <w:t xml:space="preserve">proposed revised fee structure is significantly higher </w:t>
          </w:r>
          <w:r>
            <w:rPr>
              <w:rFonts w:ascii="Segoe UI" w:hAnsi="Segoe UI" w:cs="Segoe UI"/>
              <w:sz w:val="21"/>
              <w:szCs w:val="21"/>
            </w:rPr>
            <w:t xml:space="preserve">as </w:t>
          </w:r>
          <w:r w:rsidRPr="0048675C">
            <w:rPr>
              <w:rFonts w:ascii="Segoe UI" w:hAnsi="Segoe UI" w:cs="Segoe UI"/>
              <w:sz w:val="21"/>
              <w:szCs w:val="21"/>
            </w:rPr>
            <w:t xml:space="preserve">compared to some other jurisdictions for TC-CCPs. At a minimum, we would kindly request ESMA to conduct a comparative study of the fees charged in other comparable jurisdictions, including how such fees are structured, </w:t>
          </w:r>
          <w:r>
            <w:rPr>
              <w:rFonts w:ascii="Segoe UI" w:hAnsi="Segoe UI" w:cs="Segoe UI"/>
              <w:sz w:val="21"/>
              <w:szCs w:val="21"/>
            </w:rPr>
            <w:t xml:space="preserve">and </w:t>
          </w:r>
          <w:r w:rsidRPr="0048675C">
            <w:rPr>
              <w:rFonts w:ascii="Segoe UI" w:hAnsi="Segoe UI" w:cs="Segoe UI"/>
              <w:sz w:val="21"/>
              <w:szCs w:val="21"/>
            </w:rPr>
            <w:t xml:space="preserve">publish and discuss the results, ideally in an open forum. </w:t>
          </w:r>
        </w:p>
        <w:p w14:paraId="3BE11D6D" w14:textId="77777777" w:rsidR="008912BF" w:rsidRDefault="008912BF" w:rsidP="008912BF">
          <w:pPr>
            <w:rPr>
              <w:rFonts w:ascii="Segoe UI" w:hAnsi="Segoe UI" w:cs="Segoe UI"/>
              <w:sz w:val="21"/>
              <w:szCs w:val="21"/>
            </w:rPr>
          </w:pPr>
          <w:r w:rsidRPr="0048675C">
            <w:rPr>
              <w:rFonts w:ascii="Segoe UI" w:hAnsi="Segoe UI" w:cs="Segoe UI"/>
              <w:sz w:val="21"/>
              <w:szCs w:val="21"/>
            </w:rPr>
            <w:t>Secondly, CCP Global has some concerns that ESMA's annual fees, which are covered by Tier 1 CCPs</w:t>
          </w:r>
          <w:r>
            <w:rPr>
              <w:rFonts w:ascii="Segoe UI" w:hAnsi="Segoe UI" w:cs="Segoe UI"/>
              <w:sz w:val="21"/>
              <w:szCs w:val="21"/>
            </w:rPr>
            <w:t>,</w:t>
          </w:r>
          <w:r w:rsidRPr="0048675C">
            <w:rPr>
              <w:rFonts w:ascii="Segoe UI" w:hAnsi="Segoe UI" w:cs="Segoe UI"/>
              <w:sz w:val="21"/>
              <w:szCs w:val="21"/>
            </w:rPr>
            <w:t xml:space="preserve"> have the potential for an unlimited increase. </w:t>
          </w:r>
          <w:r>
            <w:rPr>
              <w:rFonts w:ascii="Segoe UI" w:hAnsi="Segoe UI" w:cs="Segoe UI"/>
              <w:sz w:val="21"/>
              <w:szCs w:val="21"/>
            </w:rPr>
            <w:t>T</w:t>
          </w:r>
          <w:r w:rsidRPr="0048675C">
            <w:rPr>
              <w:rFonts w:ascii="Segoe UI" w:hAnsi="Segoe UI" w:cs="Segoe UI"/>
              <w:sz w:val="21"/>
              <w:szCs w:val="21"/>
            </w:rPr>
            <w:t>he Consultation envisages setting minimum and maximum amounts of annual fees</w:t>
          </w:r>
          <w:r>
            <w:rPr>
              <w:rFonts w:ascii="Segoe UI" w:hAnsi="Segoe UI" w:cs="Segoe UI"/>
              <w:sz w:val="21"/>
              <w:szCs w:val="21"/>
            </w:rPr>
            <w:t xml:space="preserve"> that would</w:t>
          </w:r>
          <w:r w:rsidRPr="0048675C">
            <w:rPr>
              <w:rFonts w:ascii="Segoe UI" w:hAnsi="Segoe UI" w:cs="Segoe UI"/>
              <w:sz w:val="21"/>
              <w:szCs w:val="21"/>
            </w:rPr>
            <w:t xml:space="preserve"> also </w:t>
          </w:r>
          <w:r>
            <w:rPr>
              <w:rFonts w:ascii="Segoe UI" w:hAnsi="Segoe UI" w:cs="Segoe UI"/>
              <w:sz w:val="21"/>
              <w:szCs w:val="21"/>
            </w:rPr>
            <w:t>be “</w:t>
          </w:r>
          <w:r w:rsidRPr="0048675C">
            <w:rPr>
              <w:rFonts w:ascii="Segoe UI" w:hAnsi="Segoe UI" w:cs="Segoe UI"/>
              <w:sz w:val="21"/>
              <w:szCs w:val="21"/>
            </w:rPr>
            <w:t>indexed each year.</w:t>
          </w:r>
          <w:r>
            <w:rPr>
              <w:rFonts w:ascii="Segoe UI" w:hAnsi="Segoe UI" w:cs="Segoe UI"/>
              <w:sz w:val="21"/>
              <w:szCs w:val="21"/>
            </w:rPr>
            <w:t>”</w:t>
          </w:r>
          <w:r>
            <w:rPr>
              <w:rStyle w:val="FootnoteReference"/>
              <w:rFonts w:ascii="Segoe UI" w:hAnsi="Segoe UI" w:cs="Segoe UI"/>
              <w:sz w:val="21"/>
              <w:szCs w:val="21"/>
            </w:rPr>
            <w:footnoteReference w:id="11"/>
          </w:r>
          <w:r w:rsidRPr="0048675C">
            <w:rPr>
              <w:rFonts w:ascii="Segoe UI" w:hAnsi="Segoe UI" w:cs="Segoe UI"/>
              <w:sz w:val="21"/>
              <w:szCs w:val="21"/>
            </w:rPr>
            <w:t xml:space="preserve"> While we understand ESMA’s desire to collect fees to cover its supervisory costs, we are concerned that the proposal does not provide sufficient and transparent information and analysis </w:t>
          </w:r>
          <w:r>
            <w:rPr>
              <w:rFonts w:ascii="Segoe UI" w:hAnsi="Segoe UI" w:cs="Segoe UI"/>
              <w:sz w:val="21"/>
              <w:szCs w:val="21"/>
            </w:rPr>
            <w:t xml:space="preserve">as to </w:t>
          </w:r>
          <w:r w:rsidRPr="0048675C">
            <w:rPr>
              <w:rFonts w:ascii="Segoe UI" w:hAnsi="Segoe UI" w:cs="Segoe UI"/>
              <w:sz w:val="21"/>
              <w:szCs w:val="21"/>
            </w:rPr>
            <w:t>how the proposed fee levels were determined, or how fees will be determined in subsequent years</w:t>
          </w:r>
          <w:r>
            <w:rPr>
              <w:rFonts w:ascii="Segoe UI" w:hAnsi="Segoe UI" w:cs="Segoe UI"/>
              <w:sz w:val="21"/>
              <w:szCs w:val="21"/>
            </w:rPr>
            <w:t>, including what indicators or criteria will be used for fees indexation</w:t>
          </w:r>
          <w:r w:rsidRPr="0048675C">
            <w:rPr>
              <w:rFonts w:ascii="Segoe UI" w:hAnsi="Segoe UI" w:cs="Segoe UI"/>
              <w:sz w:val="21"/>
              <w:szCs w:val="21"/>
            </w:rPr>
            <w:t xml:space="preserve">. Transparency </w:t>
          </w:r>
          <w:r>
            <w:rPr>
              <w:rFonts w:ascii="Segoe UI" w:hAnsi="Segoe UI" w:cs="Segoe UI"/>
              <w:sz w:val="21"/>
              <w:szCs w:val="21"/>
            </w:rPr>
            <w:t>with respect to</w:t>
          </w:r>
          <w:r w:rsidRPr="0048675C">
            <w:rPr>
              <w:rFonts w:ascii="Segoe UI" w:hAnsi="Segoe UI" w:cs="Segoe UI"/>
              <w:sz w:val="21"/>
              <w:szCs w:val="21"/>
            </w:rPr>
            <w:t xml:space="preserve"> the determination of the projected annual fees as well as the fee structure </w:t>
          </w:r>
          <w:r>
            <w:rPr>
              <w:rFonts w:ascii="Segoe UI" w:hAnsi="Segoe UI" w:cs="Segoe UI"/>
              <w:sz w:val="21"/>
              <w:szCs w:val="21"/>
            </w:rPr>
            <w:t>is</w:t>
          </w:r>
          <w:r w:rsidRPr="0048675C">
            <w:rPr>
              <w:rFonts w:ascii="Segoe UI" w:hAnsi="Segoe UI" w:cs="Segoe UI"/>
              <w:sz w:val="21"/>
              <w:szCs w:val="21"/>
            </w:rPr>
            <w:t xml:space="preserve"> important</w:t>
          </w:r>
          <w:r>
            <w:rPr>
              <w:rFonts w:ascii="Segoe UI" w:hAnsi="Segoe UI" w:cs="Segoe UI"/>
              <w:sz w:val="21"/>
              <w:szCs w:val="21"/>
            </w:rPr>
            <w:t xml:space="preserve"> to market participants</w:t>
          </w:r>
          <w:r w:rsidRPr="0048675C">
            <w:rPr>
              <w:rFonts w:ascii="Segoe UI" w:hAnsi="Segoe UI" w:cs="Segoe UI"/>
              <w:sz w:val="21"/>
              <w:szCs w:val="21"/>
            </w:rPr>
            <w:t>, so we would kindly invite ESMA to provide an adequate disclosure of and future predictions for such costs and thus ensure a higher degree of transparency and predictability of its regulatory costs.</w:t>
          </w:r>
        </w:p>
        <w:p w14:paraId="44D4F863" w14:textId="774C0ECF" w:rsidR="00032E1F" w:rsidRPr="00AA60F5" w:rsidRDefault="00032E1F" w:rsidP="008912B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_05&gt;</w:t>
          </w:r>
        </w:p>
        <w:p w14:paraId="3949CDE0" w14:textId="77777777" w:rsidR="00032E1F" w:rsidRPr="00AA60F5" w:rsidRDefault="00032E1F" w:rsidP="00032E1F">
          <w:pPr>
            <w:rPr>
              <w:rFonts w:ascii="Arial" w:hAnsi="Arial" w:cs="Arial"/>
              <w:sz w:val="24"/>
              <w:szCs w:val="24"/>
            </w:rPr>
          </w:pPr>
        </w:p>
        <w:p w14:paraId="5F6BD108" w14:textId="3BA67DCB" w:rsidR="00032E1F" w:rsidRPr="00AA60F5" w:rsidRDefault="00D8666F" w:rsidP="00FF5F6F">
          <w:pPr>
            <w:pStyle w:val="Questionstyle"/>
            <w:tabs>
              <w:tab w:val="left" w:pos="851"/>
              <w:tab w:val="left" w:pos="1560"/>
            </w:tabs>
            <w:ind w:left="709" w:hanging="567"/>
          </w:pPr>
          <w:r w:rsidRPr="00D8666F">
            <w:t>Do you agree that an incentive mechanism should be implemented to ensure that ESMA is able to compute the fees for a given year?</w:t>
          </w:r>
        </w:p>
        <w:p w14:paraId="463F04C2" w14:textId="2AC69C46" w:rsidR="00032E1F" w:rsidRPr="00AA60F5"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_06&gt;</w:t>
          </w:r>
        </w:p>
        <w:p w14:paraId="7E7985DD" w14:textId="77777777" w:rsidR="008912BF" w:rsidRPr="0048675C" w:rsidRDefault="008912BF" w:rsidP="008912BF">
          <w:pPr>
            <w:rPr>
              <w:rFonts w:ascii="Segoe UI" w:hAnsi="Segoe UI" w:cs="Segoe UI"/>
              <w:sz w:val="21"/>
              <w:szCs w:val="21"/>
            </w:rPr>
          </w:pPr>
          <w:r w:rsidRPr="0048675C">
            <w:rPr>
              <w:rFonts w:ascii="Segoe UI" w:hAnsi="Segoe UI" w:cs="Segoe UI"/>
              <w:sz w:val="21"/>
              <w:szCs w:val="21"/>
            </w:rPr>
            <w:t xml:space="preserve">CCP Global does not agree with the proposed incentive mechanism as it has the potential to unduly penalize some TC-CCPs. As mentioned in our response to Q2, for some TC-CCPs, the fiscal year is not identical with the calendar year and thus does not end in December. </w:t>
          </w:r>
          <w:r>
            <w:rPr>
              <w:rFonts w:ascii="Segoe UI" w:hAnsi="Segoe UI" w:cs="Segoe UI"/>
              <w:sz w:val="21"/>
              <w:szCs w:val="21"/>
            </w:rPr>
            <w:t xml:space="preserve">Also, some </w:t>
          </w:r>
          <w:r w:rsidRPr="0048675C">
            <w:rPr>
              <w:rFonts w:ascii="Segoe UI" w:hAnsi="Segoe UI" w:cs="Segoe UI"/>
              <w:sz w:val="21"/>
              <w:szCs w:val="21"/>
            </w:rPr>
            <w:t>TC-CCPs’ ownership and business structures may not enable them to publish audited figures which would separately indicate the turnover part clearly related to clearing fees only. In such cases, those CCPs may not be able to submit audited figures as requested by ESMA and, as a result, be potentially charged the highest fee. Whereas CCP Global recognizes that ESMA is required to assess fees under EMIR and respects the EU’s rationale behind having supervisors of the financial markets to be financed directly by supervised entities (in an effort to avoid taxpayer burden), CCP Global does not believe these fees should be considered or structured to be punitive in nature. CCP Global respectfully requests that ESMA provide more flexibility and optionality for the assessment and collection of supervisory fees from Tier 1 CCPs.</w:t>
          </w:r>
        </w:p>
        <w:p w14:paraId="5E9874C4" w14:textId="6E3A5175" w:rsidR="00032E1F" w:rsidRDefault="00032E1F" w:rsidP="00032E1F">
          <w:pPr>
            <w:rPr>
              <w:rFonts w:ascii="Arial" w:hAnsi="Arial" w:cs="Arial"/>
              <w:sz w:val="24"/>
              <w:szCs w:val="24"/>
            </w:rPr>
          </w:pPr>
          <w:r w:rsidRPr="00AA60F5">
            <w:rPr>
              <w:rFonts w:ascii="Arial" w:hAnsi="Arial" w:cs="Arial"/>
              <w:sz w:val="24"/>
              <w:szCs w:val="24"/>
            </w:rPr>
            <w:t>&lt;ESMA_QUESTION_</w:t>
          </w:r>
          <w:r w:rsidR="00FF5F6F" w:rsidRPr="00FF5F6F">
            <w:rPr>
              <w:rFonts w:ascii="Arial" w:hAnsi="Arial" w:cs="Arial"/>
              <w:sz w:val="24"/>
              <w:szCs w:val="24"/>
            </w:rPr>
            <w:t xml:space="preserve"> CCPFEES </w:t>
          </w:r>
          <w:r w:rsidRPr="00AA60F5">
            <w:rPr>
              <w:rFonts w:ascii="Arial" w:hAnsi="Arial" w:cs="Arial"/>
              <w:sz w:val="24"/>
              <w:szCs w:val="24"/>
            </w:rPr>
            <w:t>_06&gt;</w:t>
          </w:r>
        </w:p>
        <w:p w14:paraId="19C46224" w14:textId="77777777" w:rsidR="00032E1F" w:rsidRDefault="00032E1F" w:rsidP="00032E1F">
          <w:pPr>
            <w:rPr>
              <w:rFonts w:ascii="Arial" w:hAnsi="Arial" w:cs="Arial"/>
              <w:sz w:val="24"/>
              <w:szCs w:val="24"/>
            </w:rPr>
          </w:pPr>
        </w:p>
        <w:p w14:paraId="7CCCAADF" w14:textId="77777777" w:rsidR="00C00AF3" w:rsidRDefault="00000000" w:rsidP="0082744A">
          <w:pPr>
            <w:pStyle w:val="TOCHeading"/>
            <w:rPr>
              <w:rFonts w:asciiTheme="minorHAnsi" w:eastAsiaTheme="minorEastAsia" w:hAnsiTheme="minorHAnsi" w:cstheme="minorBidi"/>
              <w:b w:val="0"/>
              <w:color w:val="181818" w:themeColor="background1" w:themeShade="1A"/>
              <w:sz w:val="20"/>
              <w:szCs w:val="20"/>
            </w:rPr>
          </w:pPr>
        </w:p>
      </w:sdtContent>
    </w:sdt>
    <w:p w14:paraId="08D70CEF" w14:textId="5950671A" w:rsidR="00C00AF3" w:rsidRDefault="00C00AF3" w:rsidP="00032E1F">
      <w:pPr>
        <w:rPr>
          <w:rFonts w:ascii="Arial" w:hAnsi="Arial" w:cs="Arial"/>
          <w:sz w:val="24"/>
          <w:szCs w:val="24"/>
        </w:rPr>
      </w:pPr>
    </w:p>
    <w:p w14:paraId="04595985" w14:textId="4B384674" w:rsidR="00B15C0B" w:rsidRPr="000C0CE0" w:rsidRDefault="00B15C0B" w:rsidP="00B15C0B">
      <w:pPr>
        <w:rPr>
          <w:lang w:val="fr-BE"/>
        </w:rPr>
      </w:pPr>
    </w:p>
    <w:sectPr w:rsidR="00B15C0B" w:rsidRPr="000C0CE0" w:rsidSect="00FF5F6F">
      <w:headerReference w:type="default" r:id="rId18"/>
      <w:footerReference w:type="default" r:id="rId19"/>
      <w:pgSz w:w="11906" w:h="16838"/>
      <w:pgMar w:top="1417" w:right="1417" w:bottom="1417" w:left="1417" w:header="862"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8FBAC" w14:textId="77777777" w:rsidR="003A49D4" w:rsidRDefault="003A49D4" w:rsidP="007E7997">
      <w:pPr>
        <w:spacing w:line="240" w:lineRule="auto"/>
      </w:pPr>
      <w:r>
        <w:separator/>
      </w:r>
    </w:p>
  </w:endnote>
  <w:endnote w:type="continuationSeparator" w:id="0">
    <w:p w14:paraId="2B4A1453" w14:textId="77777777" w:rsidR="003A49D4" w:rsidRDefault="003A49D4" w:rsidP="007E7997">
      <w:pPr>
        <w:spacing w:line="240" w:lineRule="auto"/>
      </w:pPr>
      <w:r>
        <w:continuationSeparator/>
      </w:r>
    </w:p>
  </w:endnote>
  <w:endnote w:type="continuationNotice" w:id="1">
    <w:p w14:paraId="4C9C4CAA" w14:textId="77777777" w:rsidR="003A49D4" w:rsidRDefault="003A4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Ebrima">
    <w:panose1 w:val="02000000000000000000"/>
    <w:charset w:val="EE"/>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A36B5" w14:textId="77777777" w:rsidR="003A49D4" w:rsidRDefault="003A49D4" w:rsidP="007E7997">
      <w:pPr>
        <w:spacing w:line="240" w:lineRule="auto"/>
      </w:pPr>
      <w:r>
        <w:separator/>
      </w:r>
    </w:p>
  </w:footnote>
  <w:footnote w:type="continuationSeparator" w:id="0">
    <w:p w14:paraId="35DFA37C" w14:textId="77777777" w:rsidR="003A49D4" w:rsidRDefault="003A49D4" w:rsidP="007E7997">
      <w:pPr>
        <w:spacing w:line="240" w:lineRule="auto"/>
      </w:pPr>
      <w:r>
        <w:continuationSeparator/>
      </w:r>
    </w:p>
  </w:footnote>
  <w:footnote w:type="continuationNotice" w:id="1">
    <w:p w14:paraId="258AC33D" w14:textId="77777777" w:rsidR="003A49D4" w:rsidRDefault="003A49D4">
      <w:pPr>
        <w:spacing w:after="0" w:line="240" w:lineRule="auto"/>
      </w:pPr>
    </w:p>
  </w:footnote>
  <w:footnote w:id="2">
    <w:p w14:paraId="6D57F103" w14:textId="77777777" w:rsidR="008912BF" w:rsidRPr="0098642D" w:rsidRDefault="008912BF" w:rsidP="008912BF">
      <w:pPr>
        <w:pStyle w:val="FootnoteText"/>
        <w:rPr>
          <w:rFonts w:ascii="Segoe UI" w:hAnsi="Segoe UI" w:cs="Segoe UI"/>
          <w:szCs w:val="16"/>
        </w:rPr>
      </w:pPr>
      <w:r w:rsidRPr="0098642D">
        <w:rPr>
          <w:rStyle w:val="FootnoteReference"/>
          <w:rFonts w:ascii="Segoe UI" w:hAnsi="Segoe UI" w:cs="Segoe UI"/>
          <w:szCs w:val="16"/>
        </w:rPr>
        <w:footnoteRef/>
      </w:r>
      <w:r w:rsidRPr="0098642D">
        <w:rPr>
          <w:rFonts w:ascii="Segoe UI" w:hAnsi="Segoe UI" w:cs="Segoe UI"/>
          <w:szCs w:val="16"/>
        </w:rPr>
        <w:t xml:space="preserve"> Previously known as CCP12.</w:t>
      </w:r>
    </w:p>
  </w:footnote>
  <w:footnote w:id="3">
    <w:p w14:paraId="61C5FE0B" w14:textId="77777777" w:rsidR="008912BF" w:rsidRPr="0098642D" w:rsidRDefault="008912BF" w:rsidP="008912BF">
      <w:pPr>
        <w:pStyle w:val="FootnoteText"/>
        <w:rPr>
          <w:rFonts w:ascii="Segoe UI" w:hAnsi="Segoe UI" w:cs="Segoe UI"/>
          <w:szCs w:val="16"/>
        </w:rPr>
      </w:pPr>
      <w:r w:rsidRPr="0098642D">
        <w:rPr>
          <w:rStyle w:val="FootnoteReference"/>
          <w:rFonts w:ascii="Segoe UI" w:hAnsi="Segoe UI" w:cs="Segoe UI"/>
          <w:szCs w:val="16"/>
        </w:rPr>
        <w:footnoteRef/>
      </w:r>
      <w:r w:rsidRPr="0098642D">
        <w:rPr>
          <w:rFonts w:ascii="Segoe UI" w:hAnsi="Segoe UI" w:cs="Segoe UI"/>
          <w:szCs w:val="16"/>
        </w:rPr>
        <w:t xml:space="preserve"> </w:t>
      </w:r>
      <w:bookmarkStart w:id="1" w:name="_Hlk150374954"/>
      <w:r w:rsidRPr="0098642D">
        <w:rPr>
          <w:rFonts w:ascii="Segoe UI" w:hAnsi="Segoe UI" w:cs="Segoe UI"/>
          <w:szCs w:val="16"/>
        </w:rPr>
        <w:t>ESMA, Consultation Paper</w:t>
      </w:r>
      <w:bookmarkEnd w:id="1"/>
      <w:r w:rsidRPr="0098642D">
        <w:rPr>
          <w:rFonts w:ascii="Segoe UI" w:hAnsi="Segoe UI" w:cs="Segoe UI"/>
          <w:szCs w:val="16"/>
        </w:rPr>
        <w:t xml:space="preserve">, Draft Technical advice to the European Commission on fees charged to Tier 1 Third-Country CCPs under EMIR (October 2023), available at </w:t>
      </w:r>
      <w:hyperlink r:id="rId1" w:history="1">
        <w:r w:rsidRPr="0098642D">
          <w:rPr>
            <w:rStyle w:val="Hyperlink"/>
            <w:rFonts w:ascii="Segoe UI" w:hAnsi="Segoe UI" w:cs="Segoe UI"/>
            <w:szCs w:val="16"/>
          </w:rPr>
          <w:t>Link</w:t>
        </w:r>
      </w:hyperlink>
      <w:r w:rsidRPr="0098642D">
        <w:rPr>
          <w:rFonts w:ascii="Segoe UI" w:hAnsi="Segoe UI" w:cs="Segoe UI"/>
          <w:szCs w:val="16"/>
        </w:rPr>
        <w:t xml:space="preserve">.  </w:t>
      </w:r>
      <w:hyperlink r:id="rId2" w:history="1"/>
    </w:p>
  </w:footnote>
  <w:footnote w:id="4">
    <w:p w14:paraId="03AFD2E0" w14:textId="77777777" w:rsidR="008912BF" w:rsidRPr="0098642D" w:rsidRDefault="008912BF" w:rsidP="008912BF">
      <w:pPr>
        <w:pStyle w:val="FootnoteText"/>
        <w:rPr>
          <w:rFonts w:ascii="Segoe UI" w:hAnsi="Segoe UI" w:cs="Segoe UI"/>
          <w:szCs w:val="16"/>
        </w:rPr>
      </w:pPr>
      <w:r w:rsidRPr="0098642D">
        <w:rPr>
          <w:rStyle w:val="FootnoteReference"/>
          <w:rFonts w:ascii="Segoe UI" w:hAnsi="Segoe UI" w:cs="Segoe UI"/>
          <w:szCs w:val="16"/>
        </w:rPr>
        <w:footnoteRef/>
      </w:r>
      <w:r w:rsidRPr="0098642D">
        <w:rPr>
          <w:rFonts w:ascii="Segoe UI" w:hAnsi="Segoe UI" w:cs="Segoe UI"/>
          <w:szCs w:val="16"/>
        </w:rPr>
        <w:t xml:space="preserve"> </w:t>
      </w:r>
      <w:r w:rsidRPr="0098642D">
        <w:rPr>
          <w:rFonts w:ascii="Segoe UI" w:hAnsi="Segoe UI" w:cs="Segoe UI"/>
          <w:i/>
          <w:iCs/>
          <w:szCs w:val="16"/>
        </w:rPr>
        <w:t>Ibid.</w:t>
      </w:r>
      <w:r w:rsidRPr="0098642D">
        <w:rPr>
          <w:rFonts w:ascii="Segoe UI" w:hAnsi="Segoe UI" w:cs="Segoe UI"/>
          <w:szCs w:val="16"/>
        </w:rPr>
        <w:t>, p. 9.</w:t>
      </w:r>
    </w:p>
  </w:footnote>
  <w:footnote w:id="5">
    <w:p w14:paraId="66FD5046" w14:textId="77777777" w:rsidR="008912BF" w:rsidRPr="0098642D" w:rsidRDefault="008912BF" w:rsidP="008912BF">
      <w:pPr>
        <w:pStyle w:val="FootnoteText"/>
        <w:rPr>
          <w:rFonts w:ascii="Segoe UI" w:hAnsi="Segoe UI" w:cs="Segoe UI"/>
          <w:szCs w:val="16"/>
        </w:rPr>
      </w:pPr>
      <w:r w:rsidRPr="0098642D">
        <w:rPr>
          <w:rStyle w:val="FootnoteReference"/>
          <w:rFonts w:ascii="Segoe UI" w:hAnsi="Segoe UI" w:cs="Segoe UI"/>
          <w:szCs w:val="16"/>
        </w:rPr>
        <w:footnoteRef/>
      </w:r>
      <w:r w:rsidRPr="0098642D">
        <w:rPr>
          <w:rFonts w:ascii="Segoe UI" w:hAnsi="Segoe UI" w:cs="Segoe UI"/>
          <w:szCs w:val="16"/>
        </w:rPr>
        <w:t xml:space="preserve"> </w:t>
      </w:r>
      <w:r w:rsidRPr="0098642D">
        <w:rPr>
          <w:rFonts w:ascii="Segoe UI" w:hAnsi="Segoe UI" w:cs="Segoe UI"/>
          <w:i/>
          <w:iCs/>
          <w:szCs w:val="16"/>
        </w:rPr>
        <w:t>Ibid.</w:t>
      </w:r>
    </w:p>
  </w:footnote>
  <w:footnote w:id="6">
    <w:p w14:paraId="1EFD713D" w14:textId="77777777" w:rsidR="008912BF" w:rsidRPr="0098642D" w:rsidRDefault="008912BF" w:rsidP="008912BF">
      <w:pPr>
        <w:pStyle w:val="FootnoteText"/>
        <w:rPr>
          <w:rFonts w:ascii="Segoe UI" w:hAnsi="Segoe UI" w:cs="Segoe UI"/>
          <w:szCs w:val="16"/>
        </w:rPr>
      </w:pPr>
      <w:r w:rsidRPr="0098642D">
        <w:rPr>
          <w:rStyle w:val="FootnoteReference"/>
          <w:rFonts w:ascii="Segoe UI" w:hAnsi="Segoe UI" w:cs="Segoe UI"/>
          <w:szCs w:val="16"/>
        </w:rPr>
        <w:footnoteRef/>
      </w:r>
      <w:r w:rsidRPr="0098642D">
        <w:rPr>
          <w:rFonts w:ascii="Segoe UI" w:hAnsi="Segoe UI" w:cs="Segoe UI"/>
          <w:szCs w:val="16"/>
        </w:rPr>
        <w:t xml:space="preserve"> </w:t>
      </w:r>
      <w:r w:rsidRPr="0098642D">
        <w:rPr>
          <w:rFonts w:ascii="Segoe UI" w:hAnsi="Segoe UI" w:cs="Segoe UI"/>
          <w:i/>
          <w:iCs/>
          <w:szCs w:val="16"/>
        </w:rPr>
        <w:t>Ibid.</w:t>
      </w:r>
      <w:r w:rsidRPr="0098642D">
        <w:rPr>
          <w:rFonts w:ascii="Segoe UI" w:hAnsi="Segoe UI" w:cs="Segoe UI"/>
          <w:szCs w:val="16"/>
        </w:rPr>
        <w:t>, p. 9-10.</w:t>
      </w:r>
    </w:p>
  </w:footnote>
  <w:footnote w:id="7">
    <w:p w14:paraId="7BEDE289" w14:textId="77777777" w:rsidR="008912BF" w:rsidRPr="0098642D" w:rsidRDefault="008912BF" w:rsidP="008912BF">
      <w:pPr>
        <w:pStyle w:val="FootnoteText"/>
        <w:rPr>
          <w:rFonts w:ascii="Segoe UI" w:hAnsi="Segoe UI" w:cs="Segoe UI"/>
          <w:szCs w:val="16"/>
          <w:lang w:val="en-US"/>
        </w:rPr>
      </w:pPr>
      <w:r w:rsidRPr="0098642D">
        <w:rPr>
          <w:rStyle w:val="FootnoteReference"/>
          <w:rFonts w:ascii="Segoe UI" w:hAnsi="Segoe UI" w:cs="Segoe UI"/>
          <w:szCs w:val="16"/>
        </w:rPr>
        <w:footnoteRef/>
      </w:r>
      <w:r w:rsidRPr="0098642D">
        <w:rPr>
          <w:rFonts w:ascii="Segoe UI" w:hAnsi="Segoe UI" w:cs="Segoe UI"/>
          <w:szCs w:val="16"/>
        </w:rPr>
        <w:t xml:space="preserve"> However, we recognize that metrics, which may be more appropriate conceptually, could in practice be less readily available or auditable. Therefore, CCP Global would request that ESMA establish a fee structure that strikes the right balance between sufficiently approximating the relative level of scrutiny ESMA may place on a Tier 1 CCP and being transparent and reasonably straightforward to produce.</w:t>
      </w:r>
    </w:p>
  </w:footnote>
  <w:footnote w:id="8">
    <w:p w14:paraId="70189681" w14:textId="77777777" w:rsidR="008912BF" w:rsidRPr="0098642D" w:rsidRDefault="008912BF" w:rsidP="008912BF">
      <w:pPr>
        <w:pStyle w:val="FootnoteText"/>
        <w:rPr>
          <w:rFonts w:ascii="Segoe UI" w:hAnsi="Segoe UI" w:cs="Segoe UI"/>
          <w:szCs w:val="16"/>
        </w:rPr>
      </w:pPr>
      <w:r w:rsidRPr="0098642D">
        <w:rPr>
          <w:rStyle w:val="FootnoteReference"/>
          <w:rFonts w:ascii="Segoe UI" w:hAnsi="Segoe UI" w:cs="Segoe UI"/>
          <w:szCs w:val="16"/>
        </w:rPr>
        <w:footnoteRef/>
      </w:r>
      <w:r w:rsidRPr="0098642D">
        <w:rPr>
          <w:rFonts w:ascii="Segoe UI" w:hAnsi="Segoe UI" w:cs="Segoe UI"/>
          <w:szCs w:val="16"/>
        </w:rPr>
        <w:t xml:space="preserve"> ESMA, Third-Country CCPs, available at </w:t>
      </w:r>
      <w:hyperlink r:id="rId3" w:history="1">
        <w:r w:rsidRPr="0098642D">
          <w:rPr>
            <w:rStyle w:val="Hyperlink"/>
            <w:rFonts w:ascii="Segoe UI" w:hAnsi="Segoe UI" w:cs="Segoe UI"/>
            <w:szCs w:val="16"/>
          </w:rPr>
          <w:t>Link</w:t>
        </w:r>
      </w:hyperlink>
      <w:r w:rsidRPr="0098642D">
        <w:rPr>
          <w:rFonts w:ascii="Segoe UI" w:hAnsi="Segoe UI" w:cs="Segoe UI"/>
          <w:szCs w:val="16"/>
        </w:rPr>
        <w:t>.</w:t>
      </w:r>
    </w:p>
  </w:footnote>
  <w:footnote w:id="9">
    <w:p w14:paraId="7A52D310" w14:textId="77777777" w:rsidR="008912BF" w:rsidRPr="0098642D" w:rsidRDefault="008912BF" w:rsidP="008912BF">
      <w:pPr>
        <w:pStyle w:val="FootnoteText"/>
        <w:rPr>
          <w:rFonts w:ascii="Segoe UI" w:hAnsi="Segoe UI" w:cs="Segoe UI"/>
          <w:szCs w:val="16"/>
          <w:lang w:val="en-US"/>
        </w:rPr>
      </w:pPr>
      <w:r w:rsidRPr="0098642D">
        <w:rPr>
          <w:rStyle w:val="FootnoteReference"/>
          <w:rFonts w:ascii="Segoe UI" w:hAnsi="Segoe UI" w:cs="Segoe UI"/>
          <w:szCs w:val="16"/>
        </w:rPr>
        <w:footnoteRef/>
      </w:r>
      <w:r w:rsidRPr="0098642D">
        <w:rPr>
          <w:rFonts w:ascii="Segoe UI" w:hAnsi="Segoe UI" w:cs="Segoe UI"/>
          <w:szCs w:val="16"/>
        </w:rPr>
        <w:t xml:space="preserve"> </w:t>
      </w:r>
      <w:r w:rsidRPr="0098642D">
        <w:rPr>
          <w:rFonts w:ascii="Segoe UI" w:hAnsi="Segoe UI" w:cs="Segoe UI"/>
          <w:szCs w:val="16"/>
          <w:lang w:val="en-US"/>
        </w:rPr>
        <w:t>ESMA, Final Report, Technical advice on ESMA fees for Third-Country CCPs under EMIR 2.2 (November 2019), available at</w:t>
      </w:r>
      <w:r w:rsidRPr="0098642D">
        <w:rPr>
          <w:rFonts w:ascii="Segoe UI" w:hAnsi="Segoe UI" w:cs="Segoe UI"/>
          <w:szCs w:val="16"/>
        </w:rPr>
        <w:t xml:space="preserve"> </w:t>
      </w:r>
      <w:hyperlink r:id="rId4" w:history="1">
        <w:r w:rsidRPr="0098642D">
          <w:rPr>
            <w:rStyle w:val="Hyperlink"/>
            <w:rFonts w:ascii="Segoe UI" w:hAnsi="Segoe UI" w:cs="Segoe UI"/>
            <w:szCs w:val="16"/>
          </w:rPr>
          <w:t>Link</w:t>
        </w:r>
      </w:hyperlink>
      <w:r w:rsidRPr="0098642D">
        <w:rPr>
          <w:rFonts w:ascii="Segoe UI" w:hAnsi="Segoe UI" w:cs="Segoe UI"/>
          <w:szCs w:val="16"/>
        </w:rPr>
        <w:t>; see page 26:</w:t>
      </w:r>
      <w:r w:rsidRPr="0098642D">
        <w:rPr>
          <w:rFonts w:ascii="Segoe UI" w:hAnsi="Segoe UI" w:cs="Segoe UI"/>
          <w:szCs w:val="16"/>
          <w:lang w:val="en-US"/>
        </w:rPr>
        <w:t xml:space="preserve"> “</w:t>
      </w:r>
      <w:r w:rsidRPr="0098642D">
        <w:rPr>
          <w:rFonts w:ascii="Segoe UI" w:hAnsi="Segoe UI" w:cs="Segoe UI"/>
          <w:szCs w:val="16"/>
        </w:rPr>
        <w:t>Under Article 25d(2) the fees charged to TC-CCPs shall be proportionate to their turnover. In the case of TC-CCPs, the proportionality of fees with the turnover cannot be assessed in isolation. It has necessarily to be considered in conjunction with the relevance of a given TC-CCP in the EU. The relevance of a TC-CCP for the EU is linked, among others, to the revenues that are obtained providing services in the EU or to EU clearing members. Moreover, ESMA proposes to establish separate annual supervisory fee for Tier 1 TC-CCPs and Tier 2 TC-CCPs. By establishing separate fees for Tier 1 TC-CCPs and Tier 2 TC-CCPs, which leverage on the relevance that a TC-CCP has in the Union, ESMA also understands that its advice complies with the requirement in Article 25 to apply fees that are proportionate to the turnover of the TC-CCPs.”</w:t>
      </w:r>
    </w:p>
  </w:footnote>
  <w:footnote w:id="10">
    <w:p w14:paraId="567804EC" w14:textId="77777777" w:rsidR="008912BF" w:rsidRPr="0098642D" w:rsidRDefault="008912BF" w:rsidP="008912BF">
      <w:pPr>
        <w:pStyle w:val="FootnoteText"/>
        <w:rPr>
          <w:rFonts w:ascii="Segoe UI" w:hAnsi="Segoe UI" w:cs="Segoe UI"/>
          <w:szCs w:val="16"/>
          <w:lang w:val="en-US"/>
        </w:rPr>
      </w:pPr>
      <w:r w:rsidRPr="0098642D">
        <w:rPr>
          <w:rStyle w:val="FootnoteReference"/>
          <w:rFonts w:ascii="Segoe UI" w:hAnsi="Segoe UI" w:cs="Segoe UI"/>
          <w:szCs w:val="16"/>
        </w:rPr>
        <w:footnoteRef/>
      </w:r>
      <w:r w:rsidRPr="0098642D">
        <w:rPr>
          <w:rFonts w:ascii="Segoe UI" w:hAnsi="Segoe UI" w:cs="Segoe UI"/>
          <w:szCs w:val="16"/>
        </w:rPr>
        <w:t xml:space="preserve"> </w:t>
      </w:r>
      <w:r w:rsidRPr="0098642D">
        <w:rPr>
          <w:rFonts w:ascii="Segoe UI" w:hAnsi="Segoe UI" w:cs="Segoe UI"/>
          <w:szCs w:val="16"/>
          <w:lang w:val="en-US"/>
        </w:rPr>
        <w:t>European Commission, Commission Delegated Regulation of 14 July 2020</w:t>
      </w:r>
      <w:r w:rsidRPr="0098642D">
        <w:rPr>
          <w:rFonts w:ascii="Segoe UI" w:hAnsi="Segoe UI" w:cs="Segoe UI"/>
          <w:szCs w:val="16"/>
        </w:rPr>
        <w:t xml:space="preserve"> </w:t>
      </w:r>
      <w:r w:rsidRPr="0098642D">
        <w:rPr>
          <w:rFonts w:ascii="Segoe UI" w:hAnsi="Segoe UI" w:cs="Segoe UI"/>
          <w:szCs w:val="16"/>
          <w:lang w:val="en-US"/>
        </w:rPr>
        <w:t xml:space="preserve">supplementing Regulation (EU) No 648/2012 of the European Parliament and of the Council with regard to fees charged by the European Securities and Markets Authority to central counterparties established in third countries, available at </w:t>
      </w:r>
      <w:hyperlink r:id="rId5" w:history="1">
        <w:r w:rsidRPr="0098642D">
          <w:rPr>
            <w:rStyle w:val="Hyperlink"/>
            <w:rFonts w:ascii="Segoe UI" w:hAnsi="Segoe UI" w:cs="Segoe UI"/>
            <w:szCs w:val="16"/>
            <w:lang w:val="en-US"/>
          </w:rPr>
          <w:t>Link</w:t>
        </w:r>
      </w:hyperlink>
      <w:r w:rsidRPr="0098642D">
        <w:rPr>
          <w:rFonts w:ascii="Segoe UI" w:hAnsi="Segoe UI" w:cs="Segoe UI"/>
          <w:szCs w:val="16"/>
          <w:lang w:val="en-US"/>
        </w:rPr>
        <w:t xml:space="preserve">; when the European Commission adopted the final fee structure that would require an even split of projected Tier 1 CCP annual supervisory costs, it stated that: “ESMA’s tasks in relation to Tier 1 CCPs will be relatively </w:t>
      </w:r>
      <w:proofErr w:type="spellStart"/>
      <w:r w:rsidRPr="0098642D">
        <w:rPr>
          <w:rFonts w:ascii="Segoe UI" w:hAnsi="Segoe UI" w:cs="Segoe UI"/>
          <w:szCs w:val="16"/>
          <w:lang w:val="en-US"/>
        </w:rPr>
        <w:t>standardised</w:t>
      </w:r>
      <w:proofErr w:type="spellEnd"/>
      <w:r w:rsidRPr="0098642D">
        <w:rPr>
          <w:rFonts w:ascii="Segoe UI" w:hAnsi="Segoe UI" w:cs="Segoe UI"/>
          <w:szCs w:val="16"/>
          <w:lang w:val="en-US"/>
        </w:rPr>
        <w:t xml:space="preserve"> across Tier 1 CCPs, regardless of their size. Turnover should not therefore be reflected in the annual fees for Tier 1 CCPs in the same way than for Tier 2 CCPs.” (see at p. 6)</w:t>
      </w:r>
    </w:p>
  </w:footnote>
  <w:footnote w:id="11">
    <w:p w14:paraId="7EC01726" w14:textId="77777777" w:rsidR="008912BF" w:rsidRPr="000F355E" w:rsidRDefault="008912BF" w:rsidP="008912BF">
      <w:pPr>
        <w:pStyle w:val="FootnoteText"/>
        <w:rPr>
          <w:rFonts w:ascii="Ebrima" w:hAnsi="Ebrima"/>
          <w:szCs w:val="16"/>
        </w:rPr>
      </w:pPr>
      <w:r w:rsidRPr="000F355E">
        <w:rPr>
          <w:rStyle w:val="FootnoteReference"/>
          <w:rFonts w:ascii="Ebrima" w:hAnsi="Ebrima"/>
          <w:szCs w:val="16"/>
        </w:rPr>
        <w:footnoteRef/>
      </w:r>
      <w:r w:rsidRPr="000F355E">
        <w:rPr>
          <w:rFonts w:ascii="Ebrima" w:hAnsi="Ebrima"/>
          <w:szCs w:val="16"/>
        </w:rPr>
        <w:t xml:space="preserve"> ESMA, Consultation Paper, </w:t>
      </w:r>
      <w:r w:rsidRPr="000F355E">
        <w:rPr>
          <w:rFonts w:ascii="Ebrima" w:hAnsi="Ebrima"/>
          <w:i/>
          <w:iCs/>
          <w:szCs w:val="16"/>
        </w:rPr>
        <w:t>op. cit</w:t>
      </w:r>
      <w:r w:rsidRPr="000F355E">
        <w:rPr>
          <w:rFonts w:ascii="Ebrima" w:hAnsi="Ebrima"/>
          <w:szCs w:val="16"/>
        </w:rPr>
        <w:t xml:space="preserve">., p. 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643CC589"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2AC4487A" w14:textId="0861044D" w:rsidR="00D77369" w:rsidRPr="00D77369" w:rsidRDefault="00D77369" w:rsidP="00D77369">
    <w:pPr>
      <w:pStyle w:val="Header"/>
    </w:pPr>
  </w:p>
  <w:p w14:paraId="471D4524" w14:textId="77777777" w:rsidR="004E5FF8" w:rsidRDefault="004E5FF8" w:rsidP="004E5FF8"/>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64C"/>
    <w:multiLevelType w:val="hybridMultilevel"/>
    <w:tmpl w:val="DE3E8F86"/>
    <w:lvl w:ilvl="0" w:tplc="736C7682">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160A43F4"/>
    <w:multiLevelType w:val="hybridMultilevel"/>
    <w:tmpl w:val="A32093C2"/>
    <w:lvl w:ilvl="0" w:tplc="2C38C456">
      <w:numFmt w:val="bullet"/>
      <w:lvlText w:val="•"/>
      <w:lvlJc w:val="left"/>
      <w:pPr>
        <w:ind w:left="1068" w:hanging="708"/>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28806DE5"/>
    <w:multiLevelType w:val="multilevel"/>
    <w:tmpl w:val="5790C220"/>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F7B34B7"/>
    <w:multiLevelType w:val="hybridMultilevel"/>
    <w:tmpl w:val="F85A255C"/>
    <w:lvl w:ilvl="0" w:tplc="8F00713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3A52232B"/>
    <w:multiLevelType w:val="hybridMultilevel"/>
    <w:tmpl w:val="4906BC82"/>
    <w:lvl w:ilvl="0" w:tplc="59EC2712">
      <w:start w:val="1"/>
      <w:numFmt w:val="decimal"/>
      <w:pStyle w:val="Questionstyle"/>
      <w:lvlText w:val="Q%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0663CB"/>
    <w:multiLevelType w:val="hybridMultilevel"/>
    <w:tmpl w:val="B3F40CA6"/>
    <w:lvl w:ilvl="0" w:tplc="ACB06F0C">
      <w:start w:val="1"/>
      <w:numFmt w:val="bullet"/>
      <w:pStyle w:val="ListParagraph"/>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37E6254"/>
    <w:multiLevelType w:val="hybridMultilevel"/>
    <w:tmpl w:val="D53AB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F83D32"/>
    <w:multiLevelType w:val="hybridMultilevel"/>
    <w:tmpl w:val="E9726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FA5A6D"/>
    <w:multiLevelType w:val="hybridMultilevel"/>
    <w:tmpl w:val="FFDEAEC2"/>
    <w:lvl w:ilvl="0" w:tplc="08D42168">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6BAD1101"/>
    <w:multiLevelType w:val="multilevel"/>
    <w:tmpl w:val="647663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93464995">
    <w:abstractNumId w:val="3"/>
  </w:num>
  <w:num w:numId="2" w16cid:durableId="1222054594">
    <w:abstractNumId w:val="3"/>
  </w:num>
  <w:num w:numId="3" w16cid:durableId="2071421525">
    <w:abstractNumId w:val="12"/>
  </w:num>
  <w:num w:numId="4" w16cid:durableId="270287514">
    <w:abstractNumId w:val="4"/>
  </w:num>
  <w:num w:numId="5" w16cid:durableId="1824855989">
    <w:abstractNumId w:val="11"/>
  </w:num>
  <w:num w:numId="6" w16cid:durableId="1651521833">
    <w:abstractNumId w:val="7"/>
  </w:num>
  <w:num w:numId="7" w16cid:durableId="650520466">
    <w:abstractNumId w:val="0"/>
  </w:num>
  <w:num w:numId="8" w16cid:durableId="1913006406">
    <w:abstractNumId w:val="5"/>
  </w:num>
  <w:num w:numId="9" w16cid:durableId="1653871588">
    <w:abstractNumId w:val="2"/>
  </w:num>
  <w:num w:numId="10" w16cid:durableId="67121918">
    <w:abstractNumId w:val="1"/>
  </w:num>
  <w:num w:numId="11" w16cid:durableId="1675497260">
    <w:abstractNumId w:val="8"/>
  </w:num>
  <w:num w:numId="12" w16cid:durableId="1146706333">
    <w:abstractNumId w:val="3"/>
  </w:num>
  <w:num w:numId="13" w16cid:durableId="1702976428">
    <w:abstractNumId w:val="10"/>
  </w:num>
  <w:num w:numId="14" w16cid:durableId="368453654">
    <w:abstractNumId w:val="9"/>
  </w:num>
  <w:num w:numId="15" w16cid:durableId="48243408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C1F"/>
    <w:rsid w:val="00012D68"/>
    <w:rsid w:val="00015167"/>
    <w:rsid w:val="00020300"/>
    <w:rsid w:val="00021485"/>
    <w:rsid w:val="0002190B"/>
    <w:rsid w:val="00025A7F"/>
    <w:rsid w:val="00032E1F"/>
    <w:rsid w:val="000372BF"/>
    <w:rsid w:val="0004374E"/>
    <w:rsid w:val="00044C5A"/>
    <w:rsid w:val="00045BA9"/>
    <w:rsid w:val="000504AC"/>
    <w:rsid w:val="00052C11"/>
    <w:rsid w:val="00054C9F"/>
    <w:rsid w:val="00087D2D"/>
    <w:rsid w:val="000A7CF6"/>
    <w:rsid w:val="000B5D3D"/>
    <w:rsid w:val="000C0CE0"/>
    <w:rsid w:val="000C1E78"/>
    <w:rsid w:val="000C7EDE"/>
    <w:rsid w:val="000D1038"/>
    <w:rsid w:val="000D1E53"/>
    <w:rsid w:val="000E7879"/>
    <w:rsid w:val="00100177"/>
    <w:rsid w:val="00110E98"/>
    <w:rsid w:val="00115648"/>
    <w:rsid w:val="00130EF9"/>
    <w:rsid w:val="00144AAD"/>
    <w:rsid w:val="00157895"/>
    <w:rsid w:val="0016369E"/>
    <w:rsid w:val="00170D8A"/>
    <w:rsid w:val="001752CF"/>
    <w:rsid w:val="0018540C"/>
    <w:rsid w:val="00194440"/>
    <w:rsid w:val="00197FF5"/>
    <w:rsid w:val="001B2151"/>
    <w:rsid w:val="001B4996"/>
    <w:rsid w:val="001B73E7"/>
    <w:rsid w:val="001C69A8"/>
    <w:rsid w:val="001D7492"/>
    <w:rsid w:val="001F6DD6"/>
    <w:rsid w:val="001F7E7D"/>
    <w:rsid w:val="00205C40"/>
    <w:rsid w:val="0020622B"/>
    <w:rsid w:val="0021101C"/>
    <w:rsid w:val="00213569"/>
    <w:rsid w:val="00233DDB"/>
    <w:rsid w:val="0024051F"/>
    <w:rsid w:val="00245056"/>
    <w:rsid w:val="002533FC"/>
    <w:rsid w:val="002537CE"/>
    <w:rsid w:val="002574D1"/>
    <w:rsid w:val="00263AFF"/>
    <w:rsid w:val="002A0C3C"/>
    <w:rsid w:val="002B59F0"/>
    <w:rsid w:val="002D557C"/>
    <w:rsid w:val="002E1C11"/>
    <w:rsid w:val="002E4311"/>
    <w:rsid w:val="002E7268"/>
    <w:rsid w:val="00305D1F"/>
    <w:rsid w:val="00314117"/>
    <w:rsid w:val="00317DF8"/>
    <w:rsid w:val="00317EDF"/>
    <w:rsid w:val="003279E7"/>
    <w:rsid w:val="0033324D"/>
    <w:rsid w:val="003454ED"/>
    <w:rsid w:val="00347121"/>
    <w:rsid w:val="00366D42"/>
    <w:rsid w:val="0037245E"/>
    <w:rsid w:val="003A49D4"/>
    <w:rsid w:val="003B032C"/>
    <w:rsid w:val="003C4EB5"/>
    <w:rsid w:val="003D61FE"/>
    <w:rsid w:val="003E2ED5"/>
    <w:rsid w:val="003F0BBC"/>
    <w:rsid w:val="003F39B1"/>
    <w:rsid w:val="003F4AFE"/>
    <w:rsid w:val="00405453"/>
    <w:rsid w:val="004168B9"/>
    <w:rsid w:val="00424573"/>
    <w:rsid w:val="004302ED"/>
    <w:rsid w:val="0043139E"/>
    <w:rsid w:val="00435FE9"/>
    <w:rsid w:val="00445696"/>
    <w:rsid w:val="00454259"/>
    <w:rsid w:val="00463479"/>
    <w:rsid w:val="0048000F"/>
    <w:rsid w:val="004C211B"/>
    <w:rsid w:val="004D7F13"/>
    <w:rsid w:val="004E5FF8"/>
    <w:rsid w:val="004F6395"/>
    <w:rsid w:val="00501C1C"/>
    <w:rsid w:val="00516CBA"/>
    <w:rsid w:val="005264C5"/>
    <w:rsid w:val="00526E5D"/>
    <w:rsid w:val="00527C09"/>
    <w:rsid w:val="00563C1F"/>
    <w:rsid w:val="005647ED"/>
    <w:rsid w:val="00565193"/>
    <w:rsid w:val="00572A06"/>
    <w:rsid w:val="005958B6"/>
    <w:rsid w:val="005A07B6"/>
    <w:rsid w:val="005A7EDB"/>
    <w:rsid w:val="005B3BA8"/>
    <w:rsid w:val="005B6B12"/>
    <w:rsid w:val="005E2E82"/>
    <w:rsid w:val="005F002F"/>
    <w:rsid w:val="005F0F25"/>
    <w:rsid w:val="005F1194"/>
    <w:rsid w:val="006014B2"/>
    <w:rsid w:val="00601C34"/>
    <w:rsid w:val="006035B0"/>
    <w:rsid w:val="006334B4"/>
    <w:rsid w:val="0063565E"/>
    <w:rsid w:val="00636E02"/>
    <w:rsid w:val="00640B97"/>
    <w:rsid w:val="00642297"/>
    <w:rsid w:val="0064351D"/>
    <w:rsid w:val="00644A34"/>
    <w:rsid w:val="006604BE"/>
    <w:rsid w:val="00662882"/>
    <w:rsid w:val="00665A7C"/>
    <w:rsid w:val="00671363"/>
    <w:rsid w:val="00672010"/>
    <w:rsid w:val="00672C04"/>
    <w:rsid w:val="006760AD"/>
    <w:rsid w:val="00685A84"/>
    <w:rsid w:val="006A30A8"/>
    <w:rsid w:val="006A44DA"/>
    <w:rsid w:val="006A6374"/>
    <w:rsid w:val="006A7A10"/>
    <w:rsid w:val="006B0DA4"/>
    <w:rsid w:val="006B1B6B"/>
    <w:rsid w:val="006B6CDB"/>
    <w:rsid w:val="006C0D3A"/>
    <w:rsid w:val="006C5A3D"/>
    <w:rsid w:val="006E1AAD"/>
    <w:rsid w:val="006F53E8"/>
    <w:rsid w:val="007023F5"/>
    <w:rsid w:val="00706072"/>
    <w:rsid w:val="00712300"/>
    <w:rsid w:val="007151BF"/>
    <w:rsid w:val="007205F7"/>
    <w:rsid w:val="00734107"/>
    <w:rsid w:val="00740229"/>
    <w:rsid w:val="00747785"/>
    <w:rsid w:val="0076571A"/>
    <w:rsid w:val="00766D94"/>
    <w:rsid w:val="007675BB"/>
    <w:rsid w:val="007823A2"/>
    <w:rsid w:val="00784292"/>
    <w:rsid w:val="00787413"/>
    <w:rsid w:val="00794595"/>
    <w:rsid w:val="00794C71"/>
    <w:rsid w:val="007960D8"/>
    <w:rsid w:val="00797E0C"/>
    <w:rsid w:val="007D0DC1"/>
    <w:rsid w:val="007D5C4D"/>
    <w:rsid w:val="007E7997"/>
    <w:rsid w:val="00810C3D"/>
    <w:rsid w:val="0082744A"/>
    <w:rsid w:val="00840EC8"/>
    <w:rsid w:val="00842AC5"/>
    <w:rsid w:val="00843C16"/>
    <w:rsid w:val="0085754A"/>
    <w:rsid w:val="008755EE"/>
    <w:rsid w:val="008858FE"/>
    <w:rsid w:val="0089075A"/>
    <w:rsid w:val="008912BF"/>
    <w:rsid w:val="00891391"/>
    <w:rsid w:val="00895081"/>
    <w:rsid w:val="008A1115"/>
    <w:rsid w:val="008C767A"/>
    <w:rsid w:val="008D5C28"/>
    <w:rsid w:val="008D7023"/>
    <w:rsid w:val="00906D18"/>
    <w:rsid w:val="00925E04"/>
    <w:rsid w:val="00932A63"/>
    <w:rsid w:val="00972E4C"/>
    <w:rsid w:val="0098532F"/>
    <w:rsid w:val="0099526D"/>
    <w:rsid w:val="009A3DA7"/>
    <w:rsid w:val="009A7F6B"/>
    <w:rsid w:val="009B2BFF"/>
    <w:rsid w:val="009C7694"/>
    <w:rsid w:val="009D7294"/>
    <w:rsid w:val="00A026A4"/>
    <w:rsid w:val="00A0307C"/>
    <w:rsid w:val="00A24411"/>
    <w:rsid w:val="00A410CC"/>
    <w:rsid w:val="00A465A6"/>
    <w:rsid w:val="00A772D0"/>
    <w:rsid w:val="00A91D91"/>
    <w:rsid w:val="00AA054E"/>
    <w:rsid w:val="00AB7542"/>
    <w:rsid w:val="00AC7764"/>
    <w:rsid w:val="00AC79E0"/>
    <w:rsid w:val="00AD0B10"/>
    <w:rsid w:val="00AD150A"/>
    <w:rsid w:val="00AD239F"/>
    <w:rsid w:val="00AE4FC7"/>
    <w:rsid w:val="00AF6B1E"/>
    <w:rsid w:val="00B00DF5"/>
    <w:rsid w:val="00B040F3"/>
    <w:rsid w:val="00B04283"/>
    <w:rsid w:val="00B11EFB"/>
    <w:rsid w:val="00B15C0B"/>
    <w:rsid w:val="00B17AF3"/>
    <w:rsid w:val="00B27499"/>
    <w:rsid w:val="00B40D81"/>
    <w:rsid w:val="00B50534"/>
    <w:rsid w:val="00B52E10"/>
    <w:rsid w:val="00B55ABB"/>
    <w:rsid w:val="00B655D1"/>
    <w:rsid w:val="00B73281"/>
    <w:rsid w:val="00B74FA7"/>
    <w:rsid w:val="00B7765E"/>
    <w:rsid w:val="00B85764"/>
    <w:rsid w:val="00B91B6E"/>
    <w:rsid w:val="00B947F8"/>
    <w:rsid w:val="00BB449C"/>
    <w:rsid w:val="00BC2561"/>
    <w:rsid w:val="00BC422A"/>
    <w:rsid w:val="00BE225E"/>
    <w:rsid w:val="00BE2B4F"/>
    <w:rsid w:val="00BE32FB"/>
    <w:rsid w:val="00BE385B"/>
    <w:rsid w:val="00BF25CD"/>
    <w:rsid w:val="00C00AF3"/>
    <w:rsid w:val="00C0696A"/>
    <w:rsid w:val="00C123AA"/>
    <w:rsid w:val="00C1310D"/>
    <w:rsid w:val="00C138DD"/>
    <w:rsid w:val="00C36B53"/>
    <w:rsid w:val="00C570F9"/>
    <w:rsid w:val="00C73DBB"/>
    <w:rsid w:val="00C775F7"/>
    <w:rsid w:val="00C84A0F"/>
    <w:rsid w:val="00C90566"/>
    <w:rsid w:val="00C92415"/>
    <w:rsid w:val="00CA04B9"/>
    <w:rsid w:val="00CA565A"/>
    <w:rsid w:val="00CB50EF"/>
    <w:rsid w:val="00CB64EB"/>
    <w:rsid w:val="00CB791A"/>
    <w:rsid w:val="00CD47B2"/>
    <w:rsid w:val="00CE49F8"/>
    <w:rsid w:val="00CE55C4"/>
    <w:rsid w:val="00CF01DC"/>
    <w:rsid w:val="00CF0BAC"/>
    <w:rsid w:val="00D0373D"/>
    <w:rsid w:val="00D1409C"/>
    <w:rsid w:val="00D22F2F"/>
    <w:rsid w:val="00D23A01"/>
    <w:rsid w:val="00D33C31"/>
    <w:rsid w:val="00D46275"/>
    <w:rsid w:val="00D604F0"/>
    <w:rsid w:val="00D60C99"/>
    <w:rsid w:val="00D73338"/>
    <w:rsid w:val="00D73444"/>
    <w:rsid w:val="00D740B5"/>
    <w:rsid w:val="00D77369"/>
    <w:rsid w:val="00D8666F"/>
    <w:rsid w:val="00DA74C1"/>
    <w:rsid w:val="00DB40AB"/>
    <w:rsid w:val="00DD16F6"/>
    <w:rsid w:val="00DE3473"/>
    <w:rsid w:val="00DF3785"/>
    <w:rsid w:val="00E02098"/>
    <w:rsid w:val="00E066A0"/>
    <w:rsid w:val="00E203AD"/>
    <w:rsid w:val="00E2046D"/>
    <w:rsid w:val="00E21617"/>
    <w:rsid w:val="00E27B64"/>
    <w:rsid w:val="00E3456B"/>
    <w:rsid w:val="00E366E2"/>
    <w:rsid w:val="00E36DE8"/>
    <w:rsid w:val="00E40D9D"/>
    <w:rsid w:val="00E500AC"/>
    <w:rsid w:val="00E55BB9"/>
    <w:rsid w:val="00E65F35"/>
    <w:rsid w:val="00E74E8C"/>
    <w:rsid w:val="00E775AE"/>
    <w:rsid w:val="00E81C78"/>
    <w:rsid w:val="00EA03D7"/>
    <w:rsid w:val="00EC6BD8"/>
    <w:rsid w:val="00ED4213"/>
    <w:rsid w:val="00ED74D7"/>
    <w:rsid w:val="00EF34F9"/>
    <w:rsid w:val="00EF6E2A"/>
    <w:rsid w:val="00F01F41"/>
    <w:rsid w:val="00F06455"/>
    <w:rsid w:val="00F13440"/>
    <w:rsid w:val="00F1604B"/>
    <w:rsid w:val="00F205B9"/>
    <w:rsid w:val="00F219DE"/>
    <w:rsid w:val="00F226E0"/>
    <w:rsid w:val="00F67EBD"/>
    <w:rsid w:val="00F72D28"/>
    <w:rsid w:val="00F80FAB"/>
    <w:rsid w:val="00F87C05"/>
    <w:rsid w:val="00FA0D71"/>
    <w:rsid w:val="00FB3B3B"/>
    <w:rsid w:val="00FC18B4"/>
    <w:rsid w:val="00FD0060"/>
    <w:rsid w:val="00FD66C4"/>
    <w:rsid w:val="00FF5F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4E0124FF-1E63-ED48-9D06-A7CF1F9B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3"/>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3"/>
      </w:numPr>
      <w:spacing w:before="320"/>
      <w:ind w:left="578" w:hanging="578"/>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2"/>
      </w:numPr>
    </w:pPr>
    <w:rPr>
      <w:rFonts w:asciiTheme="majorHAnsi" w:hAnsiTheme="majorHAnsi"/>
      <w:b/>
      <w:color w:val="00379F" w:themeColor="text1"/>
      <w:sz w:val="28"/>
    </w:rPr>
  </w:style>
  <w:style w:type="character" w:customStyle="1" w:styleId="Title1Char">
    <w:name w:val="Title 1 Char"/>
    <w:basedOn w:val="DefaultParagraphFont"/>
    <w:link w:val="Title1"/>
    <w:rsid w:val="00F205B9"/>
    <w:rPr>
      <w:rFonts w:asciiTheme="majorHAnsi" w:hAnsiTheme="majorHAnsi"/>
      <w:b/>
      <w:color w:val="00379F" w:themeColor="text1"/>
      <w:sz w:val="28"/>
      <w:lang w:val="en-GB"/>
    </w:rPr>
  </w:style>
  <w:style w:type="paragraph" w:styleId="ListParagraph">
    <w:name w:val="List Paragraph"/>
    <w:basedOn w:val="Normal"/>
    <w:autoRedefine/>
    <w:uiPriority w:val="34"/>
    <w:qFormat/>
    <w:rsid w:val="005B6B12"/>
    <w:pPr>
      <w:numPr>
        <w:numId w:val="6"/>
      </w:numPr>
    </w:pPr>
  </w:style>
  <w:style w:type="paragraph" w:customStyle="1" w:styleId="Title3">
    <w:name w:val="Title 3"/>
    <w:basedOn w:val="ListParagraph"/>
    <w:link w:val="Title3Char"/>
    <w:autoRedefine/>
    <w:rsid w:val="00F205B9"/>
    <w:pPr>
      <w:numPr>
        <w:ilvl w:val="3"/>
        <w:numId w:val="12"/>
      </w:numPr>
    </w:pPr>
  </w:style>
  <w:style w:type="character" w:customStyle="1" w:styleId="Title3Char">
    <w:name w:val="Title 3 Char"/>
    <w:basedOn w:val="DefaultParagraphFont"/>
    <w:link w:val="Title3"/>
    <w:rsid w:val="003C4EB5"/>
  </w:style>
  <w:style w:type="paragraph" w:customStyle="1" w:styleId="Title2">
    <w:name w:val="Title 2"/>
    <w:basedOn w:val="Title1"/>
    <w:link w:val="Title2Char"/>
    <w:autoRedefine/>
    <w:rsid w:val="00F205B9"/>
    <w:pPr>
      <w:numPr>
        <w:ilvl w:val="1"/>
        <w:numId w:val="12"/>
      </w:numPr>
      <w:spacing w:after="0"/>
    </w:pPr>
  </w:style>
  <w:style w:type="character" w:customStyle="1" w:styleId="Title2Char">
    <w:name w:val="Title 2 Char"/>
    <w:basedOn w:val="Title1Char"/>
    <w:link w:val="Title2"/>
    <w:rsid w:val="002574D1"/>
    <w:rPr>
      <w:rFonts w:asciiTheme="majorHAnsi" w:hAnsiTheme="majorHAnsi"/>
      <w:b/>
      <w:color w:val="00379F" w:themeColor="text1"/>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B91B6E"/>
    <w:pPr>
      <w:numPr>
        <w:numId w:val="15"/>
      </w:numPr>
      <w:contextualSpacing/>
    </w:pPr>
    <w:rPr>
      <w:b/>
    </w:rPr>
  </w:style>
  <w:style w:type="character" w:customStyle="1" w:styleId="QuestionstyleChar">
    <w:name w:val="Question style Char"/>
    <w:basedOn w:val="DefaultParagraphFont"/>
    <w:link w:val="Questionstyle"/>
    <w:rsid w:val="00B91B6E"/>
    <w:rPr>
      <w:b/>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6F53E8"/>
    <w:pPr>
      <w:spacing w:after="0" w:line="240" w:lineRule="auto"/>
    </w:pPr>
    <w:rPr>
      <w:sz w:val="16"/>
    </w:rPr>
  </w:style>
  <w:style w:type="character" w:customStyle="1" w:styleId="FootnoteTextChar">
    <w:name w:val="Footnote Text Char"/>
    <w:basedOn w:val="DefaultParagraphFont"/>
    <w:link w:val="FootnoteText"/>
    <w:uiPriority w:val="99"/>
    <w:rsid w:val="006F53E8"/>
    <w:rPr>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semiHidden/>
    <w:unhideWhenUsed/>
    <w:rsid w:val="00D33C31"/>
    <w:pPr>
      <w:spacing w:line="240" w:lineRule="auto"/>
    </w:pPr>
    <w:rPr>
      <w:sz w:val="20"/>
    </w:rPr>
  </w:style>
  <w:style w:type="character" w:customStyle="1" w:styleId="CommentTextChar">
    <w:name w:val="Comment Text Char"/>
    <w:basedOn w:val="DefaultParagraphFont"/>
    <w:link w:val="CommentText"/>
    <w:uiPriority w:val="99"/>
    <w:semiHidden/>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11"/>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paragraph" w:styleId="NormalWeb">
    <w:name w:val="Normal (Web)"/>
    <w:basedOn w:val="Normal"/>
    <w:uiPriority w:val="99"/>
    <w:unhideWhenUsed/>
    <w:rsid w:val="008912BF"/>
    <w:pPr>
      <w:spacing w:before="100" w:beforeAutospacing="1" w:after="100" w:afterAutospacing="1" w:line="240" w:lineRule="auto"/>
      <w:jc w:val="left"/>
    </w:pPr>
    <w:rPr>
      <w:rFonts w:ascii="Calibri" w:eastAsiaTheme="minorHAnsi" w:hAnsi="Calibri" w:cs="Calibri"/>
      <w:color w:val="auto"/>
      <w:szCs w:val="2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central-counterparties/third-country-ccps" TargetMode="External"/><Relationship Id="rId2" Type="http://schemas.openxmlformats.org/officeDocument/2006/relationships/hyperlink" Target="https://www.cftc.gov/PressRoom/PressReleases/8624-22" TargetMode="External"/><Relationship Id="rId1" Type="http://schemas.openxmlformats.org/officeDocument/2006/relationships/hyperlink" Target="https://www.esma.europa.eu/sites/default/files/2023-10/ESMA91-2145765636-8277_Consultation_Paper_on_Tier_1_CCP_fees.pdf" TargetMode="External"/><Relationship Id="rId5" Type="http://schemas.openxmlformats.org/officeDocument/2006/relationships/hyperlink" Target="https://eur-lex.europa.eu/legal-content/EN/TXT/PDF/?uri=PI_COM:C(2020)4891&amp;from=EN" TargetMode="External"/><Relationship Id="rId4" Type="http://schemas.openxmlformats.org/officeDocument/2006/relationships/hyperlink" Target="https://www.esma.europa.eu/sites/default/files/library/esma70-151-2650_final_report_on_ta_on_emir_2_2_ccp_fe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62</Value>
      <Value>17</Value>
      <Value>10</Value>
    </TaxCatchAll>
    <_dlc_DocId xmlns="d0fb0f98-34f9-4d57-9559-eb8efd17aa5e">ESMA91-2145765636-9264</_dlc_DocId>
    <_dlc_DocIdUrl xmlns="d0fb0f98-34f9-4d57-9559-eb8efd17aa5e">
      <Url>https://securitiesandmarketsauth.sharepoint.com/sites/sherpa-ccp/_layouts/15/DocIdRedir.aspx?ID=ESMA91-2145765636-9264</Url>
      <Description>ESMA91-2145765636-9264</Description>
    </_dlc_DocIdUrl>
    <_dlc_DocIdPersistId xmlns="d0fb0f98-34f9-4d57-9559-eb8efd17aa5e" xsi:nil="true"/>
    <lcf76f155ced4ddcb4097134ff3c332f xmlns="9516c55e-9f4d-4643-b438-a612b5d72cb2">
      <Terms xmlns="http://schemas.microsoft.com/office/infopath/2007/PartnerControls"/>
    </lcf76f155ced4ddcb4097134ff3c332f>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2.2</TermName>
          <TermId xmlns="http://schemas.microsoft.com/office/infopath/2007/PartnerControls">a857b041-24ab-49a3-9bdd-8f3a9879f7b1</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ocd626d180d94eeaae0a33d4a9b513ce>
    <h6d3aedb91e548d9a7a4b474e9cdf7ee xmlns="d0fb0f98-34f9-4d57-9559-eb8efd17aa5e">
      <Terms xmlns="http://schemas.microsoft.com/office/infopath/2007/PartnerControls"/>
    </h6d3aedb91e548d9a7a4b474e9cdf7ee>
    <MeetingDate xmlns="d0fb0f98-34f9-4d57-9559-eb8efd17aa5e" xsi:nil="true"/>
    <Year xmlns="d0fb0f98-34f9-4d57-9559-eb8efd17aa5e">2022</Year>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6ffc6c9a-7290-4545-ba79-3e594bad9285</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C-CCPs Document" ma:contentTypeID="0x0101002536E5CA04E63B45B37CD642F35CBCC80100739E130BF070584CA62A925815E25070" ma:contentTypeVersion="30" ma:contentTypeDescription="" ma:contentTypeScope="" ma:versionID="98148b95e9caf030399c3f26d87d423a">
  <xsd:schema xmlns:xsd="http://www.w3.org/2001/XMLSchema" xmlns:xs="http://www.w3.org/2001/XMLSchema" xmlns:p="http://schemas.microsoft.com/office/2006/metadata/properties" xmlns:ns2="d0fb0f98-34f9-4d57-9559-eb8efd17aa5e" xmlns:ns3="9516c55e-9f4d-4643-b438-a612b5d72cb2" targetNamespace="http://schemas.microsoft.com/office/2006/metadata/properties" ma:root="true" ma:fieldsID="3b13060b1314e1f28f347dbcd345a72b" ns2:_="" ns3:_="">
    <xsd:import namespace="d0fb0f98-34f9-4d57-9559-eb8efd17aa5e"/>
    <xsd:import namespace="9516c55e-9f4d-4643-b438-a612b5d72cb2"/>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4fc054b1-10b2-4a13-93c5-e00211718f34"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f29cba97-31f5-442e-a3a6-523061cde9bc"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1;#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6c55e-9f4d-4643-b438-a612b5d72cb2"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 ds:uri="9516c55e-9f4d-4643-b438-a612b5d72cb2"/>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0BA2A437-F66E-483B-97BF-06415B928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9516c55e-9f4d-4643-b438-a612b5d7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Karolina Ziółkowska</cp:lastModifiedBy>
  <cp:revision>4</cp:revision>
  <dcterms:created xsi:type="dcterms:W3CDTF">2023-10-30T10:29:00Z</dcterms:created>
  <dcterms:modified xsi:type="dcterms:W3CDTF">2023-11-10T16:34:00Z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0x0101002536E5CA04E63B45B37CD642F35CBCC80100739E130BF070584CA62A925815E25070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645618eb-f8d9-42a8-abfc-1b1832507a55</vt:lpwstr>
  </property>
  <property fmtid="{D5CDD505-2E9C-101B-9397-08002B2CF9AE}" pid="8" name="Topic">
    <vt:lpwstr>215</vt:lpwstr>
  </property>
  <property fmtid="{D5CDD505-2E9C-101B-9397-08002B2CF9AE}" pid="9" name="ConfidentialityLevel">
    <vt:lpwstr>5</vt:lpwstr>
  </property>
  <property fmtid="{D5CDD505-2E9C-101B-9397-08002B2CF9AE}" pid="10" name="DocumentType">
    <vt:lpwstr>62;#Template|6ffc6c9a-7290-4545-ba79-3e594bad9285</vt:lpwstr>
  </property>
  <property fmtid="{D5CDD505-2E9C-101B-9397-08002B2CF9AE}" pid="11" name="Order">
    <vt:r8>52000</vt:r8>
  </property>
  <property fmtid="{D5CDD505-2E9C-101B-9397-08002B2CF9AE}" pid="12" name="DocumentSetDescription">
    <vt:lpwstr/>
  </property>
  <property fmtid="{D5CDD505-2E9C-101B-9397-08002B2CF9AE}" pid="13" name="TeamName">
    <vt:lpwstr>10</vt:lpwstr>
  </property>
  <property fmtid="{D5CDD505-2E9C-101B-9397-08002B2CF9AE}" pid="14" name="MediaServiceImageTags">
    <vt:lpwstr/>
  </property>
  <property fmtid="{D5CDD505-2E9C-101B-9397-08002B2CF9AE}" pid="15" name="SubTopic">
    <vt:lpwstr/>
  </property>
</Properties>
</file>